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53" w:firstLineChars="171"/>
        <w:jc w:val="center"/>
        <w:textAlignment w:val="baseline"/>
        <w:rPr>
          <w:rFonts w:ascii="宋体" w:hAnsi="宋体" w:cs="Lucida Sans Unicode"/>
          <w:b/>
          <w:sz w:val="44"/>
          <w:szCs w:val="44"/>
        </w:rPr>
      </w:pPr>
      <w:r>
        <w:rPr>
          <w:rFonts w:hint="eastAsia" w:ascii="宋体" w:hAnsi="宋体" w:cs="Lucida Sans Unicode"/>
          <w:b/>
          <w:sz w:val="44"/>
          <w:szCs w:val="44"/>
        </w:rPr>
        <w:t>第四章  采购项目需求</w:t>
      </w:r>
    </w:p>
    <w:p>
      <w:pPr>
        <w:spacing w:line="360" w:lineRule="auto"/>
        <w:ind w:firstLine="376" w:firstLineChars="171"/>
        <w:jc w:val="center"/>
        <w:textAlignment w:val="baseline"/>
        <w:rPr>
          <w:rFonts w:hint="eastAsia" w:ascii="宋体" w:hAnsi="宋体" w:cs="Lucida Sans Unicode"/>
          <w:b/>
          <w:sz w:val="44"/>
          <w:szCs w:val="44"/>
        </w:rPr>
      </w:pPr>
      <w:r>
        <w:rPr>
          <w:rFonts w:hint="eastAsia" w:ascii="宋体" w:hAnsi="宋体"/>
          <w:b/>
          <w:szCs w:val="21"/>
        </w:rPr>
        <w:t>（实质性要求及重要指标用★标注，★标注项不得负偏离，如果负偏离，则投标文件无效）</w:t>
      </w:r>
    </w:p>
    <w:p>
      <w:pPr>
        <w:spacing w:line="560" w:lineRule="exact"/>
        <w:ind w:firstLine="480" w:firstLineChars="200"/>
        <w:rPr>
          <w:rFonts w:hint="eastAsia" w:ascii="仿宋_GB2312" w:hAnsi="Times New Roman" w:eastAsia="仿宋_GB2312" w:cs="Times New Roman"/>
          <w:sz w:val="24"/>
          <w:szCs w:val="24"/>
        </w:rPr>
      </w:pPr>
    </w:p>
    <w:p>
      <w:pPr>
        <w:spacing w:line="560" w:lineRule="exact"/>
        <w:ind w:firstLine="480" w:firstLineChars="200"/>
        <w:rPr>
          <w:rFonts w:hint="eastAsia" w:ascii="Times New Roman" w:eastAsia="宋体"/>
          <w:sz w:val="21"/>
        </w:rPr>
      </w:pPr>
      <w:r>
        <w:rPr>
          <w:rFonts w:hint="eastAsia" w:ascii="仿宋_GB2312" w:eastAsia="仿宋_GB2312"/>
          <w:sz w:val="24"/>
        </w:rPr>
        <w:t>本次采购合同为固定单价合同。投标人必须在货物采购清单报价表上写明本次采购货物的单价、合价，以及最后汇总后的价格。当采购数量发生变化时，以单价为准。</w:t>
      </w:r>
    </w:p>
    <w:p>
      <w:pPr>
        <w:spacing w:line="440" w:lineRule="exact"/>
        <w:rPr>
          <w:rFonts w:ascii="宋体" w:hAnsi="宋体" w:cs="Lucida Sans Unicode"/>
          <w:sz w:val="24"/>
        </w:rPr>
      </w:pPr>
    </w:p>
    <w:p>
      <w:pPr>
        <w:spacing w:line="440" w:lineRule="exact"/>
        <w:rPr>
          <w:rFonts w:hint="eastAsia" w:ascii="宋体" w:hAnsi="宋体" w:cs="Lucida Sans Unicode"/>
          <w:sz w:val="24"/>
        </w:rPr>
      </w:pPr>
    </w:p>
    <w:p>
      <w:pPr>
        <w:rPr>
          <w:rFonts w:hint="eastAsia" w:ascii="宋体" w:hAnsi="宋体" w:cs="宋体"/>
          <w:b/>
          <w:sz w:val="30"/>
          <w:szCs w:val="30"/>
        </w:rPr>
      </w:pPr>
      <w:r>
        <w:rPr>
          <w:rFonts w:hint="eastAsia" w:ascii="宋体" w:hAnsi="宋体" w:cs="宋体"/>
          <w:b/>
          <w:sz w:val="30"/>
          <w:szCs w:val="30"/>
        </w:rPr>
        <w:t>二、采购项目</w:t>
      </w:r>
    </w:p>
    <w:tbl>
      <w:tblPr>
        <w:tblStyle w:val="5"/>
        <w:tblW w:w="8379" w:type="dxa"/>
        <w:tblInd w:w="93" w:type="dxa"/>
        <w:tblLayout w:type="fixed"/>
        <w:tblCellMar>
          <w:top w:w="0" w:type="dxa"/>
          <w:left w:w="108" w:type="dxa"/>
          <w:bottom w:w="0" w:type="dxa"/>
          <w:right w:w="108" w:type="dxa"/>
        </w:tblCellMar>
      </w:tblPr>
      <w:tblGrid>
        <w:gridCol w:w="570"/>
        <w:gridCol w:w="3556"/>
        <w:gridCol w:w="2631"/>
        <w:gridCol w:w="771"/>
        <w:gridCol w:w="851"/>
      </w:tblGrid>
      <w:tr>
        <w:tblPrEx>
          <w:tblLayout w:type="fixed"/>
          <w:tblCellMar>
            <w:top w:w="0" w:type="dxa"/>
            <w:left w:w="108" w:type="dxa"/>
            <w:bottom w:w="0" w:type="dxa"/>
            <w:right w:w="108" w:type="dxa"/>
          </w:tblCellMar>
        </w:tblPrEx>
        <w:trPr>
          <w:trHeight w:val="360" w:hRule="atLeast"/>
        </w:trPr>
        <w:tc>
          <w:tcPr>
            <w:tcW w:w="570" w:type="dxa"/>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序号</w:t>
            </w:r>
          </w:p>
        </w:tc>
        <w:tc>
          <w:tcPr>
            <w:tcW w:w="3556"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项    目</w:t>
            </w:r>
          </w:p>
        </w:tc>
        <w:tc>
          <w:tcPr>
            <w:tcW w:w="2631"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规 格 型 号</w:t>
            </w:r>
          </w:p>
        </w:tc>
        <w:tc>
          <w:tcPr>
            <w:tcW w:w="771"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单位</w:t>
            </w:r>
          </w:p>
        </w:tc>
        <w:tc>
          <w:tcPr>
            <w:tcW w:w="851" w:type="dxa"/>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数量</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支臂长14米框架式车道信号灯杆C30砼基础</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2.0m×2.5m×2.0m=10m3  C30砼</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座</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支臂长14米框架式车道信号灯杆C30砼基础钢筋</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3</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支臂长14米框架式车道信号灯杆地脚螺栓</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14m框架式车道信号灯杆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5</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φ400mm三单元箭头灯（黄灯盘含单8倒计时）</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6</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φ400mm三单元满盘灯（黄灯盘含单8倒计时）</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126</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7</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支臂长8米框架式车道信号灯杆C30砼基础</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1.8m×2.0m×1.8m=6.48m3 C30砼</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座</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24</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8</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支臂长8米框架式车道信号灯杆C30砼基础钢筋</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24</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9</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支臂长8米框架式车道信号灯杆地脚螺栓</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24</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10</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8m框架式车道信号灯杆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24</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11</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φ400mm三单元箭头灯（黄灯盘含单8倒计时）</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φ400mm三单元满盘灯（黄灯盘含单8倒计时）</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48</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13</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支臂长6米框架式车道信号灯杆C30砼基础</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1.8m×2.0m×1.8m=6.48m3 C30砼</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座</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14</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支臂长6米框架式车道信号灯杆C30砼基础钢筋</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15</w:t>
            </w:r>
          </w:p>
        </w:tc>
        <w:tc>
          <w:tcPr>
            <w:tcW w:w="3556" w:type="dxa"/>
            <w:tcBorders>
              <w:top w:val="nil"/>
              <w:left w:val="nil"/>
              <w:bottom w:val="single" w:color="auto" w:sz="4" w:space="0"/>
              <w:right w:val="single" w:color="auto" w:sz="4" w:space="0"/>
            </w:tcBorders>
            <w:noWrap/>
            <w:vAlign w:val="center"/>
          </w:tcPr>
          <w:p>
            <w:pPr>
              <w:rPr>
                <w:rFonts w:ascii="宋体" w:hAnsi="宋体" w:cs="宋体"/>
                <w:sz w:val="21"/>
                <w:szCs w:val="21"/>
              </w:rPr>
            </w:pPr>
            <w:r>
              <w:rPr>
                <w:rFonts w:hint="eastAsia" w:ascii="宋体" w:hAnsi="宋体" w:cs="宋体"/>
                <w:szCs w:val="21"/>
              </w:rPr>
              <w:t>支臂长6米框架式车道信号灯杆地脚螺栓</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16</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支臂长6米框架式车道信号灯杆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sz w:val="21"/>
                <w:szCs w:val="21"/>
              </w:rPr>
            </w:pPr>
            <w:r>
              <w:rPr>
                <w:rFonts w:hint="eastAsia" w:ascii="宋体" w:hAnsi="宋体" w:cs="宋体"/>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17</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φ400mm三单元满盘灯（黄灯盘含单8倒计时）</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套</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12</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18</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信号机（含机柜）</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见招标文件</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台</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21</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19</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电缆井</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座</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88</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20</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地下顶管、回拖管</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2870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21</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挖电缆沟及回填</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880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22</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敷设塑料管</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880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23</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电源动力电缆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YJV22 3</w:t>
            </w:r>
            <w:r>
              <w:rPr>
                <w:rFonts w:hint="eastAsia" w:ascii="宋体" w:hAnsi="宋体" w:cs="宋体"/>
                <w:szCs w:val="21"/>
              </w:rPr>
              <w:t>×6</w:t>
            </w:r>
            <w:r>
              <w:rPr>
                <w:rFonts w:hint="eastAsia" w:ascii="宋体" w:hAnsi="宋体"/>
                <w:szCs w:val="21"/>
              </w:rPr>
              <w:t xml:space="preserve"> mm</w:t>
            </w:r>
            <w:r>
              <w:rPr>
                <w:rFonts w:hint="eastAsia" w:ascii="宋体" w:hAnsi="宋体"/>
                <w:szCs w:val="21"/>
                <w:vertAlign w:val="superscript"/>
              </w:rPr>
              <w:t>2</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220</w:t>
            </w:r>
          </w:p>
        </w:tc>
      </w:tr>
      <w:tr>
        <w:tblPrEx>
          <w:tblLayout w:type="fixed"/>
          <w:tblCellMar>
            <w:top w:w="0" w:type="dxa"/>
            <w:left w:w="108" w:type="dxa"/>
            <w:bottom w:w="0" w:type="dxa"/>
            <w:right w:w="108" w:type="dxa"/>
          </w:tblCellMar>
        </w:tblPrEx>
        <w:trPr>
          <w:trHeight w:val="482"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24</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车道灯控制电缆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KVV 10</w:t>
            </w:r>
            <w:r>
              <w:rPr>
                <w:rFonts w:hint="eastAsia" w:ascii="宋体" w:hAnsi="宋体" w:cs="宋体"/>
                <w:szCs w:val="21"/>
              </w:rPr>
              <w:t>×1.5</w:t>
            </w:r>
            <w:r>
              <w:rPr>
                <w:rFonts w:hint="eastAsia" w:ascii="宋体" w:hAnsi="宋体"/>
                <w:szCs w:val="21"/>
              </w:rPr>
              <w:t xml:space="preserve"> mm</w:t>
            </w:r>
            <w:r>
              <w:rPr>
                <w:rFonts w:hint="eastAsia" w:ascii="宋体" w:hAnsi="宋体"/>
                <w:szCs w:val="21"/>
                <w:vertAlign w:val="superscript"/>
              </w:rPr>
              <w:t>2</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10120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25</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人行灯控制电缆</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KVV 5</w:t>
            </w:r>
            <w:r>
              <w:rPr>
                <w:rFonts w:hint="eastAsia" w:ascii="宋体" w:hAnsi="宋体" w:cs="宋体"/>
                <w:szCs w:val="21"/>
              </w:rPr>
              <w:t>×1.5</w:t>
            </w:r>
            <w:r>
              <w:rPr>
                <w:rFonts w:hint="eastAsia" w:ascii="宋体" w:hAnsi="宋体"/>
                <w:szCs w:val="21"/>
              </w:rPr>
              <w:t xml:space="preserve"> mm</w:t>
            </w:r>
            <w:r>
              <w:rPr>
                <w:rFonts w:hint="eastAsia" w:ascii="宋体" w:hAnsi="宋体"/>
                <w:szCs w:val="21"/>
                <w:vertAlign w:val="superscript"/>
              </w:rPr>
              <w:t>2</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1100</w:t>
            </w:r>
          </w:p>
        </w:tc>
      </w:tr>
      <w:tr>
        <w:tblPrEx>
          <w:tblLayout w:type="fixed"/>
          <w:tblCellMar>
            <w:top w:w="0" w:type="dxa"/>
            <w:left w:w="108" w:type="dxa"/>
            <w:bottom w:w="0" w:type="dxa"/>
            <w:right w:w="108" w:type="dxa"/>
          </w:tblCellMar>
        </w:tblPrEx>
        <w:trPr>
          <w:trHeight w:val="360" w:hRule="atLeast"/>
        </w:trPr>
        <w:tc>
          <w:tcPr>
            <w:tcW w:w="570" w:type="dxa"/>
            <w:tcBorders>
              <w:top w:val="nil"/>
              <w:left w:val="single" w:color="auto" w:sz="4" w:space="0"/>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26</w:t>
            </w:r>
          </w:p>
        </w:tc>
        <w:tc>
          <w:tcPr>
            <w:tcW w:w="3556" w:type="dxa"/>
            <w:tcBorders>
              <w:top w:val="nil"/>
              <w:left w:val="nil"/>
              <w:bottom w:val="single" w:color="auto" w:sz="4" w:space="0"/>
              <w:right w:val="single" w:color="auto" w:sz="4" w:space="0"/>
            </w:tcBorders>
            <w:noWrap/>
            <w:vAlign w:val="center"/>
          </w:tcPr>
          <w:p>
            <w:pPr>
              <w:rPr>
                <w:rFonts w:ascii="宋体" w:hAnsi="宋体" w:cs="宋体"/>
                <w:color w:val="000000"/>
                <w:sz w:val="21"/>
                <w:szCs w:val="21"/>
              </w:rPr>
            </w:pPr>
            <w:r>
              <w:rPr>
                <w:rFonts w:hint="eastAsia" w:ascii="宋体" w:hAnsi="宋体" w:cs="宋体"/>
                <w:color w:val="000000"/>
                <w:szCs w:val="21"/>
              </w:rPr>
              <w:t>拆除绿化、人行道板等及恢复</w:t>
            </w:r>
          </w:p>
        </w:tc>
        <w:tc>
          <w:tcPr>
            <w:tcW w:w="263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见施工图</w:t>
            </w:r>
          </w:p>
        </w:tc>
        <w:tc>
          <w:tcPr>
            <w:tcW w:w="77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平方米</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color w:val="000000"/>
                <w:sz w:val="21"/>
                <w:szCs w:val="21"/>
              </w:rPr>
            </w:pPr>
            <w:r>
              <w:rPr>
                <w:rFonts w:hint="eastAsia" w:ascii="宋体" w:hAnsi="宋体" w:cs="宋体"/>
                <w:color w:val="000000"/>
                <w:szCs w:val="21"/>
              </w:rPr>
              <w:t>980</w:t>
            </w:r>
          </w:p>
        </w:tc>
      </w:tr>
    </w:tbl>
    <w:p>
      <w:pPr>
        <w:autoSpaceDN w:val="0"/>
        <w:spacing w:line="580" w:lineRule="exact"/>
        <w:rPr>
          <w:rFonts w:hint="eastAsia" w:ascii="Times New Roman" w:hAnsi="Times New Roman" w:cs="Times New Roman"/>
          <w:b/>
          <w:kern w:val="2"/>
          <w:sz w:val="30"/>
          <w:szCs w:val="30"/>
        </w:rPr>
      </w:pPr>
    </w:p>
    <w:p>
      <w:pPr>
        <w:spacing w:line="360" w:lineRule="auto"/>
        <w:ind w:left="1" w:hanging="1"/>
        <w:rPr>
          <w:rFonts w:ascii="仿宋" w:hAnsi="仿宋" w:eastAsia="仿宋" w:cs="Arial"/>
          <w:b/>
          <w:sz w:val="44"/>
          <w:szCs w:val="44"/>
        </w:rPr>
      </w:pPr>
      <w:r>
        <w:rPr>
          <w:rFonts w:hint="eastAsia"/>
          <w:b/>
          <w:sz w:val="32"/>
        </w:rPr>
        <w:t>四、技术参数要求及工程内容</w:t>
      </w:r>
    </w:p>
    <w:p>
      <w:pPr>
        <w:spacing w:line="400" w:lineRule="exact"/>
        <w:rPr>
          <w:rFonts w:hint="eastAsia" w:ascii="宋体" w:hAnsi="宋体" w:eastAsia="宋体" w:cs="Times New Roman"/>
          <w:b/>
          <w:sz w:val="24"/>
          <w:szCs w:val="24"/>
        </w:rPr>
      </w:pPr>
      <w:r>
        <w:rPr>
          <w:rFonts w:hint="eastAsia" w:ascii="宋体" w:hAnsi="宋体"/>
          <w:b/>
          <w:sz w:val="24"/>
        </w:rPr>
        <w:t>（一）、技术规范</w:t>
      </w:r>
    </w:p>
    <w:p>
      <w:pPr>
        <w:spacing w:line="400" w:lineRule="exact"/>
        <w:ind w:firstLine="440" w:firstLineChars="200"/>
        <w:rPr>
          <w:rFonts w:hint="eastAsia" w:ascii="宋体" w:hAnsi="宋体"/>
          <w:sz w:val="24"/>
        </w:rPr>
      </w:pPr>
      <w:r>
        <w:rPr>
          <w:rFonts w:hint="eastAsia" w:ascii="宋体" w:hAnsi="宋体"/>
          <w:szCs w:val="21"/>
        </w:rPr>
        <w:t>按照国家、行业有关标准和规范执行</w:t>
      </w:r>
      <w:r>
        <w:rPr>
          <w:rFonts w:hint="eastAsia" w:ascii="宋体" w:hAnsi="宋体"/>
          <w:sz w:val="24"/>
        </w:rPr>
        <w:t>。</w:t>
      </w:r>
    </w:p>
    <w:p>
      <w:pPr>
        <w:spacing w:line="400" w:lineRule="exact"/>
        <w:rPr>
          <w:rFonts w:hint="eastAsia" w:ascii="宋体" w:hAnsi="宋体"/>
          <w:b/>
          <w:sz w:val="24"/>
        </w:rPr>
      </w:pPr>
      <w:r>
        <w:rPr>
          <w:rFonts w:hint="eastAsia" w:ascii="宋体" w:hAnsi="宋体"/>
          <w:b/>
          <w:sz w:val="24"/>
        </w:rPr>
        <w:t>（二）、工程内容</w:t>
      </w:r>
    </w:p>
    <w:p>
      <w:pPr>
        <w:spacing w:line="400" w:lineRule="exact"/>
        <w:ind w:firstLine="220" w:firstLineChars="100"/>
        <w:rPr>
          <w:rFonts w:hint="eastAsia" w:ascii="宋体" w:hAnsi="宋体" w:cs="Arial"/>
          <w:sz w:val="21"/>
          <w:szCs w:val="21"/>
        </w:rPr>
      </w:pPr>
      <w:r>
        <w:rPr>
          <w:rFonts w:hint="eastAsia" w:ascii="宋体" w:hAnsi="宋体" w:cs="Arial"/>
          <w:szCs w:val="21"/>
        </w:rPr>
        <w:t>（1）工程内容：渤海大街交通信号灯更新工程。</w:t>
      </w:r>
    </w:p>
    <w:p>
      <w:pPr>
        <w:spacing w:line="400" w:lineRule="exact"/>
        <w:ind w:firstLine="215" w:firstLineChars="98"/>
        <w:rPr>
          <w:rFonts w:hint="eastAsia" w:ascii="宋体" w:hAnsi="宋体" w:cs="Arial"/>
          <w:color w:val="FF0000"/>
          <w:szCs w:val="21"/>
        </w:rPr>
      </w:pPr>
      <w:r>
        <w:rPr>
          <w:rFonts w:hint="eastAsia" w:ascii="宋体" w:hAnsi="宋体" w:cs="Arial"/>
          <w:color w:val="000000"/>
          <w:szCs w:val="21"/>
        </w:rPr>
        <w:t>（2）计划工期：45天。</w:t>
      </w:r>
    </w:p>
    <w:p>
      <w:pPr>
        <w:spacing w:line="400" w:lineRule="exact"/>
        <w:ind w:firstLine="215" w:firstLineChars="98"/>
        <w:rPr>
          <w:rFonts w:hint="eastAsia" w:ascii="宋体" w:hAnsi="宋体" w:cs="Arial"/>
          <w:szCs w:val="21"/>
        </w:rPr>
      </w:pPr>
      <w:r>
        <w:rPr>
          <w:rFonts w:hint="eastAsia" w:ascii="宋体" w:hAnsi="宋体" w:cs="Arial"/>
          <w:szCs w:val="21"/>
        </w:rPr>
        <w:t>（3）工程建筑地点：交警支队指定地点。</w:t>
      </w:r>
    </w:p>
    <w:p>
      <w:pPr>
        <w:spacing w:line="400" w:lineRule="exact"/>
        <w:rPr>
          <w:rFonts w:hint="eastAsia" w:ascii="宋体" w:hAnsi="宋体" w:cs="Times New Roman"/>
          <w:b/>
          <w:sz w:val="24"/>
          <w:szCs w:val="24"/>
        </w:rPr>
      </w:pPr>
      <w:r>
        <w:rPr>
          <w:rFonts w:hint="eastAsia" w:ascii="宋体" w:hAnsi="宋体"/>
          <w:b/>
          <w:sz w:val="24"/>
        </w:rPr>
        <w:t>（三）、主要材料和设备的技术标准要求</w:t>
      </w:r>
    </w:p>
    <w:p>
      <w:pPr>
        <w:spacing w:line="360" w:lineRule="auto"/>
        <w:jc w:val="center"/>
        <w:rPr>
          <w:rFonts w:hint="eastAsia" w:ascii="宋体" w:hAnsi="宋体" w:cs="宋体"/>
          <w:b/>
          <w:sz w:val="21"/>
          <w:szCs w:val="21"/>
        </w:rPr>
      </w:pPr>
      <w:r>
        <w:rPr>
          <w:rFonts w:hint="eastAsia" w:ascii="宋体" w:hAnsi="宋体" w:cs="宋体"/>
          <w:b/>
          <w:szCs w:val="21"/>
        </w:rPr>
        <w:t xml:space="preserve">1、质量及技术规范 </w:t>
      </w:r>
    </w:p>
    <w:p>
      <w:pPr>
        <w:spacing w:line="400" w:lineRule="exact"/>
        <w:ind w:left="493" w:leftChars="224"/>
        <w:rPr>
          <w:rFonts w:hint="eastAsia" w:ascii="宋体" w:hAnsi="宋体" w:cs="Times New Roman"/>
          <w:bCs/>
          <w:szCs w:val="21"/>
        </w:rPr>
      </w:pPr>
      <w:r>
        <w:rPr>
          <w:rFonts w:hint="eastAsia" w:ascii="宋体" w:hAnsi="宋体"/>
          <w:bCs/>
          <w:szCs w:val="21"/>
        </w:rPr>
        <w:t>（1）、本工程质量要求及施工中需遵循的技术规范。</w:t>
      </w:r>
    </w:p>
    <w:p>
      <w:pPr>
        <w:spacing w:line="400" w:lineRule="exact"/>
        <w:ind w:firstLine="440" w:firstLineChars="200"/>
        <w:rPr>
          <w:rFonts w:hint="eastAsia" w:ascii="宋体" w:hAnsi="宋体"/>
          <w:bCs/>
          <w:szCs w:val="21"/>
        </w:rPr>
      </w:pPr>
      <w:r>
        <w:rPr>
          <w:rFonts w:hint="eastAsia" w:ascii="宋体" w:hAnsi="宋体"/>
          <w:bCs/>
          <w:szCs w:val="21"/>
        </w:rPr>
        <w:t xml:space="preserve">（2）、施工产品、材料、规格、品牌及质量技术要求，各类参数必须符合设计技术要求（附设计说明及图纸）。   </w:t>
      </w:r>
    </w:p>
    <w:p>
      <w:pPr>
        <w:spacing w:line="400" w:lineRule="exact"/>
        <w:ind w:firstLine="440" w:firstLineChars="200"/>
        <w:rPr>
          <w:rFonts w:hint="eastAsia" w:ascii="宋体" w:hAnsi="宋体"/>
          <w:bCs/>
          <w:szCs w:val="21"/>
        </w:rPr>
      </w:pPr>
      <w:r>
        <w:rPr>
          <w:rFonts w:hint="eastAsia" w:ascii="宋体" w:hAnsi="宋体"/>
          <w:bCs/>
          <w:szCs w:val="21"/>
        </w:rPr>
        <w:t>（3）、工程质量要求达到国家现行的施工质量验收标准，及本招标文件设定的工程施工标准、规范和有关技术文件、技术要求。并要求在投标书中予以承诺，否则作为无效标论处，若工程完工后在质量鉴定中达不到此要求的，必须返工，并按总工程款的5%进行处罚。</w:t>
      </w:r>
    </w:p>
    <w:p>
      <w:pPr>
        <w:spacing w:line="400" w:lineRule="exact"/>
        <w:ind w:firstLine="440" w:firstLineChars="200"/>
        <w:rPr>
          <w:rFonts w:hint="eastAsia" w:ascii="宋体" w:hAnsi="宋体"/>
          <w:bCs/>
          <w:szCs w:val="21"/>
        </w:rPr>
      </w:pPr>
      <w:r>
        <w:rPr>
          <w:rFonts w:hint="eastAsia" w:ascii="宋体" w:hAnsi="宋体"/>
          <w:bCs/>
          <w:szCs w:val="21"/>
        </w:rPr>
        <w:t>（4）、除非招标人另有要求，投标人应按招标人提供的施工图和有关国家规范和标准施工，未提到的其他规范和标准，只要与本工程有关，中标人都必须遵照执行。</w:t>
      </w:r>
    </w:p>
    <w:p>
      <w:pPr>
        <w:spacing w:line="360" w:lineRule="auto"/>
        <w:jc w:val="center"/>
        <w:rPr>
          <w:rFonts w:hint="eastAsia" w:ascii="宋体" w:hAnsi="宋体" w:cs="宋体"/>
          <w:b/>
          <w:szCs w:val="21"/>
        </w:rPr>
      </w:pPr>
      <w:r>
        <w:rPr>
          <w:rFonts w:hint="eastAsia" w:ascii="宋体" w:hAnsi="宋体" w:cs="宋体"/>
          <w:b/>
          <w:szCs w:val="21"/>
        </w:rPr>
        <w:t>2、交通信号灯技术要求</w:t>
      </w:r>
    </w:p>
    <w:p>
      <w:pPr>
        <w:spacing w:line="360" w:lineRule="auto"/>
        <w:rPr>
          <w:rFonts w:hint="eastAsia" w:ascii="宋体" w:hAnsi="宋体" w:cs="宋体"/>
          <w:b/>
          <w:szCs w:val="21"/>
        </w:rPr>
      </w:pPr>
      <w:r>
        <w:rPr>
          <w:rFonts w:hint="eastAsia" w:ascii="宋体" w:hAnsi="宋体" w:cs="宋体"/>
          <w:b/>
          <w:szCs w:val="21"/>
        </w:rPr>
        <w:t>1.1发光源采用LED形式，LED管数量要求</w:t>
      </w:r>
    </w:p>
    <w:tbl>
      <w:tblPr>
        <w:tblStyle w:val="5"/>
        <w:tblW w:w="9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2924"/>
        <w:gridCol w:w="1896"/>
        <w:gridCol w:w="1883"/>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序号</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名称</w:t>
            </w:r>
          </w:p>
        </w:tc>
        <w:tc>
          <w:tcPr>
            <w:tcW w:w="1896"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红、黄LED管</w:t>
            </w:r>
          </w:p>
        </w:tc>
        <w:tc>
          <w:tcPr>
            <w:tcW w:w="188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绿色LED管</w:t>
            </w:r>
          </w:p>
        </w:tc>
        <w:tc>
          <w:tcPr>
            <w:tcW w:w="172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三色箭头灯</w:t>
            </w:r>
          </w:p>
        </w:tc>
        <w:tc>
          <w:tcPr>
            <w:tcW w:w="1896"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不少于102只</w:t>
            </w:r>
          </w:p>
        </w:tc>
        <w:tc>
          <w:tcPr>
            <w:tcW w:w="188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不少于102只</w:t>
            </w:r>
          </w:p>
        </w:tc>
        <w:tc>
          <w:tcPr>
            <w:tcW w:w="172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2</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三色满屏灯</w:t>
            </w:r>
          </w:p>
        </w:tc>
        <w:tc>
          <w:tcPr>
            <w:tcW w:w="1896"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不少于310只</w:t>
            </w:r>
          </w:p>
        </w:tc>
        <w:tc>
          <w:tcPr>
            <w:tcW w:w="188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不少于160只</w:t>
            </w:r>
          </w:p>
        </w:tc>
        <w:tc>
          <w:tcPr>
            <w:tcW w:w="172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3</w:t>
            </w:r>
          </w:p>
        </w:tc>
        <w:tc>
          <w:tcPr>
            <w:tcW w:w="2924"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人行横道灯</w:t>
            </w:r>
          </w:p>
        </w:tc>
        <w:tc>
          <w:tcPr>
            <w:tcW w:w="1896"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不少于90只</w:t>
            </w:r>
          </w:p>
        </w:tc>
        <w:tc>
          <w:tcPr>
            <w:tcW w:w="188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不少于70只</w:t>
            </w:r>
          </w:p>
        </w:tc>
        <w:tc>
          <w:tcPr>
            <w:tcW w:w="172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单排</w:t>
            </w:r>
          </w:p>
        </w:tc>
      </w:tr>
    </w:tbl>
    <w:p>
      <w:pPr>
        <w:pStyle w:val="3"/>
        <w:spacing w:line="460" w:lineRule="exact"/>
        <w:ind w:left="2" w:leftChars="1" w:firstLine="454" w:firstLineChars="200"/>
        <w:rPr>
          <w:rFonts w:hint="eastAsia"/>
          <w:b/>
          <w:bCs/>
          <w:spacing w:val="8"/>
          <w:szCs w:val="21"/>
        </w:rPr>
      </w:pPr>
    </w:p>
    <w:p>
      <w:pPr>
        <w:pStyle w:val="3"/>
        <w:spacing w:line="460" w:lineRule="exact"/>
        <w:ind w:left="2" w:leftChars="1" w:firstLine="454" w:firstLineChars="200"/>
        <w:rPr>
          <w:spacing w:val="8"/>
          <w:szCs w:val="21"/>
        </w:rPr>
      </w:pPr>
      <w:r>
        <w:rPr>
          <w:b/>
          <w:bCs/>
          <w:spacing w:val="8"/>
          <w:szCs w:val="21"/>
        </w:rPr>
        <w:t>1.2</w:t>
      </w:r>
      <w:r>
        <w:rPr>
          <w:rFonts w:hint="eastAsia"/>
          <w:b/>
          <w:bCs/>
          <w:spacing w:val="8"/>
          <w:szCs w:val="21"/>
        </w:rPr>
        <w:t>图案指示信号灯最低亮度值</w:t>
      </w:r>
      <w:r>
        <w:rPr>
          <w:b/>
          <w:bCs/>
          <w:spacing w:val="8"/>
          <w:szCs w:val="21"/>
        </w:rPr>
        <w:t xml:space="preserve">  </w:t>
      </w:r>
      <w:r>
        <w:rPr>
          <w:spacing w:val="8"/>
          <w:szCs w:val="21"/>
        </w:rPr>
        <w:t xml:space="preserve">          </w:t>
      </w:r>
      <w:r>
        <w:rPr>
          <w:rFonts w:hint="eastAsia"/>
          <w:spacing w:val="8"/>
          <w:szCs w:val="21"/>
        </w:rPr>
        <w:t>单位：坎德拉每平方米</w:t>
      </w:r>
    </w:p>
    <w:tbl>
      <w:tblPr>
        <w:tblStyle w:val="5"/>
        <w:tblW w:w="95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7"/>
        <w:gridCol w:w="2410"/>
        <w:gridCol w:w="1587"/>
        <w:gridCol w:w="1588"/>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 w:hRule="atLeast"/>
          <w:jc w:val="center"/>
        </w:trPr>
        <w:tc>
          <w:tcPr>
            <w:tcW w:w="2327"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垂直角度（基准轴向下）</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水平角度（基准轴左右）</w:t>
            </w:r>
          </w:p>
        </w:tc>
        <w:tc>
          <w:tcPr>
            <w:tcW w:w="4766"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 w:hRule="atLeast"/>
          <w:jc w:val="center"/>
        </w:trPr>
        <w:tc>
          <w:tcPr>
            <w:tcW w:w="23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1587"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红色</w:t>
            </w:r>
          </w:p>
        </w:tc>
        <w:tc>
          <w:tcPr>
            <w:tcW w:w="158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黄色</w:t>
            </w:r>
          </w:p>
        </w:tc>
        <w:tc>
          <w:tcPr>
            <w:tcW w:w="159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6" w:hRule="atLeast"/>
          <w:jc w:val="center"/>
        </w:trPr>
        <w:tc>
          <w:tcPr>
            <w:tcW w:w="2327"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1587"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5000</w:t>
            </w:r>
          </w:p>
        </w:tc>
        <w:tc>
          <w:tcPr>
            <w:tcW w:w="158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5000</w:t>
            </w:r>
          </w:p>
        </w:tc>
        <w:tc>
          <w:tcPr>
            <w:tcW w:w="159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 w:hRule="atLeast"/>
          <w:jc w:val="center"/>
        </w:trPr>
        <w:tc>
          <w:tcPr>
            <w:tcW w:w="23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w:t>
            </w:r>
          </w:p>
        </w:tc>
        <w:tc>
          <w:tcPr>
            <w:tcW w:w="1587"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8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9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 w:hRule="atLeast"/>
          <w:jc w:val="center"/>
        </w:trPr>
        <w:tc>
          <w:tcPr>
            <w:tcW w:w="2327"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1587"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8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9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1" w:hRule="atLeast"/>
          <w:jc w:val="center"/>
        </w:trPr>
        <w:tc>
          <w:tcPr>
            <w:tcW w:w="232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10°</w:t>
            </w:r>
          </w:p>
        </w:tc>
        <w:tc>
          <w:tcPr>
            <w:tcW w:w="1587"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8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c>
          <w:tcPr>
            <w:tcW w:w="159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1500</w:t>
            </w:r>
          </w:p>
        </w:tc>
      </w:tr>
    </w:tbl>
    <w:p>
      <w:pPr>
        <w:pStyle w:val="3"/>
        <w:spacing w:line="460" w:lineRule="exact"/>
        <w:ind w:left="2" w:leftChars="1" w:firstLine="454" w:firstLineChars="200"/>
        <w:rPr>
          <w:spacing w:val="8"/>
          <w:szCs w:val="21"/>
        </w:rPr>
      </w:pPr>
      <w:r>
        <w:rPr>
          <w:b/>
          <w:bCs/>
          <w:spacing w:val="8"/>
          <w:szCs w:val="21"/>
        </w:rPr>
        <w:t>1.3</w:t>
      </w:r>
      <w:r>
        <w:rPr>
          <w:rFonts w:hint="eastAsia"/>
          <w:b/>
          <w:bCs/>
          <w:spacing w:val="8"/>
          <w:szCs w:val="21"/>
        </w:rPr>
        <w:t>图案指示信号灯轮廓最低光强</w:t>
      </w:r>
      <w:r>
        <w:rPr>
          <w:b/>
          <w:bCs/>
          <w:spacing w:val="8"/>
          <w:szCs w:val="21"/>
        </w:rPr>
        <w:t xml:space="preserve"> </w:t>
      </w:r>
      <w:r>
        <w:rPr>
          <w:spacing w:val="8"/>
          <w:szCs w:val="21"/>
        </w:rPr>
        <w:t xml:space="preserve">                  </w:t>
      </w:r>
      <w:r>
        <w:rPr>
          <w:rFonts w:hint="eastAsia"/>
          <w:spacing w:val="8"/>
          <w:szCs w:val="21"/>
        </w:rPr>
        <w:t>单位：坎德拉</w:t>
      </w:r>
    </w:p>
    <w:tbl>
      <w:tblPr>
        <w:tblStyle w:val="5"/>
        <w:tblW w:w="96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2323"/>
        <w:gridCol w:w="1638"/>
        <w:gridCol w:w="1639"/>
        <w:gridCol w:w="1641"/>
      </w:tblGrid>
      <w:tr>
        <w:tblPrEx>
          <w:tblLayout w:type="fixed"/>
          <w:tblCellMar>
            <w:top w:w="0" w:type="dxa"/>
            <w:left w:w="108" w:type="dxa"/>
            <w:bottom w:w="0" w:type="dxa"/>
            <w:right w:w="108" w:type="dxa"/>
          </w:tblCellMar>
        </w:tblPrEx>
        <w:trPr>
          <w:cantSplit/>
          <w:trHeight w:val="141" w:hRule="atLeast"/>
          <w:jc w:val="center"/>
        </w:trPr>
        <w:tc>
          <w:tcPr>
            <w:tcW w:w="2365"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垂直角度（基准轴向下）</w:t>
            </w:r>
          </w:p>
        </w:tc>
        <w:tc>
          <w:tcPr>
            <w:tcW w:w="2323"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水平角度（基准轴左右）</w:t>
            </w:r>
          </w:p>
        </w:tc>
        <w:tc>
          <w:tcPr>
            <w:tcW w:w="4918" w:type="dxa"/>
            <w:gridSpan w:val="3"/>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 w:hRule="atLeast"/>
          <w:jc w:val="center"/>
        </w:trPr>
        <w:tc>
          <w:tcPr>
            <w:tcW w:w="2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32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163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红色</w:t>
            </w:r>
          </w:p>
        </w:tc>
        <w:tc>
          <w:tcPr>
            <w:tcW w:w="1639"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黄色</w:t>
            </w:r>
          </w:p>
        </w:tc>
        <w:tc>
          <w:tcPr>
            <w:tcW w:w="164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 w:hRule="atLeast"/>
          <w:jc w:val="center"/>
        </w:trPr>
        <w:tc>
          <w:tcPr>
            <w:tcW w:w="2365"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232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163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w:t>
            </w:r>
          </w:p>
        </w:tc>
        <w:tc>
          <w:tcPr>
            <w:tcW w:w="1639"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w:t>
            </w:r>
          </w:p>
        </w:tc>
        <w:tc>
          <w:tcPr>
            <w:tcW w:w="164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2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32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15°</w:t>
            </w:r>
          </w:p>
        </w:tc>
        <w:tc>
          <w:tcPr>
            <w:tcW w:w="163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39"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4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2365" w:type="dxa"/>
            <w:vMerge w:val="restart"/>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10°</w:t>
            </w:r>
          </w:p>
        </w:tc>
        <w:tc>
          <w:tcPr>
            <w:tcW w:w="232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0°</w:t>
            </w:r>
          </w:p>
        </w:tc>
        <w:tc>
          <w:tcPr>
            <w:tcW w:w="163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39"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4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236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kern w:val="2"/>
                <w:sz w:val="21"/>
                <w:szCs w:val="21"/>
              </w:rPr>
            </w:pPr>
          </w:p>
        </w:tc>
        <w:tc>
          <w:tcPr>
            <w:tcW w:w="2323"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10°</w:t>
            </w:r>
          </w:p>
        </w:tc>
        <w:tc>
          <w:tcPr>
            <w:tcW w:w="1638"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39"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c>
          <w:tcPr>
            <w:tcW w:w="1641" w:type="dxa"/>
            <w:tcBorders>
              <w:top w:val="single" w:color="auto" w:sz="4" w:space="0"/>
              <w:left w:val="single" w:color="auto" w:sz="4" w:space="0"/>
              <w:bottom w:val="single" w:color="auto" w:sz="4" w:space="0"/>
              <w:right w:val="single" w:color="auto" w:sz="4" w:space="0"/>
            </w:tcBorders>
            <w:vAlign w:val="center"/>
          </w:tcPr>
          <w:p>
            <w:pPr>
              <w:widowControl w:val="0"/>
              <w:spacing w:line="460" w:lineRule="exact"/>
              <w:jc w:val="center"/>
              <w:rPr>
                <w:rFonts w:ascii="宋体" w:hAnsi="宋体"/>
                <w:color w:val="000000"/>
                <w:kern w:val="2"/>
                <w:sz w:val="21"/>
                <w:szCs w:val="21"/>
              </w:rPr>
            </w:pPr>
            <w:r>
              <w:rPr>
                <w:rFonts w:hint="eastAsia" w:ascii="宋体" w:hAnsi="宋体"/>
                <w:color w:val="000000"/>
                <w:szCs w:val="21"/>
              </w:rPr>
              <w:t>45</w:t>
            </w:r>
          </w:p>
        </w:tc>
      </w:tr>
    </w:tbl>
    <w:p>
      <w:pPr>
        <w:pStyle w:val="3"/>
        <w:spacing w:line="460" w:lineRule="exact"/>
        <w:ind w:left="0" w:leftChars="0" w:firstLine="352" w:firstLineChars="155"/>
        <w:rPr>
          <w:b/>
          <w:bCs/>
          <w:spacing w:val="8"/>
          <w:szCs w:val="21"/>
        </w:rPr>
      </w:pPr>
    </w:p>
    <w:p>
      <w:pPr>
        <w:pStyle w:val="3"/>
        <w:spacing w:line="460" w:lineRule="exact"/>
        <w:ind w:left="0" w:leftChars="0" w:firstLine="352" w:firstLineChars="155"/>
        <w:rPr>
          <w:b/>
          <w:bCs/>
          <w:spacing w:val="8"/>
          <w:szCs w:val="21"/>
        </w:rPr>
      </w:pPr>
      <w:r>
        <w:rPr>
          <w:b/>
          <w:bCs/>
          <w:spacing w:val="8"/>
          <w:szCs w:val="21"/>
        </w:rPr>
        <w:t>1.4</w:t>
      </w:r>
      <w:r>
        <w:rPr>
          <w:rFonts w:hint="eastAsia"/>
          <w:b/>
          <w:bCs/>
          <w:spacing w:val="8"/>
          <w:szCs w:val="21"/>
        </w:rPr>
        <w:t>相关技术指标：</w:t>
      </w:r>
    </w:p>
    <w:p>
      <w:pPr>
        <w:spacing w:line="560" w:lineRule="exact"/>
        <w:rPr>
          <w:rFonts w:ascii="宋体" w:hAnsi="宋体"/>
          <w:szCs w:val="21"/>
        </w:rPr>
      </w:pPr>
      <w:r>
        <w:rPr>
          <w:rFonts w:hint="eastAsia" w:ascii="宋体" w:hAnsi="宋体"/>
          <w:szCs w:val="21"/>
        </w:rPr>
        <w:t>(1)标准：符合中</w:t>
      </w:r>
      <w:r>
        <w:rPr>
          <w:rFonts w:hint="eastAsia" w:ascii="宋体" w:hAnsi="宋体"/>
          <w:szCs w:val="21"/>
          <w:lang w:eastAsia="zh-CN"/>
        </w:rPr>
        <w:t>华</w:t>
      </w:r>
      <w:bookmarkStart w:id="0" w:name="_GoBack"/>
      <w:bookmarkEnd w:id="0"/>
      <w:r>
        <w:rPr>
          <w:rFonts w:hint="eastAsia" w:ascii="宋体" w:hAnsi="宋体"/>
          <w:szCs w:val="21"/>
        </w:rPr>
        <w:t>人民共和国《GBl4887-2011道路交通信号灯》的要求。所提供信号灯设备产品应提供有效期内的检测报告。</w:t>
      </w:r>
    </w:p>
    <w:p>
      <w:pPr>
        <w:spacing w:line="560" w:lineRule="exact"/>
        <w:rPr>
          <w:rFonts w:hint="eastAsia" w:ascii="宋体" w:hAnsi="宋体"/>
          <w:szCs w:val="21"/>
        </w:rPr>
      </w:pPr>
      <w:r>
        <w:rPr>
          <w:rFonts w:hint="eastAsia" w:ascii="宋体" w:hAnsi="宋体"/>
          <w:szCs w:val="21"/>
        </w:rPr>
        <w:t>(2)结构设计：外形美观，工艺精美，组合式安装，应用灵活。灯具采用高强度压铸铝外壳，400灯壳体壁厚不低于2.5mm,300灯壳体壁厚不低于2.2mm,灯壳采用独立的前开启方式，方便维护。信号灯发光单元透光面采用透明的聚碳酸酯（pc）材料一次压铸成型，抗击打性强，透明性要好，灯壳边沿的装饰条采用高强度聚碳酸酯（pc）材料一次压铸成型，柔软性好，安装过程中不会产生弯曲等现象。400灯壳遮阳罩的长度不低于490mm,300灯壳的遮阳罩长度不低于370mm，灯壳整体强度达到IP53等级，400信号灯的重量16-22.5kg，300人行灯的重量不大于9KG。</w:t>
      </w:r>
    </w:p>
    <w:p>
      <w:pPr>
        <w:spacing w:line="560" w:lineRule="exact"/>
        <w:ind w:left="-147" w:leftChars="-67" w:firstLine="110" w:firstLineChars="50"/>
        <w:rPr>
          <w:rFonts w:hint="eastAsia" w:ascii="宋体" w:hAnsi="宋体"/>
          <w:szCs w:val="21"/>
        </w:rPr>
      </w:pPr>
      <w:r>
        <w:rPr>
          <w:rFonts w:hint="eastAsia" w:ascii="宋体" w:hAnsi="宋体"/>
          <w:szCs w:val="21"/>
        </w:rPr>
        <w:t>(3)光源：采用进口芯片四元素超高亮度发光二极管(LED)，使用寿命大于10万小时。</w:t>
      </w:r>
    </w:p>
    <w:p>
      <w:pPr>
        <w:spacing w:line="560" w:lineRule="exact"/>
        <w:rPr>
          <w:rFonts w:hint="eastAsia" w:ascii="宋体" w:hAnsi="宋体"/>
          <w:szCs w:val="21"/>
        </w:rPr>
      </w:pPr>
      <w:r>
        <w:rPr>
          <w:rFonts w:hint="eastAsia" w:ascii="宋体" w:hAnsi="宋体"/>
          <w:szCs w:val="21"/>
        </w:rPr>
        <w:t>(4)、额定功率：400mm单灯额定功率≤20W;  300mm单灯额定功率≤15W</w:t>
      </w:r>
    </w:p>
    <w:p>
      <w:pPr>
        <w:spacing w:line="560" w:lineRule="exact"/>
        <w:rPr>
          <w:rFonts w:hint="eastAsia" w:ascii="宋体" w:hAnsi="宋体"/>
          <w:szCs w:val="21"/>
        </w:rPr>
      </w:pPr>
      <w:r>
        <w:rPr>
          <w:rFonts w:hint="eastAsia" w:ascii="宋体" w:hAnsi="宋体"/>
          <w:szCs w:val="21"/>
        </w:rPr>
        <w:t>(5)、工作电压：AC150-300V，50HZ</w:t>
      </w:r>
    </w:p>
    <w:p>
      <w:pPr>
        <w:spacing w:line="560" w:lineRule="exact"/>
        <w:rPr>
          <w:rFonts w:hint="eastAsia" w:ascii="宋体" w:hAnsi="宋体"/>
          <w:szCs w:val="21"/>
        </w:rPr>
      </w:pPr>
      <w:r>
        <w:rPr>
          <w:rFonts w:hint="eastAsia" w:ascii="宋体" w:hAnsi="宋体"/>
          <w:szCs w:val="21"/>
        </w:rPr>
        <w:t>(6)、无图案中心光强：红色400～1000CD，黄色400～1OOOCD，绿 色400～1000CD</w:t>
      </w:r>
    </w:p>
    <w:p>
      <w:pPr>
        <w:spacing w:line="560" w:lineRule="exact"/>
        <w:rPr>
          <w:rFonts w:hint="eastAsia" w:ascii="宋体" w:hAnsi="宋体"/>
          <w:szCs w:val="21"/>
        </w:rPr>
      </w:pPr>
      <w:r>
        <w:rPr>
          <w:rFonts w:hint="eastAsia" w:ascii="宋体" w:hAnsi="宋体"/>
          <w:szCs w:val="21"/>
        </w:rPr>
        <w:t>(7)、有图案亮度值：红色5000～15000cd/</w:t>
      </w:r>
      <w:r>
        <w:rPr>
          <w:rFonts w:hint="eastAsia" w:ascii="宋体" w:hAnsi="宋体" w:eastAsia="宋体" w:cs="宋体"/>
          <w:szCs w:val="21"/>
        </w:rPr>
        <w:t>㎡</w:t>
      </w:r>
      <w:r>
        <w:rPr>
          <w:rFonts w:hint="eastAsia" w:ascii="微软雅黑" w:hAnsi="微软雅黑" w:cs="微软雅黑"/>
          <w:szCs w:val="21"/>
        </w:rPr>
        <w:t>，黄色</w:t>
      </w:r>
      <w:r>
        <w:rPr>
          <w:rFonts w:hint="eastAsia" w:ascii="宋体" w:hAnsi="宋体"/>
          <w:szCs w:val="21"/>
        </w:rPr>
        <w:t>5000～15000cd/</w:t>
      </w:r>
      <w:r>
        <w:rPr>
          <w:rFonts w:hint="eastAsia" w:ascii="宋体" w:hAnsi="宋体" w:eastAsia="宋体" w:cs="宋体"/>
          <w:szCs w:val="21"/>
        </w:rPr>
        <w:t>㎡</w:t>
      </w:r>
      <w:r>
        <w:rPr>
          <w:rFonts w:hint="eastAsia" w:ascii="微软雅黑" w:hAnsi="微软雅黑" w:cs="微软雅黑"/>
          <w:szCs w:val="21"/>
        </w:rPr>
        <w:t>，绿色</w:t>
      </w:r>
      <w:r>
        <w:rPr>
          <w:rFonts w:hint="eastAsia" w:ascii="宋体" w:hAnsi="宋体"/>
          <w:szCs w:val="21"/>
        </w:rPr>
        <w:t>5000～15000cd/</w:t>
      </w:r>
      <w:r>
        <w:rPr>
          <w:rFonts w:hint="eastAsia" w:ascii="宋体" w:hAnsi="宋体" w:eastAsia="宋体" w:cs="宋体"/>
          <w:szCs w:val="21"/>
        </w:rPr>
        <w:t>㎡</w:t>
      </w:r>
      <w:r>
        <w:rPr>
          <w:rFonts w:hint="eastAsia" w:ascii="微软雅黑" w:hAnsi="微软雅黑" w:cs="微软雅黑"/>
          <w:szCs w:val="21"/>
        </w:rPr>
        <w:t>。</w:t>
      </w:r>
    </w:p>
    <w:p>
      <w:pPr>
        <w:spacing w:line="560" w:lineRule="exact"/>
        <w:rPr>
          <w:rFonts w:hint="eastAsia" w:ascii="宋体" w:hAnsi="宋体"/>
          <w:szCs w:val="21"/>
        </w:rPr>
      </w:pPr>
      <w:r>
        <w:rPr>
          <w:rFonts w:hint="eastAsia" w:ascii="宋体" w:hAnsi="宋体"/>
          <w:szCs w:val="21"/>
        </w:rPr>
        <w:t>(8)、基准波长：红色625±5nm，黄色590±5nm，绿色505±2nm。</w:t>
      </w:r>
    </w:p>
    <w:p>
      <w:pPr>
        <w:spacing w:line="560" w:lineRule="exact"/>
        <w:rPr>
          <w:rFonts w:hint="eastAsia" w:ascii="宋体" w:hAnsi="宋体"/>
          <w:szCs w:val="21"/>
        </w:rPr>
      </w:pPr>
      <w:r>
        <w:rPr>
          <w:rFonts w:hint="eastAsia" w:ascii="宋体" w:hAnsi="宋体"/>
          <w:szCs w:val="21"/>
        </w:rPr>
        <w:t>(9)、LED光源寿命：≥10万小时</w:t>
      </w:r>
    </w:p>
    <w:p>
      <w:pPr>
        <w:spacing w:line="560" w:lineRule="exact"/>
        <w:rPr>
          <w:rFonts w:hint="eastAsia" w:ascii="宋体" w:hAnsi="宋体"/>
          <w:szCs w:val="21"/>
        </w:rPr>
      </w:pPr>
      <w:r>
        <w:rPr>
          <w:rFonts w:hint="eastAsia" w:ascii="宋体" w:hAnsi="宋体"/>
          <w:szCs w:val="21"/>
        </w:rPr>
        <w:t>(10)、可视角度：大于30度</w:t>
      </w:r>
    </w:p>
    <w:p>
      <w:pPr>
        <w:spacing w:line="560" w:lineRule="exact"/>
        <w:rPr>
          <w:rFonts w:hint="eastAsia" w:ascii="宋体" w:hAnsi="宋体"/>
          <w:szCs w:val="21"/>
        </w:rPr>
      </w:pPr>
      <w:r>
        <w:rPr>
          <w:rFonts w:hint="eastAsia" w:ascii="宋体" w:hAnsi="宋体"/>
          <w:szCs w:val="21"/>
        </w:rPr>
        <w:t>(11)、单个LED工作电流：恒流驱动≤15ma</w:t>
      </w:r>
    </w:p>
    <w:p>
      <w:pPr>
        <w:spacing w:line="560" w:lineRule="exact"/>
        <w:rPr>
          <w:rFonts w:hint="eastAsia" w:ascii="宋体" w:hAnsi="宋体"/>
          <w:szCs w:val="21"/>
        </w:rPr>
      </w:pPr>
      <w:r>
        <w:rPr>
          <w:rFonts w:hint="eastAsia" w:ascii="宋体" w:hAnsi="宋体"/>
          <w:szCs w:val="21"/>
        </w:rPr>
        <w:t>(12)、可视距离： φ400mm信号灯≥300米，φ300mm信号灯≥200 米</w:t>
      </w:r>
    </w:p>
    <w:p>
      <w:pPr>
        <w:spacing w:line="560" w:lineRule="exact"/>
        <w:rPr>
          <w:rFonts w:hint="eastAsia" w:ascii="宋体" w:hAnsi="宋体"/>
          <w:szCs w:val="21"/>
        </w:rPr>
      </w:pPr>
      <w:r>
        <w:rPr>
          <w:rFonts w:hint="eastAsia" w:ascii="宋体" w:hAnsi="宋体"/>
          <w:szCs w:val="21"/>
        </w:rPr>
        <w:t>(13)、耐温：-40℃～ +70℃；工作环境湿度：&lt;97%</w:t>
      </w:r>
    </w:p>
    <w:p>
      <w:pPr>
        <w:spacing w:line="560" w:lineRule="exact"/>
        <w:rPr>
          <w:rFonts w:hint="eastAsia" w:ascii="宋体" w:hAnsi="宋体"/>
          <w:szCs w:val="21"/>
        </w:rPr>
      </w:pPr>
      <w:r>
        <w:rPr>
          <w:rFonts w:hint="eastAsia" w:ascii="宋体" w:hAnsi="宋体"/>
          <w:szCs w:val="21"/>
        </w:rPr>
        <w:t>(14)、绝缘电阻：大于500MΩ</w:t>
      </w:r>
    </w:p>
    <w:p>
      <w:pPr>
        <w:spacing w:line="560" w:lineRule="exact"/>
        <w:rPr>
          <w:rFonts w:hint="eastAsia" w:ascii="宋体" w:hAnsi="宋体"/>
          <w:szCs w:val="21"/>
        </w:rPr>
      </w:pPr>
      <w:r>
        <w:rPr>
          <w:rFonts w:hint="eastAsia" w:ascii="宋体" w:hAnsi="宋体"/>
          <w:szCs w:val="21"/>
        </w:rPr>
        <w:t>(15)、介电强度：耐压1440VAC</w:t>
      </w:r>
    </w:p>
    <w:p>
      <w:pPr>
        <w:spacing w:line="560" w:lineRule="exact"/>
        <w:rPr>
          <w:rFonts w:hint="eastAsia" w:ascii="宋体" w:hAnsi="宋体"/>
          <w:szCs w:val="21"/>
        </w:rPr>
      </w:pPr>
      <w:r>
        <w:rPr>
          <w:rFonts w:hint="eastAsia" w:ascii="宋体" w:hAnsi="宋体"/>
          <w:szCs w:val="21"/>
        </w:rPr>
        <w:t>(16)、防水防尘等级：IP53符合GB14887-2011标准要求</w:t>
      </w:r>
    </w:p>
    <w:p>
      <w:pPr>
        <w:spacing w:line="560" w:lineRule="exact"/>
        <w:rPr>
          <w:rFonts w:hint="eastAsia" w:ascii="宋体" w:hAnsi="宋体"/>
          <w:szCs w:val="21"/>
        </w:rPr>
      </w:pPr>
      <w:r>
        <w:rPr>
          <w:rFonts w:hint="eastAsia" w:ascii="宋体" w:hAnsi="宋体"/>
          <w:szCs w:val="21"/>
        </w:rPr>
        <w:t>(17)、抗振动：符合GB/T 2423. 10的要求</w:t>
      </w:r>
    </w:p>
    <w:p>
      <w:pPr>
        <w:spacing w:line="560" w:lineRule="exact"/>
        <w:rPr>
          <w:rFonts w:hint="eastAsia" w:ascii="宋体" w:hAnsi="宋体"/>
          <w:szCs w:val="21"/>
        </w:rPr>
      </w:pPr>
      <w:r>
        <w:rPr>
          <w:rFonts w:hint="eastAsia" w:ascii="宋体" w:hAnsi="宋体"/>
          <w:szCs w:val="21"/>
        </w:rPr>
        <w:t>(18)、抗风压：符合GB14887-2011标准要求</w:t>
      </w:r>
    </w:p>
    <w:p>
      <w:pPr>
        <w:pStyle w:val="3"/>
        <w:spacing w:line="460" w:lineRule="exact"/>
        <w:ind w:left="0" w:leftChars="0"/>
        <w:rPr>
          <w:rFonts w:hint="eastAsia" w:ascii="宋体" w:hAnsi="宋体"/>
          <w:szCs w:val="21"/>
        </w:rPr>
      </w:pPr>
      <w:r>
        <w:rPr>
          <w:rFonts w:hint="eastAsia" w:ascii="宋体" w:hAnsi="宋体"/>
          <w:szCs w:val="21"/>
        </w:rPr>
        <w:t>(19)、根据GB14887-2011标准，每个灯盘里都有单独的一套供电设备-----电源适配器</w:t>
      </w:r>
    </w:p>
    <w:p>
      <w:pPr>
        <w:pStyle w:val="3"/>
        <w:spacing w:line="460" w:lineRule="exact"/>
        <w:ind w:left="0" w:leftChars="0" w:firstLine="420" w:firstLineChars="200"/>
        <w:rPr>
          <w:rFonts w:hint="eastAsia" w:ascii="宋体" w:hAnsi="宋体"/>
          <w:szCs w:val="21"/>
        </w:rPr>
      </w:pPr>
      <w:r>
        <w:rPr>
          <w:rFonts w:hint="eastAsia" w:ascii="宋体" w:hAnsi="宋体"/>
          <w:szCs w:val="21"/>
        </w:rPr>
        <w:t>电源适配器需要达到以下要求：</w:t>
      </w:r>
    </w:p>
    <w:p>
      <w:pPr>
        <w:spacing w:line="500" w:lineRule="exact"/>
        <w:ind w:firstLine="440" w:firstLineChars="200"/>
        <w:rPr>
          <w:rFonts w:hint="eastAsia" w:ascii="宋体" w:hAnsi="宋体"/>
          <w:bCs/>
          <w:color w:val="000000"/>
          <w:szCs w:val="21"/>
        </w:rPr>
      </w:pPr>
      <w:r>
        <w:rPr>
          <w:rFonts w:hint="eastAsia" w:ascii="宋体" w:hAnsi="宋体"/>
          <w:szCs w:val="21"/>
        </w:rPr>
        <w:t>a</w:t>
      </w:r>
      <w:r>
        <w:rPr>
          <w:rFonts w:hint="eastAsia" w:ascii="宋体" w:hAnsi="宋体"/>
          <w:bCs/>
          <w:color w:val="000000"/>
          <w:szCs w:val="21"/>
        </w:rPr>
        <w:t>）关断电压：当信号灯输入电压有效值不大于90V时，信号灯应停止发出可见光。</w:t>
      </w:r>
    </w:p>
    <w:p>
      <w:pPr>
        <w:spacing w:line="500" w:lineRule="exact"/>
        <w:ind w:firstLine="440" w:firstLineChars="200"/>
        <w:rPr>
          <w:rFonts w:hint="eastAsia" w:ascii="宋体" w:hAnsi="宋体"/>
          <w:bCs/>
          <w:color w:val="000000"/>
          <w:szCs w:val="21"/>
        </w:rPr>
      </w:pPr>
      <w:r>
        <w:rPr>
          <w:rFonts w:hint="eastAsia" w:ascii="宋体" w:hAnsi="宋体"/>
          <w:bCs/>
          <w:color w:val="000000"/>
          <w:szCs w:val="21"/>
        </w:rPr>
        <w:t>b）启动瞬间电流：信号灯启动时的瞬间电流应小于2A。信号灯发光单元的启动响应时间应不大于100ms，关闭响应时间应不大于100ms。</w:t>
      </w:r>
    </w:p>
    <w:p>
      <w:pPr>
        <w:pStyle w:val="3"/>
        <w:spacing w:line="460" w:lineRule="exact"/>
        <w:ind w:left="0" w:leftChars="0" w:firstLine="420" w:firstLineChars="200"/>
        <w:rPr>
          <w:rFonts w:hint="eastAsia" w:ascii="宋体" w:hAnsi="宋体"/>
          <w:sz w:val="24"/>
          <w:szCs w:val="24"/>
        </w:rPr>
      </w:pPr>
      <w:r>
        <w:rPr>
          <w:rFonts w:hint="eastAsia" w:ascii="宋体" w:hAnsi="宋体"/>
          <w:bCs/>
          <w:color w:val="000000"/>
          <w:szCs w:val="21"/>
        </w:rPr>
        <w:t>c）在额定电压下，具有电源适配器的信号灯发光单元功率因数不小于0.85。</w:t>
      </w:r>
    </w:p>
    <w:p>
      <w:pPr>
        <w:spacing w:line="360" w:lineRule="auto"/>
        <w:jc w:val="center"/>
        <w:rPr>
          <w:rFonts w:hint="eastAsia" w:ascii="宋体" w:hAnsi="宋体" w:cs="宋体"/>
          <w:b/>
          <w:sz w:val="21"/>
          <w:szCs w:val="21"/>
        </w:rPr>
      </w:pPr>
      <w:r>
        <w:rPr>
          <w:rFonts w:hint="eastAsia" w:ascii="宋体" w:hAnsi="宋体" w:cs="宋体"/>
          <w:b/>
          <w:szCs w:val="21"/>
        </w:rPr>
        <w:t>3、交通倒计时显示器技术要求</w:t>
      </w:r>
    </w:p>
    <w:p>
      <w:pPr>
        <w:spacing w:line="560" w:lineRule="exact"/>
        <w:ind w:firstLine="440" w:firstLineChars="200"/>
        <w:rPr>
          <w:rFonts w:hint="eastAsia" w:ascii="宋体" w:hAnsi="宋体" w:cs="Times New Roman"/>
          <w:szCs w:val="21"/>
        </w:rPr>
      </w:pPr>
      <w:r>
        <w:rPr>
          <w:rFonts w:hint="eastAsia" w:ascii="宋体" w:hAnsi="宋体"/>
          <w:szCs w:val="21"/>
        </w:rPr>
        <w:t>采用三色数字显示，排列方式为密集型，信号灯绿灯闪烁时数字不闪烁，倒计时最后结束数字显示必须为1，个位三色显示，可实现后程显示通讯式倒计时，并要求实现单相位与多相位自动转换。</w:t>
      </w:r>
    </w:p>
    <w:p>
      <w:pPr>
        <w:spacing w:line="560" w:lineRule="exact"/>
        <w:ind w:firstLine="440" w:firstLineChars="200"/>
        <w:rPr>
          <w:rFonts w:hint="eastAsia" w:ascii="宋体" w:hAnsi="宋体"/>
          <w:szCs w:val="21"/>
        </w:rPr>
      </w:pPr>
      <w:r>
        <w:rPr>
          <w:rFonts w:hint="eastAsia" w:ascii="宋体" w:hAnsi="宋体"/>
          <w:szCs w:val="21"/>
        </w:rPr>
        <w:t>光源要求采用进口四元素超高亮度发光二极管（LED），使用寿命不低于10万小时。 倒计时供电器件要求采用变压器供电，显示部分要求为恒压恒流供电，单个LED损坏不影响数字整体显示。</w:t>
      </w:r>
    </w:p>
    <w:p>
      <w:pPr>
        <w:spacing w:line="360" w:lineRule="auto"/>
        <w:jc w:val="center"/>
        <w:rPr>
          <w:rFonts w:hint="eastAsia" w:ascii="宋体" w:hAnsi="宋体" w:cs="宋体"/>
          <w:b/>
          <w:szCs w:val="21"/>
        </w:rPr>
      </w:pPr>
      <w:r>
        <w:rPr>
          <w:rFonts w:hint="eastAsia" w:ascii="宋体" w:hAnsi="宋体" w:cs="宋体"/>
          <w:b/>
          <w:szCs w:val="21"/>
        </w:rPr>
        <w:t>4、交通信号机技术要求</w:t>
      </w:r>
    </w:p>
    <w:p>
      <w:pPr>
        <w:spacing w:line="560" w:lineRule="exact"/>
        <w:ind w:firstLine="440" w:firstLineChars="200"/>
        <w:rPr>
          <w:rFonts w:hint="eastAsia" w:ascii="宋体" w:hAnsi="宋体" w:cs="Times New Roman"/>
          <w:szCs w:val="21"/>
        </w:rPr>
      </w:pPr>
      <w:r>
        <w:rPr>
          <w:rFonts w:hint="eastAsia" w:ascii="宋体" w:hAnsi="宋体"/>
          <w:szCs w:val="21"/>
        </w:rPr>
        <w:t>根据采集的交通流量信息和系统的优化方式，可以实现对控制区域内的所有路口进行有效的实时自适应优化控制。通过设置和调用交通信号配时方案，改变周期、绿信比和相位差，协调路口间的交通信号控制，可满足不断变化的交通需求，比如早高峰，晚高峰，公共节假日，夜间或特殊事件等。方案可以通过预置的流量、占有率和排队长度自动选择确定，也可以通过操作员命令或定义的事件触发程序实现。</w:t>
      </w:r>
    </w:p>
    <w:p>
      <w:pPr>
        <w:spacing w:line="560" w:lineRule="exact"/>
        <w:ind w:firstLine="440" w:firstLineChars="200"/>
        <w:rPr>
          <w:rFonts w:hint="eastAsia" w:ascii="宋体" w:hAnsi="宋体"/>
          <w:szCs w:val="21"/>
        </w:rPr>
      </w:pPr>
      <w:r>
        <w:rPr>
          <w:rFonts w:hint="eastAsia" w:ascii="宋体" w:hAnsi="宋体"/>
          <w:szCs w:val="21"/>
        </w:rPr>
        <w:t>系统具有采集、处理、存储、提供控制区域内的车流量、占有率、饱和度、排队长度等交通信息的功能，以供交通信号配时优化软件使用，同时供交通疏导和交通组织与规划使用。</w:t>
      </w:r>
    </w:p>
    <w:p>
      <w:pPr>
        <w:spacing w:line="560" w:lineRule="exact"/>
        <w:ind w:firstLine="440" w:firstLineChars="200"/>
        <w:rPr>
          <w:rFonts w:hint="eastAsia" w:ascii="宋体" w:hAnsi="宋体"/>
          <w:szCs w:val="21"/>
        </w:rPr>
      </w:pPr>
      <w:r>
        <w:rPr>
          <w:rFonts w:hint="eastAsia" w:ascii="宋体" w:hAnsi="宋体"/>
          <w:szCs w:val="21"/>
        </w:rPr>
        <w:t>系统能对设备（包括信号机的故障及信号灯的故障）和软件的工作状态与故障情况进行全面监视和检测。系统的故障检测包含软件和硬件的故障监视和报警，能够监视通讯设备、车辆检测器、信号控制器、信号灯、控制台以及其他用于检测、报告设备故障的设备，对故障的严重性进行分类并以不同的形式报警。</w:t>
      </w:r>
    </w:p>
    <w:p>
      <w:pPr>
        <w:spacing w:line="560" w:lineRule="exact"/>
        <w:ind w:firstLine="440" w:firstLineChars="200"/>
        <w:rPr>
          <w:rFonts w:hint="eastAsia" w:ascii="宋体" w:hAnsi="宋体"/>
          <w:szCs w:val="21"/>
        </w:rPr>
      </w:pPr>
      <w:r>
        <w:rPr>
          <w:rFonts w:hint="eastAsia" w:ascii="宋体" w:hAnsi="宋体"/>
          <w:szCs w:val="21"/>
        </w:rPr>
        <w:t>系统对检测器、信号灯、控制器，控制器冲突、故障和错误记录、通讯失败或错误、操作员数据错误、黄闪和灯熄等都有明确的实时的故障报告，该报告可在系统端也可在路口端显示。</w:t>
      </w:r>
    </w:p>
    <w:p>
      <w:pPr>
        <w:spacing w:line="560" w:lineRule="exact"/>
        <w:ind w:firstLine="440" w:firstLineChars="200"/>
        <w:rPr>
          <w:rFonts w:hint="eastAsia" w:ascii="宋体" w:hAnsi="宋体"/>
          <w:szCs w:val="21"/>
        </w:rPr>
      </w:pPr>
      <w:r>
        <w:rPr>
          <w:rFonts w:hint="eastAsia" w:ascii="宋体" w:hAnsi="宋体"/>
          <w:szCs w:val="21"/>
        </w:rPr>
        <w:t>对路口机运行中所产生的所有故障都有报警显示和记录，维护人员可以通过笔记本电脑或其他录入设备提取、清除和重新启动路口机，同时通过通讯线路上传给中央管理控制计算机，使之在系统内报警并得以记录。</w:t>
      </w:r>
    </w:p>
    <w:p>
      <w:pPr>
        <w:spacing w:line="560" w:lineRule="exact"/>
        <w:ind w:firstLine="440" w:firstLineChars="200"/>
        <w:rPr>
          <w:rFonts w:hint="eastAsia" w:ascii="宋体" w:hAnsi="宋体"/>
          <w:szCs w:val="21"/>
        </w:rPr>
      </w:pPr>
      <w:r>
        <w:rPr>
          <w:rFonts w:hint="eastAsia" w:ascii="宋体" w:hAnsi="宋体"/>
          <w:szCs w:val="21"/>
        </w:rPr>
        <w:t>交通信号控制系统前端功能要求</w:t>
      </w:r>
    </w:p>
    <w:p>
      <w:pPr>
        <w:spacing w:line="560" w:lineRule="exact"/>
        <w:ind w:firstLine="440" w:firstLineChars="200"/>
        <w:rPr>
          <w:rFonts w:hint="eastAsia" w:ascii="宋体" w:hAnsi="宋体"/>
          <w:szCs w:val="21"/>
        </w:rPr>
      </w:pPr>
      <w:r>
        <w:rPr>
          <w:rFonts w:hint="eastAsia" w:ascii="宋体" w:hAnsi="宋体"/>
          <w:szCs w:val="21"/>
        </w:rPr>
        <w:t>交通参数采集、统计功能</w:t>
      </w:r>
    </w:p>
    <w:p>
      <w:pPr>
        <w:spacing w:line="560" w:lineRule="exact"/>
        <w:ind w:firstLine="440" w:firstLineChars="200"/>
        <w:rPr>
          <w:rFonts w:hint="eastAsia" w:ascii="宋体" w:hAnsi="宋体"/>
          <w:szCs w:val="21"/>
        </w:rPr>
      </w:pPr>
      <w:r>
        <w:rPr>
          <w:rFonts w:hint="eastAsia" w:ascii="宋体" w:hAnsi="宋体"/>
          <w:szCs w:val="21"/>
        </w:rPr>
        <w:t>前端信号机应配备车检板，支持地埋线圈的接入，可实现控制区域内车流量、占有率、车速、排队长度等交通参数的采集、处理和统计。交通信号控制系统可根据单独的车辆信息来直接调整对应信号灯的绿信比，也可根据区域整体的车流状况对信号灯配时方案进行针对性的区域协调。同时这部分交通参数信息也可提供到其他相关联的交通管理系统使用。</w:t>
      </w:r>
    </w:p>
    <w:p>
      <w:pPr>
        <w:spacing w:line="560" w:lineRule="exact"/>
        <w:ind w:firstLine="440" w:firstLineChars="200"/>
        <w:rPr>
          <w:rFonts w:hint="eastAsia" w:ascii="宋体" w:hAnsi="宋体"/>
          <w:szCs w:val="21"/>
        </w:rPr>
      </w:pPr>
      <w:r>
        <w:rPr>
          <w:rFonts w:hint="eastAsia" w:ascii="宋体" w:hAnsi="宋体"/>
          <w:szCs w:val="21"/>
        </w:rPr>
        <w:t>多时段控制功能</w:t>
      </w:r>
    </w:p>
    <w:p>
      <w:pPr>
        <w:spacing w:line="560" w:lineRule="exact"/>
        <w:ind w:firstLine="440" w:firstLineChars="200"/>
        <w:rPr>
          <w:rFonts w:hint="eastAsia" w:ascii="宋体" w:hAnsi="宋体"/>
          <w:szCs w:val="21"/>
        </w:rPr>
      </w:pPr>
      <w:r>
        <w:rPr>
          <w:rFonts w:hint="eastAsia" w:ascii="宋体" w:hAnsi="宋体"/>
          <w:szCs w:val="21"/>
        </w:rPr>
        <w:t>多时段控制，根据交通需求变化情况，把一天的时间分成若干个控制时段，随时间的推移，按预置的方案自动运行。各个方案运行期间信号周期、绿信比、相序不随道路状况的变化而变化。</w:t>
      </w:r>
    </w:p>
    <w:p>
      <w:pPr>
        <w:spacing w:line="560" w:lineRule="exact"/>
        <w:ind w:firstLine="440" w:firstLineChars="200"/>
        <w:rPr>
          <w:rFonts w:hint="eastAsia" w:ascii="宋体" w:hAnsi="宋体"/>
          <w:szCs w:val="21"/>
        </w:rPr>
      </w:pPr>
      <w:r>
        <w:rPr>
          <w:rFonts w:hint="eastAsia" w:ascii="宋体" w:hAnsi="宋体"/>
          <w:szCs w:val="21"/>
        </w:rPr>
        <w:t>单点感应控制</w:t>
      </w:r>
    </w:p>
    <w:p>
      <w:pPr>
        <w:spacing w:line="560" w:lineRule="exact"/>
        <w:ind w:firstLine="440" w:firstLineChars="200"/>
        <w:rPr>
          <w:rFonts w:hint="eastAsia" w:ascii="宋体" w:hAnsi="宋体"/>
          <w:szCs w:val="21"/>
        </w:rPr>
      </w:pPr>
      <w:r>
        <w:rPr>
          <w:rFonts w:hint="eastAsia" w:ascii="宋体" w:hAnsi="宋体"/>
          <w:szCs w:val="21"/>
        </w:rPr>
        <w:t>系统应支持感应控制，信号机根据车辆检测器或其他参数采集设备测得的交通流数据来调节信号配时的控制方式。</w:t>
      </w:r>
    </w:p>
    <w:p>
      <w:pPr>
        <w:spacing w:line="560" w:lineRule="exact"/>
        <w:ind w:firstLine="440" w:firstLineChars="200"/>
        <w:rPr>
          <w:rFonts w:hint="eastAsia" w:ascii="宋体" w:hAnsi="宋体"/>
          <w:szCs w:val="21"/>
        </w:rPr>
      </w:pPr>
      <w:r>
        <w:rPr>
          <w:rFonts w:hint="eastAsia" w:ascii="宋体" w:hAnsi="宋体"/>
          <w:szCs w:val="21"/>
        </w:rPr>
        <w:t>绿波控制（无缆线协调控制）</w:t>
      </w:r>
    </w:p>
    <w:p>
      <w:pPr>
        <w:spacing w:line="560" w:lineRule="exact"/>
        <w:ind w:firstLine="440" w:firstLineChars="200"/>
        <w:rPr>
          <w:rFonts w:hint="eastAsia" w:ascii="宋体" w:hAnsi="宋体"/>
          <w:szCs w:val="21"/>
        </w:rPr>
      </w:pPr>
      <w:r>
        <w:rPr>
          <w:rFonts w:hint="eastAsia" w:ascii="宋体" w:hAnsi="宋体"/>
          <w:szCs w:val="21"/>
        </w:rPr>
        <w:t>系统应支持无缆线协调控制，各信号机之间不进行通信，且信号时钟完全同步——时段表中的设定一致。无缆线协调控制方式，通过设定相位差来实现道路上不同交叉口之间交通信号的协调。</w:t>
      </w:r>
    </w:p>
    <w:p>
      <w:pPr>
        <w:spacing w:line="560" w:lineRule="exact"/>
        <w:ind w:firstLine="440" w:firstLineChars="200"/>
        <w:rPr>
          <w:rFonts w:hint="eastAsia" w:ascii="宋体" w:hAnsi="宋体"/>
          <w:szCs w:val="21"/>
        </w:rPr>
      </w:pPr>
      <w:r>
        <w:rPr>
          <w:rFonts w:hint="eastAsia" w:ascii="宋体" w:hAnsi="宋体"/>
          <w:szCs w:val="21"/>
        </w:rPr>
        <w:t>区域自适应控制</w:t>
      </w:r>
    </w:p>
    <w:p>
      <w:pPr>
        <w:spacing w:line="560" w:lineRule="exact"/>
        <w:ind w:firstLine="440" w:firstLineChars="200"/>
        <w:rPr>
          <w:rFonts w:hint="eastAsia" w:ascii="宋体" w:hAnsi="宋体"/>
          <w:szCs w:val="21"/>
        </w:rPr>
      </w:pPr>
      <w:r>
        <w:rPr>
          <w:rFonts w:hint="eastAsia" w:ascii="宋体" w:hAnsi="宋体"/>
          <w:szCs w:val="21"/>
        </w:rPr>
        <w:t>系统应支持区域协调控制功能，把某一区域内的多个交叉路口交通信号协调起来加以控制。</w:t>
      </w:r>
    </w:p>
    <w:p>
      <w:pPr>
        <w:spacing w:line="560" w:lineRule="exact"/>
        <w:ind w:firstLine="440" w:firstLineChars="200"/>
        <w:rPr>
          <w:rFonts w:hint="eastAsia" w:ascii="宋体" w:hAnsi="宋体"/>
          <w:szCs w:val="21"/>
        </w:rPr>
      </w:pPr>
      <w:r>
        <w:rPr>
          <w:rFonts w:hint="eastAsia" w:ascii="宋体" w:hAnsi="宋体"/>
          <w:szCs w:val="21"/>
        </w:rPr>
        <w:t>勤务预案控制</w:t>
      </w:r>
    </w:p>
    <w:p>
      <w:pPr>
        <w:spacing w:line="560" w:lineRule="exact"/>
        <w:ind w:firstLine="440" w:firstLineChars="200"/>
        <w:rPr>
          <w:rFonts w:hint="eastAsia" w:ascii="宋体" w:hAnsi="宋体"/>
          <w:szCs w:val="21"/>
        </w:rPr>
      </w:pPr>
      <w:r>
        <w:rPr>
          <w:rFonts w:hint="eastAsia" w:ascii="宋体" w:hAnsi="宋体"/>
          <w:szCs w:val="21"/>
        </w:rPr>
        <w:t xml:space="preserve"> 交通信号控制系统具有勤务预案控制功能，系统能够保存多个勤务预案的方案，系统能够根据不同的勤务级别从方案库中选择勤务预案。</w:t>
      </w:r>
    </w:p>
    <w:p>
      <w:pPr>
        <w:spacing w:line="560" w:lineRule="exact"/>
        <w:ind w:firstLine="440" w:firstLineChars="200"/>
        <w:rPr>
          <w:rFonts w:hint="eastAsia" w:ascii="宋体" w:hAnsi="宋体"/>
          <w:szCs w:val="21"/>
        </w:rPr>
      </w:pPr>
      <w:r>
        <w:rPr>
          <w:rFonts w:hint="eastAsia" w:ascii="宋体" w:hAnsi="宋体"/>
          <w:szCs w:val="21"/>
        </w:rPr>
        <w:t>行人过街按钮控制</w:t>
      </w:r>
    </w:p>
    <w:p>
      <w:pPr>
        <w:spacing w:line="560" w:lineRule="exact"/>
        <w:ind w:firstLine="440" w:firstLineChars="200"/>
        <w:rPr>
          <w:rFonts w:hint="eastAsia" w:ascii="宋体" w:hAnsi="宋体"/>
          <w:szCs w:val="21"/>
        </w:rPr>
      </w:pPr>
      <w:r>
        <w:rPr>
          <w:rFonts w:hint="eastAsia" w:ascii="宋体" w:hAnsi="宋体"/>
          <w:szCs w:val="21"/>
        </w:rPr>
        <w:t>交通信号控制机支持行人按钮信号输入，可在路口和路段响应来自行人按钮的行人过街请求。在没有行人过街请求时，有自动跳步控制功能，最大限度的保证车辆通行效率。</w:t>
      </w:r>
    </w:p>
    <w:p>
      <w:pPr>
        <w:spacing w:line="560" w:lineRule="exact"/>
        <w:ind w:firstLine="440" w:firstLineChars="200"/>
        <w:rPr>
          <w:rFonts w:hint="eastAsia" w:ascii="宋体" w:hAnsi="宋体"/>
          <w:szCs w:val="21"/>
        </w:rPr>
      </w:pPr>
      <w:r>
        <w:rPr>
          <w:rFonts w:hint="eastAsia" w:ascii="宋体" w:hAnsi="宋体"/>
          <w:szCs w:val="21"/>
        </w:rPr>
        <w:t>公交优先控制</w:t>
      </w:r>
    </w:p>
    <w:p>
      <w:pPr>
        <w:spacing w:line="560" w:lineRule="exact"/>
        <w:ind w:firstLine="440" w:firstLineChars="200"/>
        <w:rPr>
          <w:rFonts w:hint="eastAsia" w:ascii="宋体" w:hAnsi="宋体"/>
          <w:szCs w:val="21"/>
        </w:rPr>
      </w:pPr>
      <w:r>
        <w:rPr>
          <w:rFonts w:hint="eastAsia" w:ascii="宋体" w:hAnsi="宋体"/>
          <w:szCs w:val="21"/>
        </w:rPr>
        <w:t>系统应具有多种科学合理、灵活实用的公交优先控制算法并能执行相应的优先控制，以满足一般公交优先、双向高频度公交优先或多方向公交优先的需求。</w:t>
      </w:r>
    </w:p>
    <w:p>
      <w:pPr>
        <w:spacing w:line="560" w:lineRule="exact"/>
        <w:ind w:firstLine="440" w:firstLineChars="200"/>
        <w:rPr>
          <w:rFonts w:hint="eastAsia" w:ascii="宋体" w:hAnsi="宋体"/>
          <w:szCs w:val="21"/>
        </w:rPr>
      </w:pPr>
      <w:r>
        <w:rPr>
          <w:rFonts w:hint="eastAsia" w:ascii="宋体" w:hAnsi="宋体"/>
          <w:szCs w:val="21"/>
        </w:rPr>
        <w:t>通过在公交车辆安装特殊发射装置或在公交专用车道上设置普通车辆检测器采集公交车辆的交通需求。当公交车接近交叉口时，向检测器发出信号，检测器即把信号传给控制机，控制机指令信号灯由红灯改为绿灯，或继续延长绿灯时间。公交停靠站设在交叉口上游一方时，可把检测器设在停靠站附近，当公交车离站时就可通知信号灯放绿灯，以免在交叉口前再次停车。</w:t>
      </w:r>
    </w:p>
    <w:p>
      <w:pPr>
        <w:spacing w:line="560" w:lineRule="exact"/>
        <w:ind w:firstLine="440" w:firstLineChars="200"/>
        <w:rPr>
          <w:rFonts w:hint="eastAsia" w:ascii="宋体" w:hAnsi="宋体"/>
          <w:szCs w:val="21"/>
        </w:rPr>
      </w:pPr>
      <w:r>
        <w:rPr>
          <w:rFonts w:hint="eastAsia" w:ascii="宋体" w:hAnsi="宋体"/>
          <w:szCs w:val="21"/>
        </w:rPr>
        <w:t>关灯控制</w:t>
      </w:r>
    </w:p>
    <w:p>
      <w:pPr>
        <w:spacing w:line="560" w:lineRule="exact"/>
        <w:ind w:firstLine="440" w:firstLineChars="200"/>
        <w:rPr>
          <w:rFonts w:hint="eastAsia" w:ascii="宋体" w:hAnsi="宋体"/>
          <w:szCs w:val="21"/>
        </w:rPr>
      </w:pPr>
      <w:r>
        <w:rPr>
          <w:rFonts w:hint="eastAsia" w:ascii="宋体" w:hAnsi="宋体"/>
          <w:szCs w:val="21"/>
        </w:rPr>
        <w:t>在关灯控制方式下，各信号源对应的通道无信号输出，各信号灯组表现为关灯。</w:t>
      </w:r>
    </w:p>
    <w:p>
      <w:pPr>
        <w:spacing w:line="560" w:lineRule="exact"/>
        <w:ind w:firstLine="440" w:firstLineChars="200"/>
        <w:rPr>
          <w:rFonts w:hint="eastAsia" w:ascii="宋体" w:hAnsi="宋体"/>
          <w:szCs w:val="21"/>
        </w:rPr>
      </w:pPr>
      <w:r>
        <w:rPr>
          <w:rFonts w:hint="eastAsia" w:ascii="宋体" w:hAnsi="宋体"/>
          <w:szCs w:val="21"/>
        </w:rPr>
        <w:t>全红控制</w:t>
      </w:r>
    </w:p>
    <w:p>
      <w:pPr>
        <w:spacing w:line="560" w:lineRule="exact"/>
        <w:ind w:firstLine="440" w:firstLineChars="200"/>
        <w:rPr>
          <w:rFonts w:hint="eastAsia" w:ascii="宋体" w:hAnsi="宋体"/>
          <w:szCs w:val="21"/>
        </w:rPr>
      </w:pPr>
      <w:r>
        <w:rPr>
          <w:rFonts w:hint="eastAsia" w:ascii="宋体" w:hAnsi="宋体"/>
          <w:szCs w:val="21"/>
        </w:rPr>
        <w:t>在全红控制方式下，各信号源对应的通道输出红灯信号。一般在交通管制的场景下应用。</w:t>
      </w:r>
    </w:p>
    <w:p>
      <w:pPr>
        <w:spacing w:line="560" w:lineRule="exact"/>
        <w:ind w:firstLine="440" w:firstLineChars="200"/>
        <w:rPr>
          <w:rFonts w:hint="eastAsia" w:ascii="宋体" w:hAnsi="宋体"/>
          <w:szCs w:val="21"/>
        </w:rPr>
      </w:pPr>
      <w:r>
        <w:rPr>
          <w:rFonts w:hint="eastAsia" w:ascii="宋体" w:hAnsi="宋体"/>
          <w:szCs w:val="21"/>
        </w:rPr>
        <w:t>闪光控制</w:t>
      </w:r>
    </w:p>
    <w:p>
      <w:pPr>
        <w:spacing w:line="560" w:lineRule="exact"/>
        <w:ind w:firstLine="440" w:firstLineChars="200"/>
        <w:rPr>
          <w:rFonts w:hint="eastAsia" w:ascii="宋体" w:hAnsi="宋体"/>
          <w:szCs w:val="21"/>
        </w:rPr>
      </w:pPr>
      <w:r>
        <w:rPr>
          <w:rFonts w:hint="eastAsia" w:ascii="宋体" w:hAnsi="宋体"/>
          <w:szCs w:val="21"/>
        </w:rPr>
        <w:t>在闪光控制方式下，各信号源对应的通道按照预先设定的闪光模式和一定的频率进行闪光。一般用在夜间车流量较少的叉路口，如一些经济开发区的路口，夜间启用提醒司机通过路口时注意左右瞭望、小心通过，减少不必要的等待时间。</w:t>
      </w:r>
    </w:p>
    <w:p>
      <w:pPr>
        <w:spacing w:line="560" w:lineRule="exact"/>
        <w:ind w:firstLine="440" w:firstLineChars="200"/>
        <w:rPr>
          <w:rFonts w:hint="eastAsia" w:ascii="宋体" w:hAnsi="宋体"/>
          <w:szCs w:val="21"/>
        </w:rPr>
      </w:pPr>
      <w:r>
        <w:rPr>
          <w:rFonts w:hint="eastAsia" w:ascii="宋体" w:hAnsi="宋体"/>
          <w:szCs w:val="21"/>
        </w:rPr>
        <w:t>交通信号控制机有软件黄闪和硬件黄闪两种配置，系统采用独立的黄闪控制模块，黄闪控制更为可靠和节能，进入黄闪控制的途径主要包括：</w:t>
      </w:r>
    </w:p>
    <w:p>
      <w:pPr>
        <w:spacing w:line="560" w:lineRule="exact"/>
        <w:ind w:firstLine="440" w:firstLineChars="200"/>
        <w:rPr>
          <w:rFonts w:hint="eastAsia" w:ascii="宋体" w:hAnsi="宋体"/>
          <w:szCs w:val="21"/>
        </w:rPr>
      </w:pPr>
      <w:r>
        <w:rPr>
          <w:rFonts w:hint="eastAsia" w:ascii="宋体" w:hAnsi="宋体"/>
          <w:szCs w:val="21"/>
        </w:rPr>
        <w:t>硬件故障黄闪：当信号机的硬件发生故障时，可以进入硬件故障黄闪；</w:t>
      </w:r>
    </w:p>
    <w:p>
      <w:pPr>
        <w:spacing w:line="560" w:lineRule="exact"/>
        <w:ind w:firstLine="440" w:firstLineChars="200"/>
        <w:rPr>
          <w:rFonts w:hint="eastAsia" w:ascii="宋体" w:hAnsi="宋体"/>
          <w:szCs w:val="21"/>
        </w:rPr>
      </w:pPr>
      <w:r>
        <w:rPr>
          <w:rFonts w:hint="eastAsia" w:ascii="宋体" w:hAnsi="宋体"/>
          <w:szCs w:val="21"/>
        </w:rPr>
        <w:t>时段黄闪：通过参数设定，在指定时段进入黄闪控制方式；</w:t>
      </w:r>
    </w:p>
    <w:p>
      <w:pPr>
        <w:spacing w:line="560" w:lineRule="exact"/>
        <w:ind w:firstLine="440" w:firstLineChars="200"/>
        <w:rPr>
          <w:rFonts w:hint="eastAsia" w:ascii="宋体" w:hAnsi="宋体"/>
          <w:szCs w:val="21"/>
        </w:rPr>
      </w:pPr>
      <w:r>
        <w:rPr>
          <w:rFonts w:hint="eastAsia" w:ascii="宋体" w:hAnsi="宋体"/>
          <w:szCs w:val="21"/>
        </w:rPr>
        <w:t>手动黄闪：通过中心的控制终端或现场笔记本计算机，可以使信号机进入黄闪控制方式。</w:t>
      </w:r>
    </w:p>
    <w:p>
      <w:pPr>
        <w:spacing w:line="560" w:lineRule="exact"/>
        <w:ind w:firstLine="440" w:firstLineChars="200"/>
        <w:rPr>
          <w:rFonts w:hint="eastAsia" w:ascii="宋体" w:hAnsi="宋体"/>
          <w:szCs w:val="21"/>
        </w:rPr>
      </w:pPr>
      <w:r>
        <w:rPr>
          <w:rFonts w:hint="eastAsia" w:ascii="宋体" w:hAnsi="宋体"/>
          <w:szCs w:val="21"/>
        </w:rPr>
        <w:t>手动控制</w:t>
      </w:r>
    </w:p>
    <w:p>
      <w:pPr>
        <w:spacing w:line="560" w:lineRule="exact"/>
        <w:ind w:firstLine="440" w:firstLineChars="200"/>
        <w:rPr>
          <w:rFonts w:hint="eastAsia" w:ascii="宋体" w:hAnsi="宋体"/>
          <w:szCs w:val="21"/>
        </w:rPr>
      </w:pPr>
      <w:r>
        <w:rPr>
          <w:rFonts w:hint="eastAsia" w:ascii="宋体" w:hAnsi="宋体"/>
          <w:szCs w:val="21"/>
        </w:rPr>
        <w:t>手动控制，交通管理人员可根据现场车流情况人为控制路口放行状态。在由于节假日或交通事故导致路口严重拥堵，需人工疏道交通时，可配合现场交通管理人员方便的控制信号灯工作状态。</w:t>
      </w:r>
    </w:p>
    <w:p>
      <w:pPr>
        <w:spacing w:line="560" w:lineRule="exact"/>
        <w:ind w:firstLine="440" w:firstLineChars="200"/>
        <w:rPr>
          <w:rFonts w:hint="eastAsia" w:ascii="宋体" w:hAnsi="宋体"/>
          <w:szCs w:val="21"/>
        </w:rPr>
      </w:pPr>
      <w:r>
        <w:rPr>
          <w:rFonts w:hint="eastAsia" w:ascii="宋体" w:hAnsi="宋体"/>
          <w:szCs w:val="21"/>
        </w:rPr>
        <w:t>手动控制应支持机箱按键模式和遥控器模式。</w:t>
      </w:r>
    </w:p>
    <w:p>
      <w:pPr>
        <w:spacing w:line="560" w:lineRule="exact"/>
        <w:ind w:firstLine="440" w:firstLineChars="200"/>
        <w:rPr>
          <w:rFonts w:hint="eastAsia" w:ascii="宋体" w:hAnsi="宋体"/>
          <w:szCs w:val="21"/>
        </w:rPr>
      </w:pPr>
      <w:r>
        <w:rPr>
          <w:rFonts w:hint="eastAsia" w:ascii="宋体" w:hAnsi="宋体"/>
          <w:szCs w:val="21"/>
        </w:rPr>
        <w:t>设备故障检测、处理功能</w:t>
      </w:r>
    </w:p>
    <w:p>
      <w:pPr>
        <w:spacing w:line="560" w:lineRule="exact"/>
        <w:ind w:firstLine="440" w:firstLineChars="200"/>
        <w:rPr>
          <w:rFonts w:hint="eastAsia" w:ascii="宋体" w:hAnsi="宋体"/>
          <w:szCs w:val="21"/>
        </w:rPr>
      </w:pPr>
      <w:r>
        <w:rPr>
          <w:rFonts w:hint="eastAsia" w:ascii="宋体" w:hAnsi="宋体"/>
          <w:szCs w:val="21"/>
        </w:rPr>
        <w:t>信号机应配备独立的故障检测模块，可以对内、外设备进行故障监测、自诊断和记录功能，当发现故障后进行故障降级来确保交通安全，并发出故障警示信号。信号机故障类型分为严重故障和一般故障，其中严重故障包括：绿冲突故障、同一灯组红绿冲突故障、连接在某一输出的所有信号灯组的红灯同时发生故障以及电压超出正常使用范围等故障。一般故障包括：通信故障、检测器故障等。</w:t>
      </w:r>
    </w:p>
    <w:p>
      <w:pPr>
        <w:spacing w:line="560" w:lineRule="exact"/>
        <w:ind w:firstLine="440" w:firstLineChars="200"/>
        <w:rPr>
          <w:rFonts w:hint="eastAsia" w:ascii="宋体" w:hAnsi="宋体"/>
          <w:szCs w:val="21"/>
        </w:rPr>
      </w:pPr>
      <w:r>
        <w:rPr>
          <w:rFonts w:hint="eastAsia" w:ascii="宋体" w:hAnsi="宋体"/>
          <w:szCs w:val="21"/>
        </w:rPr>
        <w:t>当出现绿冲突、某信号组所有红灯均熄灭或信号灯组红灯、绿灯同时点亮时，信号机应能立即自动切断信号输出通道，转入黄闪状态。</w:t>
      </w:r>
    </w:p>
    <w:p>
      <w:pPr>
        <w:spacing w:line="560" w:lineRule="exact"/>
        <w:ind w:firstLine="440" w:firstLineChars="200"/>
        <w:rPr>
          <w:rFonts w:hint="eastAsia" w:ascii="宋体" w:hAnsi="宋体"/>
          <w:szCs w:val="21"/>
        </w:rPr>
      </w:pPr>
      <w:r>
        <w:rPr>
          <w:rFonts w:hint="eastAsia" w:ascii="宋体" w:hAnsi="宋体"/>
          <w:szCs w:val="21"/>
        </w:rPr>
        <w:t>当信号机无法正常工作时，应能通过独立的黄闪控制装置将信号输出切换为黄闪状态。</w:t>
      </w:r>
    </w:p>
    <w:p>
      <w:pPr>
        <w:spacing w:line="560" w:lineRule="exact"/>
        <w:ind w:firstLine="440" w:firstLineChars="200"/>
        <w:rPr>
          <w:rFonts w:hint="eastAsia" w:ascii="宋体" w:hAnsi="宋体"/>
          <w:szCs w:val="21"/>
        </w:rPr>
      </w:pPr>
      <w:r>
        <w:rPr>
          <w:rFonts w:hint="eastAsia" w:ascii="宋体" w:hAnsi="宋体"/>
          <w:szCs w:val="21"/>
        </w:rPr>
        <w:t>校时功能</w:t>
      </w:r>
    </w:p>
    <w:p>
      <w:pPr>
        <w:spacing w:line="560" w:lineRule="exact"/>
        <w:ind w:firstLine="440" w:firstLineChars="200"/>
        <w:rPr>
          <w:rFonts w:hint="eastAsia" w:ascii="宋体" w:hAnsi="宋体"/>
          <w:szCs w:val="21"/>
        </w:rPr>
      </w:pPr>
      <w:r>
        <w:rPr>
          <w:rFonts w:hint="eastAsia" w:ascii="宋体" w:hAnsi="宋体"/>
          <w:szCs w:val="21"/>
        </w:rPr>
        <w:t>信号控制系统应支持接收来自控制中心的校时和主动获取GPS信息来对系统进行校时。</w:t>
      </w:r>
    </w:p>
    <w:p>
      <w:pPr>
        <w:spacing w:line="560" w:lineRule="exact"/>
        <w:ind w:firstLine="440" w:firstLineChars="200"/>
        <w:rPr>
          <w:rFonts w:hint="eastAsia" w:ascii="宋体" w:hAnsi="宋体"/>
          <w:szCs w:val="21"/>
        </w:rPr>
      </w:pPr>
      <w:r>
        <w:rPr>
          <w:rFonts w:hint="eastAsia" w:ascii="宋体" w:hAnsi="宋体"/>
          <w:szCs w:val="21"/>
        </w:rPr>
        <w:t>无线传输功能（可配）</w:t>
      </w:r>
    </w:p>
    <w:p>
      <w:pPr>
        <w:spacing w:line="560" w:lineRule="exact"/>
        <w:ind w:firstLine="440" w:firstLineChars="200"/>
        <w:rPr>
          <w:rFonts w:hint="eastAsia" w:ascii="宋体" w:hAnsi="宋体"/>
          <w:szCs w:val="21"/>
        </w:rPr>
      </w:pPr>
      <w:r>
        <w:rPr>
          <w:rFonts w:hint="eastAsia" w:ascii="宋体" w:hAnsi="宋体"/>
          <w:szCs w:val="21"/>
        </w:rPr>
        <w:t>信号机应支持无线传输功能，可通过内置USB口扩展Wifi或3G模块，实现数据的无线传输。无线传输功能使得信号机的前端布局更加灵活，场景适应性更强，同时在线缆、施工的成本上也有较大的节省。</w:t>
      </w:r>
    </w:p>
    <w:p>
      <w:pPr>
        <w:spacing w:line="560" w:lineRule="exact"/>
        <w:ind w:firstLine="440" w:firstLineChars="200"/>
        <w:rPr>
          <w:rFonts w:hint="eastAsia" w:ascii="宋体" w:hAnsi="宋体"/>
          <w:szCs w:val="21"/>
        </w:rPr>
      </w:pPr>
      <w:r>
        <w:rPr>
          <w:rFonts w:hint="eastAsia" w:ascii="宋体" w:hAnsi="宋体"/>
          <w:szCs w:val="21"/>
        </w:rPr>
        <w:t>信号机特征参数导入/导出</w:t>
      </w:r>
    </w:p>
    <w:p>
      <w:pPr>
        <w:spacing w:line="560" w:lineRule="exact"/>
        <w:ind w:firstLine="440" w:firstLineChars="200"/>
        <w:rPr>
          <w:rFonts w:hint="eastAsia" w:ascii="宋体" w:hAnsi="宋体"/>
          <w:szCs w:val="21"/>
        </w:rPr>
      </w:pPr>
      <w:r>
        <w:rPr>
          <w:rFonts w:hint="eastAsia" w:ascii="宋体" w:hAnsi="宋体"/>
          <w:szCs w:val="21"/>
        </w:rPr>
        <w:t>系统应支持通过客户端软件进行信号机特征参数的导入、导出操作，可方便问题排查、技术人员远程协助。</w:t>
      </w:r>
    </w:p>
    <w:p>
      <w:pPr>
        <w:spacing w:line="560" w:lineRule="exact"/>
        <w:ind w:firstLine="440" w:firstLineChars="200"/>
        <w:rPr>
          <w:rFonts w:hint="eastAsia" w:ascii="宋体" w:hAnsi="宋体"/>
          <w:szCs w:val="21"/>
        </w:rPr>
      </w:pPr>
      <w:r>
        <w:rPr>
          <w:rFonts w:hint="eastAsia" w:ascii="宋体" w:hAnsi="宋体"/>
          <w:szCs w:val="21"/>
        </w:rPr>
        <w:t>扩展功能</w:t>
      </w:r>
    </w:p>
    <w:p>
      <w:pPr>
        <w:spacing w:line="560" w:lineRule="exact"/>
        <w:ind w:firstLine="440" w:firstLineChars="200"/>
        <w:rPr>
          <w:rFonts w:hint="eastAsia" w:ascii="宋体" w:hAnsi="宋体"/>
          <w:szCs w:val="21"/>
        </w:rPr>
      </w:pPr>
      <w:r>
        <w:rPr>
          <w:rFonts w:hint="eastAsia" w:ascii="宋体" w:hAnsi="宋体"/>
          <w:szCs w:val="21"/>
        </w:rPr>
        <w:t>信号机应可根据场景需求进行个性化功能定制，如开门亮灯、机柜开关门报警、交通可变标志的开关等。</w:t>
      </w:r>
    </w:p>
    <w:p>
      <w:pPr>
        <w:spacing w:line="560" w:lineRule="exact"/>
        <w:ind w:firstLine="440" w:firstLineChars="200"/>
        <w:rPr>
          <w:rFonts w:hint="eastAsia" w:ascii="宋体" w:hAnsi="宋体"/>
          <w:szCs w:val="21"/>
        </w:rPr>
      </w:pPr>
      <w:r>
        <w:rPr>
          <w:rFonts w:hint="eastAsia" w:ascii="宋体" w:hAnsi="宋体"/>
          <w:szCs w:val="21"/>
        </w:rPr>
        <w:t>设备要求</w:t>
      </w:r>
    </w:p>
    <w:p>
      <w:pPr>
        <w:spacing w:line="560" w:lineRule="exact"/>
        <w:ind w:firstLine="440" w:firstLineChars="200"/>
        <w:rPr>
          <w:rFonts w:hint="eastAsia" w:ascii="宋体" w:hAnsi="宋体"/>
          <w:szCs w:val="21"/>
        </w:rPr>
      </w:pPr>
      <w:r>
        <w:rPr>
          <w:rFonts w:hint="eastAsia" w:ascii="宋体" w:hAnsi="宋体"/>
          <w:szCs w:val="21"/>
        </w:rPr>
        <w:t>交通信号控制机</w:t>
      </w:r>
    </w:p>
    <w:p>
      <w:pPr>
        <w:spacing w:line="560" w:lineRule="exact"/>
        <w:ind w:firstLine="440" w:firstLineChars="200"/>
        <w:rPr>
          <w:rFonts w:hint="eastAsia" w:ascii="宋体" w:hAnsi="宋体"/>
          <w:szCs w:val="21"/>
        </w:rPr>
      </w:pPr>
      <w:r>
        <w:rPr>
          <w:rFonts w:hint="eastAsia" w:ascii="宋体" w:hAnsi="宋体"/>
          <w:szCs w:val="21"/>
        </w:rPr>
        <w:t>交通信号控制机应采用不低于ARM9系列32位芯片，具有较强的控制和通信功能，硬件电路和软件设计应采用模块化设计，操作系统应采用自裁减的嵌入式Linux系统，并配备网络接口，可支持远程维护及程序在线升级。</w:t>
      </w:r>
    </w:p>
    <w:p>
      <w:pPr>
        <w:spacing w:line="560" w:lineRule="exact"/>
        <w:ind w:firstLine="440" w:firstLineChars="200"/>
        <w:rPr>
          <w:rFonts w:hint="eastAsia" w:ascii="宋体" w:hAnsi="宋体"/>
          <w:szCs w:val="21"/>
        </w:rPr>
      </w:pPr>
      <w:r>
        <w:rPr>
          <w:rFonts w:hint="eastAsia" w:ascii="宋体" w:hAnsi="宋体"/>
          <w:szCs w:val="21"/>
        </w:rPr>
        <w:t>信号机机体主要由控制主机、配电单元和机柜组成。控制主机主要包括主控板、灯控板、黄闪板、控制和显示面板，由总线连接在一起。应采用可控硅控制信号灯，设备运行稳定；应采用开放性、标准化通信协议，方便扩展；应配备控制和显示面板，可进行信号机状态的实时监控和方案手动调整；对通信、灯具等外部设备的工作状态自动监控和记录，发生故障自动告警并可自动采取相应的处理措施；应具备独立硬件黄闪控制板，不依靠程序控制，提高安全性；应采用GPS授时的方式保证系统的精确时钟。</w:t>
      </w:r>
    </w:p>
    <w:p>
      <w:pPr>
        <w:spacing w:line="560" w:lineRule="exact"/>
        <w:ind w:firstLine="440" w:firstLineChars="200"/>
        <w:rPr>
          <w:rFonts w:hint="eastAsia" w:ascii="宋体" w:hAnsi="宋体"/>
          <w:szCs w:val="21"/>
        </w:rPr>
      </w:pPr>
      <w:r>
        <w:rPr>
          <w:rFonts w:hint="eastAsia" w:ascii="宋体" w:hAnsi="宋体"/>
          <w:szCs w:val="21"/>
        </w:rPr>
        <w:t>交通信号控制机应具备手动控制、无线遥控、多时段控制、绿波控制、感应控制、公交优先等多种控制方式，可通过网络接口与指挥中心实现远程控制和管理。</w:t>
      </w:r>
    </w:p>
    <w:p>
      <w:pPr>
        <w:spacing w:line="560" w:lineRule="exact"/>
        <w:ind w:firstLine="440" w:firstLineChars="200"/>
        <w:rPr>
          <w:rFonts w:hint="eastAsia" w:ascii="宋体" w:hAnsi="宋体"/>
          <w:szCs w:val="21"/>
        </w:rPr>
      </w:pPr>
      <w:r>
        <w:rPr>
          <w:rFonts w:hint="eastAsia" w:ascii="宋体" w:hAnsi="宋体"/>
          <w:szCs w:val="21"/>
        </w:rPr>
        <w:t>信号灯输出：支持44路独立控制输出，单通道带载能力≥800W；</w:t>
      </w:r>
    </w:p>
    <w:p>
      <w:pPr>
        <w:spacing w:line="560" w:lineRule="exact"/>
        <w:ind w:firstLine="440" w:firstLineChars="200"/>
        <w:rPr>
          <w:rFonts w:hint="eastAsia" w:ascii="宋体" w:hAnsi="宋体"/>
          <w:szCs w:val="21"/>
        </w:rPr>
      </w:pPr>
      <w:r>
        <w:rPr>
          <w:rFonts w:hint="eastAsia" w:ascii="宋体" w:hAnsi="宋体"/>
          <w:szCs w:val="21"/>
        </w:rPr>
        <w:t>GPS接口：≥1个，可接收GPS卫星信号进行实时校时；</w:t>
      </w:r>
    </w:p>
    <w:p>
      <w:pPr>
        <w:spacing w:line="560" w:lineRule="exact"/>
        <w:ind w:firstLine="440" w:firstLineChars="200"/>
        <w:rPr>
          <w:rFonts w:hint="eastAsia" w:ascii="宋体" w:hAnsi="宋体"/>
          <w:szCs w:val="21"/>
        </w:rPr>
      </w:pPr>
      <w:r>
        <w:rPr>
          <w:rFonts w:hint="eastAsia" w:ascii="宋体" w:hAnsi="宋体"/>
          <w:szCs w:val="21"/>
        </w:rPr>
        <w:t>网络接口：≥1个百兆网络接口；</w:t>
      </w:r>
    </w:p>
    <w:p>
      <w:pPr>
        <w:spacing w:line="560" w:lineRule="exact"/>
        <w:ind w:firstLine="440" w:firstLineChars="200"/>
        <w:rPr>
          <w:rFonts w:hint="eastAsia" w:ascii="宋体" w:hAnsi="宋体"/>
          <w:szCs w:val="21"/>
        </w:rPr>
      </w:pPr>
      <w:r>
        <w:rPr>
          <w:rFonts w:hint="eastAsia" w:ascii="宋体" w:hAnsi="宋体"/>
          <w:szCs w:val="21"/>
        </w:rPr>
        <w:t>其他接口：≥2个RS232接口，≥2个RS485接口，≥1个USB口 ；</w:t>
      </w:r>
    </w:p>
    <w:p>
      <w:pPr>
        <w:spacing w:line="560" w:lineRule="exact"/>
        <w:ind w:firstLine="440" w:firstLineChars="200"/>
        <w:rPr>
          <w:rFonts w:hint="eastAsia" w:ascii="宋体" w:hAnsi="宋体"/>
          <w:szCs w:val="21"/>
        </w:rPr>
      </w:pPr>
      <w:r>
        <w:rPr>
          <w:rFonts w:hint="eastAsia" w:ascii="宋体" w:hAnsi="宋体"/>
          <w:szCs w:val="21"/>
        </w:rPr>
        <w:t>外部输入：支持≥8路行人按钮输入；</w:t>
      </w:r>
    </w:p>
    <w:p>
      <w:pPr>
        <w:spacing w:line="560" w:lineRule="exact"/>
        <w:ind w:firstLine="440" w:firstLineChars="200"/>
        <w:rPr>
          <w:rFonts w:hint="eastAsia" w:ascii="宋体" w:hAnsi="宋体"/>
          <w:szCs w:val="21"/>
        </w:rPr>
      </w:pPr>
      <w:r>
        <w:rPr>
          <w:rFonts w:hint="eastAsia" w:ascii="宋体" w:hAnsi="宋体"/>
          <w:szCs w:val="21"/>
        </w:rPr>
        <w:t>无线遥控接口：提供无线遥控器接入；</w:t>
      </w:r>
    </w:p>
    <w:p>
      <w:pPr>
        <w:spacing w:line="560" w:lineRule="exact"/>
        <w:ind w:firstLine="440" w:firstLineChars="200"/>
        <w:rPr>
          <w:rFonts w:hint="eastAsia" w:ascii="宋体" w:hAnsi="宋体"/>
          <w:szCs w:val="21"/>
        </w:rPr>
      </w:pPr>
      <w:r>
        <w:rPr>
          <w:rFonts w:hint="eastAsia" w:ascii="宋体" w:hAnsi="宋体"/>
          <w:szCs w:val="21"/>
        </w:rPr>
        <w:t>工作电压：AC220V±44V，50Hz±2Hz；</w:t>
      </w:r>
    </w:p>
    <w:p>
      <w:pPr>
        <w:spacing w:line="560" w:lineRule="exact"/>
        <w:ind w:firstLine="440" w:firstLineChars="200"/>
        <w:rPr>
          <w:rFonts w:hint="eastAsia" w:ascii="宋体" w:hAnsi="宋体"/>
          <w:szCs w:val="21"/>
        </w:rPr>
      </w:pPr>
      <w:r>
        <w:rPr>
          <w:rFonts w:hint="eastAsia" w:ascii="宋体" w:hAnsi="宋体"/>
          <w:szCs w:val="21"/>
        </w:rPr>
        <w:t>工作环境温度：-40℃～+70℃；</w:t>
      </w:r>
    </w:p>
    <w:p>
      <w:pPr>
        <w:spacing w:line="560" w:lineRule="exact"/>
        <w:ind w:firstLine="440" w:firstLineChars="200"/>
        <w:rPr>
          <w:rFonts w:hint="eastAsia" w:ascii="宋体" w:hAnsi="宋体"/>
          <w:szCs w:val="21"/>
        </w:rPr>
      </w:pPr>
      <w:r>
        <w:rPr>
          <w:rFonts w:hint="eastAsia" w:ascii="宋体" w:hAnsi="宋体"/>
          <w:szCs w:val="21"/>
        </w:rPr>
        <w:t>工作环境湿度：45%~95%，无凝结；</w:t>
      </w:r>
    </w:p>
    <w:p>
      <w:pPr>
        <w:spacing w:line="560" w:lineRule="exact"/>
        <w:ind w:firstLine="440" w:firstLineChars="200"/>
        <w:rPr>
          <w:rFonts w:hint="eastAsia" w:ascii="宋体" w:hAnsi="宋体"/>
          <w:szCs w:val="21"/>
        </w:rPr>
      </w:pPr>
      <w:r>
        <w:rPr>
          <w:rFonts w:hint="eastAsia" w:ascii="宋体" w:hAnsi="宋体"/>
          <w:szCs w:val="21"/>
        </w:rPr>
        <w:t>功耗：＜35W；</w:t>
      </w:r>
    </w:p>
    <w:p>
      <w:pPr>
        <w:spacing w:line="560" w:lineRule="exact"/>
        <w:ind w:firstLine="440" w:firstLineChars="200"/>
        <w:rPr>
          <w:rFonts w:hint="eastAsia" w:ascii="宋体" w:hAnsi="宋体"/>
          <w:szCs w:val="21"/>
        </w:rPr>
      </w:pPr>
      <w:r>
        <w:rPr>
          <w:rFonts w:hint="eastAsia" w:ascii="宋体" w:hAnsi="宋体"/>
          <w:szCs w:val="21"/>
        </w:rPr>
        <w:t>绝缘强度：＞100MΩ；</w:t>
      </w:r>
    </w:p>
    <w:p>
      <w:pPr>
        <w:spacing w:line="560" w:lineRule="exact"/>
        <w:ind w:firstLine="440" w:firstLineChars="200"/>
        <w:rPr>
          <w:rFonts w:hint="eastAsia" w:ascii="宋体" w:hAnsi="宋体"/>
          <w:szCs w:val="21"/>
        </w:rPr>
      </w:pPr>
      <w:r>
        <w:rPr>
          <w:rFonts w:hint="eastAsia" w:ascii="宋体" w:hAnsi="宋体"/>
          <w:szCs w:val="21"/>
        </w:rPr>
        <w:t>防护等级：不低于IP54（机柜）。</w:t>
      </w:r>
    </w:p>
    <w:p>
      <w:pPr>
        <w:spacing w:line="560" w:lineRule="exact"/>
        <w:ind w:left="1" w:firstLine="440" w:firstLineChars="200"/>
        <w:jc w:val="center"/>
        <w:rPr>
          <w:rFonts w:hint="eastAsia" w:ascii="宋体" w:hAnsi="宋体"/>
          <w:b/>
          <w:szCs w:val="21"/>
        </w:rPr>
      </w:pPr>
      <w:r>
        <w:rPr>
          <w:rFonts w:hint="eastAsia" w:ascii="宋体" w:hAnsi="宋体"/>
          <w:b/>
          <w:szCs w:val="21"/>
        </w:rPr>
        <w:t>5、交通信号灯杆（含人行道灯杆）技术要求：</w:t>
      </w:r>
    </w:p>
    <w:p>
      <w:pPr>
        <w:spacing w:line="560" w:lineRule="exact"/>
        <w:ind w:left="1" w:firstLine="440" w:firstLineChars="200"/>
        <w:rPr>
          <w:rFonts w:hint="eastAsia" w:ascii="宋体" w:hAnsi="宋体"/>
          <w:szCs w:val="21"/>
        </w:rPr>
      </w:pPr>
      <w:r>
        <w:rPr>
          <w:rFonts w:hint="eastAsia" w:ascii="宋体" w:hAnsi="宋体"/>
          <w:szCs w:val="21"/>
        </w:rPr>
        <w:t>（1）、采用框架式车道灯信号灯杆和立柱式人行灯信号灯杆。</w:t>
      </w:r>
    </w:p>
    <w:p>
      <w:pPr>
        <w:spacing w:line="560" w:lineRule="exact"/>
        <w:ind w:left="1" w:firstLine="440" w:firstLineChars="200"/>
        <w:rPr>
          <w:rFonts w:hint="eastAsia" w:ascii="宋体" w:hAnsi="宋体"/>
          <w:szCs w:val="21"/>
        </w:rPr>
      </w:pPr>
      <w:r>
        <w:rPr>
          <w:rFonts w:hint="eastAsia" w:ascii="宋体" w:hAnsi="宋体"/>
          <w:szCs w:val="21"/>
        </w:rPr>
        <w:t>（2）、立柱底座与基础预埋件、立柱与悬臂之间必须通过法兰盘连接。</w:t>
      </w:r>
    </w:p>
    <w:p>
      <w:pPr>
        <w:spacing w:line="560" w:lineRule="exact"/>
        <w:ind w:left="1" w:firstLine="440" w:firstLineChars="200"/>
        <w:rPr>
          <w:rFonts w:hint="eastAsia" w:ascii="宋体" w:hAnsi="宋体"/>
          <w:szCs w:val="21"/>
        </w:rPr>
      </w:pPr>
      <w:r>
        <w:rPr>
          <w:rFonts w:hint="eastAsia" w:ascii="宋体" w:hAnsi="宋体"/>
          <w:szCs w:val="21"/>
        </w:rPr>
        <w:t>（3）、悬臂框架灯杆与竖框架灯杆的夹角必须保证在91.4°—91.60°。</w:t>
      </w:r>
    </w:p>
    <w:p>
      <w:pPr>
        <w:spacing w:line="560" w:lineRule="exact"/>
        <w:ind w:left="440" w:leftChars="200"/>
        <w:rPr>
          <w:rFonts w:hint="eastAsia" w:ascii="宋体" w:hAnsi="宋体"/>
          <w:szCs w:val="21"/>
        </w:rPr>
      </w:pPr>
      <w:r>
        <w:rPr>
          <w:rFonts w:hint="eastAsia" w:ascii="宋体" w:hAnsi="宋体"/>
          <w:szCs w:val="21"/>
        </w:rPr>
        <w:t>（4）、表面热浸镀锌和喷塑处理，镀锌量不少于500克/</w:t>
      </w:r>
      <w:r>
        <w:rPr>
          <w:rFonts w:hint="eastAsia" w:ascii="宋体" w:hAnsi="宋体" w:eastAsia="宋体" w:cs="宋体"/>
          <w:szCs w:val="21"/>
        </w:rPr>
        <w:t>㎡</w:t>
      </w:r>
      <w:r>
        <w:rPr>
          <w:rFonts w:hint="eastAsia" w:ascii="微软雅黑" w:hAnsi="微软雅黑" w:cs="微软雅黑"/>
          <w:szCs w:val="21"/>
        </w:rPr>
        <w:t>。底座法兰盘的厚度大于</w:t>
      </w:r>
      <w:r>
        <w:rPr>
          <w:rFonts w:hint="eastAsia" w:ascii="宋体" w:hAnsi="宋体"/>
          <w:szCs w:val="21"/>
        </w:rPr>
        <w:t>10mm。钢管杆立柱均采用方柱形，角度误差控制在0.5°范围内。</w:t>
      </w:r>
    </w:p>
    <w:p>
      <w:pPr>
        <w:spacing w:line="560" w:lineRule="exact"/>
        <w:ind w:left="1" w:firstLine="440" w:firstLineChars="200"/>
        <w:rPr>
          <w:rFonts w:hint="eastAsia" w:ascii="宋体" w:hAnsi="宋体"/>
          <w:szCs w:val="21"/>
        </w:rPr>
      </w:pPr>
      <w:r>
        <w:rPr>
          <w:rFonts w:hint="eastAsia" w:ascii="宋体" w:hAnsi="宋体"/>
          <w:szCs w:val="21"/>
        </w:rPr>
        <w:t>（5）、悬臂式安装立柱高度为7m立柱杆体距地面约400mm处，须有拉线孔。</w:t>
      </w:r>
    </w:p>
    <w:p>
      <w:pPr>
        <w:spacing w:line="560" w:lineRule="exact"/>
        <w:ind w:left="1" w:firstLine="440" w:firstLineChars="200"/>
        <w:rPr>
          <w:rFonts w:hint="eastAsia" w:ascii="宋体" w:hAnsi="宋体"/>
          <w:szCs w:val="21"/>
        </w:rPr>
      </w:pPr>
      <w:r>
        <w:rPr>
          <w:rFonts w:hint="eastAsia" w:ascii="宋体" w:hAnsi="宋体"/>
          <w:szCs w:val="21"/>
        </w:rPr>
        <w:t>（6）、行人灯与人行道路路面的净空高度要求为2.3米。</w:t>
      </w:r>
    </w:p>
    <w:p>
      <w:pPr>
        <w:spacing w:line="560" w:lineRule="exact"/>
        <w:ind w:left="1" w:firstLine="440" w:firstLineChars="200"/>
        <w:rPr>
          <w:rFonts w:hint="eastAsia" w:ascii="宋体" w:hAnsi="宋体"/>
          <w:szCs w:val="21"/>
        </w:rPr>
      </w:pPr>
      <w:r>
        <w:rPr>
          <w:rFonts w:hint="eastAsia" w:ascii="宋体" w:hAnsi="宋体"/>
          <w:szCs w:val="21"/>
        </w:rPr>
        <w:t>（7）、悬臂框架为整套不分段式。</w:t>
      </w:r>
    </w:p>
    <w:p>
      <w:pPr>
        <w:spacing w:line="560" w:lineRule="exact"/>
        <w:ind w:left="1" w:firstLine="440" w:firstLineChars="200"/>
        <w:rPr>
          <w:rFonts w:hint="eastAsia" w:ascii="宋体" w:hAnsi="宋体"/>
          <w:szCs w:val="21"/>
        </w:rPr>
      </w:pPr>
      <w:r>
        <w:rPr>
          <w:rFonts w:hint="eastAsia" w:ascii="宋体" w:hAnsi="宋体"/>
          <w:szCs w:val="21"/>
        </w:rPr>
        <w:t>（8）、杆体设计要求美观大方：所有负载安装就位，杆体投入使用后，整体外形应与厂家提供图纸效果一致。</w:t>
      </w:r>
    </w:p>
    <w:p>
      <w:pPr>
        <w:spacing w:line="560" w:lineRule="exact"/>
        <w:ind w:left="1" w:firstLine="440" w:firstLineChars="200"/>
        <w:rPr>
          <w:rFonts w:hint="eastAsia" w:ascii="宋体" w:hAnsi="宋体"/>
          <w:szCs w:val="21"/>
        </w:rPr>
      </w:pPr>
      <w:r>
        <w:rPr>
          <w:rFonts w:hint="eastAsia" w:ascii="宋体" w:hAnsi="宋体"/>
          <w:szCs w:val="21"/>
        </w:rPr>
        <w:t>（9）、杆体可抗最大风速40m/s，疲劳寿命大于30年。</w:t>
      </w:r>
    </w:p>
    <w:p>
      <w:pPr>
        <w:spacing w:line="560" w:lineRule="exact"/>
        <w:ind w:left="1" w:firstLine="440" w:firstLineChars="200"/>
        <w:rPr>
          <w:rFonts w:hint="eastAsia" w:ascii="宋体" w:hAnsi="宋体"/>
          <w:szCs w:val="21"/>
        </w:rPr>
      </w:pPr>
      <w:r>
        <w:rPr>
          <w:rFonts w:hint="eastAsia" w:ascii="宋体" w:hAnsi="宋体"/>
          <w:szCs w:val="21"/>
        </w:rPr>
        <w:t>（10）、所有焊接件均要求双面全满焊，务必焊牢。</w:t>
      </w:r>
    </w:p>
    <w:p>
      <w:pPr>
        <w:pStyle w:val="2"/>
        <w:ind w:firstLine="482"/>
        <w:rPr>
          <w:rFonts w:hint="eastAsia"/>
          <w:kern w:val="0"/>
        </w:rPr>
      </w:pPr>
      <w:r>
        <w:rPr>
          <w:rFonts w:hint="eastAsia"/>
          <w:kern w:val="0"/>
        </w:rPr>
        <w:t>附：信号灯框架结构图：</w:t>
      </w:r>
    </w:p>
    <w:p>
      <w:pPr>
        <w:tabs>
          <w:tab w:val="left" w:pos="540"/>
        </w:tabs>
        <w:spacing w:line="360" w:lineRule="auto"/>
        <w:ind w:left="-445" w:leftChars="-269" w:right="210" w:hanging="147" w:hangingChars="67"/>
        <w:rPr>
          <w:rFonts w:ascii="宋体" w:hAnsi="宋体" w:cs="宋体"/>
          <w:color w:val="000000"/>
        </w:rPr>
      </w:pPr>
      <w:r>
        <w:rPr>
          <w:rFonts w:ascii="宋体" w:hAnsi="宋体" w:cs="宋体"/>
          <w:color w:val="000000"/>
        </w:rPr>
        <w:drawing>
          <wp:inline distT="0" distB="0" distL="0" distR="0">
            <wp:extent cx="6086475" cy="3867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6086475" cy="3867150"/>
                    </a:xfrm>
                    <a:prstGeom prst="rect">
                      <a:avLst/>
                    </a:prstGeom>
                    <a:noFill/>
                    <a:ln w="9525">
                      <a:noFill/>
                      <a:miter lim="800000"/>
                      <a:headEnd/>
                      <a:tailEnd/>
                    </a:ln>
                  </pic:spPr>
                </pic:pic>
              </a:graphicData>
            </a:graphic>
          </wp:inline>
        </w:drawing>
      </w:r>
    </w:p>
    <w:p>
      <w:pPr>
        <w:tabs>
          <w:tab w:val="left" w:pos="540"/>
        </w:tabs>
        <w:spacing w:line="360" w:lineRule="auto"/>
        <w:ind w:leftChars="-270" w:right="210" w:hanging="594" w:hangingChars="270"/>
        <w:rPr>
          <w:rFonts w:hint="eastAsia" w:ascii="Times New Roman" w:hAnsi="Times New Roman" w:cs="Times New Roman"/>
        </w:rPr>
      </w:pPr>
      <w:r>
        <w:drawing>
          <wp:inline distT="0" distB="0" distL="0" distR="0">
            <wp:extent cx="6086475" cy="4133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srcRect/>
                    <a:stretch>
                      <a:fillRect/>
                    </a:stretch>
                  </pic:blipFill>
                  <pic:spPr>
                    <a:xfrm>
                      <a:off x="0" y="0"/>
                      <a:ext cx="6086475" cy="4133850"/>
                    </a:xfrm>
                    <a:prstGeom prst="rect">
                      <a:avLst/>
                    </a:prstGeom>
                    <a:noFill/>
                    <a:ln w="9525">
                      <a:noFill/>
                      <a:miter lim="800000"/>
                      <a:headEnd/>
                      <a:tailEnd/>
                    </a:ln>
                  </pic:spPr>
                </pic:pic>
              </a:graphicData>
            </a:graphic>
          </wp:inline>
        </w:drawing>
      </w:r>
    </w:p>
    <w:p>
      <w:pPr>
        <w:tabs>
          <w:tab w:val="left" w:pos="540"/>
        </w:tabs>
        <w:spacing w:line="360" w:lineRule="auto"/>
        <w:ind w:right="210" w:firstLine="480"/>
      </w:pPr>
    </w:p>
    <w:p>
      <w:pPr>
        <w:tabs>
          <w:tab w:val="left" w:pos="540"/>
        </w:tabs>
        <w:spacing w:line="360" w:lineRule="auto"/>
        <w:ind w:leftChars="-270" w:right="210" w:hanging="594" w:hangingChars="270"/>
      </w:pPr>
      <w:r>
        <w:rPr>
          <w:rFonts w:ascii="宋体" w:hAnsi="宋体"/>
        </w:rPr>
        <w:drawing>
          <wp:inline distT="0" distB="0" distL="0" distR="0">
            <wp:extent cx="6076950" cy="4095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cstate="print"/>
                    <a:srcRect/>
                    <a:stretch>
                      <a:fillRect/>
                    </a:stretch>
                  </pic:blipFill>
                  <pic:spPr>
                    <a:xfrm>
                      <a:off x="0" y="0"/>
                      <a:ext cx="6076950" cy="4095750"/>
                    </a:xfrm>
                    <a:prstGeom prst="rect">
                      <a:avLst/>
                    </a:prstGeom>
                    <a:noFill/>
                    <a:ln w="9525">
                      <a:noFill/>
                      <a:miter lim="800000"/>
                      <a:headEnd/>
                      <a:tailEnd/>
                    </a:ln>
                  </pic:spPr>
                </pic:pic>
              </a:graphicData>
            </a:graphic>
          </wp:inline>
        </w:drawing>
      </w:r>
    </w:p>
    <w:p>
      <w:pPr>
        <w:tabs>
          <w:tab w:val="left" w:pos="540"/>
        </w:tabs>
        <w:spacing w:line="360" w:lineRule="auto"/>
        <w:ind w:right="210" w:firstLine="480"/>
      </w:pPr>
    </w:p>
    <w:p>
      <w:pPr>
        <w:tabs>
          <w:tab w:val="left" w:pos="540"/>
        </w:tabs>
        <w:spacing w:line="360" w:lineRule="auto"/>
        <w:ind w:leftChars="-270" w:right="210" w:hanging="594" w:hangingChars="270"/>
      </w:pPr>
      <w:r>
        <w:rPr>
          <w:rFonts w:ascii="宋体" w:hAnsi="宋体"/>
        </w:rPr>
        <w:drawing>
          <wp:inline distT="0" distB="0" distL="0" distR="0">
            <wp:extent cx="6057900" cy="388620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7" cstate="print"/>
                    <a:srcRect/>
                    <a:stretch>
                      <a:fillRect/>
                    </a:stretch>
                  </pic:blipFill>
                  <pic:spPr>
                    <a:xfrm>
                      <a:off x="0" y="0"/>
                      <a:ext cx="6057900" cy="3886200"/>
                    </a:xfrm>
                    <a:prstGeom prst="rect">
                      <a:avLst/>
                    </a:prstGeom>
                    <a:noFill/>
                    <a:ln w="9525">
                      <a:noFill/>
                      <a:miter lim="800000"/>
                      <a:headEnd/>
                      <a:tailEnd/>
                    </a:ln>
                  </pic:spPr>
                </pic:pic>
              </a:graphicData>
            </a:graphic>
          </wp:inline>
        </w:drawing>
      </w:r>
    </w:p>
    <w:p>
      <w:pPr>
        <w:ind w:firstLine="480"/>
        <w:rPr>
          <w:kern w:val="2"/>
        </w:rPr>
      </w:pPr>
      <w:r>
        <w:rPr>
          <w:rFonts w:hint="eastAsia" w:ascii="宋体" w:hAnsi="宋体"/>
        </w:rPr>
        <w:t>说明：以上信号机、信号灯、倒计时器需提供公安部交通安全产品质量监督检测中心出具的产品检测报告。</w:t>
      </w:r>
    </w:p>
    <w:p>
      <w:pPr>
        <w:spacing w:line="560" w:lineRule="exact"/>
        <w:ind w:left="1" w:firstLine="440" w:firstLineChars="200"/>
        <w:jc w:val="center"/>
        <w:rPr>
          <w:rFonts w:ascii="宋体" w:hAnsi="宋体"/>
          <w:b/>
          <w:szCs w:val="21"/>
        </w:rPr>
      </w:pPr>
      <w:r>
        <w:rPr>
          <w:rFonts w:hint="eastAsia" w:ascii="宋体" w:hAnsi="宋体"/>
          <w:b/>
          <w:szCs w:val="21"/>
        </w:rPr>
        <w:t>6、交通灯杆土建工程施工要求：</w:t>
      </w:r>
    </w:p>
    <w:p>
      <w:pPr>
        <w:spacing w:line="560" w:lineRule="exact"/>
        <w:ind w:left="1" w:firstLine="440" w:firstLineChars="200"/>
        <w:rPr>
          <w:rFonts w:hint="eastAsia" w:ascii="宋体" w:hAnsi="宋体"/>
          <w:szCs w:val="21"/>
        </w:rPr>
      </w:pPr>
      <w:r>
        <w:rPr>
          <w:rFonts w:hint="eastAsia" w:ascii="宋体" w:hAnsi="宋体"/>
          <w:szCs w:val="21"/>
        </w:rPr>
        <w:t>（1）、中标人在开挖前应事先通知招标人、工程师及监理工程师。未得到招标人、工程师及监理工程师允许，相邻地面不能破坏。管道和基础的开挖应按照招标中所示线型、坡度和标高或按招标人、工程师及监理工程的要求施工。回填必须至少恢复到原来地面并夯实。</w:t>
      </w:r>
    </w:p>
    <w:p>
      <w:pPr>
        <w:spacing w:line="560" w:lineRule="exact"/>
        <w:ind w:left="1" w:firstLine="440" w:firstLineChars="200"/>
        <w:rPr>
          <w:rFonts w:hint="eastAsia" w:ascii="宋体" w:hAnsi="宋体"/>
          <w:szCs w:val="21"/>
        </w:rPr>
      </w:pPr>
      <w:r>
        <w:rPr>
          <w:rFonts w:hint="eastAsia" w:ascii="宋体" w:hAnsi="宋体"/>
          <w:szCs w:val="21"/>
        </w:rPr>
        <w:t>（2）、除非图纸另有指定，所有信号灯柱基础混凝土为C30砼。混凝土的配比和最小水泥用量应符合GBJ204-83的规定。</w:t>
      </w:r>
    </w:p>
    <w:p>
      <w:pPr>
        <w:spacing w:line="560" w:lineRule="exact"/>
        <w:ind w:left="1" w:firstLine="440" w:firstLineChars="200"/>
        <w:rPr>
          <w:rFonts w:hint="eastAsia" w:ascii="宋体" w:hAnsi="宋体"/>
          <w:szCs w:val="21"/>
        </w:rPr>
      </w:pPr>
      <w:r>
        <w:rPr>
          <w:rFonts w:hint="eastAsia" w:ascii="宋体" w:hAnsi="宋体"/>
          <w:szCs w:val="21"/>
        </w:rPr>
        <w:t>（3）、每一条灯杆都必须接地，其接地电阻＜10欧姆。</w:t>
      </w:r>
    </w:p>
    <w:p>
      <w:pPr>
        <w:spacing w:line="560" w:lineRule="exact"/>
        <w:ind w:left="1" w:firstLine="440" w:firstLineChars="200"/>
        <w:rPr>
          <w:rFonts w:hint="eastAsia" w:ascii="宋体" w:hAnsi="宋体"/>
          <w:szCs w:val="21"/>
        </w:rPr>
      </w:pPr>
      <w:r>
        <w:rPr>
          <w:rFonts w:hint="eastAsia" w:ascii="宋体" w:hAnsi="宋体"/>
          <w:szCs w:val="21"/>
        </w:rPr>
        <w:t>（4）、预埋件地脚螺栓法兰盘以上的螺纹必须包扎好，以防损坏螺纹。根据预埋件安装图正常放置预埋件，保证悬臂灯杆的方向与行车道垂直。</w:t>
      </w:r>
    </w:p>
    <w:p>
      <w:pPr>
        <w:spacing w:line="560" w:lineRule="exact"/>
        <w:ind w:left="1" w:firstLine="440" w:firstLineChars="200"/>
        <w:rPr>
          <w:rFonts w:hint="eastAsia" w:ascii="宋体" w:hAnsi="宋体"/>
          <w:szCs w:val="21"/>
        </w:rPr>
      </w:pPr>
      <w:r>
        <w:rPr>
          <w:rFonts w:hint="eastAsia" w:ascii="宋体" w:hAnsi="宋体"/>
          <w:szCs w:val="21"/>
        </w:rPr>
        <w:t>（5）、信号灯基础的混凝土浇注面平整度＜ 5mm/m。预埋件法兰低于周围地面50-80mm。</w:t>
      </w:r>
    </w:p>
    <w:p>
      <w:pPr>
        <w:spacing w:line="560" w:lineRule="exact"/>
        <w:ind w:left="1" w:firstLine="440" w:firstLineChars="200"/>
        <w:rPr>
          <w:rFonts w:hint="eastAsia" w:ascii="宋体" w:hAnsi="宋体"/>
          <w:szCs w:val="21"/>
        </w:rPr>
      </w:pPr>
      <w:r>
        <w:rPr>
          <w:rFonts w:hint="eastAsia" w:ascii="宋体" w:hAnsi="宋体"/>
          <w:szCs w:val="21"/>
        </w:rPr>
        <w:t>（6）、地下铺设的电缆不得有接头，每根电缆线应留有4m余量。</w:t>
      </w:r>
    </w:p>
    <w:p>
      <w:pPr>
        <w:spacing w:line="560" w:lineRule="exact"/>
        <w:ind w:left="1" w:firstLine="440" w:firstLineChars="200"/>
        <w:rPr>
          <w:rFonts w:hint="eastAsia" w:ascii="宋体" w:hAnsi="宋体"/>
          <w:szCs w:val="21"/>
        </w:rPr>
      </w:pPr>
      <w:r>
        <w:rPr>
          <w:rFonts w:hint="eastAsia" w:ascii="宋体" w:hAnsi="宋体"/>
          <w:szCs w:val="21"/>
        </w:rPr>
        <w:t>（7）、电缆沟的宽度＜ 500mm或以当地市政要求为准，深度以电缆穿线套管理置后其顶部距路面的距离＞ 750mm为准。电缆沟要求尽量平直，或略呈倒"U”字型。电缆沟底部要求平整，所有碎屑干净并填上50-80mm的细软沙土。不设窨井的拐弯处线管的圆角半径要求量大（R&lt;20D, D 为电缆外径），且线管转向应圆滑、流畅。</w:t>
      </w:r>
    </w:p>
    <w:p>
      <w:pPr>
        <w:spacing w:line="560" w:lineRule="exact"/>
        <w:ind w:left="1" w:firstLine="440" w:firstLineChars="200"/>
        <w:rPr>
          <w:rFonts w:hint="eastAsia" w:ascii="宋体" w:hAnsi="宋体"/>
          <w:szCs w:val="21"/>
        </w:rPr>
      </w:pPr>
      <w:r>
        <w:rPr>
          <w:rFonts w:hint="eastAsia" w:ascii="宋体" w:hAnsi="宋体"/>
          <w:szCs w:val="21"/>
        </w:rPr>
        <w:t>（8）、机动车道的电缆沟修复应用25#以上的混凝土修复，修复后的高度应高出0-5mm，行人道和绿化带上的电缆沟，应按原地貌修复。使有硬质塑料管做电缆管时，管的周围应有30-50mm的混凝土的保护层。</w:t>
      </w:r>
    </w:p>
    <w:p>
      <w:pPr>
        <w:spacing w:line="560" w:lineRule="exact"/>
        <w:ind w:left="1" w:firstLine="440" w:firstLineChars="200"/>
        <w:rPr>
          <w:rFonts w:hint="eastAsia" w:ascii="宋体" w:hAnsi="宋体"/>
          <w:szCs w:val="21"/>
        </w:rPr>
      </w:pPr>
      <w:r>
        <w:rPr>
          <w:rFonts w:hint="eastAsia" w:ascii="宋体" w:hAnsi="宋体"/>
          <w:szCs w:val="21"/>
        </w:rPr>
        <w:t>(9)、信号灯杆旁、信号灯控制机旁、电缆拐弯处、电缆管直线长度超过60米时,或两端电缆各不在同一平面相距100mm以上时，必须设置窨井。窨井的内围尺寸要求为800（长）×800（宽）×750（深）井底呈“V”字型，井底中心位置垂直埋置一段200mm的2寸镀锌管，作为渗水孔用；窨井四壁及底部，除渗水孔外，必须抹水泥沙浆。渗水孔面应略低于底部5mm以方便渗水。</w:t>
      </w:r>
    </w:p>
    <w:p>
      <w:pPr>
        <w:spacing w:line="560" w:lineRule="exact"/>
        <w:ind w:left="1" w:firstLine="440" w:firstLineChars="200"/>
        <w:rPr>
          <w:rFonts w:hint="eastAsia" w:ascii="宋体" w:hAnsi="宋体"/>
          <w:szCs w:val="21"/>
        </w:rPr>
      </w:pPr>
      <w:r>
        <w:rPr>
          <w:rFonts w:hint="eastAsia" w:ascii="宋体" w:hAnsi="宋体"/>
          <w:szCs w:val="21"/>
        </w:rPr>
        <w:t>（10）、控制机柜放置于路口非岗亭内时，为确保设备的正常运转，必须将信号机柜提高，防止浸水。抬高高度＞500mm，机柜基础与旁边最近窨井之间用管径3寸或4寸的电缆管线连接。基础内部的电缆管周围必须用混凝土填实，主电源线必须经窨井进入信号机柜。控制机拒必须接地。</w:t>
      </w:r>
    </w:p>
    <w:p>
      <w:pPr>
        <w:spacing w:line="560" w:lineRule="exact"/>
        <w:ind w:left="1" w:firstLine="440" w:firstLineChars="200"/>
        <w:rPr>
          <w:rFonts w:hint="eastAsia" w:ascii="宋体" w:hAnsi="宋体"/>
          <w:szCs w:val="21"/>
        </w:rPr>
      </w:pPr>
      <w:r>
        <w:rPr>
          <w:rFonts w:hint="eastAsia" w:ascii="宋体" w:hAnsi="宋体"/>
          <w:szCs w:val="21"/>
        </w:rPr>
        <w:t>（11）、预埋管及电缆要符合国家规范要求自行计算。</w:t>
      </w:r>
    </w:p>
    <w:tbl>
      <w:tblPr>
        <w:tblStyle w:val="5"/>
        <w:tblW w:w="8429" w:type="dxa"/>
        <w:tblInd w:w="93" w:type="dxa"/>
        <w:tblLayout w:type="fixed"/>
        <w:tblCellMar>
          <w:top w:w="0" w:type="dxa"/>
          <w:left w:w="108" w:type="dxa"/>
          <w:bottom w:w="0" w:type="dxa"/>
          <w:right w:w="108" w:type="dxa"/>
        </w:tblCellMar>
      </w:tblPr>
      <w:tblGrid>
        <w:gridCol w:w="1268"/>
        <w:gridCol w:w="3257"/>
        <w:gridCol w:w="826"/>
        <w:gridCol w:w="1154"/>
        <w:gridCol w:w="826"/>
        <w:gridCol w:w="1098"/>
      </w:tblGrid>
      <w:tr>
        <w:tblPrEx>
          <w:tblLayout w:type="fixed"/>
          <w:tblCellMar>
            <w:top w:w="0" w:type="dxa"/>
            <w:left w:w="108" w:type="dxa"/>
            <w:bottom w:w="0" w:type="dxa"/>
            <w:right w:w="108" w:type="dxa"/>
          </w:tblCellMar>
        </w:tblPrEx>
        <w:trPr>
          <w:trHeight w:val="450" w:hRule="atLeast"/>
        </w:trPr>
        <w:tc>
          <w:tcPr>
            <w:tcW w:w="8429" w:type="dxa"/>
            <w:gridSpan w:val="6"/>
            <w:noWrap/>
            <w:vAlign w:val="center"/>
          </w:tcPr>
          <w:p>
            <w:pPr>
              <w:jc w:val="center"/>
              <w:rPr>
                <w:rFonts w:ascii="宋体" w:hAnsi="宋体" w:eastAsia="宋体" w:cs="宋体"/>
                <w:b/>
                <w:bCs/>
                <w:color w:val="000000"/>
                <w:sz w:val="36"/>
                <w:szCs w:val="36"/>
              </w:rPr>
            </w:pPr>
          </w:p>
          <w:p>
            <w:pPr>
              <w:jc w:val="center"/>
              <w:rPr>
                <w:rFonts w:hint="eastAsia" w:ascii="宋体" w:hAnsi="宋体" w:cs="宋体"/>
                <w:b/>
                <w:bCs/>
                <w:color w:val="000000"/>
                <w:sz w:val="36"/>
                <w:szCs w:val="36"/>
              </w:rPr>
            </w:pPr>
          </w:p>
          <w:p>
            <w:pPr>
              <w:rPr>
                <w:rFonts w:hint="eastAsia" w:ascii="宋体" w:hAnsi="宋体" w:cs="宋体"/>
                <w:b/>
                <w:bCs/>
                <w:color w:val="000000"/>
                <w:sz w:val="36"/>
                <w:szCs w:val="36"/>
              </w:rPr>
            </w:pPr>
          </w:p>
          <w:p>
            <w:pPr>
              <w:jc w:val="center"/>
              <w:rPr>
                <w:rFonts w:hint="eastAsia" w:ascii="宋体" w:hAnsi="宋体" w:cs="宋体"/>
                <w:b/>
                <w:bCs/>
                <w:color w:val="000000"/>
                <w:sz w:val="36"/>
                <w:szCs w:val="36"/>
              </w:rPr>
            </w:pPr>
          </w:p>
          <w:p>
            <w:pPr>
              <w:jc w:val="center"/>
              <w:rPr>
                <w:rFonts w:hint="eastAsia" w:ascii="宋体" w:hAnsi="宋体" w:cs="宋体"/>
                <w:b/>
                <w:bCs/>
                <w:color w:val="000000"/>
                <w:sz w:val="36"/>
                <w:szCs w:val="36"/>
              </w:rPr>
            </w:pPr>
          </w:p>
          <w:p>
            <w:pPr>
              <w:jc w:val="center"/>
              <w:rPr>
                <w:rFonts w:ascii="宋体" w:hAnsi="宋体" w:cs="宋体"/>
                <w:b/>
                <w:bCs/>
                <w:color w:val="000000"/>
                <w:sz w:val="36"/>
                <w:szCs w:val="36"/>
              </w:rPr>
            </w:pPr>
            <w:r>
              <w:rPr>
                <w:rFonts w:hint="eastAsia" w:ascii="宋体" w:hAnsi="宋体" w:cs="宋体"/>
                <w:b/>
                <w:bCs/>
                <w:color w:val="000000"/>
                <w:sz w:val="36"/>
                <w:szCs w:val="36"/>
              </w:rPr>
              <w:t>五、工程量清单报价表</w:t>
            </w:r>
          </w:p>
        </w:tc>
      </w:tr>
      <w:tr>
        <w:tblPrEx>
          <w:tblLayout w:type="fixed"/>
          <w:tblCellMar>
            <w:top w:w="0" w:type="dxa"/>
            <w:left w:w="108" w:type="dxa"/>
            <w:bottom w:w="0" w:type="dxa"/>
            <w:right w:w="108" w:type="dxa"/>
          </w:tblCellMar>
        </w:tblPrEx>
        <w:trPr>
          <w:trHeight w:val="345" w:hRule="atLeast"/>
        </w:trPr>
        <w:tc>
          <w:tcPr>
            <w:tcW w:w="8429" w:type="dxa"/>
            <w:gridSpan w:val="6"/>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第600章    安全设施及预埋管线</w:t>
            </w:r>
          </w:p>
        </w:tc>
      </w:tr>
      <w:tr>
        <w:tblPrEx>
          <w:tblLayout w:type="fixed"/>
          <w:tblCellMar>
            <w:top w:w="0" w:type="dxa"/>
            <w:left w:w="108" w:type="dxa"/>
            <w:bottom w:w="0" w:type="dxa"/>
            <w:right w:w="108" w:type="dxa"/>
          </w:tblCellMar>
        </w:tblPrEx>
        <w:trPr>
          <w:trHeight w:val="345" w:hRule="atLeast"/>
        </w:trPr>
        <w:tc>
          <w:tcPr>
            <w:tcW w:w="1268" w:type="dxa"/>
            <w:tcBorders>
              <w:top w:val="nil"/>
              <w:left w:val="single" w:color="auto" w:sz="4" w:space="0"/>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子目号</w:t>
            </w:r>
          </w:p>
        </w:tc>
        <w:tc>
          <w:tcPr>
            <w:tcW w:w="3257"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子目名称</w:t>
            </w:r>
          </w:p>
        </w:tc>
        <w:tc>
          <w:tcPr>
            <w:tcW w:w="826"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单位</w:t>
            </w:r>
          </w:p>
        </w:tc>
        <w:tc>
          <w:tcPr>
            <w:tcW w:w="1154"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数量</w:t>
            </w:r>
          </w:p>
        </w:tc>
        <w:tc>
          <w:tcPr>
            <w:tcW w:w="826"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单价</w:t>
            </w:r>
          </w:p>
        </w:tc>
        <w:tc>
          <w:tcPr>
            <w:tcW w:w="1098"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合价</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604-6</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支臂14m双悬臂框架式交通信号灯杆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42.000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c30钢筋混凝土基础（含M36地脚螺栓）</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42.000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支臂14m信号灯杆及安装</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套</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42.000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604-6</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支臂8m双悬臂框架式交通信号灯杆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24.000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c30钢筋混凝土基础（含M36地脚螺栓）</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24.000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支臂8m信号灯杆及安装</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套</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24.000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604-6</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支臂6m双悬臂框架式交通信号灯杆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c30钢筋混凝土基础（含M27地脚螺栓）</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支臂6m信号灯杆及安装</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套</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607-1</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人（手）孔</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个</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88.000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608-5</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地下顶管、回拖管</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2870.000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608-5</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电缆保护管</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880.000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电缆保护管 HDPE 76</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880.000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电缆沟</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m³</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422.000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-c</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沟回填夯实</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m³</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420.000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608-5</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车道灯控制电缆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10120.000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KVV5*1.5控制电缆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10120.000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管内穿线</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10120.000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608-5</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人行灯控制电缆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1100.000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KVV5*1.5控制电缆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1100.000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管内穿线</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1100.000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608-5</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电源动力电缆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YJV22  3*6动力电缆</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-b</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管内穿线</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220.000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608-8</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车道灯具及安装</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套</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228.000</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　</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　</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268"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3257"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　</w:t>
            </w:r>
          </w:p>
        </w:tc>
        <w:tc>
          <w:tcPr>
            <w:tcW w:w="826"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115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26"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09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315" w:hRule="atLeast"/>
        </w:trPr>
        <w:tc>
          <w:tcPr>
            <w:tcW w:w="8429" w:type="dxa"/>
            <w:gridSpan w:val="6"/>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sz w:val="16"/>
                <w:szCs w:val="16"/>
              </w:rPr>
            </w:pPr>
            <w:r>
              <w:rPr>
                <w:rFonts w:hint="eastAsia" w:ascii="宋体" w:hAnsi="宋体" w:cs="宋体"/>
                <w:color w:val="000000"/>
                <w:sz w:val="16"/>
                <w:szCs w:val="16"/>
              </w:rPr>
              <w:t>第600章  合计  人民币         元</w:t>
            </w:r>
          </w:p>
        </w:tc>
      </w:tr>
    </w:tbl>
    <w:p>
      <w:pPr>
        <w:jc w:val="center"/>
        <w:rPr>
          <w:rFonts w:hint="eastAsia" w:ascii="宋体" w:hAnsi="宋体" w:cs="宋体"/>
          <w:b/>
          <w:bCs/>
          <w:color w:val="000000"/>
          <w:sz w:val="36"/>
          <w:szCs w:val="36"/>
        </w:rPr>
      </w:pPr>
      <w:r>
        <w:rPr>
          <w:rFonts w:hint="eastAsia" w:ascii="宋体" w:hAnsi="宋体" w:cs="宋体"/>
          <w:b/>
          <w:bCs/>
          <w:color w:val="000000"/>
          <w:sz w:val="36"/>
          <w:szCs w:val="36"/>
        </w:rPr>
        <w:t>工程量清单表</w:t>
      </w:r>
    </w:p>
    <w:tbl>
      <w:tblPr>
        <w:tblStyle w:val="5"/>
        <w:tblW w:w="8487" w:type="dxa"/>
        <w:tblInd w:w="93" w:type="dxa"/>
        <w:tblLayout w:type="fixed"/>
        <w:tblCellMar>
          <w:top w:w="0" w:type="dxa"/>
          <w:left w:w="108" w:type="dxa"/>
          <w:bottom w:w="0" w:type="dxa"/>
          <w:right w:w="108" w:type="dxa"/>
        </w:tblCellMar>
      </w:tblPr>
      <w:tblGrid>
        <w:gridCol w:w="1350"/>
        <w:gridCol w:w="3343"/>
        <w:gridCol w:w="851"/>
        <w:gridCol w:w="958"/>
        <w:gridCol w:w="851"/>
        <w:gridCol w:w="1134"/>
      </w:tblGrid>
      <w:tr>
        <w:tblPrEx>
          <w:tblLayout w:type="fixed"/>
          <w:tblCellMar>
            <w:top w:w="0" w:type="dxa"/>
            <w:left w:w="108" w:type="dxa"/>
            <w:bottom w:w="0" w:type="dxa"/>
            <w:right w:w="108" w:type="dxa"/>
          </w:tblCellMar>
        </w:tblPrEx>
        <w:trPr>
          <w:trHeight w:val="345" w:hRule="atLeast"/>
        </w:trPr>
        <w:tc>
          <w:tcPr>
            <w:tcW w:w="8487" w:type="dxa"/>
            <w:gridSpan w:val="6"/>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第700章    绿化及环境保护设施</w:t>
            </w:r>
          </w:p>
        </w:tc>
      </w:tr>
      <w:tr>
        <w:tblPrEx>
          <w:tblLayout w:type="fixed"/>
          <w:tblCellMar>
            <w:top w:w="0" w:type="dxa"/>
            <w:left w:w="108" w:type="dxa"/>
            <w:bottom w:w="0" w:type="dxa"/>
            <w:right w:w="108" w:type="dxa"/>
          </w:tblCellMar>
        </w:tblPrEx>
        <w:trPr>
          <w:trHeight w:val="345" w:hRule="atLeast"/>
        </w:trPr>
        <w:tc>
          <w:tcPr>
            <w:tcW w:w="1350" w:type="dxa"/>
            <w:tcBorders>
              <w:top w:val="nil"/>
              <w:left w:val="single" w:color="auto" w:sz="4" w:space="0"/>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子目号</w:t>
            </w:r>
          </w:p>
        </w:tc>
        <w:tc>
          <w:tcPr>
            <w:tcW w:w="3343"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子目名称</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单位</w:t>
            </w:r>
          </w:p>
        </w:tc>
        <w:tc>
          <w:tcPr>
            <w:tcW w:w="958"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数量</w:t>
            </w:r>
          </w:p>
        </w:tc>
        <w:tc>
          <w:tcPr>
            <w:tcW w:w="851"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单价</w:t>
            </w:r>
          </w:p>
        </w:tc>
        <w:tc>
          <w:tcPr>
            <w:tcW w:w="1134" w:type="dxa"/>
            <w:tcBorders>
              <w:top w:val="nil"/>
              <w:left w:val="nil"/>
              <w:bottom w:val="single" w:color="auto" w:sz="4" w:space="0"/>
              <w:right w:val="single" w:color="auto" w:sz="4" w:space="0"/>
            </w:tcBorders>
            <w:noWrap/>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合价</w:t>
            </w:r>
          </w:p>
        </w:tc>
      </w:tr>
      <w:tr>
        <w:tblPrEx>
          <w:tblLayout w:type="fixed"/>
          <w:tblCellMar>
            <w:top w:w="0" w:type="dxa"/>
            <w:left w:w="108" w:type="dxa"/>
            <w:bottom w:w="0" w:type="dxa"/>
            <w:right w:w="108" w:type="dxa"/>
          </w:tblCellMar>
        </w:tblPrEx>
        <w:trPr>
          <w:trHeight w:val="420" w:hRule="atLeast"/>
        </w:trPr>
        <w:tc>
          <w:tcPr>
            <w:tcW w:w="135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703-2</w:t>
            </w:r>
          </w:p>
        </w:tc>
        <w:tc>
          <w:tcPr>
            <w:tcW w:w="3343"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铺植草皮</w:t>
            </w: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95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51"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13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35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-a</w:t>
            </w:r>
          </w:p>
        </w:tc>
        <w:tc>
          <w:tcPr>
            <w:tcW w:w="3343"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马尼拉草皮</w:t>
            </w: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m²</w:t>
            </w:r>
          </w:p>
        </w:tc>
        <w:tc>
          <w:tcPr>
            <w:tcW w:w="95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ascii="Arial Narrow" w:hAnsi="Arial Narrow" w:cs="宋体"/>
                <w:color w:val="000000"/>
                <w:sz w:val="16"/>
                <w:szCs w:val="16"/>
              </w:rPr>
              <w:t>980.000</w:t>
            </w:r>
          </w:p>
        </w:tc>
        <w:tc>
          <w:tcPr>
            <w:tcW w:w="851"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13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35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3343"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　</w:t>
            </w: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95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51"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13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r>
        <w:tblPrEx>
          <w:tblLayout w:type="fixed"/>
          <w:tblCellMar>
            <w:top w:w="0" w:type="dxa"/>
            <w:left w:w="108" w:type="dxa"/>
            <w:bottom w:w="0" w:type="dxa"/>
            <w:right w:w="108" w:type="dxa"/>
          </w:tblCellMar>
        </w:tblPrEx>
        <w:trPr>
          <w:trHeight w:val="420" w:hRule="atLeast"/>
        </w:trPr>
        <w:tc>
          <w:tcPr>
            <w:tcW w:w="1350" w:type="dxa"/>
            <w:tcBorders>
              <w:top w:val="nil"/>
              <w:left w:val="single" w:color="auto" w:sz="4" w:space="0"/>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3343" w:type="dxa"/>
            <w:tcBorders>
              <w:top w:val="nil"/>
              <w:left w:val="nil"/>
              <w:bottom w:val="single" w:color="auto" w:sz="4" w:space="0"/>
              <w:right w:val="single" w:color="auto" w:sz="4" w:space="0"/>
            </w:tcBorders>
            <w:vAlign w:val="center"/>
          </w:tcPr>
          <w:p>
            <w:pPr>
              <w:rPr>
                <w:rFonts w:ascii="宋体" w:hAnsi="宋体" w:cs="宋体"/>
                <w:color w:val="000000"/>
                <w:sz w:val="16"/>
                <w:szCs w:val="16"/>
              </w:rPr>
            </w:pPr>
            <w:r>
              <w:rPr>
                <w:rFonts w:hint="eastAsia" w:ascii="宋体" w:hAnsi="宋体" w:cs="宋体"/>
                <w:color w:val="000000"/>
                <w:sz w:val="16"/>
                <w:szCs w:val="16"/>
              </w:rPr>
              <w:t>　</w:t>
            </w: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000000"/>
                <w:sz w:val="16"/>
                <w:szCs w:val="16"/>
              </w:rPr>
            </w:pPr>
            <w:r>
              <w:rPr>
                <w:rFonts w:hint="eastAsia" w:ascii="宋体" w:hAnsi="宋体" w:cs="宋体"/>
                <w:color w:val="000000"/>
                <w:sz w:val="16"/>
                <w:szCs w:val="16"/>
              </w:rPr>
              <w:t>　</w:t>
            </w:r>
          </w:p>
        </w:tc>
        <w:tc>
          <w:tcPr>
            <w:tcW w:w="958"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851"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c>
          <w:tcPr>
            <w:tcW w:w="1134" w:type="dxa"/>
            <w:tcBorders>
              <w:top w:val="nil"/>
              <w:left w:val="nil"/>
              <w:bottom w:val="single" w:color="auto" w:sz="4" w:space="0"/>
              <w:right w:val="single" w:color="auto" w:sz="4" w:space="0"/>
            </w:tcBorders>
            <w:noWrap/>
            <w:vAlign w:val="center"/>
          </w:tcPr>
          <w:p>
            <w:pPr>
              <w:jc w:val="right"/>
              <w:rPr>
                <w:rFonts w:ascii="Arial Narrow" w:hAnsi="Arial Narrow" w:cs="宋体"/>
                <w:color w:val="000000"/>
                <w:sz w:val="16"/>
                <w:szCs w:val="16"/>
              </w:rPr>
            </w:pPr>
            <w:r>
              <w:rPr>
                <w:rFonts w:hint="eastAsia" w:ascii="Arial Narrow" w:hAnsi="Arial Narrow" w:cs="宋体"/>
                <w:color w:val="000000"/>
                <w:sz w:val="16"/>
                <w:szCs w:val="16"/>
              </w:rPr>
              <w:t>　</w:t>
            </w:r>
          </w:p>
        </w:tc>
      </w:tr>
    </w:tbl>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Tahoma">
    <w:panose1 w:val="020B0604030504040204"/>
    <w:charset w:val="00"/>
    <w:family w:val="swiss"/>
    <w:pitch w:val="default"/>
    <w:sig w:usb0="E1002EFF" w:usb1="C000605B" w:usb2="00000029" w:usb3="00000000" w:csb0="200101FF" w:csb1="2028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Arial Narrow">
    <w:altName w:val="Segoe Script"/>
    <w:panose1 w:val="00000000000000000000"/>
    <w:charset w:val="00"/>
    <w:family w:val="swiss"/>
    <w:pitch w:val="default"/>
    <w:sig w:usb0="00000000" w:usb1="00000000" w:usb2="00000000" w:usb3="00000000" w:csb0="0000009F" w:csb1="00000000"/>
  </w:font>
  <w:font w:name="Segoe Script">
    <w:panose1 w:val="020B0504020000000003"/>
    <w:charset w:val="00"/>
    <w:family w:val="auto"/>
    <w:pitch w:val="default"/>
    <w:sig w:usb0="0000028F"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8B7726"/>
    <w:rsid w:val="00AD4AD3"/>
    <w:rsid w:val="00CD23C9"/>
    <w:rsid w:val="00D31D50"/>
    <w:rsid w:val="29F2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3"/>
    <w:basedOn w:val="1"/>
    <w:next w:val="1"/>
    <w:link w:val="7"/>
    <w:semiHidden/>
    <w:unhideWhenUsed/>
    <w:qFormat/>
    <w:uiPriority w:val="0"/>
    <w:pPr>
      <w:keepNext/>
      <w:keepLines/>
      <w:widowControl w:val="0"/>
      <w:adjustRightInd/>
      <w:snapToGrid/>
      <w:spacing w:before="260" w:after="260" w:line="412" w:lineRule="auto"/>
      <w:jc w:val="both"/>
      <w:outlineLvl w:val="2"/>
    </w:pPr>
    <w:rPr>
      <w:rFonts w:ascii="Times New Roman" w:hAnsi="Times New Roman" w:eastAsia="宋体" w:cs="Times New Roman"/>
      <w:kern w:val="2"/>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2"/>
    <w:basedOn w:val="1"/>
    <w:link w:val="8"/>
    <w:semiHidden/>
    <w:unhideWhenUsed/>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0"/>
    </w:rPr>
  </w:style>
  <w:style w:type="paragraph" w:styleId="4">
    <w:name w:val="Balloon Text"/>
    <w:basedOn w:val="1"/>
    <w:link w:val="9"/>
    <w:semiHidden/>
    <w:unhideWhenUsed/>
    <w:qFormat/>
    <w:uiPriority w:val="99"/>
    <w:pPr>
      <w:spacing w:after="0"/>
    </w:pPr>
    <w:rPr>
      <w:sz w:val="18"/>
      <w:szCs w:val="18"/>
    </w:rPr>
  </w:style>
  <w:style w:type="character" w:customStyle="1" w:styleId="7">
    <w:name w:val="标题 3 Char"/>
    <w:basedOn w:val="6"/>
    <w:link w:val="2"/>
    <w:semiHidden/>
    <w:qFormat/>
    <w:uiPriority w:val="0"/>
    <w:rPr>
      <w:rFonts w:ascii="Times New Roman" w:hAnsi="Times New Roman" w:eastAsia="宋体" w:cs="Times New Roman"/>
      <w:kern w:val="2"/>
      <w:sz w:val="32"/>
      <w:szCs w:val="32"/>
    </w:rPr>
  </w:style>
  <w:style w:type="character" w:customStyle="1" w:styleId="8">
    <w:name w:val="正文文本缩进 2 Char"/>
    <w:basedOn w:val="6"/>
    <w:link w:val="3"/>
    <w:semiHidden/>
    <w:qFormat/>
    <w:uiPriority w:val="0"/>
    <w:rPr>
      <w:rFonts w:ascii="Times New Roman" w:hAnsi="Times New Roman" w:eastAsia="宋体" w:cs="Times New Roman"/>
      <w:kern w:val="2"/>
      <w:sz w:val="21"/>
      <w:szCs w:val="20"/>
    </w:rPr>
  </w:style>
  <w:style w:type="character" w:customStyle="1" w:styleId="9">
    <w:name w:val="批注框文本 Char"/>
    <w:basedOn w:val="6"/>
    <w:link w:val="4"/>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1309</Words>
  <Characters>7463</Characters>
  <Lines>62</Lines>
  <Paragraphs>17</Paragraphs>
  <TotalTime>2</TotalTime>
  <ScaleCrop>false</ScaleCrop>
  <LinksUpToDate>false</LinksUpToDate>
  <CharactersWithSpaces>8755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2024-02-29T03:10:36Z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