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8F" w:rsidRPr="00EE4B8F" w:rsidRDefault="00EE4B8F" w:rsidP="00EE4B8F">
      <w:pPr>
        <w:widowControl/>
        <w:spacing w:after="150"/>
        <w:jc w:val="left"/>
        <w:rPr>
          <w:rFonts w:ascii="微软雅黑" w:eastAsia="微软雅黑" w:hAnsi="微软雅黑" w:cs="宋体" w:hint="eastAsia"/>
          <w:color w:val="444444"/>
          <w:kern w:val="0"/>
          <w:sz w:val="20"/>
          <w:szCs w:val="20"/>
        </w:rPr>
      </w:pPr>
      <w:r w:rsidRPr="00EE4B8F">
        <w:rPr>
          <w:rFonts w:ascii="微软雅黑" w:eastAsia="微软雅黑" w:hAnsi="微软雅黑" w:cs="宋体" w:hint="eastAsia"/>
          <w:color w:val="444444"/>
          <w:kern w:val="0"/>
          <w:sz w:val="20"/>
          <w:szCs w:val="20"/>
        </w:rPr>
        <w:t>营口市公共资源交易服务中心受营口市无线电管理监测计算站委托，经营口市政府采购监督管理部门批准，营口市公共资源交易服务中心对公众基站设备检测及机场电磁环境测试服务(编号:YKGGZC2017128)项目进行</w:t>
      </w:r>
      <w:r>
        <w:rPr>
          <w:rFonts w:ascii="微软雅黑" w:eastAsia="微软雅黑" w:hAnsi="微软雅黑" w:cs="宋体" w:hint="eastAsia"/>
          <w:color w:val="444444"/>
          <w:kern w:val="0"/>
          <w:sz w:val="20"/>
          <w:szCs w:val="20"/>
        </w:rPr>
        <w:t>谈判</w:t>
      </w:r>
      <w:r w:rsidRPr="00EE4B8F">
        <w:rPr>
          <w:rFonts w:ascii="微软雅黑" w:eastAsia="微软雅黑" w:hAnsi="微软雅黑" w:cs="宋体" w:hint="eastAsia"/>
          <w:color w:val="444444"/>
          <w:kern w:val="0"/>
          <w:sz w:val="20"/>
          <w:szCs w:val="20"/>
        </w:rPr>
        <w:t xml:space="preserve">，现欢迎国内合格的投标人参加本次政府采购活动。 </w:t>
      </w:r>
    </w:p>
    <w:p w:rsidR="00EE4B8F" w:rsidRPr="00EE4B8F" w:rsidRDefault="00EE4B8F" w:rsidP="00EE4B8F">
      <w:pPr>
        <w:widowControl/>
        <w:spacing w:after="150"/>
        <w:jc w:val="left"/>
        <w:rPr>
          <w:rFonts w:ascii="微软雅黑" w:eastAsia="微软雅黑" w:hAnsi="微软雅黑" w:cs="宋体" w:hint="eastAsia"/>
          <w:color w:val="444444"/>
          <w:kern w:val="0"/>
          <w:sz w:val="20"/>
          <w:szCs w:val="20"/>
        </w:rPr>
      </w:pPr>
      <w:r w:rsidRPr="00EE4B8F">
        <w:rPr>
          <w:rFonts w:ascii="微软雅黑" w:eastAsia="微软雅黑" w:hAnsi="微软雅黑" w:cs="宋体" w:hint="eastAsia"/>
          <w:color w:val="444444"/>
          <w:kern w:val="0"/>
          <w:sz w:val="20"/>
          <w:szCs w:val="20"/>
        </w:rPr>
        <w:t>一、采购内容</w:t>
      </w:r>
    </w:p>
    <w:p w:rsidR="00EE4B8F" w:rsidRPr="00EE4B8F" w:rsidRDefault="00EE4B8F" w:rsidP="00EE4B8F">
      <w:pPr>
        <w:widowControl/>
        <w:spacing w:after="150"/>
        <w:jc w:val="left"/>
        <w:rPr>
          <w:rFonts w:ascii="微软雅黑" w:eastAsia="微软雅黑" w:hAnsi="微软雅黑" w:cs="宋体" w:hint="eastAsia"/>
          <w:color w:val="444444"/>
          <w:kern w:val="0"/>
          <w:sz w:val="20"/>
          <w:szCs w:val="20"/>
        </w:rPr>
      </w:pPr>
      <w:r w:rsidRPr="00EE4B8F">
        <w:rPr>
          <w:rFonts w:ascii="微软雅黑" w:eastAsia="微软雅黑" w:hAnsi="微软雅黑" w:cs="宋体" w:hint="eastAsia"/>
          <w:color w:val="444444"/>
          <w:kern w:val="0"/>
          <w:sz w:val="20"/>
          <w:szCs w:val="20"/>
        </w:rPr>
        <w:t> </w:t>
      </w:r>
    </w:p>
    <w:tbl>
      <w:tblPr>
        <w:tblW w:w="5000" w:type="pct"/>
        <w:tblCellMar>
          <w:top w:w="15" w:type="dxa"/>
          <w:left w:w="15" w:type="dxa"/>
          <w:bottom w:w="15" w:type="dxa"/>
          <w:right w:w="15" w:type="dxa"/>
        </w:tblCellMar>
        <w:tblLook w:val="04A0" w:firstRow="1" w:lastRow="0" w:firstColumn="1" w:lastColumn="0" w:noHBand="0" w:noVBand="1"/>
      </w:tblPr>
      <w:tblGrid>
        <w:gridCol w:w="1190"/>
        <w:gridCol w:w="7146"/>
      </w:tblGrid>
      <w:tr w:rsidR="00EE4B8F" w:rsidRPr="00EE4B8F" w:rsidTr="00EE4B8F">
        <w:tc>
          <w:tcPr>
            <w:tcW w:w="500" w:type="pct"/>
            <w:shd w:val="clear" w:color="auto" w:fill="auto"/>
            <w:vAlign w:val="center"/>
            <w:hideMark/>
          </w:tcPr>
          <w:p w:rsidR="00EE4B8F" w:rsidRPr="00EE4B8F" w:rsidRDefault="00EE4B8F" w:rsidP="00EE4B8F">
            <w:pPr>
              <w:widowControl/>
              <w:jc w:val="left"/>
              <w:rPr>
                <w:rFonts w:ascii="微软雅黑" w:eastAsia="微软雅黑" w:hAnsi="微软雅黑" w:cs="宋体"/>
                <w:color w:val="444444"/>
                <w:kern w:val="0"/>
                <w:sz w:val="20"/>
                <w:szCs w:val="20"/>
              </w:rPr>
            </w:pPr>
            <w:proofErr w:type="gramStart"/>
            <w:r w:rsidRPr="00EE4B8F">
              <w:rPr>
                <w:rFonts w:ascii="微软雅黑" w:eastAsia="微软雅黑" w:hAnsi="微软雅黑" w:cs="宋体" w:hint="eastAsia"/>
                <w:color w:val="444444"/>
                <w:kern w:val="0"/>
                <w:sz w:val="20"/>
                <w:szCs w:val="20"/>
              </w:rPr>
              <w:t>包号</w:t>
            </w:r>
            <w:proofErr w:type="gramEnd"/>
          </w:p>
        </w:tc>
        <w:tc>
          <w:tcPr>
            <w:tcW w:w="3000" w:type="pct"/>
            <w:shd w:val="clear" w:color="auto" w:fill="auto"/>
            <w:vAlign w:val="center"/>
            <w:hideMark/>
          </w:tcPr>
          <w:p w:rsidR="00EE4B8F" w:rsidRPr="00EE4B8F" w:rsidRDefault="00EE4B8F" w:rsidP="00EE4B8F">
            <w:pPr>
              <w:widowControl/>
              <w:jc w:val="left"/>
              <w:rPr>
                <w:rFonts w:ascii="微软雅黑" w:eastAsia="微软雅黑" w:hAnsi="微软雅黑" w:cs="宋体"/>
                <w:color w:val="444444"/>
                <w:kern w:val="0"/>
                <w:sz w:val="20"/>
                <w:szCs w:val="20"/>
              </w:rPr>
            </w:pPr>
            <w:r w:rsidRPr="00EE4B8F">
              <w:rPr>
                <w:rFonts w:ascii="微软雅黑" w:eastAsia="微软雅黑" w:hAnsi="微软雅黑" w:cs="宋体" w:hint="eastAsia"/>
                <w:color w:val="444444"/>
                <w:kern w:val="0"/>
                <w:sz w:val="20"/>
                <w:szCs w:val="20"/>
              </w:rPr>
              <w:t>分包产品名称</w:t>
            </w:r>
          </w:p>
        </w:tc>
      </w:tr>
      <w:tr w:rsidR="00EE4B8F" w:rsidRPr="00EE4B8F" w:rsidTr="00EE4B8F">
        <w:tc>
          <w:tcPr>
            <w:tcW w:w="0" w:type="auto"/>
            <w:shd w:val="clear" w:color="auto" w:fill="auto"/>
            <w:vAlign w:val="center"/>
            <w:hideMark/>
          </w:tcPr>
          <w:p w:rsidR="00EE4B8F" w:rsidRPr="00EE4B8F" w:rsidRDefault="00EE4B8F" w:rsidP="00EE4B8F">
            <w:pPr>
              <w:widowControl/>
              <w:jc w:val="left"/>
              <w:rPr>
                <w:rFonts w:ascii="微软雅黑" w:eastAsia="微软雅黑" w:hAnsi="微软雅黑" w:cs="宋体"/>
                <w:color w:val="444444"/>
                <w:kern w:val="0"/>
                <w:sz w:val="20"/>
                <w:szCs w:val="20"/>
              </w:rPr>
            </w:pPr>
            <w:r w:rsidRPr="00EE4B8F">
              <w:rPr>
                <w:rFonts w:ascii="微软雅黑" w:eastAsia="微软雅黑" w:hAnsi="微软雅黑" w:cs="宋体" w:hint="eastAsia"/>
                <w:color w:val="444444"/>
                <w:kern w:val="0"/>
                <w:sz w:val="20"/>
                <w:szCs w:val="20"/>
              </w:rPr>
              <w:t>1</w:t>
            </w:r>
          </w:p>
        </w:tc>
        <w:tc>
          <w:tcPr>
            <w:tcW w:w="0" w:type="auto"/>
            <w:shd w:val="clear" w:color="auto" w:fill="auto"/>
            <w:vAlign w:val="center"/>
            <w:hideMark/>
          </w:tcPr>
          <w:p w:rsidR="00EE4B8F" w:rsidRPr="00EE4B8F" w:rsidRDefault="00EE4B8F" w:rsidP="00EE4B8F">
            <w:pPr>
              <w:widowControl/>
              <w:jc w:val="left"/>
              <w:rPr>
                <w:rFonts w:ascii="微软雅黑" w:eastAsia="微软雅黑" w:hAnsi="微软雅黑" w:cs="宋体"/>
                <w:color w:val="444444"/>
                <w:kern w:val="0"/>
                <w:sz w:val="20"/>
                <w:szCs w:val="20"/>
              </w:rPr>
            </w:pPr>
            <w:r w:rsidRPr="00EE4B8F">
              <w:rPr>
                <w:rFonts w:ascii="微软雅黑" w:eastAsia="微软雅黑" w:hAnsi="微软雅黑" w:cs="宋体" w:hint="eastAsia"/>
                <w:color w:val="444444"/>
                <w:kern w:val="0"/>
                <w:sz w:val="20"/>
                <w:szCs w:val="20"/>
              </w:rPr>
              <w:t>公众基站设备检测及机场电磁环境测试服务</w:t>
            </w:r>
          </w:p>
        </w:tc>
      </w:tr>
    </w:tbl>
    <w:p w:rsidR="00EE4B8F" w:rsidRPr="00EE4B8F" w:rsidRDefault="00EE4B8F" w:rsidP="00EE4B8F">
      <w:pPr>
        <w:widowControl/>
        <w:spacing w:after="150"/>
        <w:jc w:val="left"/>
        <w:rPr>
          <w:rFonts w:ascii="微软雅黑" w:eastAsia="微软雅黑" w:hAnsi="微软雅黑" w:cs="宋体" w:hint="eastAsia"/>
          <w:color w:val="444444"/>
          <w:kern w:val="0"/>
          <w:sz w:val="20"/>
          <w:szCs w:val="20"/>
        </w:rPr>
      </w:pPr>
      <w:r w:rsidRPr="00EE4B8F">
        <w:rPr>
          <w:rFonts w:ascii="微软雅黑" w:eastAsia="微软雅黑" w:hAnsi="微软雅黑" w:cs="宋体" w:hint="eastAsia"/>
          <w:color w:val="444444"/>
          <w:kern w:val="0"/>
          <w:sz w:val="20"/>
          <w:szCs w:val="20"/>
        </w:rPr>
        <w:t> </w:t>
      </w:r>
    </w:p>
    <w:p w:rsidR="00EE4B8F" w:rsidRPr="00EE4B8F" w:rsidRDefault="00EE4B8F" w:rsidP="00EE4B8F">
      <w:pPr>
        <w:widowControl/>
        <w:spacing w:after="150"/>
        <w:jc w:val="left"/>
        <w:rPr>
          <w:rFonts w:ascii="微软雅黑" w:eastAsia="微软雅黑" w:hAnsi="微软雅黑" w:cs="宋体" w:hint="eastAsia"/>
          <w:color w:val="444444"/>
          <w:kern w:val="0"/>
          <w:sz w:val="20"/>
          <w:szCs w:val="20"/>
        </w:rPr>
      </w:pPr>
      <w:r w:rsidRPr="00EE4B8F">
        <w:rPr>
          <w:rFonts w:ascii="微软雅黑" w:eastAsia="微软雅黑" w:hAnsi="微软雅黑" w:cs="宋体" w:hint="eastAsia"/>
          <w:color w:val="444444"/>
          <w:kern w:val="0"/>
          <w:sz w:val="20"/>
          <w:szCs w:val="20"/>
        </w:rPr>
        <w:t>本项目采购内容分为1个合同包，投标人可</w:t>
      </w:r>
      <w:proofErr w:type="gramStart"/>
      <w:r w:rsidRPr="00EE4B8F">
        <w:rPr>
          <w:rFonts w:ascii="微软雅黑" w:eastAsia="微软雅黑" w:hAnsi="微软雅黑" w:cs="宋体" w:hint="eastAsia"/>
          <w:color w:val="444444"/>
          <w:kern w:val="0"/>
          <w:sz w:val="20"/>
          <w:szCs w:val="20"/>
        </w:rPr>
        <w:t>兼投兼</w:t>
      </w:r>
      <w:proofErr w:type="gramEnd"/>
      <w:r w:rsidRPr="00EE4B8F">
        <w:rPr>
          <w:rFonts w:ascii="微软雅黑" w:eastAsia="微软雅黑" w:hAnsi="微软雅黑" w:cs="宋体" w:hint="eastAsia"/>
          <w:color w:val="444444"/>
          <w:kern w:val="0"/>
          <w:sz w:val="20"/>
          <w:szCs w:val="20"/>
        </w:rPr>
        <w:t>中。投标人对所投包的采购内容必须全投，否则其投标无效。</w:t>
      </w:r>
    </w:p>
    <w:p w:rsidR="00EE4B8F" w:rsidRPr="00EE4B8F" w:rsidRDefault="00EE4B8F" w:rsidP="00EE4B8F">
      <w:pPr>
        <w:widowControl/>
        <w:spacing w:after="150"/>
        <w:jc w:val="left"/>
        <w:rPr>
          <w:rFonts w:ascii="微软雅黑" w:eastAsia="微软雅黑" w:hAnsi="微软雅黑" w:cs="宋体" w:hint="eastAsia"/>
          <w:color w:val="444444"/>
          <w:kern w:val="0"/>
          <w:sz w:val="20"/>
          <w:szCs w:val="20"/>
        </w:rPr>
      </w:pPr>
      <w:r w:rsidRPr="00EE4B8F">
        <w:rPr>
          <w:rFonts w:ascii="微软雅黑" w:eastAsia="微软雅黑" w:hAnsi="微软雅黑" w:cs="宋体" w:hint="eastAsia"/>
          <w:color w:val="444444"/>
          <w:kern w:val="0"/>
          <w:sz w:val="20"/>
          <w:szCs w:val="20"/>
        </w:rPr>
        <w:t>二、合格投标人的资格条件</w:t>
      </w:r>
      <w:r w:rsidRPr="00EE4B8F">
        <w:rPr>
          <w:rFonts w:ascii="微软雅黑" w:eastAsia="微软雅黑" w:hAnsi="微软雅黑" w:cs="宋体" w:hint="eastAsia"/>
          <w:color w:val="444444"/>
          <w:kern w:val="0"/>
          <w:sz w:val="20"/>
          <w:szCs w:val="20"/>
        </w:rPr>
        <w:br/>
        <w:t xml:space="preserve">    </w:t>
      </w:r>
      <w:r w:rsidRPr="00EE4B8F">
        <w:rPr>
          <w:rFonts w:ascii="微软雅黑" w:eastAsia="微软雅黑" w:hAnsi="微软雅黑" w:cs="宋体" w:hint="eastAsia"/>
          <w:color w:val="444444"/>
          <w:kern w:val="0"/>
          <w:sz w:val="20"/>
          <w:szCs w:val="20"/>
        </w:rPr>
        <w:br/>
        <w:t>1.符合《中华人民共和国政府采购法》第二十二条规定应当具备的条件</w:t>
      </w:r>
      <w:r w:rsidRPr="00EE4B8F">
        <w:rPr>
          <w:rFonts w:ascii="微软雅黑" w:eastAsia="微软雅黑" w:hAnsi="微软雅黑" w:cs="宋体" w:hint="eastAsia"/>
          <w:color w:val="444444"/>
          <w:kern w:val="0"/>
          <w:sz w:val="20"/>
          <w:szCs w:val="20"/>
        </w:rPr>
        <w:br/>
        <w:t>2.应自觉抵制政府采购领域商业贿赂行为。</w:t>
      </w:r>
      <w:r w:rsidRPr="00EE4B8F">
        <w:rPr>
          <w:rFonts w:ascii="微软雅黑" w:eastAsia="微软雅黑" w:hAnsi="微软雅黑" w:cs="宋体" w:hint="eastAsia"/>
          <w:color w:val="444444"/>
          <w:kern w:val="0"/>
          <w:sz w:val="20"/>
          <w:szCs w:val="20"/>
        </w:rPr>
        <w:br/>
        <w:t>3.本项目</w:t>
      </w:r>
      <w:r w:rsidRPr="00EE4B8F">
        <w:rPr>
          <w:rFonts w:ascii="微软雅黑" w:eastAsia="微软雅黑" w:hAnsi="微软雅黑" w:cs="宋体" w:hint="eastAsia"/>
          <w:color w:val="FF0000"/>
          <w:kern w:val="0"/>
          <w:sz w:val="20"/>
          <w:szCs w:val="20"/>
        </w:rPr>
        <w:t>不允许</w:t>
      </w:r>
      <w:r w:rsidRPr="00EE4B8F">
        <w:rPr>
          <w:rFonts w:ascii="微软雅黑" w:eastAsia="微软雅黑" w:hAnsi="微软雅黑" w:cs="宋体" w:hint="eastAsia"/>
          <w:color w:val="444444"/>
          <w:kern w:val="0"/>
          <w:sz w:val="20"/>
          <w:szCs w:val="20"/>
        </w:rPr>
        <w:t>联合体投标。</w:t>
      </w:r>
      <w:r w:rsidRPr="00EE4B8F">
        <w:rPr>
          <w:rFonts w:ascii="微软雅黑" w:eastAsia="微软雅黑" w:hAnsi="微软雅黑" w:cs="宋体" w:hint="eastAsia"/>
          <w:color w:val="444444"/>
          <w:kern w:val="0"/>
          <w:sz w:val="20"/>
          <w:szCs w:val="20"/>
        </w:rPr>
        <w:br/>
      </w:r>
      <w:r w:rsidRPr="00EE4B8F">
        <w:rPr>
          <w:rFonts w:ascii="微软雅黑" w:eastAsia="微软雅黑" w:hAnsi="微软雅黑" w:cs="宋体" w:hint="eastAsia"/>
          <w:color w:val="444444"/>
          <w:kern w:val="0"/>
          <w:sz w:val="20"/>
          <w:szCs w:val="20"/>
        </w:rPr>
        <w:br/>
        <w:t>(1)参加政府采购活动前3年内在经营活动中没有重大违法记录及具有良好信用信息的声明</w:t>
      </w:r>
      <w:r w:rsidRPr="00EE4B8F">
        <w:rPr>
          <w:rFonts w:ascii="微软雅黑" w:eastAsia="微软雅黑" w:hAnsi="微软雅黑" w:cs="宋体" w:hint="eastAsia"/>
          <w:color w:val="444444"/>
          <w:kern w:val="0"/>
          <w:sz w:val="20"/>
          <w:szCs w:val="20"/>
        </w:rPr>
        <w:br/>
        <w:t xml:space="preserve">(2)谈判保证金    </w:t>
      </w:r>
    </w:p>
    <w:p w:rsidR="00EE4B8F" w:rsidRPr="00EE4B8F" w:rsidRDefault="00EE4B8F" w:rsidP="00EE4B8F">
      <w:pPr>
        <w:widowControl/>
        <w:spacing w:after="150"/>
        <w:jc w:val="left"/>
        <w:rPr>
          <w:rFonts w:ascii="微软雅黑" w:eastAsia="微软雅黑" w:hAnsi="微软雅黑" w:cs="宋体" w:hint="eastAsia"/>
          <w:color w:val="444444"/>
          <w:kern w:val="0"/>
          <w:sz w:val="20"/>
          <w:szCs w:val="20"/>
        </w:rPr>
      </w:pPr>
      <w:r w:rsidRPr="00EE4B8F">
        <w:rPr>
          <w:rFonts w:ascii="微软雅黑" w:eastAsia="微软雅黑" w:hAnsi="微软雅黑" w:cs="宋体" w:hint="eastAsia"/>
          <w:color w:val="444444"/>
          <w:kern w:val="0"/>
          <w:sz w:val="20"/>
          <w:szCs w:val="20"/>
        </w:rPr>
        <w:t xml:space="preserve">三、领取招标文件的时间及方式 </w:t>
      </w:r>
      <w:r w:rsidRPr="00EE4B8F">
        <w:rPr>
          <w:rFonts w:ascii="微软雅黑" w:eastAsia="微软雅黑" w:hAnsi="微软雅黑" w:cs="宋体" w:hint="eastAsia"/>
          <w:color w:val="444444"/>
          <w:kern w:val="0"/>
          <w:sz w:val="20"/>
          <w:szCs w:val="20"/>
        </w:rPr>
        <w:br/>
        <w:t>     1、</w:t>
      </w:r>
      <w:r w:rsidRPr="00EE4B8F">
        <w:rPr>
          <w:rFonts w:ascii="微软雅黑" w:eastAsia="微软雅黑" w:hAnsi="微软雅黑" w:cs="宋体" w:hint="eastAsia"/>
          <w:color w:val="FF5B7E"/>
          <w:kern w:val="0"/>
          <w:sz w:val="20"/>
          <w:szCs w:val="20"/>
        </w:rPr>
        <w:t>2017</w:t>
      </w:r>
      <w:r w:rsidRPr="00EE4B8F">
        <w:rPr>
          <w:rFonts w:ascii="微软雅黑" w:eastAsia="微软雅黑" w:hAnsi="微软雅黑" w:cs="宋体" w:hint="eastAsia"/>
          <w:color w:val="444444"/>
          <w:kern w:val="0"/>
          <w:sz w:val="20"/>
          <w:szCs w:val="20"/>
        </w:rPr>
        <w:t>年</w:t>
      </w:r>
      <w:r w:rsidRPr="00EE4B8F">
        <w:rPr>
          <w:rFonts w:ascii="微软雅黑" w:eastAsia="微软雅黑" w:hAnsi="微软雅黑" w:cs="宋体" w:hint="eastAsia"/>
          <w:color w:val="FF0000"/>
          <w:kern w:val="0"/>
          <w:sz w:val="20"/>
          <w:szCs w:val="20"/>
        </w:rPr>
        <w:t>11</w:t>
      </w:r>
      <w:r w:rsidRPr="00EE4B8F">
        <w:rPr>
          <w:rFonts w:ascii="微软雅黑" w:eastAsia="微软雅黑" w:hAnsi="微软雅黑" w:cs="宋体" w:hint="eastAsia"/>
          <w:color w:val="444444"/>
          <w:kern w:val="0"/>
          <w:sz w:val="20"/>
          <w:szCs w:val="20"/>
        </w:rPr>
        <w:t>月</w:t>
      </w:r>
      <w:r w:rsidRPr="00EE4B8F">
        <w:rPr>
          <w:rFonts w:ascii="微软雅黑" w:eastAsia="微软雅黑" w:hAnsi="微软雅黑" w:cs="宋体" w:hint="eastAsia"/>
          <w:color w:val="FF0000"/>
          <w:kern w:val="0"/>
          <w:sz w:val="20"/>
          <w:szCs w:val="20"/>
        </w:rPr>
        <w:t>10</w:t>
      </w:r>
      <w:r w:rsidRPr="00EE4B8F">
        <w:rPr>
          <w:rFonts w:ascii="微软雅黑" w:eastAsia="微软雅黑" w:hAnsi="微软雅黑" w:cs="宋体" w:hint="eastAsia"/>
          <w:color w:val="444444"/>
          <w:kern w:val="0"/>
          <w:sz w:val="20"/>
          <w:szCs w:val="20"/>
        </w:rPr>
        <w:t>日—</w:t>
      </w:r>
      <w:r w:rsidRPr="00EE4B8F">
        <w:rPr>
          <w:rFonts w:ascii="微软雅黑" w:eastAsia="微软雅黑" w:hAnsi="微软雅黑" w:cs="宋体" w:hint="eastAsia"/>
          <w:color w:val="FF0000"/>
          <w:kern w:val="0"/>
          <w:sz w:val="20"/>
          <w:szCs w:val="20"/>
        </w:rPr>
        <w:t>2017</w:t>
      </w:r>
      <w:r w:rsidRPr="00EE4B8F">
        <w:rPr>
          <w:rFonts w:ascii="微软雅黑" w:eastAsia="微软雅黑" w:hAnsi="微软雅黑" w:cs="宋体" w:hint="eastAsia"/>
          <w:color w:val="444444"/>
          <w:kern w:val="0"/>
          <w:sz w:val="20"/>
          <w:szCs w:val="20"/>
        </w:rPr>
        <w:t>年</w:t>
      </w:r>
      <w:r w:rsidRPr="00EE4B8F">
        <w:rPr>
          <w:rFonts w:ascii="微软雅黑" w:eastAsia="微软雅黑" w:hAnsi="微软雅黑" w:cs="宋体" w:hint="eastAsia"/>
          <w:color w:val="FF0000"/>
          <w:kern w:val="0"/>
          <w:sz w:val="20"/>
          <w:szCs w:val="20"/>
        </w:rPr>
        <w:t>11</w:t>
      </w:r>
      <w:r w:rsidRPr="00EE4B8F">
        <w:rPr>
          <w:rFonts w:ascii="微软雅黑" w:eastAsia="微软雅黑" w:hAnsi="微软雅黑" w:cs="宋体" w:hint="eastAsia"/>
          <w:color w:val="444444"/>
          <w:kern w:val="0"/>
          <w:sz w:val="20"/>
          <w:szCs w:val="20"/>
        </w:rPr>
        <w:t>月</w:t>
      </w:r>
      <w:r w:rsidRPr="00EE4B8F">
        <w:rPr>
          <w:rFonts w:ascii="微软雅黑" w:eastAsia="微软雅黑" w:hAnsi="微软雅黑" w:cs="宋体" w:hint="eastAsia"/>
          <w:color w:val="FF0000"/>
          <w:kern w:val="0"/>
          <w:sz w:val="20"/>
          <w:szCs w:val="20"/>
        </w:rPr>
        <w:t>20</w:t>
      </w:r>
      <w:r w:rsidRPr="00EE4B8F">
        <w:rPr>
          <w:rFonts w:ascii="微软雅黑" w:eastAsia="微软雅黑" w:hAnsi="微软雅黑" w:cs="宋体" w:hint="eastAsia"/>
          <w:color w:val="444444"/>
          <w:kern w:val="0"/>
          <w:sz w:val="20"/>
          <w:szCs w:val="20"/>
        </w:rPr>
        <w:t>日11:00时止（节假日除外），每日9:00--11:00、13:30--16:30。</w:t>
      </w:r>
      <w:r w:rsidRPr="00EE4B8F">
        <w:rPr>
          <w:rFonts w:ascii="微软雅黑" w:eastAsia="微软雅黑" w:hAnsi="微软雅黑" w:cs="宋体" w:hint="eastAsia"/>
          <w:color w:val="444444"/>
          <w:kern w:val="0"/>
          <w:sz w:val="20"/>
          <w:szCs w:val="20"/>
        </w:rPr>
        <w:br/>
      </w:r>
      <w:r w:rsidRPr="00EE4B8F">
        <w:rPr>
          <w:rFonts w:ascii="微软雅黑" w:eastAsia="微软雅黑" w:hAnsi="微软雅黑" w:cs="宋体" w:hint="eastAsia"/>
          <w:color w:val="444444"/>
          <w:kern w:val="0"/>
          <w:sz w:val="20"/>
          <w:szCs w:val="20"/>
        </w:rPr>
        <w:lastRenderedPageBreak/>
        <w:t>     2、已入库投标人使用注册的账号密码登录营口市公共资源交易网（ http://yx.ccgp-yingkou.gov.cn）下载投标文件。</w:t>
      </w:r>
      <w:r w:rsidRPr="00EE4B8F">
        <w:rPr>
          <w:rFonts w:ascii="微软雅黑" w:eastAsia="微软雅黑" w:hAnsi="微软雅黑" w:cs="宋体" w:hint="eastAsia"/>
          <w:color w:val="444444"/>
          <w:kern w:val="0"/>
          <w:sz w:val="20"/>
          <w:szCs w:val="20"/>
        </w:rPr>
        <w:br/>
        <w:t>     3、投标人未进入营口市公共资源交易服务中心（营口市政府采购中心）的供应商库，请详阅营口市公共资源交易网首页公布的“营口市公共资源交易服务中心电子化交易平台系统八类主体入库通知”，及时办理入库登记手续。（咨询电话：0417-2972507 王先生）</w:t>
      </w:r>
      <w:r w:rsidRPr="00EE4B8F">
        <w:rPr>
          <w:rFonts w:ascii="微软雅黑" w:eastAsia="微软雅黑" w:hAnsi="微软雅黑" w:cs="宋体" w:hint="eastAsia"/>
          <w:color w:val="444444"/>
          <w:kern w:val="0"/>
          <w:sz w:val="20"/>
          <w:szCs w:val="20"/>
        </w:rPr>
        <w:br/>
      </w:r>
      <w:r w:rsidRPr="00EE4B8F">
        <w:rPr>
          <w:rFonts w:ascii="微软雅黑" w:eastAsia="微软雅黑" w:hAnsi="微软雅黑" w:cs="宋体" w:hint="eastAsia"/>
          <w:color w:val="444444"/>
          <w:kern w:val="0"/>
          <w:sz w:val="20"/>
          <w:szCs w:val="20"/>
        </w:rPr>
        <w:br/>
        <w:t>     4、供应商办理入库手续详阅营口市公共资源交易网中公布的“关于政府采购供应商库集中入库资格预审公告”。</w:t>
      </w:r>
      <w:r w:rsidRPr="00EE4B8F">
        <w:rPr>
          <w:rFonts w:ascii="微软雅黑" w:eastAsia="微软雅黑" w:hAnsi="微软雅黑" w:cs="宋体" w:hint="eastAsia"/>
          <w:color w:val="444444"/>
          <w:kern w:val="0"/>
          <w:sz w:val="20"/>
          <w:szCs w:val="20"/>
        </w:rPr>
        <w:br/>
        <w:t>     5、投标保证金汇到我中心账户的截止时间：2017年11月21日11时（具体内容详见第一章招标项目基本内容及要求）</w:t>
      </w:r>
      <w:r w:rsidRPr="00EE4B8F">
        <w:rPr>
          <w:rFonts w:ascii="微软雅黑" w:eastAsia="微软雅黑" w:hAnsi="微软雅黑" w:cs="宋体" w:hint="eastAsia"/>
          <w:color w:val="444444"/>
          <w:kern w:val="0"/>
          <w:sz w:val="20"/>
          <w:szCs w:val="20"/>
        </w:rPr>
        <w:br/>
        <w:t xml:space="preserve">四、递交投标文件截止及开标时间  </w:t>
      </w:r>
      <w:r w:rsidRPr="00EE4B8F">
        <w:rPr>
          <w:rFonts w:ascii="微软雅黑" w:eastAsia="微软雅黑" w:hAnsi="微软雅黑" w:cs="宋体" w:hint="eastAsia"/>
          <w:color w:val="444444"/>
          <w:kern w:val="0"/>
          <w:sz w:val="20"/>
          <w:szCs w:val="20"/>
        </w:rPr>
        <w:br/>
        <w:t xml:space="preserve">     递交投标文件截止及开标时间：2017-11-22 9：30（北京时间） </w:t>
      </w:r>
      <w:r w:rsidRPr="00EE4B8F">
        <w:rPr>
          <w:rFonts w:ascii="微软雅黑" w:eastAsia="微软雅黑" w:hAnsi="微软雅黑" w:cs="宋体" w:hint="eastAsia"/>
          <w:color w:val="444444"/>
          <w:kern w:val="0"/>
          <w:sz w:val="20"/>
          <w:szCs w:val="20"/>
        </w:rPr>
        <w:br/>
        <w:t xml:space="preserve">    </w:t>
      </w:r>
      <w:r w:rsidRPr="00EE4B8F">
        <w:rPr>
          <w:rFonts w:ascii="微软雅黑" w:eastAsia="微软雅黑" w:hAnsi="微软雅黑" w:cs="宋体" w:hint="eastAsia"/>
          <w:color w:val="444444"/>
          <w:kern w:val="0"/>
          <w:sz w:val="20"/>
          <w:szCs w:val="20"/>
        </w:rPr>
        <w:br/>
        <w:t>五、 递交投标文件及开标地点</w:t>
      </w:r>
      <w:r w:rsidRPr="00EE4B8F">
        <w:rPr>
          <w:rFonts w:ascii="微软雅黑" w:eastAsia="微软雅黑" w:hAnsi="微软雅黑" w:cs="宋体" w:hint="eastAsia"/>
          <w:color w:val="444444"/>
          <w:kern w:val="0"/>
          <w:sz w:val="20"/>
          <w:szCs w:val="20"/>
        </w:rPr>
        <w:br/>
        <w:t>    营口市公共资源交易服务中心三楼开标室302室，届时请投标人的法定代表人或其授权代表按时参加。</w:t>
      </w:r>
    </w:p>
    <w:p w:rsidR="00EE4B8F" w:rsidRPr="00EE4B8F" w:rsidRDefault="00EE4B8F" w:rsidP="00EE4B8F">
      <w:pPr>
        <w:widowControl/>
        <w:spacing w:after="150"/>
        <w:jc w:val="left"/>
        <w:rPr>
          <w:rFonts w:ascii="微软雅黑" w:eastAsia="微软雅黑" w:hAnsi="微软雅黑" w:cs="宋体" w:hint="eastAsia"/>
          <w:color w:val="444444"/>
          <w:kern w:val="0"/>
          <w:sz w:val="20"/>
          <w:szCs w:val="20"/>
        </w:rPr>
      </w:pPr>
      <w:r w:rsidRPr="00EE4B8F">
        <w:rPr>
          <w:rFonts w:ascii="微软雅黑" w:eastAsia="微软雅黑" w:hAnsi="微软雅黑" w:cs="宋体" w:hint="eastAsia"/>
          <w:color w:val="444444"/>
          <w:kern w:val="0"/>
          <w:sz w:val="20"/>
          <w:szCs w:val="20"/>
        </w:rPr>
        <w:t xml:space="preserve">六、采购单位、采购代理机构的名称、地址和联系方式 </w:t>
      </w:r>
      <w:r w:rsidRPr="00EE4B8F">
        <w:rPr>
          <w:rFonts w:ascii="微软雅黑" w:eastAsia="微软雅黑" w:hAnsi="微软雅黑" w:cs="宋体" w:hint="eastAsia"/>
          <w:color w:val="444444"/>
          <w:kern w:val="0"/>
          <w:sz w:val="20"/>
          <w:szCs w:val="20"/>
        </w:rPr>
        <w:br/>
        <w:t xml:space="preserve"> 采购单位：营口市无线电管理监测计算站 </w:t>
      </w:r>
      <w:r w:rsidRPr="00EE4B8F">
        <w:rPr>
          <w:rFonts w:ascii="微软雅黑" w:eastAsia="微软雅黑" w:hAnsi="微软雅黑" w:cs="宋体" w:hint="eastAsia"/>
          <w:color w:val="444444"/>
          <w:kern w:val="0"/>
          <w:sz w:val="20"/>
          <w:szCs w:val="20"/>
        </w:rPr>
        <w:br/>
        <w:t xml:space="preserve">地 址： </w:t>
      </w:r>
      <w:r w:rsidRPr="00EE4B8F">
        <w:rPr>
          <w:rFonts w:ascii="微软雅黑" w:eastAsia="微软雅黑" w:hAnsi="微软雅黑" w:cs="宋体" w:hint="eastAsia"/>
          <w:color w:val="444444"/>
          <w:kern w:val="0"/>
          <w:sz w:val="20"/>
          <w:szCs w:val="20"/>
        </w:rPr>
        <w:br/>
        <w:t>联系人：</w:t>
      </w:r>
      <w:r w:rsidRPr="00EE4B8F">
        <w:rPr>
          <w:rFonts w:ascii="MS Gothic" w:eastAsia="MS Gothic" w:hAnsi="MS Gothic" w:cs="MS Gothic" w:hint="eastAsia"/>
          <w:color w:val="444444"/>
          <w:kern w:val="0"/>
          <w:sz w:val="20"/>
          <w:szCs w:val="20"/>
        </w:rPr>
        <w:t>​</w:t>
      </w:r>
      <w:proofErr w:type="gramStart"/>
      <w:r w:rsidRPr="00EE4B8F">
        <w:rPr>
          <w:rFonts w:ascii="微软雅黑" w:eastAsia="微软雅黑" w:hAnsi="微软雅黑" w:cs="微软雅黑" w:hint="eastAsia"/>
          <w:color w:val="444444"/>
          <w:kern w:val="0"/>
          <w:sz w:val="20"/>
          <w:szCs w:val="20"/>
        </w:rPr>
        <w:t>徐驰</w:t>
      </w:r>
      <w:proofErr w:type="gramEnd"/>
      <w:r w:rsidRPr="00EE4B8F">
        <w:rPr>
          <w:rFonts w:ascii="微软雅黑" w:eastAsia="微软雅黑" w:hAnsi="微软雅黑" w:cs="宋体" w:hint="eastAsia"/>
          <w:color w:val="444444"/>
          <w:kern w:val="0"/>
          <w:sz w:val="20"/>
          <w:szCs w:val="20"/>
        </w:rPr>
        <w:t xml:space="preserve"> </w:t>
      </w:r>
      <w:r w:rsidRPr="00EE4B8F">
        <w:rPr>
          <w:rFonts w:ascii="微软雅黑" w:eastAsia="微软雅黑" w:hAnsi="微软雅黑" w:cs="宋体" w:hint="eastAsia"/>
          <w:color w:val="444444"/>
          <w:kern w:val="0"/>
          <w:sz w:val="20"/>
          <w:szCs w:val="20"/>
        </w:rPr>
        <w:br/>
        <w:t>联系电话：</w:t>
      </w:r>
      <w:r w:rsidRPr="00EE4B8F">
        <w:rPr>
          <w:rFonts w:ascii="MS Gothic" w:eastAsia="MS Gothic" w:hAnsi="MS Gothic" w:cs="MS Gothic" w:hint="eastAsia"/>
          <w:color w:val="444444"/>
          <w:kern w:val="0"/>
          <w:sz w:val="20"/>
          <w:szCs w:val="20"/>
        </w:rPr>
        <w:t>​</w:t>
      </w:r>
      <w:r w:rsidRPr="00EE4B8F">
        <w:rPr>
          <w:rFonts w:ascii="微软雅黑" w:eastAsia="微软雅黑" w:hAnsi="微软雅黑" w:cs="宋体" w:hint="eastAsia"/>
          <w:color w:val="444444"/>
          <w:kern w:val="0"/>
          <w:sz w:val="20"/>
          <w:szCs w:val="20"/>
        </w:rPr>
        <w:t xml:space="preserve">18004177018 </w:t>
      </w:r>
      <w:r w:rsidRPr="00EE4B8F">
        <w:rPr>
          <w:rFonts w:ascii="微软雅黑" w:eastAsia="微软雅黑" w:hAnsi="微软雅黑" w:cs="宋体" w:hint="eastAsia"/>
          <w:color w:val="444444"/>
          <w:kern w:val="0"/>
          <w:sz w:val="20"/>
          <w:szCs w:val="20"/>
        </w:rPr>
        <w:br/>
        <w:t xml:space="preserve">集中采购机构：营口市公共资源交易服务中心 </w:t>
      </w:r>
      <w:r w:rsidRPr="00EE4B8F">
        <w:rPr>
          <w:rFonts w:ascii="微软雅黑" w:eastAsia="微软雅黑" w:hAnsi="微软雅黑" w:cs="宋体" w:hint="eastAsia"/>
          <w:color w:val="444444"/>
          <w:kern w:val="0"/>
          <w:sz w:val="20"/>
          <w:szCs w:val="20"/>
        </w:rPr>
        <w:br/>
      </w:r>
      <w:r w:rsidRPr="00EE4B8F">
        <w:rPr>
          <w:rFonts w:ascii="微软雅黑" w:eastAsia="微软雅黑" w:hAnsi="微软雅黑" w:cs="宋体" w:hint="eastAsia"/>
          <w:color w:val="444444"/>
          <w:kern w:val="0"/>
          <w:sz w:val="20"/>
          <w:szCs w:val="20"/>
        </w:rPr>
        <w:lastRenderedPageBreak/>
        <w:t>地址：辽宁省营口市西市区新联大街195号(营口理工学院南侧，营口市行政</w:t>
      </w:r>
      <w:proofErr w:type="gramStart"/>
      <w:r w:rsidRPr="00EE4B8F">
        <w:rPr>
          <w:rFonts w:ascii="微软雅黑" w:eastAsia="微软雅黑" w:hAnsi="微软雅黑" w:cs="宋体" w:hint="eastAsia"/>
          <w:color w:val="444444"/>
          <w:kern w:val="0"/>
          <w:sz w:val="20"/>
          <w:szCs w:val="20"/>
        </w:rPr>
        <w:t>审批局楼上</w:t>
      </w:r>
      <w:proofErr w:type="gramEnd"/>
      <w:r w:rsidRPr="00EE4B8F">
        <w:rPr>
          <w:rFonts w:ascii="微软雅黑" w:eastAsia="微软雅黑" w:hAnsi="微软雅黑" w:cs="宋体" w:hint="eastAsia"/>
          <w:color w:val="444444"/>
          <w:kern w:val="0"/>
          <w:sz w:val="20"/>
          <w:szCs w:val="20"/>
        </w:rPr>
        <w:t xml:space="preserve">) </w:t>
      </w:r>
      <w:r w:rsidRPr="00EE4B8F">
        <w:rPr>
          <w:rFonts w:ascii="微软雅黑" w:eastAsia="微软雅黑" w:hAnsi="微软雅黑" w:cs="宋体" w:hint="eastAsia"/>
          <w:color w:val="444444"/>
          <w:kern w:val="0"/>
          <w:sz w:val="20"/>
          <w:szCs w:val="20"/>
        </w:rPr>
        <w:br/>
        <w:t>咨询招标文件联系人（采购科  电话：0417-2972508）：李先生</w:t>
      </w:r>
      <w:r w:rsidRPr="00EE4B8F">
        <w:rPr>
          <w:rFonts w:ascii="微软雅黑" w:eastAsia="微软雅黑" w:hAnsi="微软雅黑" w:cs="宋体" w:hint="eastAsia"/>
          <w:color w:val="444444"/>
          <w:kern w:val="0"/>
          <w:sz w:val="20"/>
          <w:szCs w:val="20"/>
        </w:rPr>
        <w:br/>
        <w:t xml:space="preserve">发放招标文件联系人（采购科  电话：0417-2972508）：邹女士 </w:t>
      </w:r>
    </w:p>
    <w:p w:rsidR="00EE4B8F" w:rsidRPr="00EE4B8F" w:rsidRDefault="00EE4B8F" w:rsidP="00EE4B8F">
      <w:pPr>
        <w:widowControl/>
        <w:spacing w:after="150"/>
        <w:jc w:val="left"/>
        <w:rPr>
          <w:rFonts w:ascii="微软雅黑" w:eastAsia="微软雅黑" w:hAnsi="微软雅黑" w:cs="宋体" w:hint="eastAsia"/>
          <w:color w:val="444444"/>
          <w:kern w:val="0"/>
          <w:sz w:val="20"/>
          <w:szCs w:val="20"/>
        </w:rPr>
      </w:pPr>
      <w:r w:rsidRPr="00EE4B8F">
        <w:rPr>
          <w:rFonts w:ascii="微软雅黑" w:eastAsia="微软雅黑" w:hAnsi="微软雅黑" w:cs="宋体" w:hint="eastAsia"/>
          <w:color w:val="444444"/>
          <w:kern w:val="0"/>
          <w:sz w:val="20"/>
          <w:szCs w:val="20"/>
        </w:rPr>
        <w:br/>
        <w:t>营口市公共资源交易服务中心</w:t>
      </w:r>
    </w:p>
    <w:p w:rsidR="00EE4B8F" w:rsidRPr="00EE4B8F" w:rsidRDefault="00EE4B8F" w:rsidP="00EE4B8F">
      <w:pPr>
        <w:widowControl/>
        <w:spacing w:after="150"/>
        <w:jc w:val="left"/>
        <w:rPr>
          <w:rFonts w:ascii="微软雅黑" w:eastAsia="微软雅黑" w:hAnsi="微软雅黑" w:cs="宋体" w:hint="eastAsia"/>
          <w:color w:val="444444"/>
          <w:kern w:val="0"/>
          <w:sz w:val="20"/>
          <w:szCs w:val="20"/>
        </w:rPr>
      </w:pPr>
      <w:r w:rsidRPr="00EE4B8F">
        <w:rPr>
          <w:rFonts w:ascii="微软雅黑" w:eastAsia="微软雅黑" w:hAnsi="微软雅黑" w:cs="宋体" w:hint="eastAsia"/>
          <w:color w:val="444444"/>
          <w:kern w:val="0"/>
          <w:sz w:val="20"/>
          <w:szCs w:val="20"/>
        </w:rPr>
        <w:t>2017年11月10日</w:t>
      </w:r>
    </w:p>
    <w:p w:rsidR="00C50C49" w:rsidRDefault="00EE4B8F">
      <w:pPr>
        <w:rPr>
          <w:rFonts w:hint="eastAsia"/>
        </w:rPr>
      </w:pPr>
      <w:r>
        <w:rPr>
          <w:rFonts w:hint="eastAsia"/>
        </w:rPr>
        <w:t xml:space="preserve">   </w:t>
      </w:r>
    </w:p>
    <w:p w:rsidR="00EE4B8F" w:rsidRDefault="00EE4B8F">
      <w:pPr>
        <w:rPr>
          <w:rFonts w:hint="eastAsia"/>
        </w:rPr>
      </w:pPr>
    </w:p>
    <w:p w:rsidR="00EE4B8F" w:rsidRDefault="00EE4B8F">
      <w:pPr>
        <w:rPr>
          <w:rFonts w:hint="eastAsia"/>
        </w:rPr>
      </w:pPr>
    </w:p>
    <w:p w:rsidR="00EE4B8F" w:rsidRDefault="00EE4B8F">
      <w:pPr>
        <w:rPr>
          <w:rFonts w:hint="eastAsia"/>
        </w:rPr>
      </w:pPr>
    </w:p>
    <w:p w:rsidR="00EE4B8F" w:rsidRDefault="00EE4B8F">
      <w:pPr>
        <w:rPr>
          <w:rFonts w:hint="eastAsia"/>
        </w:rPr>
      </w:pPr>
    </w:p>
    <w:p w:rsidR="00EE4B8F" w:rsidRDefault="00EE4B8F">
      <w:pPr>
        <w:rPr>
          <w:rFonts w:hint="eastAsia"/>
        </w:rPr>
      </w:pPr>
    </w:p>
    <w:p w:rsidR="00EE4B8F" w:rsidRDefault="00EE4B8F">
      <w:pPr>
        <w:rPr>
          <w:rFonts w:hint="eastAsia"/>
        </w:rPr>
      </w:pPr>
    </w:p>
    <w:p w:rsidR="00EE4B8F" w:rsidRDefault="00EE4B8F">
      <w:pPr>
        <w:rPr>
          <w:rFonts w:hint="eastAsia"/>
        </w:rPr>
      </w:pPr>
      <w:r>
        <w:rPr>
          <w:rFonts w:hint="eastAsia"/>
        </w:rPr>
        <w:t>参数：</w:t>
      </w:r>
    </w:p>
    <w:sdt>
      <w:sdtPr>
        <w:rPr>
          <w:rFonts w:ascii="仿宋" w:eastAsia="仿宋" w:hAnsi="仿宋" w:hint="eastAsia"/>
          <w:sz w:val="24"/>
        </w:rPr>
        <w:alias w:val="项目详细需求"/>
        <w:tag w:val="项目详细需求"/>
        <w:id w:val="-1361739487"/>
      </w:sdtPr>
      <w:sdtContent>
        <w:p w:rsidR="00EE4B8F" w:rsidRPr="00CB2B39" w:rsidRDefault="00EE4B8F" w:rsidP="00EE4B8F">
          <w:pPr>
            <w:jc w:val="center"/>
            <w:rPr>
              <w:rFonts w:ascii="华文宋体" w:eastAsia="华文宋体" w:hAnsi="华文宋体"/>
              <w:b/>
              <w:sz w:val="28"/>
              <w:szCs w:val="28"/>
            </w:rPr>
          </w:pPr>
          <w:r w:rsidRPr="00CB2B39">
            <w:rPr>
              <w:rFonts w:ascii="华文宋体" w:eastAsia="华文宋体" w:hAnsi="华文宋体"/>
              <w:b/>
              <w:sz w:val="28"/>
              <w:szCs w:val="28"/>
            </w:rPr>
            <w:t>2017</w:t>
          </w:r>
          <w:r w:rsidRPr="00CB2B39">
            <w:rPr>
              <w:rFonts w:ascii="华文宋体" w:eastAsia="华文宋体" w:hAnsi="华文宋体" w:hint="eastAsia"/>
              <w:b/>
              <w:sz w:val="28"/>
              <w:szCs w:val="28"/>
            </w:rPr>
            <w:t>营口市</w:t>
          </w:r>
          <w:proofErr w:type="gramStart"/>
          <w:r w:rsidRPr="00CB2B39">
            <w:rPr>
              <w:rFonts w:ascii="华文宋体" w:eastAsia="华文宋体" w:hAnsi="华文宋体" w:hint="eastAsia"/>
              <w:b/>
              <w:sz w:val="28"/>
              <w:szCs w:val="28"/>
            </w:rPr>
            <w:t>市</w:t>
          </w:r>
          <w:proofErr w:type="gramEnd"/>
          <w:r w:rsidRPr="00CB2B39">
            <w:rPr>
              <w:rFonts w:ascii="华文宋体" w:eastAsia="华文宋体" w:hAnsi="华文宋体" w:hint="eastAsia"/>
              <w:b/>
              <w:sz w:val="28"/>
              <w:szCs w:val="28"/>
            </w:rPr>
            <w:t>无线电管理监测计算站</w:t>
          </w:r>
        </w:p>
        <w:p w:rsidR="00EE4B8F" w:rsidRPr="00CB2B39" w:rsidRDefault="00EE4B8F" w:rsidP="00EE4B8F">
          <w:pPr>
            <w:jc w:val="center"/>
            <w:rPr>
              <w:rFonts w:ascii="华文宋体" w:eastAsia="华文宋体" w:hAnsi="华文宋体"/>
              <w:b/>
              <w:sz w:val="28"/>
              <w:szCs w:val="28"/>
            </w:rPr>
          </w:pPr>
          <w:r w:rsidRPr="00CB2B39">
            <w:rPr>
              <w:rFonts w:ascii="华文宋体" w:eastAsia="华文宋体" w:hAnsi="华文宋体" w:hint="eastAsia"/>
              <w:b/>
              <w:sz w:val="28"/>
              <w:szCs w:val="28"/>
            </w:rPr>
            <w:t>机场电磁环境测试服务项目采购需求</w:t>
          </w:r>
        </w:p>
        <w:p w:rsidR="00EE4B8F" w:rsidRPr="00CB2B39" w:rsidRDefault="00EE4B8F" w:rsidP="00EE4B8F">
          <w:pPr>
            <w:numPr>
              <w:ilvl w:val="0"/>
              <w:numId w:val="1"/>
            </w:numPr>
            <w:spacing w:beforeLines="50" w:before="156" w:afterLines="50" w:after="156"/>
            <w:rPr>
              <w:rFonts w:ascii="华文宋体" w:eastAsia="华文宋体" w:hAnsi="华文宋体"/>
              <w:b/>
              <w:sz w:val="28"/>
              <w:szCs w:val="28"/>
            </w:rPr>
          </w:pPr>
          <w:r w:rsidRPr="00CB2B39">
            <w:rPr>
              <w:rFonts w:ascii="华文宋体" w:eastAsia="华文宋体" w:hAnsi="华文宋体" w:hint="eastAsia"/>
              <w:b/>
              <w:sz w:val="28"/>
              <w:szCs w:val="28"/>
            </w:rPr>
            <w:t>招标内容</w:t>
          </w:r>
        </w:p>
        <w:p w:rsidR="00EE4B8F" w:rsidRPr="00CB2B39" w:rsidRDefault="00EE4B8F" w:rsidP="00EE4B8F">
          <w:pPr>
            <w:spacing w:beforeLines="50" w:before="156" w:afterLines="50" w:after="156"/>
            <w:ind w:firstLineChars="200" w:firstLine="560"/>
            <w:rPr>
              <w:rFonts w:ascii="华文宋体" w:eastAsia="华文宋体" w:hAnsi="华文宋体"/>
              <w:sz w:val="28"/>
              <w:szCs w:val="28"/>
            </w:rPr>
          </w:pPr>
          <w:r w:rsidRPr="00CB2B39">
            <w:rPr>
              <w:rFonts w:ascii="华文宋体" w:eastAsia="华文宋体" w:hAnsi="华文宋体" w:hint="eastAsia"/>
              <w:sz w:val="28"/>
              <w:szCs w:val="28"/>
            </w:rPr>
            <w:t>营口兰</w:t>
          </w:r>
          <w:proofErr w:type="gramStart"/>
          <w:r w:rsidRPr="00CB2B39">
            <w:rPr>
              <w:rFonts w:ascii="华文宋体" w:eastAsia="华文宋体" w:hAnsi="华文宋体" w:hint="eastAsia"/>
              <w:sz w:val="28"/>
              <w:szCs w:val="28"/>
            </w:rPr>
            <w:t>旗机场</w:t>
          </w:r>
          <w:proofErr w:type="gramEnd"/>
          <w:r w:rsidRPr="00CB2B39">
            <w:rPr>
              <w:rFonts w:ascii="华文宋体" w:eastAsia="华文宋体" w:hAnsi="华文宋体" w:hint="eastAsia"/>
              <w:sz w:val="28"/>
              <w:szCs w:val="28"/>
            </w:rPr>
            <w:t>电磁环境测试。</w:t>
          </w:r>
        </w:p>
        <w:p w:rsidR="00EE4B8F" w:rsidRPr="00CB2B39" w:rsidRDefault="00EE4B8F" w:rsidP="00EE4B8F">
          <w:pPr>
            <w:spacing w:line="400" w:lineRule="exact"/>
            <w:rPr>
              <w:rFonts w:ascii="华文宋体" w:eastAsia="华文宋体" w:hAnsi="华文宋体"/>
              <w:sz w:val="28"/>
              <w:szCs w:val="28"/>
            </w:rPr>
          </w:pPr>
          <w:r w:rsidRPr="00CB2B39">
            <w:rPr>
              <w:rFonts w:ascii="华文宋体" w:eastAsia="华文宋体" w:hAnsi="华文宋体" w:hint="eastAsia"/>
              <w:sz w:val="28"/>
              <w:szCs w:val="28"/>
            </w:rPr>
            <w:t>测试需求</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261"/>
            <w:gridCol w:w="2551"/>
            <w:gridCol w:w="2410"/>
          </w:tblGrid>
          <w:tr w:rsidR="00EE4B8F" w:rsidRPr="00CB2B39" w:rsidTr="00867D04">
            <w:tc>
              <w:tcPr>
                <w:tcW w:w="8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hint="eastAsia"/>
                    <w:sz w:val="28"/>
                    <w:szCs w:val="28"/>
                  </w:rPr>
                  <w:t>序号</w:t>
                </w:r>
              </w:p>
            </w:tc>
            <w:tc>
              <w:tcPr>
                <w:tcW w:w="326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hint="eastAsia"/>
                    <w:sz w:val="28"/>
                    <w:szCs w:val="28"/>
                  </w:rPr>
                  <w:t>设备名称</w:t>
                </w:r>
              </w:p>
            </w:tc>
            <w:tc>
              <w:tcPr>
                <w:tcW w:w="25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hint="eastAsia"/>
                    <w:sz w:val="28"/>
                    <w:szCs w:val="28"/>
                  </w:rPr>
                  <w:t>频率</w:t>
                </w:r>
              </w:p>
            </w:tc>
            <w:tc>
              <w:tcPr>
                <w:tcW w:w="2410"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hint="eastAsia"/>
                    <w:sz w:val="28"/>
                    <w:szCs w:val="28"/>
                  </w:rPr>
                  <w:t>测试项目</w:t>
                </w:r>
              </w:p>
            </w:tc>
          </w:tr>
          <w:tr w:rsidR="00EE4B8F" w:rsidRPr="00CB2B39" w:rsidTr="00867D04">
            <w:tc>
              <w:tcPr>
                <w:tcW w:w="8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t>1</w:t>
                </w:r>
              </w:p>
            </w:tc>
            <w:tc>
              <w:tcPr>
                <w:tcW w:w="3261" w:type="dxa"/>
                <w:vAlign w:val="center"/>
              </w:tcPr>
              <w:p w:rsidR="00EE4B8F" w:rsidRPr="00CB2B39" w:rsidRDefault="00EE4B8F" w:rsidP="00867D04">
                <w:pPr>
                  <w:rPr>
                    <w:rFonts w:ascii="楷体_GB2312" w:eastAsia="楷体_GB2312" w:hAnsi="宋体"/>
                    <w:sz w:val="28"/>
                    <w:szCs w:val="28"/>
                  </w:rPr>
                </w:pPr>
                <w:r w:rsidRPr="00CB2B39">
                  <w:rPr>
                    <w:rFonts w:ascii="楷体_GB2312" w:eastAsia="楷体_GB2312" w:hAnsi="宋体" w:hint="eastAsia"/>
                    <w:sz w:val="28"/>
                    <w:szCs w:val="28"/>
                  </w:rPr>
                  <w:t>航向信标台</w:t>
                </w:r>
              </w:p>
            </w:tc>
            <w:tc>
              <w:tcPr>
                <w:tcW w:w="25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t>109.7MHz</w:t>
                </w:r>
              </w:p>
            </w:tc>
            <w:tc>
              <w:tcPr>
                <w:tcW w:w="2410" w:type="dxa"/>
                <w:vMerge w:val="restart"/>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hint="eastAsia"/>
                    <w:sz w:val="28"/>
                    <w:szCs w:val="28"/>
                  </w:rPr>
                  <w:t>干扰场强或功率</w:t>
                </w:r>
              </w:p>
            </w:tc>
          </w:tr>
          <w:tr w:rsidR="00EE4B8F" w:rsidRPr="00CB2B39" w:rsidTr="00867D04">
            <w:tc>
              <w:tcPr>
                <w:tcW w:w="8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t>2</w:t>
                </w:r>
              </w:p>
            </w:tc>
            <w:tc>
              <w:tcPr>
                <w:tcW w:w="3261" w:type="dxa"/>
                <w:vAlign w:val="center"/>
              </w:tcPr>
              <w:p w:rsidR="00EE4B8F" w:rsidRPr="00CB2B39" w:rsidRDefault="00EE4B8F" w:rsidP="00867D04">
                <w:pPr>
                  <w:rPr>
                    <w:rFonts w:ascii="楷体_GB2312" w:eastAsia="楷体_GB2312" w:hAnsi="宋体"/>
                    <w:sz w:val="28"/>
                    <w:szCs w:val="28"/>
                  </w:rPr>
                </w:pPr>
                <w:r w:rsidRPr="00CB2B39">
                  <w:rPr>
                    <w:rFonts w:ascii="楷体_GB2312" w:eastAsia="楷体_GB2312" w:hAnsi="宋体" w:hint="eastAsia"/>
                    <w:sz w:val="28"/>
                    <w:szCs w:val="28"/>
                  </w:rPr>
                  <w:t>下滑信标台</w:t>
                </w:r>
              </w:p>
            </w:tc>
            <w:tc>
              <w:tcPr>
                <w:tcW w:w="25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t>333.2MHz</w:t>
                </w:r>
              </w:p>
            </w:tc>
            <w:tc>
              <w:tcPr>
                <w:tcW w:w="2410" w:type="dxa"/>
                <w:vMerge/>
                <w:vAlign w:val="center"/>
              </w:tcPr>
              <w:p w:rsidR="00EE4B8F" w:rsidRPr="00CB2B39" w:rsidRDefault="00EE4B8F" w:rsidP="00867D04">
                <w:pPr>
                  <w:ind w:firstLine="560"/>
                  <w:jc w:val="center"/>
                  <w:rPr>
                    <w:rFonts w:ascii="楷体_GB2312" w:eastAsia="楷体_GB2312" w:hAnsi="宋体"/>
                    <w:sz w:val="28"/>
                    <w:szCs w:val="28"/>
                  </w:rPr>
                </w:pPr>
              </w:p>
            </w:tc>
          </w:tr>
          <w:tr w:rsidR="00EE4B8F" w:rsidRPr="00CB2B39" w:rsidTr="00867D04">
            <w:tc>
              <w:tcPr>
                <w:tcW w:w="8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t>3</w:t>
                </w:r>
              </w:p>
            </w:tc>
            <w:tc>
              <w:tcPr>
                <w:tcW w:w="3261" w:type="dxa"/>
                <w:vAlign w:val="center"/>
              </w:tcPr>
              <w:p w:rsidR="00EE4B8F" w:rsidRPr="00CB2B39" w:rsidRDefault="00EE4B8F" w:rsidP="00867D04">
                <w:pPr>
                  <w:rPr>
                    <w:rFonts w:ascii="楷体_GB2312" w:eastAsia="楷体_GB2312" w:hAnsi="宋体"/>
                    <w:sz w:val="28"/>
                    <w:szCs w:val="28"/>
                  </w:rPr>
                </w:pPr>
                <w:r w:rsidRPr="00CB2B39">
                  <w:rPr>
                    <w:rFonts w:ascii="楷体_GB2312" w:eastAsia="楷体_GB2312" w:hAnsi="宋体" w:hint="eastAsia"/>
                    <w:sz w:val="28"/>
                    <w:szCs w:val="28"/>
                  </w:rPr>
                  <w:t>与下滑合装</w:t>
                </w:r>
                <w:proofErr w:type="gramStart"/>
                <w:r w:rsidRPr="00CB2B39">
                  <w:rPr>
                    <w:rFonts w:ascii="楷体_GB2312" w:eastAsia="楷体_GB2312" w:hAnsi="宋体" w:hint="eastAsia"/>
                    <w:sz w:val="28"/>
                    <w:szCs w:val="28"/>
                  </w:rPr>
                  <w:t>测距台</w:t>
                </w:r>
                <w:proofErr w:type="gramEnd"/>
              </w:p>
            </w:tc>
            <w:tc>
              <w:tcPr>
                <w:tcW w:w="25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t>995MHz</w:t>
                </w:r>
              </w:p>
            </w:tc>
            <w:tc>
              <w:tcPr>
                <w:tcW w:w="2410" w:type="dxa"/>
                <w:vMerge/>
                <w:vAlign w:val="center"/>
              </w:tcPr>
              <w:p w:rsidR="00EE4B8F" w:rsidRPr="00CB2B39" w:rsidRDefault="00EE4B8F" w:rsidP="00867D04">
                <w:pPr>
                  <w:ind w:firstLine="560"/>
                  <w:jc w:val="center"/>
                  <w:rPr>
                    <w:rFonts w:ascii="楷体_GB2312" w:eastAsia="楷体_GB2312" w:hAnsi="宋体"/>
                    <w:sz w:val="28"/>
                    <w:szCs w:val="28"/>
                  </w:rPr>
                </w:pPr>
              </w:p>
            </w:tc>
          </w:tr>
          <w:tr w:rsidR="00EE4B8F" w:rsidRPr="00CB2B39" w:rsidTr="00867D04">
            <w:tc>
              <w:tcPr>
                <w:tcW w:w="8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t>4</w:t>
                </w:r>
              </w:p>
            </w:tc>
            <w:tc>
              <w:tcPr>
                <w:tcW w:w="3261" w:type="dxa"/>
                <w:vAlign w:val="center"/>
              </w:tcPr>
              <w:p w:rsidR="00EE4B8F" w:rsidRPr="00CB2B39" w:rsidRDefault="00EE4B8F" w:rsidP="00867D04">
                <w:pPr>
                  <w:rPr>
                    <w:rFonts w:ascii="楷体_GB2312" w:eastAsia="楷体_GB2312" w:hAnsi="宋体"/>
                    <w:sz w:val="28"/>
                    <w:szCs w:val="28"/>
                  </w:rPr>
                </w:pPr>
                <w:r w:rsidRPr="00CB2B39">
                  <w:rPr>
                    <w:rFonts w:ascii="楷体_GB2312" w:eastAsia="楷体_GB2312" w:hAnsi="宋体" w:hint="eastAsia"/>
                    <w:sz w:val="28"/>
                    <w:szCs w:val="28"/>
                  </w:rPr>
                  <w:t>全向信标台</w:t>
                </w:r>
              </w:p>
            </w:tc>
            <w:tc>
              <w:tcPr>
                <w:tcW w:w="25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t>117.3MHz</w:t>
                </w:r>
              </w:p>
            </w:tc>
            <w:tc>
              <w:tcPr>
                <w:tcW w:w="2410" w:type="dxa"/>
                <w:vMerge/>
                <w:vAlign w:val="center"/>
              </w:tcPr>
              <w:p w:rsidR="00EE4B8F" w:rsidRPr="00CB2B39" w:rsidRDefault="00EE4B8F" w:rsidP="00867D04">
                <w:pPr>
                  <w:ind w:firstLine="560"/>
                  <w:jc w:val="center"/>
                  <w:rPr>
                    <w:rFonts w:ascii="楷体_GB2312" w:eastAsia="楷体_GB2312" w:hAnsi="宋体"/>
                    <w:sz w:val="28"/>
                    <w:szCs w:val="28"/>
                  </w:rPr>
                </w:pPr>
              </w:p>
            </w:tc>
          </w:tr>
          <w:tr w:rsidR="00EE4B8F" w:rsidRPr="00CB2B39" w:rsidTr="00867D04">
            <w:tc>
              <w:tcPr>
                <w:tcW w:w="8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t>5</w:t>
                </w:r>
              </w:p>
            </w:tc>
            <w:tc>
              <w:tcPr>
                <w:tcW w:w="3261" w:type="dxa"/>
                <w:vAlign w:val="center"/>
              </w:tcPr>
              <w:p w:rsidR="00EE4B8F" w:rsidRPr="00CB2B39" w:rsidRDefault="00EE4B8F" w:rsidP="00867D04">
                <w:pPr>
                  <w:rPr>
                    <w:rFonts w:ascii="楷体_GB2312" w:eastAsia="楷体_GB2312" w:hAnsi="宋体"/>
                    <w:sz w:val="28"/>
                    <w:szCs w:val="28"/>
                  </w:rPr>
                </w:pPr>
                <w:r w:rsidRPr="00CB2B39">
                  <w:rPr>
                    <w:rFonts w:ascii="楷体_GB2312" w:eastAsia="楷体_GB2312" w:hAnsi="宋体" w:hint="eastAsia"/>
                    <w:sz w:val="28"/>
                    <w:szCs w:val="28"/>
                  </w:rPr>
                  <w:t>与全向信标合装</w:t>
                </w:r>
                <w:proofErr w:type="gramStart"/>
                <w:r w:rsidRPr="00CB2B39">
                  <w:rPr>
                    <w:rFonts w:ascii="楷体_GB2312" w:eastAsia="楷体_GB2312" w:hAnsi="宋体" w:hint="eastAsia"/>
                    <w:sz w:val="28"/>
                    <w:szCs w:val="28"/>
                  </w:rPr>
                  <w:t>测距台</w:t>
                </w:r>
                <w:proofErr w:type="gramEnd"/>
              </w:p>
            </w:tc>
            <w:tc>
              <w:tcPr>
                <w:tcW w:w="25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t>1207MHz</w:t>
                </w:r>
              </w:p>
            </w:tc>
            <w:tc>
              <w:tcPr>
                <w:tcW w:w="2410" w:type="dxa"/>
                <w:vMerge/>
                <w:vAlign w:val="center"/>
              </w:tcPr>
              <w:p w:rsidR="00EE4B8F" w:rsidRPr="00CB2B39" w:rsidRDefault="00EE4B8F" w:rsidP="00867D04">
                <w:pPr>
                  <w:ind w:firstLine="560"/>
                  <w:jc w:val="center"/>
                  <w:rPr>
                    <w:rFonts w:ascii="楷体_GB2312" w:eastAsia="楷体_GB2312" w:hAnsi="宋体"/>
                    <w:sz w:val="28"/>
                    <w:szCs w:val="28"/>
                  </w:rPr>
                </w:pPr>
              </w:p>
            </w:tc>
          </w:tr>
          <w:tr w:rsidR="00EE4B8F" w:rsidRPr="00CB2B39" w:rsidTr="00867D04">
            <w:trPr>
              <w:trHeight w:val="1975"/>
            </w:trPr>
            <w:tc>
              <w:tcPr>
                <w:tcW w:w="8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lastRenderedPageBreak/>
                  <w:t>6</w:t>
                </w:r>
              </w:p>
            </w:tc>
            <w:tc>
              <w:tcPr>
                <w:tcW w:w="3261" w:type="dxa"/>
                <w:vAlign w:val="center"/>
              </w:tcPr>
              <w:p w:rsidR="00EE4B8F" w:rsidRPr="00CB2B39" w:rsidRDefault="00EE4B8F" w:rsidP="00867D04">
                <w:pPr>
                  <w:rPr>
                    <w:rFonts w:ascii="楷体_GB2312" w:eastAsia="楷体_GB2312" w:hAnsi="宋体"/>
                    <w:sz w:val="28"/>
                    <w:szCs w:val="28"/>
                  </w:rPr>
                </w:pPr>
                <w:r w:rsidRPr="00CB2B39">
                  <w:rPr>
                    <w:rFonts w:ascii="楷体_GB2312" w:eastAsia="楷体_GB2312" w:hAnsi="宋体" w:hint="eastAsia"/>
                    <w:sz w:val="28"/>
                    <w:szCs w:val="28"/>
                  </w:rPr>
                  <w:t>甚高频台</w:t>
                </w:r>
              </w:p>
            </w:tc>
            <w:tc>
              <w:tcPr>
                <w:tcW w:w="25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hint="eastAsia"/>
                    <w:sz w:val="28"/>
                    <w:szCs w:val="28"/>
                  </w:rPr>
                  <w:t>主频：</w:t>
                </w:r>
                <w:r w:rsidRPr="00CB2B39">
                  <w:rPr>
                    <w:rFonts w:ascii="楷体_GB2312" w:eastAsia="楷体_GB2312" w:hAnsi="宋体"/>
                    <w:sz w:val="28"/>
                    <w:szCs w:val="28"/>
                  </w:rPr>
                  <w:t>118.175MHz</w:t>
                </w:r>
              </w:p>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hint="eastAsia"/>
                    <w:sz w:val="28"/>
                    <w:szCs w:val="28"/>
                  </w:rPr>
                  <w:t>备频：</w:t>
                </w:r>
                <w:r w:rsidRPr="00CB2B39">
                  <w:rPr>
                    <w:rFonts w:ascii="楷体_GB2312" w:eastAsia="楷体_GB2312" w:hAnsi="宋体"/>
                    <w:sz w:val="28"/>
                    <w:szCs w:val="28"/>
                  </w:rPr>
                  <w:t>130.000MHz</w:t>
                </w:r>
              </w:p>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hint="eastAsia"/>
                    <w:sz w:val="28"/>
                    <w:szCs w:val="28"/>
                  </w:rPr>
                  <w:t>应急：</w:t>
                </w:r>
                <w:r w:rsidRPr="00CB2B39">
                  <w:rPr>
                    <w:rFonts w:ascii="楷体_GB2312" w:eastAsia="楷体_GB2312" w:hAnsi="宋体"/>
                    <w:sz w:val="28"/>
                    <w:szCs w:val="28"/>
                  </w:rPr>
                  <w:t>121.500MHz</w:t>
                </w:r>
              </w:p>
            </w:tc>
            <w:tc>
              <w:tcPr>
                <w:tcW w:w="2410" w:type="dxa"/>
                <w:vMerge/>
                <w:vAlign w:val="center"/>
              </w:tcPr>
              <w:p w:rsidR="00EE4B8F" w:rsidRPr="00CB2B39" w:rsidRDefault="00EE4B8F" w:rsidP="00867D04">
                <w:pPr>
                  <w:ind w:firstLine="560"/>
                  <w:jc w:val="center"/>
                  <w:rPr>
                    <w:rFonts w:ascii="楷体_GB2312" w:eastAsia="楷体_GB2312" w:hAnsi="宋体"/>
                    <w:sz w:val="28"/>
                    <w:szCs w:val="28"/>
                  </w:rPr>
                </w:pPr>
              </w:p>
            </w:tc>
          </w:tr>
          <w:tr w:rsidR="00EE4B8F" w:rsidRPr="00CB2B39" w:rsidTr="00867D04">
            <w:trPr>
              <w:trHeight w:val="516"/>
            </w:trPr>
            <w:tc>
              <w:tcPr>
                <w:tcW w:w="8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t>7</w:t>
                </w:r>
              </w:p>
            </w:tc>
            <w:tc>
              <w:tcPr>
                <w:tcW w:w="3261" w:type="dxa"/>
                <w:vAlign w:val="center"/>
              </w:tcPr>
              <w:p w:rsidR="00EE4B8F" w:rsidRPr="00CB2B39" w:rsidRDefault="00EE4B8F" w:rsidP="00867D04">
                <w:pPr>
                  <w:rPr>
                    <w:rFonts w:ascii="楷体_GB2312" w:eastAsia="楷体_GB2312" w:hAnsi="宋体"/>
                    <w:sz w:val="28"/>
                    <w:szCs w:val="28"/>
                  </w:rPr>
                </w:pPr>
                <w:r w:rsidRPr="00CB2B39">
                  <w:rPr>
                    <w:rFonts w:ascii="楷体_GB2312" w:eastAsia="楷体_GB2312" w:hAnsi="宋体" w:hint="eastAsia"/>
                    <w:sz w:val="28"/>
                    <w:szCs w:val="28"/>
                  </w:rPr>
                  <w:t>风廓线雷达</w:t>
                </w:r>
              </w:p>
            </w:tc>
            <w:tc>
              <w:tcPr>
                <w:tcW w:w="2551" w:type="dxa"/>
                <w:vAlign w:val="center"/>
              </w:tcPr>
              <w:p w:rsidR="00EE4B8F" w:rsidRPr="00CB2B39" w:rsidRDefault="00EE4B8F" w:rsidP="00867D04">
                <w:pPr>
                  <w:jc w:val="center"/>
                  <w:rPr>
                    <w:rFonts w:ascii="楷体_GB2312" w:eastAsia="楷体_GB2312" w:hAnsi="宋体"/>
                    <w:sz w:val="28"/>
                    <w:szCs w:val="28"/>
                  </w:rPr>
                </w:pPr>
                <w:r w:rsidRPr="00CB2B39">
                  <w:rPr>
                    <w:rFonts w:ascii="楷体_GB2312" w:eastAsia="楷体_GB2312" w:hAnsi="宋体"/>
                    <w:sz w:val="28"/>
                    <w:szCs w:val="28"/>
                  </w:rPr>
                  <w:t>1280MHz</w:t>
                </w:r>
              </w:p>
            </w:tc>
            <w:tc>
              <w:tcPr>
                <w:tcW w:w="2410" w:type="dxa"/>
                <w:vMerge/>
                <w:vAlign w:val="center"/>
              </w:tcPr>
              <w:p w:rsidR="00EE4B8F" w:rsidRPr="00CB2B39" w:rsidRDefault="00EE4B8F" w:rsidP="00867D04">
                <w:pPr>
                  <w:ind w:firstLine="560"/>
                  <w:jc w:val="center"/>
                  <w:rPr>
                    <w:rFonts w:ascii="楷体_GB2312" w:eastAsia="楷体_GB2312" w:hAnsi="宋体"/>
                    <w:sz w:val="28"/>
                    <w:szCs w:val="28"/>
                  </w:rPr>
                </w:pPr>
              </w:p>
            </w:tc>
          </w:tr>
        </w:tbl>
        <w:p w:rsidR="00EE4B8F" w:rsidRPr="00CB2B39" w:rsidRDefault="00EE4B8F" w:rsidP="00EE4B8F">
          <w:pPr>
            <w:numPr>
              <w:ilvl w:val="0"/>
              <w:numId w:val="1"/>
            </w:numPr>
            <w:spacing w:beforeLines="50" w:before="156" w:afterLines="50" w:after="156"/>
            <w:rPr>
              <w:b/>
              <w:sz w:val="28"/>
              <w:szCs w:val="28"/>
            </w:rPr>
          </w:pPr>
          <w:r w:rsidRPr="00CB2B39">
            <w:rPr>
              <w:rFonts w:hint="eastAsia"/>
              <w:b/>
              <w:sz w:val="28"/>
              <w:szCs w:val="28"/>
            </w:rPr>
            <w:t>项目采用的检测标准</w:t>
          </w:r>
          <w:r w:rsidRPr="00CB2B39">
            <w:rPr>
              <w:rFonts w:hint="eastAsia"/>
              <w:sz w:val="28"/>
              <w:szCs w:val="28"/>
            </w:rPr>
            <w:t>：</w:t>
          </w:r>
        </w:p>
        <w:p w:rsidR="00EE4B8F" w:rsidRPr="00CB2B39" w:rsidRDefault="00EE4B8F" w:rsidP="00EE4B8F">
          <w:pPr>
            <w:numPr>
              <w:ilvl w:val="0"/>
              <w:numId w:val="3"/>
            </w:numPr>
            <w:rPr>
              <w:rFonts w:ascii="华文宋体" w:eastAsia="华文宋体" w:hAnsi="华文宋体"/>
              <w:sz w:val="28"/>
              <w:szCs w:val="28"/>
            </w:rPr>
          </w:pPr>
          <w:r w:rsidRPr="00CB2B39">
            <w:rPr>
              <w:rFonts w:ascii="华文宋体" w:eastAsia="华文宋体" w:hAnsi="华文宋体"/>
              <w:sz w:val="28"/>
              <w:szCs w:val="28"/>
            </w:rPr>
            <w:t>GB 6364-2013</w:t>
          </w:r>
          <w:r w:rsidRPr="00CB2B39">
            <w:rPr>
              <w:rFonts w:ascii="华文宋体" w:eastAsia="华文宋体" w:hAnsi="华文宋体" w:hint="eastAsia"/>
              <w:sz w:val="28"/>
              <w:szCs w:val="28"/>
            </w:rPr>
            <w:t>《航空无线电导航台站电磁环境要求》；</w:t>
          </w:r>
        </w:p>
        <w:p w:rsidR="00EE4B8F" w:rsidRPr="00CB2B39" w:rsidRDefault="00EE4B8F" w:rsidP="00EE4B8F">
          <w:pPr>
            <w:numPr>
              <w:ilvl w:val="0"/>
              <w:numId w:val="3"/>
            </w:numPr>
            <w:rPr>
              <w:rFonts w:ascii="华文宋体" w:eastAsia="华文宋体" w:hAnsi="华文宋体"/>
              <w:sz w:val="28"/>
              <w:szCs w:val="28"/>
            </w:rPr>
          </w:pPr>
          <w:r w:rsidRPr="00CB2B39">
            <w:rPr>
              <w:rFonts w:ascii="华文宋体" w:eastAsia="华文宋体" w:hAnsi="华文宋体"/>
              <w:sz w:val="28"/>
              <w:szCs w:val="28"/>
            </w:rPr>
            <w:t>GB 13616-2009</w:t>
          </w:r>
          <w:r w:rsidRPr="00CB2B39">
            <w:rPr>
              <w:rFonts w:ascii="华文宋体" w:eastAsia="华文宋体" w:hAnsi="华文宋体" w:hint="eastAsia"/>
              <w:sz w:val="28"/>
              <w:szCs w:val="28"/>
            </w:rPr>
            <w:t>《数字微波接力站电磁环境保护要求》；</w:t>
          </w:r>
        </w:p>
        <w:p w:rsidR="00EE4B8F" w:rsidRPr="00CB2B39" w:rsidRDefault="00EE4B8F" w:rsidP="00EE4B8F">
          <w:pPr>
            <w:numPr>
              <w:ilvl w:val="0"/>
              <w:numId w:val="3"/>
            </w:numPr>
            <w:rPr>
              <w:rFonts w:ascii="华文宋体" w:eastAsia="华文宋体" w:hAnsi="华文宋体"/>
              <w:sz w:val="28"/>
              <w:szCs w:val="28"/>
            </w:rPr>
          </w:pPr>
          <w:r w:rsidRPr="00CB2B39">
            <w:rPr>
              <w:rFonts w:ascii="华文宋体" w:eastAsia="华文宋体" w:hAnsi="华文宋体"/>
              <w:sz w:val="28"/>
              <w:szCs w:val="28"/>
            </w:rPr>
            <w:t>AP-118-TM-2013-01</w:t>
          </w:r>
          <w:r w:rsidRPr="00CB2B39">
            <w:rPr>
              <w:rFonts w:ascii="华文宋体" w:eastAsia="华文宋体" w:hAnsi="华文宋体" w:hint="eastAsia"/>
              <w:sz w:val="28"/>
              <w:szCs w:val="28"/>
            </w:rPr>
            <w:t>《民用机场与地面航空无线电台（站）电磁环境测试规范》。</w:t>
          </w:r>
        </w:p>
        <w:p w:rsidR="00EE4B8F" w:rsidRPr="00CB2B39" w:rsidRDefault="00EE4B8F" w:rsidP="00EE4B8F">
          <w:pPr>
            <w:rPr>
              <w:rFonts w:ascii="华文宋体" w:eastAsia="华文宋体" w:hAnsi="华文宋体"/>
              <w:b/>
              <w:sz w:val="28"/>
              <w:szCs w:val="28"/>
            </w:rPr>
          </w:pPr>
          <w:r w:rsidRPr="00CB2B39">
            <w:rPr>
              <w:rFonts w:ascii="华文宋体" w:eastAsia="华文宋体" w:hAnsi="华文宋体" w:hint="eastAsia"/>
              <w:b/>
              <w:sz w:val="28"/>
              <w:szCs w:val="28"/>
            </w:rPr>
            <w:t>三．服务要求：</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投标方三年内无不良记录；</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按项目采用的相关标准测试；</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本项目自合同签订之日起</w:t>
          </w:r>
          <w:r w:rsidRPr="00CB2B39">
            <w:rPr>
              <w:rFonts w:ascii="华文宋体" w:eastAsia="华文宋体" w:hAnsi="华文宋体"/>
              <w:sz w:val="28"/>
              <w:szCs w:val="28"/>
              <w:u w:val="single"/>
            </w:rPr>
            <w:t>2</w:t>
          </w:r>
          <w:r w:rsidRPr="00CB2B39">
            <w:rPr>
              <w:rFonts w:ascii="华文宋体" w:eastAsia="华文宋体" w:hAnsi="华文宋体" w:hint="eastAsia"/>
              <w:sz w:val="28"/>
              <w:szCs w:val="28"/>
            </w:rPr>
            <w:t>个月内完成；</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项目完成后投标方出具的测试报告应符合《民用机场与地面航空无线电台（站）电磁环境测试规范》</w:t>
          </w:r>
          <w:r w:rsidRPr="00CB2B39">
            <w:rPr>
              <w:rFonts w:ascii="华文宋体" w:eastAsia="华文宋体" w:hAnsi="华文宋体"/>
              <w:sz w:val="28"/>
              <w:szCs w:val="28"/>
            </w:rPr>
            <w:t>AP-118-TM-2013</w:t>
          </w:r>
          <w:r w:rsidRPr="00CB2B39">
            <w:rPr>
              <w:rFonts w:ascii="华文宋体" w:eastAsia="华文宋体" w:hAnsi="华文宋体" w:hint="eastAsia"/>
              <w:sz w:val="28"/>
              <w:szCs w:val="28"/>
            </w:rPr>
            <w:t>要求并经采购方验收合格；</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投标方提供项目实施方案；</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投标方应具备</w:t>
          </w:r>
          <w:r w:rsidRPr="00CB2B39">
            <w:rPr>
              <w:rFonts w:ascii="华文宋体" w:eastAsia="华文宋体" w:hAnsi="华文宋体"/>
              <w:sz w:val="28"/>
              <w:szCs w:val="28"/>
            </w:rPr>
            <w:t>CMA</w:t>
          </w:r>
          <w:r w:rsidRPr="00CB2B39">
            <w:rPr>
              <w:rFonts w:ascii="华文宋体" w:eastAsia="华文宋体" w:hAnsi="华文宋体" w:hint="eastAsia"/>
              <w:sz w:val="28"/>
              <w:szCs w:val="28"/>
            </w:rPr>
            <w:t>资质且具有电磁兼容或电磁环境测试服务项目；</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投标方应具备</w:t>
          </w:r>
          <w:r w:rsidRPr="00CB2B39">
            <w:rPr>
              <w:rFonts w:ascii="华文宋体" w:eastAsia="华文宋体" w:hAnsi="华文宋体"/>
              <w:sz w:val="28"/>
              <w:szCs w:val="28"/>
            </w:rPr>
            <w:t>CNAS</w:t>
          </w:r>
          <w:r w:rsidRPr="00CB2B39">
            <w:rPr>
              <w:rFonts w:ascii="华文宋体" w:eastAsia="华文宋体" w:hAnsi="华文宋体" w:hint="eastAsia"/>
              <w:sz w:val="28"/>
              <w:szCs w:val="28"/>
            </w:rPr>
            <w:t>资质且具有电磁兼容或电磁环境测试服务项目；</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lastRenderedPageBreak/>
            <w:t>验收合格后服务款项一次付清；</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测试设备按周期检定校准；</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本次采购不接受联合体投标，不接受分包、转包。</w:t>
          </w:r>
        </w:p>
        <w:p w:rsidR="00EE4B8F" w:rsidRPr="00CB2B39" w:rsidRDefault="00EE4B8F" w:rsidP="00EE4B8F">
          <w:pPr>
            <w:rPr>
              <w:sz w:val="28"/>
              <w:szCs w:val="28"/>
            </w:rPr>
          </w:pPr>
        </w:p>
        <w:p w:rsidR="00EE4B8F" w:rsidRPr="00CB2B39" w:rsidRDefault="00EE4B8F" w:rsidP="00EE4B8F">
          <w:pPr>
            <w:rPr>
              <w:sz w:val="28"/>
              <w:szCs w:val="28"/>
            </w:rPr>
          </w:pPr>
        </w:p>
        <w:p w:rsidR="00EE4B8F" w:rsidRPr="00CB2B39" w:rsidRDefault="00EE4B8F" w:rsidP="00EE4B8F">
          <w:pPr>
            <w:rPr>
              <w:sz w:val="28"/>
              <w:szCs w:val="28"/>
            </w:rPr>
          </w:pPr>
        </w:p>
        <w:p w:rsidR="00EE4B8F" w:rsidRDefault="00EE4B8F" w:rsidP="00EE4B8F">
          <w:pPr>
            <w:jc w:val="center"/>
            <w:rPr>
              <w:rFonts w:ascii="华文宋体" w:eastAsia="华文宋体" w:hAnsi="华文宋体"/>
              <w:sz w:val="28"/>
              <w:szCs w:val="28"/>
            </w:rPr>
          </w:pPr>
        </w:p>
        <w:p w:rsidR="00EE4B8F" w:rsidRDefault="00EE4B8F" w:rsidP="00EE4B8F">
          <w:pPr>
            <w:jc w:val="center"/>
            <w:rPr>
              <w:rFonts w:ascii="华文宋体" w:eastAsia="华文宋体" w:hAnsi="华文宋体"/>
              <w:sz w:val="28"/>
              <w:szCs w:val="28"/>
            </w:rPr>
          </w:pPr>
        </w:p>
        <w:p w:rsidR="00EE4B8F" w:rsidRDefault="00EE4B8F" w:rsidP="00EE4B8F">
          <w:pPr>
            <w:jc w:val="center"/>
            <w:rPr>
              <w:rFonts w:ascii="华文宋体" w:eastAsia="华文宋体" w:hAnsi="华文宋体"/>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Default="00EE4B8F" w:rsidP="00EE4B8F">
          <w:pPr>
            <w:jc w:val="center"/>
            <w:rPr>
              <w:rFonts w:ascii="仿宋" w:hAnsi="仿宋" w:cs="Arial"/>
              <w:b/>
              <w:bCs/>
              <w:sz w:val="28"/>
              <w:szCs w:val="28"/>
            </w:rPr>
          </w:pPr>
        </w:p>
        <w:p w:rsidR="00EE4B8F" w:rsidRPr="00CB2B39" w:rsidRDefault="00EE4B8F" w:rsidP="00EE4B8F">
          <w:pPr>
            <w:jc w:val="center"/>
            <w:rPr>
              <w:rFonts w:ascii="仿宋" w:hAnsi="仿宋" w:cs="Arial"/>
              <w:b/>
              <w:bCs/>
              <w:sz w:val="28"/>
              <w:szCs w:val="28"/>
            </w:rPr>
          </w:pPr>
        </w:p>
        <w:p w:rsidR="00EE4B8F" w:rsidRPr="00CB2B39" w:rsidRDefault="00EE4B8F" w:rsidP="00EE4B8F">
          <w:pPr>
            <w:jc w:val="center"/>
            <w:rPr>
              <w:rFonts w:ascii="仿宋" w:hAnsi="仿宋" w:cs="Arial"/>
              <w:b/>
              <w:bCs/>
              <w:sz w:val="28"/>
              <w:szCs w:val="28"/>
            </w:rPr>
          </w:pPr>
        </w:p>
        <w:p w:rsidR="00EE4B8F" w:rsidRPr="00CB2B39" w:rsidRDefault="00EE4B8F" w:rsidP="00EE4B8F">
          <w:pPr>
            <w:jc w:val="center"/>
            <w:rPr>
              <w:rFonts w:ascii="仿宋" w:hAnsi="仿宋" w:cs="Arial"/>
              <w:b/>
              <w:bCs/>
              <w:sz w:val="28"/>
              <w:szCs w:val="28"/>
            </w:rPr>
          </w:pPr>
        </w:p>
        <w:p w:rsidR="00EE4B8F" w:rsidRPr="00CB2B39" w:rsidRDefault="00EE4B8F" w:rsidP="00EE4B8F">
          <w:pPr>
            <w:jc w:val="center"/>
            <w:rPr>
              <w:rFonts w:ascii="仿宋" w:eastAsia="仿宋" w:hAnsi="仿宋" w:cs="Arial"/>
              <w:b/>
              <w:bCs/>
              <w:sz w:val="28"/>
              <w:szCs w:val="28"/>
            </w:rPr>
          </w:pPr>
        </w:p>
        <w:p w:rsidR="00EE4B8F" w:rsidRPr="00CB2B39" w:rsidRDefault="00EE4B8F" w:rsidP="00EE4B8F">
          <w:pPr>
            <w:jc w:val="center"/>
            <w:rPr>
              <w:rFonts w:ascii="华文宋体" w:eastAsia="华文宋体" w:hAnsi="华文宋体"/>
              <w:b/>
              <w:sz w:val="28"/>
              <w:szCs w:val="28"/>
            </w:rPr>
          </w:pPr>
          <w:r w:rsidRPr="00CB2B39">
            <w:rPr>
              <w:rFonts w:ascii="华文宋体" w:eastAsia="华文宋体" w:hAnsi="华文宋体"/>
              <w:b/>
              <w:sz w:val="28"/>
              <w:szCs w:val="28"/>
            </w:rPr>
            <w:t>2017</w:t>
          </w:r>
          <w:r w:rsidRPr="00CB2B39">
            <w:rPr>
              <w:rFonts w:ascii="华文宋体" w:eastAsia="华文宋体" w:hAnsi="华文宋体" w:hint="eastAsia"/>
              <w:b/>
              <w:sz w:val="28"/>
              <w:szCs w:val="28"/>
            </w:rPr>
            <w:t>营口市无线电管理监测计算站</w:t>
          </w:r>
        </w:p>
        <w:p w:rsidR="00EE4B8F" w:rsidRPr="00CB2B39" w:rsidRDefault="00EE4B8F" w:rsidP="00EE4B8F">
          <w:pPr>
            <w:jc w:val="center"/>
            <w:rPr>
              <w:rFonts w:ascii="华文宋体" w:eastAsia="华文宋体" w:hAnsi="华文宋体"/>
              <w:b/>
              <w:sz w:val="28"/>
              <w:szCs w:val="28"/>
            </w:rPr>
          </w:pPr>
          <w:r w:rsidRPr="00CB2B39">
            <w:rPr>
              <w:rFonts w:ascii="华文宋体" w:eastAsia="华文宋体" w:hAnsi="华文宋体" w:hint="eastAsia"/>
              <w:b/>
              <w:sz w:val="28"/>
              <w:szCs w:val="28"/>
            </w:rPr>
            <w:t>公众基站设备检测服务项目采购需求</w:t>
          </w:r>
        </w:p>
        <w:p w:rsidR="00EE4B8F" w:rsidRPr="00CB2B39" w:rsidRDefault="00EE4B8F" w:rsidP="00EE4B8F">
          <w:pPr>
            <w:numPr>
              <w:ilvl w:val="0"/>
              <w:numId w:val="1"/>
            </w:numPr>
            <w:spacing w:beforeLines="50" w:before="156" w:afterLines="50" w:after="156"/>
            <w:rPr>
              <w:rFonts w:ascii="华文宋体" w:eastAsia="华文宋体" w:hAnsi="华文宋体"/>
              <w:b/>
              <w:sz w:val="28"/>
              <w:szCs w:val="28"/>
            </w:rPr>
          </w:pPr>
          <w:r w:rsidRPr="00CB2B39">
            <w:rPr>
              <w:rFonts w:ascii="华文宋体" w:eastAsia="华文宋体" w:hAnsi="华文宋体" w:hint="eastAsia"/>
              <w:b/>
              <w:sz w:val="28"/>
              <w:szCs w:val="28"/>
            </w:rPr>
            <w:t>招标内容</w:t>
          </w:r>
        </w:p>
        <w:p w:rsidR="00EE4B8F" w:rsidRPr="00CB2B39" w:rsidRDefault="00EE4B8F" w:rsidP="00EE4B8F">
          <w:pPr>
            <w:spacing w:beforeLines="50" w:before="156" w:afterLines="50" w:after="156"/>
            <w:ind w:firstLineChars="200" w:firstLine="560"/>
            <w:rPr>
              <w:rFonts w:ascii="华文宋体" w:eastAsia="华文宋体" w:hAnsi="华文宋体"/>
              <w:sz w:val="28"/>
              <w:szCs w:val="28"/>
            </w:rPr>
          </w:pPr>
          <w:r w:rsidRPr="00CB2B39">
            <w:rPr>
              <w:rFonts w:ascii="华文宋体" w:eastAsia="华文宋体" w:hAnsi="华文宋体" w:hint="eastAsia"/>
              <w:sz w:val="28"/>
              <w:szCs w:val="28"/>
            </w:rPr>
            <w:t>营口地区中国移动、中国电信及中国联通所属的在用公众移动通信基站的相关射频指标检测，共检测</w:t>
          </w:r>
          <w:r w:rsidRPr="00CB2B39">
            <w:rPr>
              <w:rFonts w:ascii="华文宋体" w:eastAsia="华文宋体" w:hAnsi="华文宋体"/>
              <w:sz w:val="28"/>
              <w:szCs w:val="28"/>
            </w:rPr>
            <w:t>150</w:t>
          </w:r>
          <w:r w:rsidRPr="00CB2B39">
            <w:rPr>
              <w:rFonts w:ascii="华文宋体" w:eastAsia="华文宋体" w:hAnsi="华文宋体" w:hint="eastAsia"/>
              <w:sz w:val="28"/>
              <w:szCs w:val="28"/>
            </w:rPr>
            <w:t>台发射机。</w:t>
          </w:r>
        </w:p>
        <w:p w:rsidR="00EE4B8F" w:rsidRPr="00CB2B39" w:rsidRDefault="00EE4B8F" w:rsidP="00EE4B8F">
          <w:pPr>
            <w:spacing w:line="400" w:lineRule="exact"/>
            <w:rPr>
              <w:rFonts w:ascii="华文宋体" w:eastAsia="华文宋体" w:hAnsi="华文宋体"/>
              <w:sz w:val="28"/>
              <w:szCs w:val="28"/>
            </w:rPr>
          </w:pPr>
          <w:r w:rsidRPr="00CB2B39">
            <w:rPr>
              <w:rFonts w:ascii="华文宋体" w:eastAsia="华文宋体" w:hAnsi="华文宋体" w:hint="eastAsia"/>
              <w:sz w:val="28"/>
              <w:szCs w:val="28"/>
            </w:rPr>
            <w:t>基站检测射频指标：</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578"/>
            <w:gridCol w:w="3321"/>
          </w:tblGrid>
          <w:tr w:rsidR="00EE4B8F" w:rsidRPr="00CB2B39" w:rsidTr="00867D04">
            <w:tc>
              <w:tcPr>
                <w:tcW w:w="817"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序号</w:t>
                </w:r>
              </w:p>
            </w:tc>
            <w:tc>
              <w:tcPr>
                <w:tcW w:w="3578"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设备名称</w:t>
                </w: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测试项目</w:t>
                </w:r>
              </w:p>
            </w:tc>
          </w:tr>
          <w:tr w:rsidR="00EE4B8F" w:rsidRPr="00CB2B39" w:rsidTr="00867D04">
            <w:trPr>
              <w:trHeight w:val="70"/>
            </w:trPr>
            <w:tc>
              <w:tcPr>
                <w:tcW w:w="817" w:type="dxa"/>
                <w:vMerge w:val="restart"/>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sz w:val="28"/>
                    <w:szCs w:val="28"/>
                  </w:rPr>
                  <w:t>1</w:t>
                </w:r>
              </w:p>
            </w:tc>
            <w:tc>
              <w:tcPr>
                <w:tcW w:w="3578" w:type="dxa"/>
                <w:vMerge w:val="restart"/>
                <w:vAlign w:val="center"/>
              </w:tcPr>
              <w:p w:rsidR="00EE4B8F" w:rsidRPr="00CB2B39" w:rsidRDefault="00EE4B8F" w:rsidP="00867D04">
                <w:pPr>
                  <w:spacing w:line="400" w:lineRule="exact"/>
                  <w:rPr>
                    <w:rFonts w:ascii="华文宋体" w:eastAsia="华文宋体" w:hAnsi="华文宋体"/>
                    <w:sz w:val="28"/>
                    <w:szCs w:val="28"/>
                  </w:rPr>
                </w:pPr>
                <w:r w:rsidRPr="00CB2B39">
                  <w:rPr>
                    <w:rFonts w:ascii="华文宋体" w:eastAsia="华文宋体" w:hAnsi="华文宋体" w:hint="eastAsia"/>
                    <w:sz w:val="28"/>
                    <w:szCs w:val="28"/>
                  </w:rPr>
                  <w:t>数字蜂窝基地台</w:t>
                </w: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相位误差和平均频率误差</w:t>
                </w:r>
              </w:p>
            </w:tc>
          </w:tr>
          <w:tr w:rsidR="00EE4B8F" w:rsidRPr="00CB2B39" w:rsidTr="00867D04">
            <w:trPr>
              <w:trHeight w:val="67"/>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sz w:val="28"/>
                    <w:szCs w:val="28"/>
                  </w:rPr>
                  <w:t>RF</w:t>
                </w:r>
                <w:r w:rsidRPr="00CB2B39">
                  <w:rPr>
                    <w:rFonts w:ascii="华文宋体" w:eastAsia="华文宋体" w:hAnsi="华文宋体" w:hint="eastAsia"/>
                    <w:sz w:val="28"/>
                    <w:szCs w:val="28"/>
                  </w:rPr>
                  <w:t>载波平均发射功率</w:t>
                </w:r>
              </w:p>
            </w:tc>
          </w:tr>
          <w:tr w:rsidR="00EE4B8F" w:rsidRPr="00CB2B39" w:rsidTr="00867D04">
            <w:trPr>
              <w:trHeight w:val="67"/>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sz w:val="28"/>
                    <w:szCs w:val="28"/>
                  </w:rPr>
                  <w:t>RF</w:t>
                </w:r>
                <w:r w:rsidRPr="00CB2B39">
                  <w:rPr>
                    <w:rFonts w:ascii="华文宋体" w:eastAsia="华文宋体" w:hAnsi="华文宋体" w:hint="eastAsia"/>
                    <w:sz w:val="28"/>
                    <w:szCs w:val="28"/>
                  </w:rPr>
                  <w:t>载波功率时间包络</w:t>
                </w:r>
              </w:p>
            </w:tc>
          </w:tr>
          <w:tr w:rsidR="00EE4B8F" w:rsidRPr="00CB2B39" w:rsidTr="00867D04">
            <w:trPr>
              <w:trHeight w:val="67"/>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邻道功率</w:t>
                </w:r>
              </w:p>
            </w:tc>
          </w:tr>
          <w:tr w:rsidR="00EE4B8F" w:rsidRPr="00CB2B39" w:rsidTr="00867D04">
            <w:trPr>
              <w:trHeight w:val="67"/>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传导杂散发射</w:t>
                </w:r>
              </w:p>
            </w:tc>
          </w:tr>
          <w:tr w:rsidR="00EE4B8F" w:rsidRPr="00CB2B39" w:rsidTr="00867D04">
            <w:trPr>
              <w:trHeight w:val="70"/>
            </w:trPr>
            <w:tc>
              <w:tcPr>
                <w:tcW w:w="817" w:type="dxa"/>
                <w:vMerge w:val="restart"/>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sz w:val="28"/>
                    <w:szCs w:val="28"/>
                  </w:rPr>
                  <w:t>2</w:t>
                </w:r>
              </w:p>
            </w:tc>
            <w:tc>
              <w:tcPr>
                <w:tcW w:w="3578" w:type="dxa"/>
                <w:vMerge w:val="restart"/>
                <w:vAlign w:val="center"/>
              </w:tcPr>
              <w:p w:rsidR="00EE4B8F" w:rsidRPr="00CB2B39" w:rsidRDefault="00EE4B8F" w:rsidP="00867D04">
                <w:pPr>
                  <w:spacing w:line="400" w:lineRule="exact"/>
                  <w:rPr>
                    <w:rFonts w:ascii="华文宋体" w:eastAsia="华文宋体" w:hAnsi="华文宋体"/>
                    <w:sz w:val="28"/>
                    <w:szCs w:val="28"/>
                  </w:rPr>
                </w:pPr>
                <w:r w:rsidRPr="00CB2B39">
                  <w:rPr>
                    <w:rFonts w:ascii="华文宋体" w:eastAsia="华文宋体" w:hAnsi="华文宋体"/>
                    <w:sz w:val="28"/>
                    <w:szCs w:val="28"/>
                  </w:rPr>
                  <w:t>CDMA</w:t>
                </w:r>
                <w:r w:rsidRPr="00CB2B39">
                  <w:rPr>
                    <w:rFonts w:ascii="华文宋体" w:eastAsia="华文宋体" w:hAnsi="华文宋体" w:hint="eastAsia"/>
                    <w:sz w:val="28"/>
                    <w:szCs w:val="28"/>
                  </w:rPr>
                  <w:t>数字蜂窝基地台</w:t>
                </w: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频率容限</w:t>
                </w:r>
              </w:p>
            </w:tc>
          </w:tr>
          <w:tr w:rsidR="00EE4B8F" w:rsidRPr="00CB2B39" w:rsidTr="00867D04">
            <w:trPr>
              <w:trHeight w:val="67"/>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调制要求</w:t>
                </w:r>
              </w:p>
            </w:tc>
          </w:tr>
          <w:tr w:rsidR="00EE4B8F" w:rsidRPr="00CB2B39" w:rsidTr="00867D04">
            <w:trPr>
              <w:trHeight w:val="67"/>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sz w:val="28"/>
                    <w:szCs w:val="28"/>
                  </w:rPr>
                  <w:t>RF</w:t>
                </w:r>
                <w:r w:rsidRPr="00CB2B39">
                  <w:rPr>
                    <w:rFonts w:ascii="华文宋体" w:eastAsia="华文宋体" w:hAnsi="华文宋体" w:hint="eastAsia"/>
                    <w:sz w:val="28"/>
                    <w:szCs w:val="28"/>
                  </w:rPr>
                  <w:t>输出功率要求</w:t>
                </w:r>
              </w:p>
            </w:tc>
          </w:tr>
          <w:tr w:rsidR="00EE4B8F" w:rsidRPr="00CB2B39" w:rsidTr="00867D04">
            <w:trPr>
              <w:trHeight w:val="67"/>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传导杂散发射</w:t>
                </w:r>
              </w:p>
            </w:tc>
          </w:tr>
          <w:tr w:rsidR="00EE4B8F" w:rsidRPr="00CB2B39" w:rsidTr="00867D04">
            <w:trPr>
              <w:trHeight w:val="67"/>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占用带宽</w:t>
                </w:r>
              </w:p>
            </w:tc>
          </w:tr>
          <w:tr w:rsidR="00EE4B8F" w:rsidRPr="00CB2B39" w:rsidTr="00867D04">
            <w:trPr>
              <w:trHeight w:val="44"/>
            </w:trPr>
            <w:tc>
              <w:tcPr>
                <w:tcW w:w="817" w:type="dxa"/>
                <w:vMerge w:val="restart"/>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sz w:val="28"/>
                    <w:szCs w:val="28"/>
                  </w:rPr>
                  <w:t>3</w:t>
                </w:r>
              </w:p>
            </w:tc>
            <w:tc>
              <w:tcPr>
                <w:tcW w:w="3578" w:type="dxa"/>
                <w:vMerge w:val="restart"/>
                <w:vAlign w:val="center"/>
              </w:tcPr>
              <w:p w:rsidR="00EE4B8F" w:rsidRPr="00CB2B39" w:rsidRDefault="00EE4B8F" w:rsidP="00867D04">
                <w:pPr>
                  <w:spacing w:line="400" w:lineRule="exact"/>
                  <w:rPr>
                    <w:rFonts w:ascii="华文宋体" w:eastAsia="华文宋体" w:hAnsi="华文宋体"/>
                    <w:sz w:val="28"/>
                    <w:szCs w:val="28"/>
                  </w:rPr>
                </w:pPr>
                <w:r w:rsidRPr="00CB2B39">
                  <w:rPr>
                    <w:rFonts w:ascii="华文宋体" w:eastAsia="华文宋体" w:hAnsi="华文宋体"/>
                    <w:sz w:val="28"/>
                    <w:szCs w:val="28"/>
                  </w:rPr>
                  <w:t>WCDMA</w:t>
                </w:r>
                <w:r w:rsidRPr="00CB2B39">
                  <w:rPr>
                    <w:rFonts w:ascii="华文宋体" w:eastAsia="华文宋体" w:hAnsi="华文宋体" w:hint="eastAsia"/>
                    <w:sz w:val="28"/>
                    <w:szCs w:val="28"/>
                  </w:rPr>
                  <w:t>数字蜂窝基地台</w:t>
                </w: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最大输出功率</w:t>
                </w:r>
              </w:p>
            </w:tc>
          </w:tr>
          <w:tr w:rsidR="00EE4B8F" w:rsidRPr="00CB2B39" w:rsidTr="00867D04">
            <w:trPr>
              <w:trHeight w:val="4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频率容限</w:t>
                </w:r>
              </w:p>
            </w:tc>
          </w:tr>
          <w:tr w:rsidR="00EE4B8F" w:rsidRPr="00CB2B39" w:rsidTr="00867D04">
            <w:trPr>
              <w:trHeight w:val="4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占用带宽</w:t>
                </w:r>
              </w:p>
            </w:tc>
          </w:tr>
          <w:tr w:rsidR="00EE4B8F" w:rsidRPr="00CB2B39" w:rsidTr="00867D04">
            <w:trPr>
              <w:trHeight w:val="4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频谱发射模板</w:t>
                </w:r>
              </w:p>
            </w:tc>
          </w:tr>
          <w:tr w:rsidR="00EE4B8F" w:rsidRPr="00CB2B39" w:rsidTr="00867D04">
            <w:trPr>
              <w:trHeight w:val="4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邻</w:t>
                </w:r>
                <w:r w:rsidRPr="00CB2B39">
                  <w:rPr>
                    <w:rFonts w:ascii="华文宋体" w:eastAsia="华文宋体" w:hAnsi="华文宋体"/>
                    <w:sz w:val="28"/>
                    <w:szCs w:val="28"/>
                  </w:rPr>
                  <w:t>—</w:t>
                </w:r>
                <w:r w:rsidRPr="00CB2B39">
                  <w:rPr>
                    <w:rFonts w:ascii="华文宋体" w:eastAsia="华文宋体" w:hAnsi="华文宋体" w:hint="eastAsia"/>
                    <w:sz w:val="28"/>
                    <w:szCs w:val="28"/>
                  </w:rPr>
                  <w:t>道泄漏抑制比</w:t>
                </w:r>
              </w:p>
            </w:tc>
          </w:tr>
          <w:tr w:rsidR="00EE4B8F" w:rsidRPr="00CB2B39" w:rsidTr="00867D04">
            <w:trPr>
              <w:trHeight w:val="4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杂散辐射</w:t>
                </w:r>
              </w:p>
            </w:tc>
          </w:tr>
          <w:tr w:rsidR="00EE4B8F" w:rsidRPr="00CB2B39" w:rsidTr="00867D04">
            <w:trPr>
              <w:trHeight w:val="4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向量误差幅度</w:t>
                </w:r>
              </w:p>
            </w:tc>
          </w:tr>
          <w:tr w:rsidR="00EE4B8F" w:rsidRPr="00CB2B39" w:rsidTr="00867D04">
            <w:trPr>
              <w:trHeight w:val="4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proofErr w:type="gramStart"/>
                <w:r w:rsidRPr="00CB2B39">
                  <w:rPr>
                    <w:rFonts w:ascii="华文宋体" w:eastAsia="华文宋体" w:hAnsi="华文宋体" w:hint="eastAsia"/>
                    <w:sz w:val="28"/>
                    <w:szCs w:val="28"/>
                  </w:rPr>
                  <w:t>峰值码域误差</w:t>
                </w:r>
                <w:proofErr w:type="gramEnd"/>
              </w:p>
            </w:tc>
          </w:tr>
          <w:tr w:rsidR="00EE4B8F" w:rsidRPr="00CB2B39" w:rsidTr="00867D04">
            <w:trPr>
              <w:trHeight w:val="114"/>
            </w:trPr>
            <w:tc>
              <w:tcPr>
                <w:tcW w:w="817" w:type="dxa"/>
                <w:vMerge w:val="restart"/>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sz w:val="28"/>
                    <w:szCs w:val="28"/>
                  </w:rPr>
                  <w:t>4</w:t>
                </w:r>
              </w:p>
            </w:tc>
            <w:tc>
              <w:tcPr>
                <w:tcW w:w="3578" w:type="dxa"/>
                <w:vMerge w:val="restart"/>
                <w:vAlign w:val="center"/>
              </w:tcPr>
              <w:p w:rsidR="00EE4B8F" w:rsidRPr="00CB2B39" w:rsidRDefault="00EE4B8F" w:rsidP="00867D04">
                <w:pPr>
                  <w:spacing w:line="400" w:lineRule="exact"/>
                  <w:rPr>
                    <w:rFonts w:ascii="华文宋体" w:eastAsia="华文宋体" w:hAnsi="华文宋体"/>
                    <w:sz w:val="28"/>
                    <w:szCs w:val="28"/>
                  </w:rPr>
                </w:pPr>
                <w:r w:rsidRPr="00CB2B39">
                  <w:rPr>
                    <w:rFonts w:ascii="华文宋体" w:eastAsia="华文宋体" w:hAnsi="华文宋体"/>
                    <w:sz w:val="28"/>
                    <w:szCs w:val="28"/>
                  </w:rPr>
                  <w:t>cdma2000</w:t>
                </w:r>
                <w:r w:rsidRPr="00CB2B39">
                  <w:rPr>
                    <w:rFonts w:ascii="华文宋体" w:eastAsia="华文宋体" w:hAnsi="华文宋体" w:hint="eastAsia"/>
                    <w:sz w:val="28"/>
                    <w:szCs w:val="28"/>
                  </w:rPr>
                  <w:t>数字蜂窝基地台</w:t>
                </w: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频率容限</w:t>
                </w:r>
              </w:p>
            </w:tc>
          </w:tr>
          <w:tr w:rsidR="00EE4B8F" w:rsidRPr="00CB2B39" w:rsidTr="00867D04">
            <w:trPr>
              <w:trHeight w:val="110"/>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最大输出功率</w:t>
                </w:r>
              </w:p>
            </w:tc>
          </w:tr>
          <w:tr w:rsidR="00EE4B8F" w:rsidRPr="00CB2B39" w:rsidTr="00867D04">
            <w:trPr>
              <w:trHeight w:val="110"/>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导频功率</w:t>
                </w:r>
              </w:p>
            </w:tc>
          </w:tr>
          <w:tr w:rsidR="00EE4B8F" w:rsidRPr="00CB2B39" w:rsidTr="00867D04">
            <w:trPr>
              <w:trHeight w:val="110"/>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波形质量</w:t>
                </w:r>
              </w:p>
            </w:tc>
          </w:tr>
          <w:tr w:rsidR="00EE4B8F" w:rsidRPr="00CB2B39" w:rsidTr="00867D04">
            <w:trPr>
              <w:trHeight w:val="110"/>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杂散发射</w:t>
                </w:r>
              </w:p>
            </w:tc>
          </w:tr>
          <w:tr w:rsidR="00EE4B8F" w:rsidRPr="00CB2B39" w:rsidTr="00867D04">
            <w:trPr>
              <w:trHeight w:val="110"/>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占用带宽</w:t>
                </w:r>
              </w:p>
            </w:tc>
          </w:tr>
          <w:tr w:rsidR="00EE4B8F" w:rsidRPr="00CB2B39" w:rsidTr="00867D04">
            <w:trPr>
              <w:trHeight w:val="136"/>
            </w:trPr>
            <w:tc>
              <w:tcPr>
                <w:tcW w:w="817" w:type="dxa"/>
                <w:vMerge w:val="restart"/>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sz w:val="28"/>
                    <w:szCs w:val="28"/>
                  </w:rPr>
                  <w:t>4</w:t>
                </w:r>
              </w:p>
            </w:tc>
            <w:tc>
              <w:tcPr>
                <w:tcW w:w="3578" w:type="dxa"/>
                <w:vMerge w:val="restart"/>
                <w:vAlign w:val="center"/>
              </w:tcPr>
              <w:p w:rsidR="00EE4B8F" w:rsidRPr="00CB2B39" w:rsidRDefault="00EE4B8F" w:rsidP="00867D04">
                <w:pPr>
                  <w:spacing w:line="400" w:lineRule="exact"/>
                  <w:rPr>
                    <w:rFonts w:ascii="华文宋体" w:eastAsia="华文宋体" w:hAnsi="华文宋体"/>
                    <w:sz w:val="28"/>
                    <w:szCs w:val="28"/>
                  </w:rPr>
                </w:pPr>
                <w:r w:rsidRPr="00CB2B39">
                  <w:rPr>
                    <w:rFonts w:ascii="华文宋体" w:eastAsia="华文宋体" w:hAnsi="华文宋体"/>
                    <w:sz w:val="28"/>
                    <w:szCs w:val="28"/>
                  </w:rPr>
                  <w:t>TD-LTE</w:t>
                </w:r>
                <w:r w:rsidRPr="00CB2B39">
                  <w:rPr>
                    <w:rFonts w:ascii="华文宋体" w:eastAsia="华文宋体" w:hAnsi="华文宋体" w:hint="eastAsia"/>
                    <w:sz w:val="28"/>
                    <w:szCs w:val="28"/>
                  </w:rPr>
                  <w:t>数字蜂窝移动通信网基站设备</w:t>
                </w: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基站发射功率</w:t>
                </w:r>
              </w:p>
            </w:tc>
          </w:tr>
          <w:tr w:rsidR="00EE4B8F" w:rsidRPr="00CB2B39" w:rsidTr="00867D04">
            <w:trPr>
              <w:trHeight w:val="13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频率误差</w:t>
                </w:r>
              </w:p>
            </w:tc>
          </w:tr>
          <w:tr w:rsidR="00EE4B8F" w:rsidRPr="00CB2B39" w:rsidTr="00867D04">
            <w:trPr>
              <w:trHeight w:val="13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占用带宽</w:t>
                </w:r>
              </w:p>
            </w:tc>
          </w:tr>
          <w:tr w:rsidR="00EE4B8F" w:rsidRPr="00CB2B39" w:rsidTr="00867D04">
            <w:trPr>
              <w:trHeight w:val="13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邻道抑制比</w:t>
                </w:r>
              </w:p>
            </w:tc>
          </w:tr>
          <w:tr w:rsidR="00EE4B8F" w:rsidRPr="00CB2B39" w:rsidTr="00867D04">
            <w:trPr>
              <w:trHeight w:val="13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杂散辐射</w:t>
                </w:r>
              </w:p>
            </w:tc>
          </w:tr>
          <w:tr w:rsidR="00EE4B8F" w:rsidRPr="00CB2B39" w:rsidTr="00867D04">
            <w:trPr>
              <w:trHeight w:val="136"/>
            </w:trPr>
            <w:tc>
              <w:tcPr>
                <w:tcW w:w="817" w:type="dxa"/>
                <w:vMerge w:val="restart"/>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sz w:val="28"/>
                    <w:szCs w:val="28"/>
                  </w:rPr>
                  <w:t>5</w:t>
                </w:r>
              </w:p>
            </w:tc>
            <w:tc>
              <w:tcPr>
                <w:tcW w:w="3578" w:type="dxa"/>
                <w:vMerge w:val="restart"/>
                <w:vAlign w:val="center"/>
              </w:tcPr>
              <w:p w:rsidR="00EE4B8F" w:rsidRPr="00CB2B39" w:rsidRDefault="00EE4B8F" w:rsidP="00867D04">
                <w:pPr>
                  <w:spacing w:line="400" w:lineRule="exact"/>
                  <w:rPr>
                    <w:rFonts w:ascii="华文宋体" w:eastAsia="华文宋体" w:hAnsi="华文宋体"/>
                    <w:sz w:val="28"/>
                    <w:szCs w:val="28"/>
                  </w:rPr>
                </w:pPr>
                <w:r w:rsidRPr="00CB2B39">
                  <w:rPr>
                    <w:rFonts w:ascii="华文宋体" w:eastAsia="华文宋体" w:hAnsi="华文宋体"/>
                    <w:sz w:val="28"/>
                    <w:szCs w:val="28"/>
                  </w:rPr>
                  <w:t>LTE FDD</w:t>
                </w:r>
                <w:r w:rsidRPr="00CB2B39">
                  <w:rPr>
                    <w:rFonts w:ascii="华文宋体" w:eastAsia="华文宋体" w:hAnsi="华文宋体" w:hint="eastAsia"/>
                    <w:sz w:val="28"/>
                    <w:szCs w:val="28"/>
                  </w:rPr>
                  <w:t>数字蜂窝移动通信网基站设备</w:t>
                </w: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基站发射功率</w:t>
                </w:r>
              </w:p>
            </w:tc>
          </w:tr>
          <w:tr w:rsidR="00EE4B8F" w:rsidRPr="00CB2B39" w:rsidTr="00867D04">
            <w:trPr>
              <w:trHeight w:val="13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频率误差</w:t>
                </w:r>
              </w:p>
            </w:tc>
          </w:tr>
          <w:tr w:rsidR="00EE4B8F" w:rsidRPr="00CB2B39" w:rsidTr="00867D04">
            <w:trPr>
              <w:trHeight w:val="13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占用带宽</w:t>
                </w:r>
              </w:p>
            </w:tc>
          </w:tr>
          <w:tr w:rsidR="00EE4B8F" w:rsidRPr="00CB2B39" w:rsidTr="00867D04">
            <w:trPr>
              <w:trHeight w:val="13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邻道抑制比</w:t>
                </w:r>
              </w:p>
            </w:tc>
          </w:tr>
          <w:tr w:rsidR="00EE4B8F" w:rsidRPr="00CB2B39" w:rsidTr="00867D04">
            <w:trPr>
              <w:trHeight w:val="132"/>
            </w:trPr>
            <w:tc>
              <w:tcPr>
                <w:tcW w:w="817"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578" w:type="dxa"/>
                <w:vMerge/>
                <w:vAlign w:val="center"/>
              </w:tcPr>
              <w:p w:rsidR="00EE4B8F" w:rsidRPr="00CB2B39" w:rsidRDefault="00EE4B8F" w:rsidP="00867D04">
                <w:pPr>
                  <w:spacing w:line="400" w:lineRule="exact"/>
                  <w:jc w:val="center"/>
                  <w:rPr>
                    <w:rFonts w:ascii="华文宋体" w:eastAsia="华文宋体" w:hAnsi="华文宋体"/>
                    <w:sz w:val="28"/>
                    <w:szCs w:val="28"/>
                  </w:rPr>
                </w:pPr>
              </w:p>
            </w:tc>
            <w:tc>
              <w:tcPr>
                <w:tcW w:w="3321" w:type="dxa"/>
                <w:vAlign w:val="center"/>
              </w:tcPr>
              <w:p w:rsidR="00EE4B8F" w:rsidRPr="00CB2B39" w:rsidRDefault="00EE4B8F" w:rsidP="00867D04">
                <w:pPr>
                  <w:spacing w:line="400" w:lineRule="exact"/>
                  <w:jc w:val="center"/>
                  <w:rPr>
                    <w:rFonts w:ascii="华文宋体" w:eastAsia="华文宋体" w:hAnsi="华文宋体"/>
                    <w:sz w:val="28"/>
                    <w:szCs w:val="28"/>
                  </w:rPr>
                </w:pPr>
                <w:r w:rsidRPr="00CB2B39">
                  <w:rPr>
                    <w:rFonts w:ascii="华文宋体" w:eastAsia="华文宋体" w:hAnsi="华文宋体" w:hint="eastAsia"/>
                    <w:sz w:val="28"/>
                    <w:szCs w:val="28"/>
                  </w:rPr>
                  <w:t>杂散辐射</w:t>
                </w:r>
              </w:p>
            </w:tc>
          </w:tr>
        </w:tbl>
        <w:p w:rsidR="00EE4B8F" w:rsidRPr="00CB2B39" w:rsidRDefault="00EE4B8F" w:rsidP="00EE4B8F">
          <w:pPr>
            <w:numPr>
              <w:ilvl w:val="0"/>
              <w:numId w:val="1"/>
            </w:numPr>
            <w:spacing w:beforeLines="50" w:before="156" w:afterLines="50" w:after="156"/>
            <w:rPr>
              <w:b/>
              <w:sz w:val="28"/>
              <w:szCs w:val="28"/>
            </w:rPr>
          </w:pPr>
          <w:r w:rsidRPr="00CB2B39">
            <w:rPr>
              <w:rFonts w:hint="eastAsia"/>
              <w:b/>
              <w:sz w:val="28"/>
              <w:szCs w:val="28"/>
            </w:rPr>
            <w:lastRenderedPageBreak/>
            <w:t>项目采用的检测标准</w:t>
          </w:r>
          <w:r w:rsidRPr="00CB2B39">
            <w:rPr>
              <w:rFonts w:hint="eastAsia"/>
              <w:sz w:val="28"/>
              <w:szCs w:val="28"/>
            </w:rPr>
            <w:t>：</w:t>
          </w:r>
        </w:p>
        <w:p w:rsidR="00EE4B8F" w:rsidRPr="00CB2B39" w:rsidRDefault="00EE4B8F" w:rsidP="00EE4B8F">
          <w:pPr>
            <w:numPr>
              <w:ilvl w:val="0"/>
              <w:numId w:val="3"/>
            </w:numPr>
            <w:ind w:left="960" w:hangingChars="343" w:hanging="960"/>
            <w:rPr>
              <w:rFonts w:ascii="华文宋体" w:eastAsia="华文宋体" w:hAnsi="华文宋体"/>
              <w:sz w:val="28"/>
              <w:szCs w:val="28"/>
            </w:rPr>
          </w:pPr>
          <w:r w:rsidRPr="00CB2B39">
            <w:rPr>
              <w:rFonts w:ascii="华文宋体" w:eastAsia="华文宋体" w:hAnsi="华文宋体"/>
              <w:sz w:val="28"/>
              <w:szCs w:val="28"/>
            </w:rPr>
            <w:t>YD/T883-2009</w:t>
          </w:r>
          <w:r w:rsidRPr="00CB2B39">
            <w:rPr>
              <w:rFonts w:ascii="华文宋体" w:eastAsia="华文宋体" w:hAnsi="华文宋体" w:hint="eastAsia"/>
              <w:sz w:val="28"/>
              <w:szCs w:val="28"/>
            </w:rPr>
            <w:t>《</w:t>
          </w:r>
          <w:r w:rsidRPr="00CB2B39">
            <w:rPr>
              <w:rFonts w:ascii="华文宋体" w:eastAsia="华文宋体" w:hAnsi="华文宋体"/>
              <w:sz w:val="28"/>
              <w:szCs w:val="28"/>
            </w:rPr>
            <w:t>900/1800MHz TDMA</w:t>
          </w:r>
          <w:r w:rsidRPr="00CB2B39">
            <w:rPr>
              <w:rFonts w:ascii="华文宋体" w:eastAsia="华文宋体" w:hAnsi="华文宋体" w:hint="eastAsia"/>
              <w:sz w:val="28"/>
              <w:szCs w:val="28"/>
            </w:rPr>
            <w:t>数字蜂窝移动通信网基站子系统设备技术要求及无线指标测试方法》；</w:t>
          </w:r>
        </w:p>
        <w:p w:rsidR="00EE4B8F" w:rsidRPr="00CB2B39" w:rsidRDefault="00EE4B8F" w:rsidP="00EE4B8F">
          <w:pPr>
            <w:numPr>
              <w:ilvl w:val="0"/>
              <w:numId w:val="3"/>
            </w:numPr>
            <w:ind w:left="960" w:hangingChars="343" w:hanging="960"/>
            <w:rPr>
              <w:rFonts w:ascii="华文宋体" w:eastAsia="华文宋体" w:hAnsi="华文宋体"/>
              <w:sz w:val="28"/>
              <w:szCs w:val="28"/>
            </w:rPr>
          </w:pPr>
          <w:r w:rsidRPr="00CB2B39">
            <w:rPr>
              <w:rFonts w:ascii="华文宋体" w:eastAsia="华文宋体" w:hAnsi="华文宋体"/>
              <w:sz w:val="28"/>
              <w:szCs w:val="28"/>
            </w:rPr>
            <w:t>YD/T1047-2000</w:t>
          </w:r>
          <w:r w:rsidRPr="00CB2B39">
            <w:rPr>
              <w:rFonts w:ascii="华文宋体" w:eastAsia="华文宋体" w:hAnsi="华文宋体" w:hint="eastAsia"/>
              <w:sz w:val="28"/>
              <w:szCs w:val="28"/>
            </w:rPr>
            <w:t>《</w:t>
          </w:r>
          <w:r w:rsidRPr="00CB2B39">
            <w:rPr>
              <w:rFonts w:ascii="华文宋体" w:eastAsia="华文宋体" w:hAnsi="华文宋体"/>
              <w:sz w:val="28"/>
              <w:szCs w:val="28"/>
            </w:rPr>
            <w:t>800MHz CDMA</w:t>
          </w:r>
          <w:r w:rsidRPr="00CB2B39">
            <w:rPr>
              <w:rFonts w:ascii="华文宋体" w:eastAsia="华文宋体" w:hAnsi="华文宋体" w:hint="eastAsia"/>
              <w:sz w:val="28"/>
              <w:szCs w:val="28"/>
            </w:rPr>
            <w:t>数字蜂窝移动通信网设备总测试规范：基站部分》；</w:t>
          </w:r>
        </w:p>
        <w:p w:rsidR="00EE4B8F" w:rsidRPr="00CB2B39" w:rsidRDefault="00EE4B8F" w:rsidP="00EE4B8F">
          <w:pPr>
            <w:numPr>
              <w:ilvl w:val="0"/>
              <w:numId w:val="3"/>
            </w:numPr>
            <w:ind w:left="960" w:hangingChars="343" w:hanging="960"/>
            <w:rPr>
              <w:rFonts w:ascii="华文宋体" w:eastAsia="华文宋体" w:hAnsi="华文宋体"/>
              <w:sz w:val="28"/>
              <w:szCs w:val="28"/>
            </w:rPr>
          </w:pPr>
          <w:r w:rsidRPr="00CB2B39">
            <w:rPr>
              <w:rFonts w:ascii="华文宋体" w:eastAsia="华文宋体" w:hAnsi="华文宋体"/>
              <w:sz w:val="28"/>
              <w:szCs w:val="28"/>
            </w:rPr>
            <w:t>YD/T 1553-2009</w:t>
          </w:r>
          <w:r w:rsidRPr="00CB2B39">
            <w:rPr>
              <w:rFonts w:ascii="华文宋体" w:eastAsia="华文宋体" w:hAnsi="华文宋体" w:hint="eastAsia"/>
              <w:sz w:val="28"/>
              <w:szCs w:val="28"/>
            </w:rPr>
            <w:t>《</w:t>
          </w:r>
          <w:r w:rsidRPr="00CB2B39">
            <w:rPr>
              <w:rFonts w:ascii="华文宋体" w:eastAsia="华文宋体" w:hAnsi="华文宋体"/>
              <w:sz w:val="28"/>
              <w:szCs w:val="28"/>
            </w:rPr>
            <w:t>2GHz WCDMA</w:t>
          </w:r>
          <w:r w:rsidRPr="00CB2B39">
            <w:rPr>
              <w:rFonts w:ascii="华文宋体" w:eastAsia="华文宋体" w:hAnsi="华文宋体" w:hint="eastAsia"/>
              <w:sz w:val="28"/>
              <w:szCs w:val="28"/>
            </w:rPr>
            <w:t>数字蜂窝移动通信网无线接入网络设备测试方法（第三阶段）》；</w:t>
          </w:r>
        </w:p>
        <w:p w:rsidR="00EE4B8F" w:rsidRPr="00CB2B39" w:rsidRDefault="00EE4B8F" w:rsidP="00EE4B8F">
          <w:pPr>
            <w:numPr>
              <w:ilvl w:val="0"/>
              <w:numId w:val="3"/>
            </w:numPr>
            <w:ind w:left="960" w:hangingChars="343" w:hanging="960"/>
            <w:rPr>
              <w:rFonts w:ascii="华文宋体" w:eastAsia="华文宋体" w:hAnsi="华文宋体"/>
              <w:sz w:val="28"/>
              <w:szCs w:val="28"/>
            </w:rPr>
          </w:pPr>
          <w:r w:rsidRPr="00CB2B39">
            <w:rPr>
              <w:rFonts w:ascii="华文宋体" w:eastAsia="华文宋体" w:hAnsi="华文宋体"/>
              <w:sz w:val="28"/>
              <w:szCs w:val="28"/>
            </w:rPr>
            <w:t>YD/T1573-2013</w:t>
          </w:r>
          <w:r w:rsidRPr="00CB2B39">
            <w:rPr>
              <w:rFonts w:ascii="华文宋体" w:eastAsia="华文宋体" w:hAnsi="华文宋体" w:hint="eastAsia"/>
              <w:sz w:val="28"/>
              <w:szCs w:val="28"/>
            </w:rPr>
            <w:t>《</w:t>
          </w:r>
          <w:r w:rsidRPr="00CB2B39">
            <w:rPr>
              <w:rFonts w:ascii="华文宋体" w:eastAsia="华文宋体" w:hAnsi="华文宋体"/>
              <w:sz w:val="28"/>
              <w:szCs w:val="28"/>
            </w:rPr>
            <w:t>800MHz/2GHz </w:t>
          </w:r>
          <w:proofErr w:type="spellStart"/>
          <w:r w:rsidRPr="00CB2B39">
            <w:rPr>
              <w:rFonts w:ascii="华文宋体" w:eastAsia="华文宋体" w:hAnsi="华文宋体"/>
              <w:sz w:val="28"/>
              <w:szCs w:val="28"/>
            </w:rPr>
            <w:t>cdma</w:t>
          </w:r>
          <w:proofErr w:type="spellEnd"/>
          <w:r w:rsidRPr="00CB2B39">
            <w:rPr>
              <w:rFonts w:ascii="华文宋体" w:eastAsia="华文宋体" w:hAnsi="华文宋体"/>
              <w:sz w:val="28"/>
              <w:szCs w:val="28"/>
            </w:rPr>
            <w:t> 2000</w:t>
          </w:r>
          <w:r w:rsidRPr="00CB2B39">
            <w:rPr>
              <w:rFonts w:ascii="华文宋体" w:eastAsia="华文宋体" w:hAnsi="华文宋体" w:hint="eastAsia"/>
              <w:sz w:val="28"/>
              <w:szCs w:val="28"/>
            </w:rPr>
            <w:t>数字蜂窝移动通信网设备测试方法：基站子系统》；</w:t>
          </w:r>
        </w:p>
        <w:p w:rsidR="00EE4B8F" w:rsidRPr="00CB2B39" w:rsidRDefault="00EE4B8F" w:rsidP="00EE4B8F">
          <w:pPr>
            <w:numPr>
              <w:ilvl w:val="0"/>
              <w:numId w:val="3"/>
            </w:numPr>
            <w:ind w:left="960" w:hangingChars="343" w:hanging="960"/>
            <w:rPr>
              <w:rFonts w:ascii="华文宋体" w:eastAsia="华文宋体" w:hAnsi="华文宋体"/>
              <w:sz w:val="28"/>
              <w:szCs w:val="28"/>
            </w:rPr>
          </w:pPr>
          <w:r w:rsidRPr="00CB2B39">
            <w:rPr>
              <w:rFonts w:ascii="华文宋体" w:eastAsia="华文宋体" w:hAnsi="华文宋体"/>
              <w:sz w:val="28"/>
              <w:szCs w:val="28"/>
            </w:rPr>
            <w:t>YD/T 2574-2013</w:t>
          </w:r>
          <w:r w:rsidRPr="00CB2B39">
            <w:rPr>
              <w:rFonts w:ascii="华文宋体" w:eastAsia="华文宋体" w:hAnsi="华文宋体" w:hint="eastAsia"/>
              <w:sz w:val="28"/>
              <w:szCs w:val="28"/>
            </w:rPr>
            <w:t>《</w:t>
          </w:r>
          <w:r w:rsidRPr="00CB2B39">
            <w:rPr>
              <w:rFonts w:ascii="华文宋体" w:eastAsia="华文宋体" w:hAnsi="华文宋体"/>
              <w:sz w:val="28"/>
              <w:szCs w:val="28"/>
            </w:rPr>
            <w:t>LTE FDD</w:t>
          </w:r>
          <w:r w:rsidRPr="00CB2B39">
            <w:rPr>
              <w:rFonts w:ascii="华文宋体" w:eastAsia="华文宋体" w:hAnsi="华文宋体" w:hint="eastAsia"/>
              <w:sz w:val="28"/>
              <w:szCs w:val="28"/>
            </w:rPr>
            <w:t>数字蜂窝移动通信网基站设备测试方法</w:t>
          </w:r>
          <w:r w:rsidRPr="00CB2B39">
            <w:rPr>
              <w:rFonts w:ascii="华文宋体" w:eastAsia="华文宋体" w:hAnsi="华文宋体"/>
              <w:sz w:val="28"/>
              <w:szCs w:val="28"/>
            </w:rPr>
            <w:t>(</w:t>
          </w:r>
          <w:r w:rsidRPr="00CB2B39">
            <w:rPr>
              <w:rFonts w:ascii="华文宋体" w:eastAsia="华文宋体" w:hAnsi="华文宋体" w:hint="eastAsia"/>
              <w:sz w:val="28"/>
              <w:szCs w:val="28"/>
            </w:rPr>
            <w:t>第一阶段</w:t>
          </w:r>
          <w:r w:rsidRPr="00CB2B39">
            <w:rPr>
              <w:rFonts w:ascii="华文宋体" w:eastAsia="华文宋体" w:hAnsi="华文宋体"/>
              <w:sz w:val="28"/>
              <w:szCs w:val="28"/>
            </w:rPr>
            <w:t>)</w:t>
          </w:r>
          <w:r w:rsidRPr="00CB2B39">
            <w:rPr>
              <w:rFonts w:ascii="华文宋体" w:eastAsia="华文宋体" w:hAnsi="华文宋体" w:hint="eastAsia"/>
              <w:sz w:val="28"/>
              <w:szCs w:val="28"/>
            </w:rPr>
            <w:t>》；</w:t>
          </w:r>
        </w:p>
        <w:p w:rsidR="00EE4B8F" w:rsidRPr="00CB2B39" w:rsidRDefault="00EE4B8F" w:rsidP="00EE4B8F">
          <w:pPr>
            <w:numPr>
              <w:ilvl w:val="0"/>
              <w:numId w:val="3"/>
            </w:numPr>
            <w:ind w:left="720" w:hangingChars="343" w:hanging="720"/>
            <w:rPr>
              <w:rFonts w:ascii="华文宋体" w:eastAsia="华文宋体" w:hAnsi="华文宋体"/>
              <w:sz w:val="28"/>
              <w:szCs w:val="28"/>
            </w:rPr>
          </w:pPr>
          <w:r w:rsidRPr="00CB2B39">
            <w:t>YD/T 2572-2015</w:t>
          </w:r>
          <w:r w:rsidRPr="00CB2B39">
            <w:rPr>
              <w:rFonts w:hint="eastAsia"/>
            </w:rPr>
            <w:t>《</w:t>
          </w:r>
          <w:r w:rsidRPr="00CB2B39">
            <w:t>TD-LTE</w:t>
          </w:r>
          <w:r w:rsidRPr="00CB2B39">
            <w:rPr>
              <w:rFonts w:hint="eastAsia"/>
            </w:rPr>
            <w:t>数字蜂窝移动通信网基站设备测试方法</w:t>
          </w:r>
          <w:r w:rsidRPr="00CB2B39">
            <w:t>(</w:t>
          </w:r>
          <w:r w:rsidRPr="00CB2B39">
            <w:rPr>
              <w:rFonts w:hint="eastAsia"/>
            </w:rPr>
            <w:t>第一阶段</w:t>
          </w:r>
          <w:r w:rsidRPr="00CB2B39">
            <w:t>)</w:t>
          </w:r>
          <w:r w:rsidRPr="00CB2B39">
            <w:rPr>
              <w:rFonts w:hint="eastAsia"/>
            </w:rPr>
            <w:t>》。</w:t>
          </w:r>
        </w:p>
        <w:p w:rsidR="00EE4B8F" w:rsidRPr="00CB2B39" w:rsidRDefault="00EE4B8F" w:rsidP="00EE4B8F">
          <w:pPr>
            <w:rPr>
              <w:rFonts w:ascii="华文宋体" w:eastAsia="华文宋体" w:hAnsi="华文宋体"/>
              <w:b/>
              <w:sz w:val="28"/>
              <w:szCs w:val="28"/>
            </w:rPr>
          </w:pPr>
          <w:r w:rsidRPr="00CB2B39">
            <w:rPr>
              <w:rFonts w:ascii="华文宋体" w:eastAsia="华文宋体" w:hAnsi="华文宋体" w:hint="eastAsia"/>
              <w:b/>
              <w:sz w:val="28"/>
              <w:szCs w:val="28"/>
            </w:rPr>
            <w:t>三．服务要求：</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投标方三年内无不良记录；</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按项目采用的相关标准检测；</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本项目自合同签订之日起</w:t>
          </w:r>
          <w:r w:rsidRPr="00CB2B39">
            <w:rPr>
              <w:rFonts w:ascii="华文宋体" w:eastAsia="华文宋体" w:hAnsi="华文宋体"/>
              <w:sz w:val="28"/>
              <w:szCs w:val="28"/>
              <w:u w:val="single"/>
            </w:rPr>
            <w:t>2</w:t>
          </w:r>
          <w:r w:rsidRPr="00CB2B39">
            <w:rPr>
              <w:rFonts w:ascii="华文宋体" w:eastAsia="华文宋体" w:hAnsi="华文宋体" w:hint="eastAsia"/>
              <w:sz w:val="28"/>
              <w:szCs w:val="28"/>
            </w:rPr>
            <w:t>个月内完成；</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项目完成后投标方出具检测报告并经采购方验收合格；</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投标方提供项目实施方案；</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投标方应具有</w:t>
          </w:r>
          <w:r w:rsidRPr="00CB2B39">
            <w:rPr>
              <w:rFonts w:ascii="华文宋体" w:eastAsia="华文宋体" w:hAnsi="华文宋体"/>
              <w:sz w:val="28"/>
              <w:szCs w:val="28"/>
            </w:rPr>
            <w:t>CMA</w:t>
          </w:r>
          <w:r w:rsidRPr="00CB2B39">
            <w:rPr>
              <w:rFonts w:ascii="华文宋体" w:eastAsia="华文宋体" w:hAnsi="华文宋体" w:hint="eastAsia"/>
              <w:sz w:val="28"/>
              <w:szCs w:val="28"/>
            </w:rPr>
            <w:t>资质并有移动通信基站检测能力；</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投标方应具有</w:t>
          </w:r>
          <w:r w:rsidRPr="00CB2B39">
            <w:rPr>
              <w:rFonts w:ascii="华文宋体" w:eastAsia="华文宋体" w:hAnsi="华文宋体"/>
              <w:sz w:val="28"/>
              <w:szCs w:val="28"/>
            </w:rPr>
            <w:t>CNAS</w:t>
          </w:r>
          <w:r w:rsidRPr="00CB2B39">
            <w:rPr>
              <w:rFonts w:ascii="华文宋体" w:eastAsia="华文宋体" w:hAnsi="华文宋体" w:hint="eastAsia"/>
              <w:sz w:val="28"/>
              <w:szCs w:val="28"/>
            </w:rPr>
            <w:t>资质并有移动通信基站检测能力；</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验收合格后服务款项一次付清；</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t>检测设备按周期检定校准；</w:t>
          </w:r>
        </w:p>
        <w:p w:rsidR="00EE4B8F" w:rsidRPr="00CB2B39" w:rsidRDefault="00EE4B8F" w:rsidP="00EE4B8F">
          <w:pPr>
            <w:numPr>
              <w:ilvl w:val="0"/>
              <w:numId w:val="2"/>
            </w:numPr>
            <w:rPr>
              <w:rFonts w:ascii="华文宋体" w:eastAsia="华文宋体" w:hAnsi="华文宋体"/>
              <w:sz w:val="28"/>
              <w:szCs w:val="28"/>
            </w:rPr>
          </w:pPr>
          <w:r w:rsidRPr="00CB2B39">
            <w:rPr>
              <w:rFonts w:ascii="华文宋体" w:eastAsia="华文宋体" w:hAnsi="华文宋体" w:hint="eastAsia"/>
              <w:sz w:val="28"/>
              <w:szCs w:val="28"/>
            </w:rPr>
            <w:lastRenderedPageBreak/>
            <w:t>本次采购不接受联合体投标，不接受分包、转包。</w:t>
          </w:r>
        </w:p>
        <w:p w:rsidR="00EE4B8F" w:rsidRDefault="00EE4B8F" w:rsidP="00EE4B8F">
          <w:pPr>
            <w:jc w:val="center"/>
            <w:rPr>
              <w:b/>
              <w:sz w:val="32"/>
              <w:szCs w:val="32"/>
            </w:rPr>
          </w:pPr>
        </w:p>
        <w:p w:rsidR="00EE4B8F" w:rsidRDefault="00EE4B8F" w:rsidP="00EE4B8F">
          <w:pPr>
            <w:rPr>
              <w:rFonts w:ascii="仿宋" w:hAnsi="仿宋"/>
            </w:rPr>
          </w:pPr>
        </w:p>
      </w:sdtContent>
    </w:sdt>
    <w:p w:rsidR="00EE4B8F" w:rsidRDefault="00EE4B8F">
      <w:bookmarkStart w:id="0" w:name="_GoBack"/>
      <w:bookmarkEnd w:id="0"/>
    </w:p>
    <w:sectPr w:rsidR="00EE4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8F"/>
    <w:rsid w:val="00C50C49"/>
    <w:rsid w:val="00EE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next w:val="a"/>
    <w:link w:val="5Char"/>
    <w:qFormat/>
    <w:rsid w:val="00EE4B8F"/>
    <w:pPr>
      <w:keepNext/>
      <w:keepLines/>
      <w:numPr>
        <w:ilvl w:val="4"/>
        <w:numId w:val="2"/>
      </w:numPr>
      <w:tabs>
        <w:tab w:val="left" w:pos="948"/>
      </w:tabs>
      <w:spacing w:before="100" w:line="300" w:lineRule="auto"/>
      <w:jc w:val="left"/>
      <w:outlineLvl w:val="4"/>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B8F"/>
    <w:pPr>
      <w:widowControl/>
      <w:spacing w:after="150"/>
      <w:jc w:val="left"/>
    </w:pPr>
    <w:rPr>
      <w:rFonts w:ascii="宋体" w:eastAsia="宋体" w:hAnsi="宋体" w:cs="宋体"/>
      <w:kern w:val="0"/>
      <w:sz w:val="24"/>
      <w:szCs w:val="24"/>
    </w:rPr>
  </w:style>
  <w:style w:type="character" w:customStyle="1" w:styleId="5Char">
    <w:name w:val="标题 5 Char"/>
    <w:basedOn w:val="a0"/>
    <w:link w:val="5"/>
    <w:rsid w:val="00EE4B8F"/>
    <w:rPr>
      <w:rFonts w:ascii="Times New Roman" w:eastAsia="宋体" w:hAnsi="Times New Roman" w:cs="Times New Roman"/>
      <w:kern w:val="0"/>
      <w:sz w:val="24"/>
      <w:szCs w:val="20"/>
    </w:rPr>
  </w:style>
  <w:style w:type="paragraph" w:styleId="a4">
    <w:name w:val="Balloon Text"/>
    <w:basedOn w:val="a"/>
    <w:link w:val="Char"/>
    <w:uiPriority w:val="99"/>
    <w:semiHidden/>
    <w:unhideWhenUsed/>
    <w:rsid w:val="00EE4B8F"/>
    <w:rPr>
      <w:sz w:val="18"/>
      <w:szCs w:val="18"/>
    </w:rPr>
  </w:style>
  <w:style w:type="character" w:customStyle="1" w:styleId="Char">
    <w:name w:val="批注框文本 Char"/>
    <w:basedOn w:val="a0"/>
    <w:link w:val="a4"/>
    <w:uiPriority w:val="99"/>
    <w:semiHidden/>
    <w:rsid w:val="00EE4B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next w:val="a"/>
    <w:link w:val="5Char"/>
    <w:qFormat/>
    <w:rsid w:val="00EE4B8F"/>
    <w:pPr>
      <w:keepNext/>
      <w:keepLines/>
      <w:numPr>
        <w:ilvl w:val="4"/>
        <w:numId w:val="2"/>
      </w:numPr>
      <w:tabs>
        <w:tab w:val="left" w:pos="948"/>
      </w:tabs>
      <w:spacing w:before="100" w:line="300" w:lineRule="auto"/>
      <w:jc w:val="left"/>
      <w:outlineLvl w:val="4"/>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B8F"/>
    <w:pPr>
      <w:widowControl/>
      <w:spacing w:after="150"/>
      <w:jc w:val="left"/>
    </w:pPr>
    <w:rPr>
      <w:rFonts w:ascii="宋体" w:eastAsia="宋体" w:hAnsi="宋体" w:cs="宋体"/>
      <w:kern w:val="0"/>
      <w:sz w:val="24"/>
      <w:szCs w:val="24"/>
    </w:rPr>
  </w:style>
  <w:style w:type="character" w:customStyle="1" w:styleId="5Char">
    <w:name w:val="标题 5 Char"/>
    <w:basedOn w:val="a0"/>
    <w:link w:val="5"/>
    <w:rsid w:val="00EE4B8F"/>
    <w:rPr>
      <w:rFonts w:ascii="Times New Roman" w:eastAsia="宋体" w:hAnsi="Times New Roman" w:cs="Times New Roman"/>
      <w:kern w:val="0"/>
      <w:sz w:val="24"/>
      <w:szCs w:val="20"/>
    </w:rPr>
  </w:style>
  <w:style w:type="paragraph" w:styleId="a4">
    <w:name w:val="Balloon Text"/>
    <w:basedOn w:val="a"/>
    <w:link w:val="Char"/>
    <w:uiPriority w:val="99"/>
    <w:semiHidden/>
    <w:unhideWhenUsed/>
    <w:rsid w:val="00EE4B8F"/>
    <w:rPr>
      <w:sz w:val="18"/>
      <w:szCs w:val="18"/>
    </w:rPr>
  </w:style>
  <w:style w:type="character" w:customStyle="1" w:styleId="Char">
    <w:name w:val="批注框文本 Char"/>
    <w:basedOn w:val="a0"/>
    <w:link w:val="a4"/>
    <w:uiPriority w:val="99"/>
    <w:semiHidden/>
    <w:rsid w:val="00EE4B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63107">
      <w:bodyDiv w:val="1"/>
      <w:marLeft w:val="0"/>
      <w:marRight w:val="0"/>
      <w:marTop w:val="0"/>
      <w:marBottom w:val="0"/>
      <w:divBdr>
        <w:top w:val="none" w:sz="0" w:space="0" w:color="auto"/>
        <w:left w:val="none" w:sz="0" w:space="0" w:color="auto"/>
        <w:bottom w:val="none" w:sz="0" w:space="0" w:color="auto"/>
        <w:right w:val="none" w:sz="0" w:space="0" w:color="auto"/>
      </w:divBdr>
      <w:divsChild>
        <w:div w:id="310672527">
          <w:marLeft w:val="0"/>
          <w:marRight w:val="0"/>
          <w:marTop w:val="0"/>
          <w:marBottom w:val="0"/>
          <w:divBdr>
            <w:top w:val="none" w:sz="0" w:space="0" w:color="auto"/>
            <w:left w:val="none" w:sz="0" w:space="0" w:color="auto"/>
            <w:bottom w:val="none" w:sz="0" w:space="0" w:color="auto"/>
            <w:right w:val="none" w:sz="0" w:space="0" w:color="auto"/>
          </w:divBdr>
          <w:divsChild>
            <w:div w:id="1043478142">
              <w:marLeft w:val="0"/>
              <w:marRight w:val="0"/>
              <w:marTop w:val="0"/>
              <w:marBottom w:val="0"/>
              <w:divBdr>
                <w:top w:val="none" w:sz="0" w:space="0" w:color="auto"/>
                <w:left w:val="none" w:sz="0" w:space="0" w:color="auto"/>
                <w:bottom w:val="none" w:sz="0" w:space="0" w:color="auto"/>
                <w:right w:val="none" w:sz="0" w:space="0" w:color="auto"/>
              </w:divBdr>
              <w:divsChild>
                <w:div w:id="699084555">
                  <w:marLeft w:val="0"/>
                  <w:marRight w:val="0"/>
                  <w:marTop w:val="0"/>
                  <w:marBottom w:val="0"/>
                  <w:divBdr>
                    <w:top w:val="none" w:sz="0" w:space="0" w:color="auto"/>
                    <w:left w:val="none" w:sz="0" w:space="0" w:color="auto"/>
                    <w:bottom w:val="none" w:sz="0" w:space="0" w:color="auto"/>
                    <w:right w:val="none" w:sz="0" w:space="0" w:color="auto"/>
                  </w:divBdr>
                  <w:divsChild>
                    <w:div w:id="2082409500">
                      <w:marLeft w:val="2550"/>
                      <w:marRight w:val="0"/>
                      <w:marTop w:val="0"/>
                      <w:marBottom w:val="0"/>
                      <w:divBdr>
                        <w:top w:val="none" w:sz="0" w:space="0" w:color="auto"/>
                        <w:left w:val="none" w:sz="0" w:space="0" w:color="auto"/>
                        <w:bottom w:val="none" w:sz="0" w:space="0" w:color="auto"/>
                        <w:right w:val="none" w:sz="0" w:space="0" w:color="auto"/>
                      </w:divBdr>
                      <w:divsChild>
                        <w:div w:id="245892310">
                          <w:marLeft w:val="0"/>
                          <w:marRight w:val="0"/>
                          <w:marTop w:val="0"/>
                          <w:marBottom w:val="0"/>
                          <w:divBdr>
                            <w:top w:val="none" w:sz="0" w:space="0" w:color="auto"/>
                            <w:left w:val="none" w:sz="0" w:space="0" w:color="auto"/>
                            <w:bottom w:val="none" w:sz="0" w:space="0" w:color="auto"/>
                            <w:right w:val="none" w:sz="0" w:space="0" w:color="auto"/>
                          </w:divBdr>
                          <w:divsChild>
                            <w:div w:id="472066765">
                              <w:marLeft w:val="0"/>
                              <w:marRight w:val="0"/>
                              <w:marTop w:val="0"/>
                              <w:marBottom w:val="0"/>
                              <w:divBdr>
                                <w:top w:val="none" w:sz="0" w:space="0" w:color="auto"/>
                                <w:left w:val="none" w:sz="0" w:space="0" w:color="auto"/>
                                <w:bottom w:val="none" w:sz="0" w:space="0" w:color="auto"/>
                                <w:right w:val="none" w:sz="0" w:space="0" w:color="auto"/>
                              </w:divBdr>
                              <w:divsChild>
                                <w:div w:id="1746099859">
                                  <w:marLeft w:val="0"/>
                                  <w:marRight w:val="0"/>
                                  <w:marTop w:val="0"/>
                                  <w:marBottom w:val="0"/>
                                  <w:divBdr>
                                    <w:top w:val="none" w:sz="0" w:space="0" w:color="auto"/>
                                    <w:left w:val="none" w:sz="0" w:space="0" w:color="auto"/>
                                    <w:bottom w:val="none" w:sz="0" w:space="0" w:color="auto"/>
                                    <w:right w:val="none" w:sz="0" w:space="0" w:color="auto"/>
                                  </w:divBdr>
                                  <w:divsChild>
                                    <w:div w:id="1237325872">
                                      <w:marLeft w:val="0"/>
                                      <w:marRight w:val="0"/>
                                      <w:marTop w:val="0"/>
                                      <w:marBottom w:val="0"/>
                                      <w:divBdr>
                                        <w:top w:val="none" w:sz="0" w:space="0" w:color="auto"/>
                                        <w:left w:val="none" w:sz="0" w:space="0" w:color="auto"/>
                                        <w:bottom w:val="none" w:sz="0" w:space="0" w:color="auto"/>
                                        <w:right w:val="none" w:sz="0" w:space="0" w:color="auto"/>
                                      </w:divBdr>
                                      <w:divsChild>
                                        <w:div w:id="2046518091">
                                          <w:marLeft w:val="0"/>
                                          <w:marRight w:val="0"/>
                                          <w:marTop w:val="0"/>
                                          <w:marBottom w:val="0"/>
                                          <w:divBdr>
                                            <w:top w:val="none" w:sz="0" w:space="0" w:color="auto"/>
                                            <w:left w:val="none" w:sz="0" w:space="0" w:color="auto"/>
                                            <w:bottom w:val="none" w:sz="0" w:space="0" w:color="auto"/>
                                            <w:right w:val="none" w:sz="0" w:space="0" w:color="auto"/>
                                          </w:divBdr>
                                          <w:divsChild>
                                            <w:div w:id="1426462958">
                                              <w:marLeft w:val="0"/>
                                              <w:marRight w:val="0"/>
                                              <w:marTop w:val="0"/>
                                              <w:marBottom w:val="0"/>
                                              <w:divBdr>
                                                <w:top w:val="none" w:sz="0" w:space="0" w:color="auto"/>
                                                <w:left w:val="none" w:sz="0" w:space="0" w:color="auto"/>
                                                <w:bottom w:val="none" w:sz="0" w:space="0" w:color="auto"/>
                                                <w:right w:val="none" w:sz="0" w:space="0" w:color="auto"/>
                                              </w:divBdr>
                                              <w:divsChild>
                                                <w:div w:id="8744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430</Words>
  <Characters>2451</Characters>
  <Application>Microsoft Office Word</Application>
  <DocSecurity>0</DocSecurity>
  <Lines>20</Lines>
  <Paragraphs>5</Paragraphs>
  <ScaleCrop>false</ScaleCrop>
  <Company>china</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2017-11-10T08:39:00Z</dcterms:created>
  <dcterms:modified xsi:type="dcterms:W3CDTF">2017-11-10T08:41:00Z</dcterms:modified>
</cp:coreProperties>
</file>