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1CB64">
      <w:pPr>
        <w:pStyle w:val="8"/>
        <w:spacing w:line="245" w:lineRule="auto"/>
        <w:rPr>
          <w:rFonts w:eastAsia="宋体"/>
          <w:lang w:eastAsia="zh-CN"/>
        </w:rPr>
      </w:pPr>
    </w:p>
    <w:p w14:paraId="7A8B43EB">
      <w:pPr>
        <w:pStyle w:val="8"/>
        <w:spacing w:line="245" w:lineRule="auto"/>
      </w:pPr>
    </w:p>
    <w:p w14:paraId="2C09324D">
      <w:pPr>
        <w:pStyle w:val="8"/>
        <w:spacing w:line="245" w:lineRule="auto"/>
      </w:pPr>
    </w:p>
    <w:p w14:paraId="67E35682">
      <w:pPr>
        <w:pStyle w:val="8"/>
        <w:spacing w:line="245" w:lineRule="auto"/>
      </w:pPr>
    </w:p>
    <w:p w14:paraId="6BB26BED">
      <w:pPr>
        <w:pStyle w:val="8"/>
        <w:spacing w:line="245" w:lineRule="auto"/>
      </w:pPr>
    </w:p>
    <w:p w14:paraId="5602C27F">
      <w:pPr>
        <w:pStyle w:val="8"/>
        <w:spacing w:line="245" w:lineRule="auto"/>
      </w:pPr>
    </w:p>
    <w:p w14:paraId="3575C842">
      <w:pPr>
        <w:pStyle w:val="8"/>
        <w:spacing w:line="245" w:lineRule="auto"/>
      </w:pPr>
    </w:p>
    <w:p w14:paraId="1F7A08E8">
      <w:pPr>
        <w:pStyle w:val="8"/>
        <w:spacing w:line="245" w:lineRule="auto"/>
      </w:pPr>
    </w:p>
    <w:p w14:paraId="12581245">
      <w:pPr>
        <w:pStyle w:val="8"/>
        <w:spacing w:line="245" w:lineRule="auto"/>
      </w:pPr>
    </w:p>
    <w:p w14:paraId="4C3512D9">
      <w:pPr>
        <w:pStyle w:val="8"/>
        <w:spacing w:line="245" w:lineRule="auto"/>
      </w:pPr>
    </w:p>
    <w:p w14:paraId="44353CB6">
      <w:pPr>
        <w:pStyle w:val="8"/>
        <w:spacing w:line="245" w:lineRule="auto"/>
        <w:jc w:val="center"/>
      </w:pPr>
    </w:p>
    <w:p w14:paraId="0214003D">
      <w:pPr>
        <w:pStyle w:val="8"/>
        <w:spacing w:line="348" w:lineRule="auto"/>
        <w:jc w:val="center"/>
        <w:rPr>
          <w:b/>
          <w:bCs/>
          <w:lang w:eastAsia="zh-CN"/>
        </w:rPr>
      </w:pPr>
      <w:r>
        <w:rPr>
          <w:rFonts w:hint="eastAsia" w:ascii="方正仿宋_GBK" w:hAnsi="方正仿宋_GBK" w:eastAsia="方正仿宋_GBK" w:cs="方正仿宋_GBK"/>
          <w:b/>
          <w:bCs/>
          <w:sz w:val="32"/>
          <w:szCs w:val="32"/>
          <w:lang w:eastAsia="zh-CN"/>
        </w:rPr>
        <w:t>盖州市东盛城建集团有限公司2026年盖州市住宅小区老旧电梯更新改造工程</w:t>
      </w:r>
    </w:p>
    <w:p w14:paraId="4DF22E7B">
      <w:pPr>
        <w:spacing w:line="1000" w:lineRule="exact"/>
        <w:ind w:firstLine="6962"/>
        <w:rPr>
          <w:color w:val="auto"/>
          <w:lang w:eastAsia="zh-CN"/>
        </w:rPr>
      </w:pPr>
    </w:p>
    <w:p w14:paraId="07FCB5EB">
      <w:pPr>
        <w:pStyle w:val="8"/>
        <w:spacing w:line="261" w:lineRule="auto"/>
        <w:rPr>
          <w:lang w:eastAsia="zh-CN"/>
        </w:rPr>
      </w:pPr>
    </w:p>
    <w:p w14:paraId="452F21C0">
      <w:pPr>
        <w:pStyle w:val="8"/>
        <w:spacing w:line="262" w:lineRule="auto"/>
        <w:rPr>
          <w:lang w:eastAsia="zh-CN"/>
        </w:rPr>
      </w:pPr>
    </w:p>
    <w:p w14:paraId="43EF67A4">
      <w:pPr>
        <w:spacing w:before="234" w:line="222" w:lineRule="auto"/>
        <w:ind w:firstLine="2082" w:firstLineChars="300"/>
        <w:jc w:val="both"/>
        <w:rPr>
          <w:rFonts w:ascii="黑体" w:hAnsi="黑体" w:eastAsia="黑体" w:cs="黑体"/>
          <w:color w:val="auto"/>
          <w:spacing w:val="-13"/>
          <w:sz w:val="72"/>
          <w:szCs w:val="72"/>
          <w:lang w:eastAsia="zh-CN"/>
        </w:rPr>
      </w:pPr>
      <w:r>
        <w:rPr>
          <w:rFonts w:ascii="黑体" w:hAnsi="黑体" w:eastAsia="黑体" w:cs="黑体"/>
          <w:color w:val="auto"/>
          <w:spacing w:val="-13"/>
          <w:sz w:val="72"/>
          <w:szCs w:val="72"/>
          <w:lang w:eastAsia="zh-CN"/>
        </w:rPr>
        <w:t>招 标 文 件</w:t>
      </w:r>
    </w:p>
    <w:p w14:paraId="2BB2B5BE">
      <w:pPr>
        <w:pStyle w:val="8"/>
        <w:spacing w:line="297" w:lineRule="auto"/>
        <w:rPr>
          <w:lang w:eastAsia="zh-CN"/>
        </w:rPr>
      </w:pPr>
    </w:p>
    <w:p w14:paraId="2220708A">
      <w:pPr>
        <w:pStyle w:val="8"/>
        <w:spacing w:line="297" w:lineRule="auto"/>
        <w:rPr>
          <w:lang w:eastAsia="zh-CN"/>
        </w:rPr>
      </w:pPr>
    </w:p>
    <w:p w14:paraId="7127A643">
      <w:pPr>
        <w:spacing w:before="91" w:line="221" w:lineRule="auto"/>
        <w:ind w:firstLine="2780" w:firstLineChars="1000"/>
        <w:jc w:val="both"/>
        <w:rPr>
          <w:rFonts w:ascii="黑体" w:hAnsi="黑体" w:eastAsia="黑体" w:cs="黑体"/>
          <w:color w:val="auto"/>
          <w:sz w:val="28"/>
          <w:szCs w:val="28"/>
          <w:lang w:eastAsia="zh-CN"/>
        </w:rPr>
      </w:pPr>
      <w:r>
        <w:rPr>
          <w:rFonts w:ascii="黑体" w:hAnsi="黑体" w:eastAsia="黑体" w:cs="黑体"/>
          <w:color w:val="auto"/>
          <w:spacing w:val="-1"/>
          <w:sz w:val="28"/>
          <w:szCs w:val="28"/>
          <w:lang w:eastAsia="zh-CN"/>
        </w:rPr>
        <w:t>（标段唯一标识码：</w:t>
      </w:r>
      <w:r>
        <w:rPr>
          <w:rFonts w:hint="eastAsia" w:ascii="黑体" w:eastAsia="黑体"/>
          <w:color w:val="auto"/>
          <w:sz w:val="28"/>
          <w:szCs w:val="28"/>
          <w:lang w:eastAsia="zh-CN"/>
        </w:rPr>
        <w:t>**</w:t>
      </w:r>
      <w:r>
        <w:rPr>
          <w:rFonts w:ascii="黑体" w:hAnsi="黑体" w:eastAsia="黑体" w:cs="黑体"/>
          <w:color w:val="auto"/>
          <w:spacing w:val="-1"/>
          <w:sz w:val="28"/>
          <w:szCs w:val="28"/>
          <w:lang w:eastAsia="zh-CN"/>
        </w:rPr>
        <w:t>）</w:t>
      </w:r>
    </w:p>
    <w:p w14:paraId="2FFBD559">
      <w:pPr>
        <w:spacing w:before="204" w:line="221" w:lineRule="auto"/>
        <w:ind w:firstLine="3336" w:firstLineChars="1200"/>
        <w:jc w:val="both"/>
        <w:rPr>
          <w:rFonts w:ascii="黑体" w:hAnsi="黑体" w:eastAsia="黑体" w:cs="黑体"/>
          <w:color w:val="auto"/>
          <w:sz w:val="28"/>
          <w:szCs w:val="28"/>
          <w:lang w:eastAsia="zh-CN"/>
        </w:rPr>
      </w:pPr>
      <w:r>
        <w:rPr>
          <w:rFonts w:ascii="黑体" w:hAnsi="黑体" w:eastAsia="黑体" w:cs="黑体"/>
          <w:color w:val="auto"/>
          <w:spacing w:val="-1"/>
          <w:sz w:val="28"/>
          <w:szCs w:val="28"/>
          <w:lang w:eastAsia="zh-CN"/>
        </w:rPr>
        <w:t>（标段编号：</w:t>
      </w:r>
      <w:r>
        <w:rPr>
          <w:rFonts w:hint="eastAsia" w:ascii="黑体" w:eastAsia="黑体"/>
          <w:color w:val="auto"/>
          <w:sz w:val="28"/>
          <w:szCs w:val="28"/>
          <w:lang w:eastAsia="zh-CN"/>
        </w:rPr>
        <w:t>**</w:t>
      </w:r>
      <w:r>
        <w:rPr>
          <w:rFonts w:ascii="黑体" w:hAnsi="黑体" w:eastAsia="黑体" w:cs="黑体"/>
          <w:color w:val="auto"/>
          <w:spacing w:val="-1"/>
          <w:sz w:val="28"/>
          <w:szCs w:val="28"/>
          <w:lang w:eastAsia="zh-CN"/>
        </w:rPr>
        <w:t>）</w:t>
      </w:r>
    </w:p>
    <w:p w14:paraId="5AD6516A">
      <w:pPr>
        <w:pStyle w:val="8"/>
        <w:rPr>
          <w:lang w:eastAsia="zh-CN"/>
        </w:rPr>
      </w:pPr>
    </w:p>
    <w:p w14:paraId="452B6AB7">
      <w:pPr>
        <w:pStyle w:val="8"/>
        <w:rPr>
          <w:lang w:eastAsia="zh-CN"/>
        </w:rPr>
      </w:pPr>
    </w:p>
    <w:p w14:paraId="333540FD">
      <w:pPr>
        <w:pStyle w:val="8"/>
        <w:rPr>
          <w:lang w:eastAsia="zh-CN"/>
        </w:rPr>
      </w:pPr>
    </w:p>
    <w:p w14:paraId="63B254F2">
      <w:pPr>
        <w:pStyle w:val="8"/>
        <w:rPr>
          <w:lang w:eastAsia="zh-CN"/>
        </w:rPr>
      </w:pPr>
    </w:p>
    <w:p w14:paraId="5E208A6C">
      <w:pPr>
        <w:pStyle w:val="8"/>
        <w:spacing w:line="241" w:lineRule="auto"/>
        <w:rPr>
          <w:lang w:eastAsia="zh-CN"/>
        </w:rPr>
      </w:pPr>
    </w:p>
    <w:p w14:paraId="3680557F">
      <w:pPr>
        <w:pStyle w:val="8"/>
        <w:spacing w:line="241" w:lineRule="auto"/>
        <w:rPr>
          <w:lang w:eastAsia="zh-CN"/>
        </w:rPr>
      </w:pPr>
    </w:p>
    <w:p w14:paraId="6304EE85">
      <w:pPr>
        <w:pStyle w:val="8"/>
        <w:spacing w:line="241" w:lineRule="auto"/>
        <w:rPr>
          <w:lang w:eastAsia="zh-CN"/>
        </w:rPr>
      </w:pPr>
    </w:p>
    <w:p w14:paraId="6C86CA1B">
      <w:pPr>
        <w:pStyle w:val="8"/>
        <w:spacing w:line="241" w:lineRule="auto"/>
        <w:rPr>
          <w:lang w:eastAsia="zh-CN"/>
        </w:rPr>
      </w:pPr>
    </w:p>
    <w:p w14:paraId="20062B3A">
      <w:pPr>
        <w:pStyle w:val="8"/>
        <w:spacing w:line="241" w:lineRule="auto"/>
        <w:rPr>
          <w:lang w:eastAsia="zh-CN"/>
        </w:rPr>
      </w:pPr>
    </w:p>
    <w:p w14:paraId="663696B6">
      <w:pPr>
        <w:pStyle w:val="8"/>
        <w:spacing w:line="241" w:lineRule="auto"/>
        <w:rPr>
          <w:lang w:eastAsia="zh-CN"/>
        </w:rPr>
      </w:pPr>
    </w:p>
    <w:p w14:paraId="4129FEE0">
      <w:pPr>
        <w:pStyle w:val="8"/>
        <w:spacing w:line="241" w:lineRule="auto"/>
        <w:rPr>
          <w:lang w:eastAsia="zh-CN"/>
        </w:rPr>
      </w:pPr>
    </w:p>
    <w:p w14:paraId="08B056DF">
      <w:pPr>
        <w:pStyle w:val="8"/>
        <w:spacing w:line="241" w:lineRule="auto"/>
        <w:rPr>
          <w:lang w:eastAsia="zh-CN"/>
        </w:rPr>
      </w:pPr>
    </w:p>
    <w:p w14:paraId="227C19DA">
      <w:pPr>
        <w:pStyle w:val="8"/>
        <w:spacing w:line="241" w:lineRule="auto"/>
        <w:rPr>
          <w:lang w:eastAsia="zh-CN"/>
        </w:rPr>
      </w:pPr>
    </w:p>
    <w:p w14:paraId="1A6314F4">
      <w:pPr>
        <w:pStyle w:val="8"/>
        <w:spacing w:line="241" w:lineRule="auto"/>
        <w:rPr>
          <w:lang w:eastAsia="zh-CN"/>
        </w:rPr>
      </w:pPr>
    </w:p>
    <w:p w14:paraId="0437DB44">
      <w:pPr>
        <w:pStyle w:val="8"/>
        <w:spacing w:line="241" w:lineRule="auto"/>
        <w:rPr>
          <w:lang w:eastAsia="zh-CN"/>
        </w:rPr>
      </w:pPr>
    </w:p>
    <w:p w14:paraId="67B867DA">
      <w:pPr>
        <w:spacing w:before="92"/>
        <w:ind w:firstLine="276" w:firstLineChars="100"/>
        <w:rPr>
          <w:rFonts w:ascii="方正仿宋_GB18030" w:hAnsi="方正仿宋_GB18030" w:eastAsia="方正仿宋_GB18030" w:cs="方正仿宋_GB18030"/>
          <w:b/>
          <w:bCs/>
          <w:color w:val="auto"/>
          <w:spacing w:val="-2"/>
          <w:sz w:val="28"/>
          <w:szCs w:val="28"/>
          <w:lang w:eastAsia="zh-CN"/>
        </w:rPr>
      </w:pPr>
      <w:r>
        <w:rPr>
          <w:rFonts w:hint="eastAsia" w:ascii="方正仿宋_GB18030" w:hAnsi="方正仿宋_GB18030" w:eastAsia="方正仿宋_GB18030" w:cs="方正仿宋_GB18030"/>
          <w:b/>
          <w:bCs/>
          <w:color w:val="auto"/>
          <w:spacing w:val="-2"/>
          <w:sz w:val="28"/>
          <w:szCs w:val="28"/>
          <w:lang w:eastAsia="zh-CN"/>
        </w:rPr>
        <w:t>招标人：盖州市东盛城建集团有限公司</w:t>
      </w:r>
      <w:r>
        <w:rPr>
          <w:rFonts w:hint="eastAsia" w:ascii="方正仿宋_GB18030" w:hAnsi="方正仿宋_GB18030" w:eastAsia="方正仿宋_GB18030" w:cs="方正仿宋_GB18030"/>
          <w:b/>
          <w:bCs/>
          <w:color w:val="auto"/>
          <w:sz w:val="28"/>
          <w:szCs w:val="28"/>
          <w:lang w:eastAsia="zh-CN"/>
        </w:rPr>
        <w:t>（盖章）</w:t>
      </w:r>
    </w:p>
    <w:p w14:paraId="18819725">
      <w:pPr>
        <w:spacing w:before="92"/>
        <w:ind w:firstLine="276" w:firstLineChars="100"/>
        <w:rPr>
          <w:rFonts w:ascii="方正仿宋_GB18030" w:hAnsi="方正仿宋_GB18030" w:eastAsia="方正仿宋_GB18030" w:cs="方正仿宋_GB18030"/>
          <w:b/>
          <w:bCs/>
          <w:color w:val="auto"/>
          <w:sz w:val="28"/>
          <w:szCs w:val="28"/>
          <w:lang w:eastAsia="zh-CN"/>
        </w:rPr>
      </w:pPr>
      <w:r>
        <w:rPr>
          <w:rFonts w:hint="eastAsia" w:ascii="方正仿宋_GB18030" w:hAnsi="方正仿宋_GB18030" w:eastAsia="方正仿宋_GB18030" w:cs="方正仿宋_GB18030"/>
          <w:b/>
          <w:bCs/>
          <w:color w:val="auto"/>
          <w:spacing w:val="-2"/>
          <w:sz w:val="28"/>
          <w:szCs w:val="28"/>
          <w:lang w:eastAsia="zh-CN"/>
        </w:rPr>
        <w:t>招标代理机构：盖州市诚建工程招标代理有限责任公司</w:t>
      </w:r>
      <w:r>
        <w:rPr>
          <w:rFonts w:hint="eastAsia" w:ascii="方正仿宋_GB18030" w:hAnsi="方正仿宋_GB18030" w:eastAsia="方正仿宋_GB18030" w:cs="方正仿宋_GB18030"/>
          <w:b/>
          <w:bCs/>
          <w:color w:val="auto"/>
          <w:sz w:val="28"/>
          <w:szCs w:val="28"/>
          <w:lang w:eastAsia="zh-CN"/>
        </w:rPr>
        <w:t>（盖章）</w:t>
      </w:r>
    </w:p>
    <w:p w14:paraId="622360F5">
      <w:pPr>
        <w:spacing w:before="289"/>
        <w:ind w:firstLine="262" w:firstLineChars="100"/>
        <w:rPr>
          <w:rFonts w:ascii="方正仿宋_GB18030" w:hAnsi="方正仿宋_GB18030" w:eastAsia="方正仿宋_GB18030" w:cs="方正仿宋_GB18030"/>
          <w:b/>
          <w:bCs/>
          <w:color w:val="auto"/>
          <w:sz w:val="28"/>
          <w:szCs w:val="28"/>
        </w:rPr>
      </w:pPr>
      <w:r>
        <w:rPr>
          <w:rFonts w:hint="eastAsia" w:ascii="方正仿宋_GB18030" w:hAnsi="方正仿宋_GB18030" w:eastAsia="方正仿宋_GB18030" w:cs="方正仿宋_GB18030"/>
          <w:b/>
          <w:bCs/>
          <w:color w:val="auto"/>
          <w:spacing w:val="-9"/>
          <w:sz w:val="28"/>
          <w:szCs w:val="28"/>
        </w:rPr>
        <w:t>日期：2026年</w:t>
      </w:r>
      <w:r>
        <w:rPr>
          <w:rFonts w:hint="eastAsia" w:ascii="方正仿宋_GB18030" w:hAnsi="方正仿宋_GB18030" w:eastAsia="方正仿宋_GB18030" w:cs="方正仿宋_GB18030"/>
          <w:b/>
          <w:bCs/>
          <w:color w:val="auto"/>
          <w:spacing w:val="-9"/>
          <w:sz w:val="28"/>
          <w:szCs w:val="28"/>
          <w:lang w:eastAsia="zh-CN"/>
        </w:rPr>
        <w:t>10</w:t>
      </w:r>
      <w:r>
        <w:rPr>
          <w:rFonts w:hint="eastAsia" w:ascii="方正仿宋_GB18030" w:hAnsi="方正仿宋_GB18030" w:eastAsia="方正仿宋_GB18030" w:cs="方正仿宋_GB18030"/>
          <w:b/>
          <w:bCs/>
          <w:color w:val="auto"/>
          <w:spacing w:val="-9"/>
          <w:sz w:val="28"/>
          <w:szCs w:val="28"/>
        </w:rPr>
        <w:t>月</w:t>
      </w:r>
      <w:r>
        <w:rPr>
          <w:rFonts w:hint="eastAsia" w:ascii="方正仿宋_GB18030" w:hAnsi="方正仿宋_GB18030" w:eastAsia="方正仿宋_GB18030" w:cs="方正仿宋_GB18030"/>
          <w:b/>
          <w:bCs/>
          <w:color w:val="auto"/>
          <w:spacing w:val="-9"/>
          <w:sz w:val="28"/>
          <w:szCs w:val="28"/>
          <w:lang w:eastAsia="zh-CN"/>
        </w:rPr>
        <w:t>28</w:t>
      </w:r>
      <w:r>
        <w:rPr>
          <w:rFonts w:hint="eastAsia" w:ascii="方正仿宋_GB18030" w:hAnsi="方正仿宋_GB18030" w:eastAsia="方正仿宋_GB18030" w:cs="方正仿宋_GB18030"/>
          <w:b/>
          <w:bCs/>
          <w:color w:val="auto"/>
          <w:spacing w:val="-9"/>
          <w:sz w:val="28"/>
          <w:szCs w:val="28"/>
        </w:rPr>
        <w:t>日</w:t>
      </w:r>
    </w:p>
    <w:p w14:paraId="576D68C1">
      <w:pPr>
        <w:spacing w:line="223" w:lineRule="auto"/>
        <w:rPr>
          <w:rFonts w:ascii="黑体" w:hAnsi="黑体" w:eastAsia="黑体" w:cs="黑体"/>
          <w:color w:val="auto"/>
          <w:sz w:val="28"/>
          <w:szCs w:val="28"/>
        </w:rPr>
        <w:sectPr>
          <w:footerReference r:id="rId3" w:type="default"/>
          <w:pgSz w:w="11906" w:h="16839"/>
          <w:pgMar w:top="1440" w:right="1803" w:bottom="1440" w:left="1803" w:header="0" w:footer="0" w:gutter="0"/>
          <w:cols w:space="720" w:num="1"/>
        </w:sectPr>
      </w:pPr>
    </w:p>
    <w:sdt>
      <w:sdtPr>
        <w:rPr>
          <w:rFonts w:ascii="宋体" w:hAnsi="宋体" w:eastAsia="宋体"/>
          <w:color w:val="auto"/>
        </w:rPr>
        <w:id w:val="147452226"/>
        <w:docPartObj>
          <w:docPartGallery w:val="Table of Contents"/>
          <w:docPartUnique/>
        </w:docPartObj>
      </w:sdtPr>
      <w:sdtEndPr>
        <w:rPr>
          <w:rFonts w:ascii="宋体" w:hAnsi="宋体" w:eastAsia="宋体"/>
          <w:color w:val="auto"/>
        </w:rPr>
      </w:sdtEndPr>
      <w:sdtContent>
        <w:p w14:paraId="71ED8BBF">
          <w:pPr>
            <w:jc w:val="center"/>
            <w:rPr>
              <w:color w:val="auto"/>
            </w:rPr>
          </w:pPr>
          <w:r>
            <w:rPr>
              <w:rFonts w:ascii="宋体" w:hAnsi="宋体" w:eastAsia="宋体"/>
              <w:color w:val="auto"/>
            </w:rPr>
            <w:t>目录</w:t>
          </w:r>
        </w:p>
        <w:p w14:paraId="17308F2F">
          <w:pPr>
            <w:pStyle w:val="15"/>
            <w:tabs>
              <w:tab w:val="right" w:leader="dot" w:pos="8300"/>
            </w:tabs>
            <w:rPr>
              <w:color w:val="auto"/>
            </w:rPr>
          </w:pPr>
          <w:r>
            <w:rPr>
              <w:color w:val="auto"/>
            </w:rPr>
            <w:fldChar w:fldCharType="begin"/>
          </w:r>
          <w:r>
            <w:rPr>
              <w:color w:val="auto"/>
            </w:rPr>
            <w:instrText xml:space="preserve">TOC \o "1-2" \h \u </w:instrText>
          </w:r>
          <w:r>
            <w:rPr>
              <w:color w:val="auto"/>
            </w:rPr>
            <w:fldChar w:fldCharType="separate"/>
          </w:r>
          <w:r>
            <w:fldChar w:fldCharType="begin"/>
          </w:r>
          <w:r>
            <w:instrText xml:space="preserve"> HYPERLINK \l "_Toc19790" </w:instrText>
          </w:r>
          <w:r>
            <w:fldChar w:fldCharType="separate"/>
          </w:r>
          <w:r>
            <w:rPr>
              <w:rFonts w:ascii="黑体" w:hAnsi="黑体" w:eastAsia="黑体" w:cs="黑体"/>
              <w:color w:val="auto"/>
              <w:spacing w:val="-7"/>
              <w:szCs w:val="48"/>
            </w:rPr>
            <w:t>第一卷</w:t>
          </w:r>
          <w:r>
            <w:rPr>
              <w:color w:val="auto"/>
            </w:rPr>
            <w:tab/>
          </w:r>
          <w:r>
            <w:rPr>
              <w:color w:val="auto"/>
            </w:rPr>
            <w:fldChar w:fldCharType="begin"/>
          </w:r>
          <w:r>
            <w:rPr>
              <w:color w:val="auto"/>
            </w:rPr>
            <w:instrText xml:space="preserve"> PAGEREF _Toc19790 \h </w:instrText>
          </w:r>
          <w:r>
            <w:rPr>
              <w:color w:val="auto"/>
            </w:rPr>
            <w:fldChar w:fldCharType="separate"/>
          </w:r>
          <w:r>
            <w:rPr>
              <w:color w:val="auto"/>
            </w:rPr>
            <w:t>1</w:t>
          </w:r>
          <w:r>
            <w:rPr>
              <w:color w:val="auto"/>
            </w:rPr>
            <w:fldChar w:fldCharType="end"/>
          </w:r>
          <w:r>
            <w:rPr>
              <w:color w:val="auto"/>
            </w:rPr>
            <w:fldChar w:fldCharType="end"/>
          </w:r>
        </w:p>
        <w:p w14:paraId="5FE9A6D1">
          <w:pPr>
            <w:pStyle w:val="15"/>
            <w:tabs>
              <w:tab w:val="right" w:leader="dot" w:pos="8300"/>
            </w:tabs>
            <w:rPr>
              <w:color w:val="auto"/>
            </w:rPr>
          </w:pPr>
          <w:r>
            <w:fldChar w:fldCharType="begin"/>
          </w:r>
          <w:r>
            <w:instrText xml:space="preserve"> HYPERLINK \l "_Toc5723" </w:instrText>
          </w:r>
          <w:r>
            <w:fldChar w:fldCharType="separate"/>
          </w:r>
          <w:r>
            <w:rPr>
              <w:rFonts w:ascii="黑体" w:hAnsi="黑体" w:eastAsia="黑体" w:cs="黑体"/>
              <w:color w:val="auto"/>
              <w:spacing w:val="-2"/>
              <w:szCs w:val="32"/>
            </w:rPr>
            <w:t>第一章  招标公告</w:t>
          </w:r>
          <w:r>
            <w:rPr>
              <w:color w:val="auto"/>
            </w:rPr>
            <w:tab/>
          </w:r>
          <w:r>
            <w:rPr>
              <w:color w:val="auto"/>
            </w:rPr>
            <w:fldChar w:fldCharType="begin"/>
          </w:r>
          <w:r>
            <w:rPr>
              <w:color w:val="auto"/>
            </w:rPr>
            <w:instrText xml:space="preserve"> PAGEREF _Toc5723 \h </w:instrText>
          </w:r>
          <w:r>
            <w:rPr>
              <w:color w:val="auto"/>
            </w:rPr>
            <w:fldChar w:fldCharType="separate"/>
          </w:r>
          <w:r>
            <w:rPr>
              <w:color w:val="auto"/>
            </w:rPr>
            <w:t>2</w:t>
          </w:r>
          <w:r>
            <w:rPr>
              <w:color w:val="auto"/>
            </w:rPr>
            <w:fldChar w:fldCharType="end"/>
          </w:r>
          <w:r>
            <w:rPr>
              <w:color w:val="auto"/>
            </w:rPr>
            <w:fldChar w:fldCharType="end"/>
          </w:r>
        </w:p>
        <w:p w14:paraId="36B0141E">
          <w:pPr>
            <w:pStyle w:val="15"/>
            <w:tabs>
              <w:tab w:val="right" w:leader="dot" w:pos="8300"/>
            </w:tabs>
            <w:rPr>
              <w:color w:val="auto"/>
            </w:rPr>
          </w:pPr>
          <w:r>
            <w:fldChar w:fldCharType="begin"/>
          </w:r>
          <w:r>
            <w:instrText xml:space="preserve"> HYPERLINK \l "_Toc4795" </w:instrText>
          </w:r>
          <w:r>
            <w:fldChar w:fldCharType="separate"/>
          </w:r>
          <w:r>
            <w:rPr>
              <w:rFonts w:ascii="黑体" w:hAnsi="黑体" w:eastAsia="黑体" w:cs="黑体"/>
              <w:color w:val="auto"/>
              <w:spacing w:val="-2"/>
              <w:szCs w:val="32"/>
            </w:rPr>
            <w:t>第二章  投标人须知</w:t>
          </w:r>
          <w:r>
            <w:rPr>
              <w:color w:val="auto"/>
            </w:rPr>
            <w:tab/>
          </w:r>
          <w:r>
            <w:rPr>
              <w:color w:val="auto"/>
            </w:rPr>
            <w:fldChar w:fldCharType="begin"/>
          </w:r>
          <w:r>
            <w:rPr>
              <w:color w:val="auto"/>
            </w:rPr>
            <w:instrText xml:space="preserve"> PAGEREF _Toc4795 \h </w:instrText>
          </w:r>
          <w:r>
            <w:rPr>
              <w:color w:val="auto"/>
            </w:rPr>
            <w:fldChar w:fldCharType="separate"/>
          </w:r>
          <w:r>
            <w:rPr>
              <w:color w:val="auto"/>
            </w:rPr>
            <w:t>6</w:t>
          </w:r>
          <w:r>
            <w:rPr>
              <w:color w:val="auto"/>
            </w:rPr>
            <w:fldChar w:fldCharType="end"/>
          </w:r>
          <w:r>
            <w:rPr>
              <w:color w:val="auto"/>
            </w:rPr>
            <w:fldChar w:fldCharType="end"/>
          </w:r>
        </w:p>
        <w:p w14:paraId="322F37D7">
          <w:pPr>
            <w:pStyle w:val="16"/>
            <w:tabs>
              <w:tab w:val="right" w:leader="dot" w:pos="8300"/>
            </w:tabs>
            <w:rPr>
              <w:color w:val="auto"/>
            </w:rPr>
          </w:pPr>
          <w:r>
            <w:fldChar w:fldCharType="begin"/>
          </w:r>
          <w:r>
            <w:instrText xml:space="preserve"> HYPERLINK \l "_Toc31474" </w:instrText>
          </w:r>
          <w:r>
            <w:fldChar w:fldCharType="separate"/>
          </w:r>
          <w:r>
            <w:rPr>
              <w:rFonts w:ascii="黑体" w:hAnsi="黑体" w:eastAsia="黑体" w:cs="黑体"/>
              <w:color w:val="auto"/>
              <w:spacing w:val="-1"/>
              <w:szCs w:val="28"/>
            </w:rPr>
            <w:t>投标人须知前附表</w:t>
          </w:r>
          <w:r>
            <w:rPr>
              <w:color w:val="auto"/>
            </w:rPr>
            <w:tab/>
          </w:r>
          <w:r>
            <w:rPr>
              <w:color w:val="auto"/>
            </w:rPr>
            <w:fldChar w:fldCharType="begin"/>
          </w:r>
          <w:r>
            <w:rPr>
              <w:color w:val="auto"/>
            </w:rPr>
            <w:instrText xml:space="preserve"> PAGEREF _Toc31474 \h </w:instrText>
          </w:r>
          <w:r>
            <w:rPr>
              <w:color w:val="auto"/>
            </w:rPr>
            <w:fldChar w:fldCharType="separate"/>
          </w:r>
          <w:r>
            <w:rPr>
              <w:color w:val="auto"/>
            </w:rPr>
            <w:t>7</w:t>
          </w:r>
          <w:r>
            <w:rPr>
              <w:color w:val="auto"/>
            </w:rPr>
            <w:fldChar w:fldCharType="end"/>
          </w:r>
          <w:r>
            <w:rPr>
              <w:color w:val="auto"/>
            </w:rPr>
            <w:fldChar w:fldCharType="end"/>
          </w:r>
        </w:p>
        <w:p w14:paraId="68F62870">
          <w:pPr>
            <w:pStyle w:val="16"/>
            <w:tabs>
              <w:tab w:val="right" w:leader="dot" w:pos="8300"/>
            </w:tabs>
            <w:rPr>
              <w:color w:val="auto"/>
            </w:rPr>
          </w:pPr>
          <w:r>
            <w:fldChar w:fldCharType="begin"/>
          </w:r>
          <w:r>
            <w:instrText xml:space="preserve"> HYPERLINK \l "_Toc15990" </w:instrText>
          </w:r>
          <w:r>
            <w:fldChar w:fldCharType="separate"/>
          </w:r>
          <w:r>
            <w:rPr>
              <w:rFonts w:ascii="黑体" w:hAnsi="黑体" w:eastAsia="黑体" w:cs="黑体"/>
              <w:color w:val="auto"/>
              <w:spacing w:val="-1"/>
              <w:szCs w:val="28"/>
            </w:rPr>
            <w:t>投标人须知正文部分</w:t>
          </w:r>
          <w:r>
            <w:rPr>
              <w:color w:val="auto"/>
            </w:rPr>
            <w:tab/>
          </w:r>
          <w:r>
            <w:rPr>
              <w:color w:val="auto"/>
            </w:rPr>
            <w:fldChar w:fldCharType="begin"/>
          </w:r>
          <w:r>
            <w:rPr>
              <w:color w:val="auto"/>
            </w:rPr>
            <w:instrText xml:space="preserve"> PAGEREF _Toc15990 \h </w:instrText>
          </w:r>
          <w:r>
            <w:rPr>
              <w:color w:val="auto"/>
            </w:rPr>
            <w:fldChar w:fldCharType="separate"/>
          </w:r>
          <w:r>
            <w:rPr>
              <w:color w:val="auto"/>
            </w:rPr>
            <w:t>14</w:t>
          </w:r>
          <w:r>
            <w:rPr>
              <w:color w:val="auto"/>
            </w:rPr>
            <w:fldChar w:fldCharType="end"/>
          </w:r>
          <w:r>
            <w:rPr>
              <w:color w:val="auto"/>
            </w:rPr>
            <w:fldChar w:fldCharType="end"/>
          </w:r>
        </w:p>
        <w:p w14:paraId="48D18F4A">
          <w:pPr>
            <w:pStyle w:val="16"/>
            <w:tabs>
              <w:tab w:val="right" w:leader="dot" w:pos="8300"/>
            </w:tabs>
            <w:rPr>
              <w:color w:val="auto"/>
            </w:rPr>
          </w:pPr>
          <w:r>
            <w:fldChar w:fldCharType="begin"/>
          </w:r>
          <w:r>
            <w:instrText xml:space="preserve"> HYPERLINK \l "_Toc732" </w:instrText>
          </w:r>
          <w:r>
            <w:fldChar w:fldCharType="separate"/>
          </w:r>
          <w:r>
            <w:rPr>
              <w:rFonts w:ascii="Times New Roman" w:hAnsi="Times New Roman" w:eastAsia="Times New Roman" w:cs="Times New Roman"/>
              <w:color w:val="auto"/>
              <w:spacing w:val="-9"/>
              <w:szCs w:val="28"/>
            </w:rPr>
            <w:t>1.</w:t>
          </w:r>
          <w:r>
            <w:rPr>
              <w:rFonts w:ascii="黑体" w:hAnsi="黑体" w:eastAsia="黑体" w:cs="黑体"/>
              <w:color w:val="auto"/>
              <w:spacing w:val="-9"/>
              <w:szCs w:val="28"/>
            </w:rPr>
            <w:t>总则</w:t>
          </w:r>
          <w:r>
            <w:rPr>
              <w:color w:val="auto"/>
            </w:rPr>
            <w:tab/>
          </w:r>
          <w:r>
            <w:rPr>
              <w:color w:val="auto"/>
            </w:rPr>
            <w:fldChar w:fldCharType="begin"/>
          </w:r>
          <w:r>
            <w:rPr>
              <w:color w:val="auto"/>
            </w:rPr>
            <w:instrText xml:space="preserve"> PAGEREF _Toc732 \h </w:instrText>
          </w:r>
          <w:r>
            <w:rPr>
              <w:color w:val="auto"/>
            </w:rPr>
            <w:fldChar w:fldCharType="separate"/>
          </w:r>
          <w:r>
            <w:rPr>
              <w:color w:val="auto"/>
            </w:rPr>
            <w:t>14</w:t>
          </w:r>
          <w:r>
            <w:rPr>
              <w:color w:val="auto"/>
            </w:rPr>
            <w:fldChar w:fldCharType="end"/>
          </w:r>
          <w:r>
            <w:rPr>
              <w:color w:val="auto"/>
            </w:rPr>
            <w:fldChar w:fldCharType="end"/>
          </w:r>
        </w:p>
        <w:p w14:paraId="706AC779">
          <w:pPr>
            <w:pStyle w:val="16"/>
            <w:tabs>
              <w:tab w:val="right" w:leader="dot" w:pos="8300"/>
            </w:tabs>
            <w:rPr>
              <w:color w:val="auto"/>
            </w:rPr>
          </w:pPr>
          <w:r>
            <w:fldChar w:fldCharType="begin"/>
          </w:r>
          <w:r>
            <w:instrText xml:space="preserve"> HYPERLINK \l "_Toc16005" </w:instrText>
          </w:r>
          <w:r>
            <w:fldChar w:fldCharType="separate"/>
          </w:r>
          <w:r>
            <w:rPr>
              <w:rFonts w:ascii="Times New Roman" w:hAnsi="Times New Roman" w:eastAsia="Times New Roman" w:cs="Times New Roman"/>
              <w:color w:val="auto"/>
              <w:spacing w:val="-1"/>
              <w:szCs w:val="28"/>
            </w:rPr>
            <w:t>2.</w:t>
          </w:r>
          <w:r>
            <w:rPr>
              <w:rFonts w:ascii="黑体" w:hAnsi="黑体" w:eastAsia="黑体" w:cs="黑体"/>
              <w:color w:val="auto"/>
              <w:spacing w:val="-1"/>
              <w:szCs w:val="28"/>
            </w:rPr>
            <w:t>招标文件</w:t>
          </w:r>
          <w:r>
            <w:rPr>
              <w:color w:val="auto"/>
            </w:rPr>
            <w:tab/>
          </w:r>
          <w:r>
            <w:rPr>
              <w:color w:val="auto"/>
            </w:rPr>
            <w:fldChar w:fldCharType="begin"/>
          </w:r>
          <w:r>
            <w:rPr>
              <w:color w:val="auto"/>
            </w:rPr>
            <w:instrText xml:space="preserve"> PAGEREF _Toc16005 \h </w:instrText>
          </w:r>
          <w:r>
            <w:rPr>
              <w:color w:val="auto"/>
            </w:rPr>
            <w:fldChar w:fldCharType="separate"/>
          </w:r>
          <w:r>
            <w:rPr>
              <w:color w:val="auto"/>
            </w:rPr>
            <w:t>16</w:t>
          </w:r>
          <w:r>
            <w:rPr>
              <w:color w:val="auto"/>
            </w:rPr>
            <w:fldChar w:fldCharType="end"/>
          </w:r>
          <w:r>
            <w:rPr>
              <w:color w:val="auto"/>
            </w:rPr>
            <w:fldChar w:fldCharType="end"/>
          </w:r>
        </w:p>
        <w:p w14:paraId="27420DD8">
          <w:pPr>
            <w:pStyle w:val="16"/>
            <w:tabs>
              <w:tab w:val="right" w:leader="dot" w:pos="8300"/>
            </w:tabs>
            <w:rPr>
              <w:color w:val="auto"/>
            </w:rPr>
          </w:pPr>
          <w:r>
            <w:fldChar w:fldCharType="begin"/>
          </w:r>
          <w:r>
            <w:instrText xml:space="preserve"> HYPERLINK \l "_Toc4074" </w:instrText>
          </w:r>
          <w:r>
            <w:fldChar w:fldCharType="separate"/>
          </w:r>
          <w:r>
            <w:rPr>
              <w:rFonts w:ascii="Times New Roman" w:hAnsi="Times New Roman" w:eastAsia="Times New Roman" w:cs="Times New Roman"/>
              <w:color w:val="auto"/>
              <w:spacing w:val="-2"/>
              <w:szCs w:val="28"/>
            </w:rPr>
            <w:t>3.</w:t>
          </w:r>
          <w:r>
            <w:rPr>
              <w:rFonts w:ascii="黑体" w:hAnsi="黑体" w:eastAsia="黑体" w:cs="黑体"/>
              <w:color w:val="auto"/>
              <w:spacing w:val="-2"/>
              <w:szCs w:val="28"/>
            </w:rPr>
            <w:t>投标文件</w:t>
          </w:r>
          <w:r>
            <w:rPr>
              <w:color w:val="auto"/>
            </w:rPr>
            <w:tab/>
          </w:r>
          <w:r>
            <w:rPr>
              <w:color w:val="auto"/>
            </w:rPr>
            <w:fldChar w:fldCharType="begin"/>
          </w:r>
          <w:r>
            <w:rPr>
              <w:color w:val="auto"/>
            </w:rPr>
            <w:instrText xml:space="preserve"> PAGEREF _Toc4074 \h </w:instrText>
          </w:r>
          <w:r>
            <w:rPr>
              <w:color w:val="auto"/>
            </w:rPr>
            <w:fldChar w:fldCharType="separate"/>
          </w:r>
          <w:r>
            <w:rPr>
              <w:color w:val="auto"/>
            </w:rPr>
            <w:t>17</w:t>
          </w:r>
          <w:r>
            <w:rPr>
              <w:color w:val="auto"/>
            </w:rPr>
            <w:fldChar w:fldCharType="end"/>
          </w:r>
          <w:r>
            <w:rPr>
              <w:color w:val="auto"/>
            </w:rPr>
            <w:fldChar w:fldCharType="end"/>
          </w:r>
        </w:p>
        <w:p w14:paraId="708A5FDE">
          <w:pPr>
            <w:pStyle w:val="16"/>
            <w:tabs>
              <w:tab w:val="right" w:leader="dot" w:pos="8300"/>
            </w:tabs>
            <w:rPr>
              <w:color w:val="auto"/>
            </w:rPr>
          </w:pPr>
          <w:r>
            <w:fldChar w:fldCharType="begin"/>
          </w:r>
          <w:r>
            <w:instrText xml:space="preserve"> HYPERLINK \l "_Toc29133" </w:instrText>
          </w:r>
          <w:r>
            <w:fldChar w:fldCharType="separate"/>
          </w:r>
          <w:r>
            <w:rPr>
              <w:rFonts w:ascii="Times New Roman" w:hAnsi="Times New Roman" w:eastAsia="Times New Roman" w:cs="Times New Roman"/>
              <w:color w:val="auto"/>
              <w:spacing w:val="-2"/>
              <w:szCs w:val="28"/>
            </w:rPr>
            <w:t>4.</w:t>
          </w:r>
          <w:r>
            <w:rPr>
              <w:rFonts w:ascii="黑体" w:hAnsi="黑体" w:eastAsia="黑体" w:cs="黑体"/>
              <w:color w:val="auto"/>
              <w:spacing w:val="-2"/>
              <w:szCs w:val="28"/>
            </w:rPr>
            <w:t>投标</w:t>
          </w:r>
          <w:r>
            <w:rPr>
              <w:color w:val="auto"/>
            </w:rPr>
            <w:tab/>
          </w:r>
          <w:r>
            <w:rPr>
              <w:color w:val="auto"/>
            </w:rPr>
            <w:fldChar w:fldCharType="begin"/>
          </w:r>
          <w:r>
            <w:rPr>
              <w:color w:val="auto"/>
            </w:rPr>
            <w:instrText xml:space="preserve"> PAGEREF _Toc29133 \h </w:instrText>
          </w:r>
          <w:r>
            <w:rPr>
              <w:color w:val="auto"/>
            </w:rPr>
            <w:fldChar w:fldCharType="separate"/>
          </w:r>
          <w:r>
            <w:rPr>
              <w:color w:val="auto"/>
            </w:rPr>
            <w:t>21</w:t>
          </w:r>
          <w:r>
            <w:rPr>
              <w:color w:val="auto"/>
            </w:rPr>
            <w:fldChar w:fldCharType="end"/>
          </w:r>
          <w:r>
            <w:rPr>
              <w:color w:val="auto"/>
            </w:rPr>
            <w:fldChar w:fldCharType="end"/>
          </w:r>
        </w:p>
        <w:p w14:paraId="3B702F3A">
          <w:pPr>
            <w:pStyle w:val="16"/>
            <w:tabs>
              <w:tab w:val="right" w:leader="dot" w:pos="8300"/>
            </w:tabs>
            <w:rPr>
              <w:color w:val="auto"/>
            </w:rPr>
          </w:pPr>
          <w:r>
            <w:fldChar w:fldCharType="begin"/>
          </w:r>
          <w:r>
            <w:instrText xml:space="preserve"> HYPERLINK \l "_Toc24668" </w:instrText>
          </w:r>
          <w:r>
            <w:fldChar w:fldCharType="separate"/>
          </w:r>
          <w:r>
            <w:rPr>
              <w:rFonts w:ascii="Times New Roman" w:hAnsi="Times New Roman" w:eastAsia="Times New Roman" w:cs="Times New Roman"/>
              <w:color w:val="auto"/>
              <w:spacing w:val="-4"/>
              <w:szCs w:val="28"/>
            </w:rPr>
            <w:t>5.</w:t>
          </w:r>
          <w:r>
            <w:rPr>
              <w:rFonts w:ascii="黑体" w:hAnsi="黑体" w:eastAsia="黑体" w:cs="黑体"/>
              <w:color w:val="auto"/>
              <w:spacing w:val="-4"/>
              <w:szCs w:val="28"/>
            </w:rPr>
            <w:t>开标</w:t>
          </w:r>
          <w:r>
            <w:rPr>
              <w:color w:val="auto"/>
            </w:rPr>
            <w:tab/>
          </w:r>
          <w:r>
            <w:rPr>
              <w:color w:val="auto"/>
            </w:rPr>
            <w:fldChar w:fldCharType="begin"/>
          </w:r>
          <w:r>
            <w:rPr>
              <w:color w:val="auto"/>
            </w:rPr>
            <w:instrText xml:space="preserve"> PAGEREF _Toc24668 \h </w:instrText>
          </w:r>
          <w:r>
            <w:rPr>
              <w:color w:val="auto"/>
            </w:rPr>
            <w:fldChar w:fldCharType="separate"/>
          </w:r>
          <w:r>
            <w:rPr>
              <w:color w:val="auto"/>
            </w:rPr>
            <w:t>21</w:t>
          </w:r>
          <w:r>
            <w:rPr>
              <w:color w:val="auto"/>
            </w:rPr>
            <w:fldChar w:fldCharType="end"/>
          </w:r>
          <w:r>
            <w:rPr>
              <w:color w:val="auto"/>
            </w:rPr>
            <w:fldChar w:fldCharType="end"/>
          </w:r>
        </w:p>
        <w:p w14:paraId="7788F672">
          <w:pPr>
            <w:pStyle w:val="16"/>
            <w:tabs>
              <w:tab w:val="right" w:leader="dot" w:pos="8300"/>
            </w:tabs>
            <w:rPr>
              <w:color w:val="auto"/>
            </w:rPr>
          </w:pPr>
          <w:r>
            <w:fldChar w:fldCharType="begin"/>
          </w:r>
          <w:r>
            <w:instrText xml:space="preserve"> HYPERLINK \l "_Toc21690" </w:instrText>
          </w:r>
          <w:r>
            <w:fldChar w:fldCharType="separate"/>
          </w:r>
          <w:r>
            <w:rPr>
              <w:rFonts w:ascii="Times New Roman" w:hAnsi="Times New Roman" w:eastAsia="Times New Roman" w:cs="Times New Roman"/>
              <w:color w:val="auto"/>
              <w:spacing w:val="-4"/>
              <w:szCs w:val="28"/>
            </w:rPr>
            <w:t>6.</w:t>
          </w:r>
          <w:r>
            <w:rPr>
              <w:rFonts w:ascii="黑体" w:hAnsi="黑体" w:eastAsia="黑体" w:cs="黑体"/>
              <w:color w:val="auto"/>
              <w:spacing w:val="-4"/>
              <w:szCs w:val="28"/>
            </w:rPr>
            <w:t>评标</w:t>
          </w:r>
          <w:r>
            <w:rPr>
              <w:color w:val="auto"/>
            </w:rPr>
            <w:tab/>
          </w:r>
          <w:r>
            <w:rPr>
              <w:color w:val="auto"/>
            </w:rPr>
            <w:fldChar w:fldCharType="begin"/>
          </w:r>
          <w:r>
            <w:rPr>
              <w:color w:val="auto"/>
            </w:rPr>
            <w:instrText xml:space="preserve"> PAGEREF _Toc21690 \h </w:instrText>
          </w:r>
          <w:r>
            <w:rPr>
              <w:color w:val="auto"/>
            </w:rPr>
            <w:fldChar w:fldCharType="separate"/>
          </w:r>
          <w:r>
            <w:rPr>
              <w:color w:val="auto"/>
            </w:rPr>
            <w:t>23</w:t>
          </w:r>
          <w:r>
            <w:rPr>
              <w:color w:val="auto"/>
            </w:rPr>
            <w:fldChar w:fldCharType="end"/>
          </w:r>
          <w:r>
            <w:rPr>
              <w:color w:val="auto"/>
            </w:rPr>
            <w:fldChar w:fldCharType="end"/>
          </w:r>
        </w:p>
        <w:p w14:paraId="6647781F">
          <w:pPr>
            <w:pStyle w:val="16"/>
            <w:tabs>
              <w:tab w:val="right" w:leader="dot" w:pos="8300"/>
            </w:tabs>
            <w:rPr>
              <w:color w:val="auto"/>
            </w:rPr>
          </w:pPr>
          <w:r>
            <w:fldChar w:fldCharType="begin"/>
          </w:r>
          <w:r>
            <w:instrText xml:space="preserve"> HYPERLINK \l "_Toc371" </w:instrText>
          </w:r>
          <w:r>
            <w:fldChar w:fldCharType="separate"/>
          </w:r>
          <w:r>
            <w:rPr>
              <w:rFonts w:ascii="Times New Roman" w:hAnsi="Times New Roman" w:eastAsia="Times New Roman" w:cs="Times New Roman"/>
              <w:color w:val="auto"/>
              <w:spacing w:val="-2"/>
              <w:szCs w:val="28"/>
            </w:rPr>
            <w:t>7.</w:t>
          </w:r>
          <w:r>
            <w:rPr>
              <w:rFonts w:ascii="黑体" w:hAnsi="黑体" w:eastAsia="黑体" w:cs="黑体"/>
              <w:color w:val="auto"/>
              <w:spacing w:val="-2"/>
              <w:szCs w:val="28"/>
            </w:rPr>
            <w:t>合同授予</w:t>
          </w:r>
          <w:r>
            <w:rPr>
              <w:color w:val="auto"/>
            </w:rPr>
            <w:tab/>
          </w:r>
          <w:r>
            <w:rPr>
              <w:color w:val="auto"/>
            </w:rPr>
            <w:fldChar w:fldCharType="begin"/>
          </w:r>
          <w:r>
            <w:rPr>
              <w:color w:val="auto"/>
            </w:rPr>
            <w:instrText xml:space="preserve"> PAGEREF _Toc371 \h </w:instrText>
          </w:r>
          <w:r>
            <w:rPr>
              <w:color w:val="auto"/>
            </w:rPr>
            <w:fldChar w:fldCharType="separate"/>
          </w:r>
          <w:r>
            <w:rPr>
              <w:color w:val="auto"/>
            </w:rPr>
            <w:t>24</w:t>
          </w:r>
          <w:r>
            <w:rPr>
              <w:color w:val="auto"/>
            </w:rPr>
            <w:fldChar w:fldCharType="end"/>
          </w:r>
          <w:r>
            <w:rPr>
              <w:color w:val="auto"/>
            </w:rPr>
            <w:fldChar w:fldCharType="end"/>
          </w:r>
        </w:p>
        <w:p w14:paraId="0750B325">
          <w:pPr>
            <w:pStyle w:val="16"/>
            <w:tabs>
              <w:tab w:val="right" w:leader="dot" w:pos="8300"/>
            </w:tabs>
            <w:rPr>
              <w:color w:val="auto"/>
            </w:rPr>
          </w:pPr>
          <w:r>
            <w:fldChar w:fldCharType="begin"/>
          </w:r>
          <w:r>
            <w:instrText xml:space="preserve"> HYPERLINK \l "_Toc16383" </w:instrText>
          </w:r>
          <w:r>
            <w:fldChar w:fldCharType="separate"/>
          </w:r>
          <w:r>
            <w:rPr>
              <w:rFonts w:ascii="Times New Roman" w:hAnsi="Times New Roman" w:eastAsia="Times New Roman" w:cs="Times New Roman"/>
              <w:color w:val="auto"/>
              <w:spacing w:val="-2"/>
              <w:szCs w:val="28"/>
            </w:rPr>
            <w:t>8.</w:t>
          </w:r>
          <w:r>
            <w:rPr>
              <w:rFonts w:ascii="黑体" w:hAnsi="黑体" w:eastAsia="黑体" w:cs="黑体"/>
              <w:color w:val="auto"/>
              <w:spacing w:val="-2"/>
              <w:szCs w:val="28"/>
            </w:rPr>
            <w:t>重新招标、不再招标和终止招标</w:t>
          </w:r>
          <w:r>
            <w:rPr>
              <w:color w:val="auto"/>
            </w:rPr>
            <w:tab/>
          </w:r>
          <w:r>
            <w:rPr>
              <w:color w:val="auto"/>
            </w:rPr>
            <w:fldChar w:fldCharType="begin"/>
          </w:r>
          <w:r>
            <w:rPr>
              <w:color w:val="auto"/>
            </w:rPr>
            <w:instrText xml:space="preserve"> PAGEREF _Toc16383 \h </w:instrText>
          </w:r>
          <w:r>
            <w:rPr>
              <w:color w:val="auto"/>
            </w:rPr>
            <w:fldChar w:fldCharType="separate"/>
          </w:r>
          <w:r>
            <w:rPr>
              <w:color w:val="auto"/>
            </w:rPr>
            <w:t>25</w:t>
          </w:r>
          <w:r>
            <w:rPr>
              <w:color w:val="auto"/>
            </w:rPr>
            <w:fldChar w:fldCharType="end"/>
          </w:r>
          <w:r>
            <w:rPr>
              <w:color w:val="auto"/>
            </w:rPr>
            <w:fldChar w:fldCharType="end"/>
          </w:r>
        </w:p>
        <w:p w14:paraId="04156C92">
          <w:pPr>
            <w:pStyle w:val="16"/>
            <w:tabs>
              <w:tab w:val="right" w:leader="dot" w:pos="8300"/>
            </w:tabs>
            <w:rPr>
              <w:color w:val="auto"/>
            </w:rPr>
          </w:pPr>
          <w:r>
            <w:fldChar w:fldCharType="begin"/>
          </w:r>
          <w:r>
            <w:instrText xml:space="preserve"> HYPERLINK \l "_Toc20388" </w:instrText>
          </w:r>
          <w:r>
            <w:fldChar w:fldCharType="separate"/>
          </w:r>
          <w:r>
            <w:rPr>
              <w:rFonts w:ascii="Times New Roman" w:hAnsi="Times New Roman" w:eastAsia="Times New Roman" w:cs="Times New Roman"/>
              <w:color w:val="auto"/>
              <w:spacing w:val="-2"/>
              <w:szCs w:val="28"/>
            </w:rPr>
            <w:t>9.</w:t>
          </w:r>
          <w:r>
            <w:rPr>
              <w:rFonts w:ascii="黑体" w:hAnsi="黑体" w:eastAsia="黑体" w:cs="黑体"/>
              <w:color w:val="auto"/>
              <w:spacing w:val="-2"/>
              <w:szCs w:val="28"/>
            </w:rPr>
            <w:t>纪律和监督</w:t>
          </w:r>
          <w:r>
            <w:rPr>
              <w:color w:val="auto"/>
            </w:rPr>
            <w:tab/>
          </w:r>
          <w:r>
            <w:rPr>
              <w:color w:val="auto"/>
            </w:rPr>
            <w:fldChar w:fldCharType="begin"/>
          </w:r>
          <w:r>
            <w:rPr>
              <w:color w:val="auto"/>
            </w:rPr>
            <w:instrText xml:space="preserve"> PAGEREF _Toc20388 \h </w:instrText>
          </w:r>
          <w:r>
            <w:rPr>
              <w:color w:val="auto"/>
            </w:rPr>
            <w:fldChar w:fldCharType="separate"/>
          </w:r>
          <w:r>
            <w:rPr>
              <w:color w:val="auto"/>
            </w:rPr>
            <w:t>25</w:t>
          </w:r>
          <w:r>
            <w:rPr>
              <w:color w:val="auto"/>
            </w:rPr>
            <w:fldChar w:fldCharType="end"/>
          </w:r>
          <w:r>
            <w:rPr>
              <w:color w:val="auto"/>
            </w:rPr>
            <w:fldChar w:fldCharType="end"/>
          </w:r>
        </w:p>
        <w:p w14:paraId="73CDF639">
          <w:pPr>
            <w:pStyle w:val="16"/>
            <w:tabs>
              <w:tab w:val="right" w:leader="dot" w:pos="8300"/>
            </w:tabs>
            <w:rPr>
              <w:color w:val="auto"/>
            </w:rPr>
          </w:pPr>
          <w:r>
            <w:fldChar w:fldCharType="begin"/>
          </w:r>
          <w:r>
            <w:instrText xml:space="preserve"> HYPERLINK \l "_Toc12937" </w:instrText>
          </w:r>
          <w:r>
            <w:fldChar w:fldCharType="separate"/>
          </w:r>
          <w:r>
            <w:rPr>
              <w:rFonts w:ascii="Times New Roman" w:hAnsi="Times New Roman" w:eastAsia="Times New Roman" w:cs="Times New Roman"/>
              <w:color w:val="auto"/>
              <w:spacing w:val="-3"/>
              <w:szCs w:val="28"/>
            </w:rPr>
            <w:t>10.</w:t>
          </w:r>
          <w:r>
            <w:rPr>
              <w:rFonts w:ascii="黑体" w:hAnsi="黑体" w:eastAsia="黑体" w:cs="黑体"/>
              <w:color w:val="auto"/>
              <w:spacing w:val="-3"/>
              <w:szCs w:val="28"/>
            </w:rPr>
            <w:t>需要补充的其他内容</w:t>
          </w:r>
          <w:r>
            <w:rPr>
              <w:color w:val="auto"/>
            </w:rPr>
            <w:tab/>
          </w:r>
          <w:r>
            <w:rPr>
              <w:color w:val="auto"/>
            </w:rPr>
            <w:fldChar w:fldCharType="begin"/>
          </w:r>
          <w:r>
            <w:rPr>
              <w:color w:val="auto"/>
            </w:rPr>
            <w:instrText xml:space="preserve"> PAGEREF _Toc12937 \h </w:instrText>
          </w:r>
          <w:r>
            <w:rPr>
              <w:color w:val="auto"/>
            </w:rPr>
            <w:fldChar w:fldCharType="separate"/>
          </w:r>
          <w:r>
            <w:rPr>
              <w:color w:val="auto"/>
            </w:rPr>
            <w:t>26</w:t>
          </w:r>
          <w:r>
            <w:rPr>
              <w:color w:val="auto"/>
            </w:rPr>
            <w:fldChar w:fldCharType="end"/>
          </w:r>
          <w:r>
            <w:rPr>
              <w:color w:val="auto"/>
            </w:rPr>
            <w:fldChar w:fldCharType="end"/>
          </w:r>
        </w:p>
        <w:p w14:paraId="076C4B60">
          <w:pPr>
            <w:pStyle w:val="15"/>
            <w:tabs>
              <w:tab w:val="right" w:leader="dot" w:pos="8300"/>
            </w:tabs>
            <w:rPr>
              <w:color w:val="auto"/>
            </w:rPr>
          </w:pPr>
          <w:r>
            <w:fldChar w:fldCharType="begin"/>
          </w:r>
          <w:r>
            <w:instrText xml:space="preserve"> HYPERLINK \l "_Toc14668" </w:instrText>
          </w:r>
          <w:r>
            <w:fldChar w:fldCharType="separate"/>
          </w:r>
          <w:r>
            <w:rPr>
              <w:rFonts w:ascii="黑体" w:hAnsi="黑体" w:eastAsia="黑体" w:cs="黑体"/>
              <w:color w:val="auto"/>
              <w:spacing w:val="-2"/>
              <w:szCs w:val="32"/>
            </w:rPr>
            <w:t>第三章  评标办法</w:t>
          </w:r>
          <w:r>
            <w:rPr>
              <w:color w:val="auto"/>
            </w:rPr>
            <w:tab/>
          </w:r>
          <w:r>
            <w:rPr>
              <w:color w:val="auto"/>
            </w:rPr>
            <w:fldChar w:fldCharType="begin"/>
          </w:r>
          <w:r>
            <w:rPr>
              <w:color w:val="auto"/>
            </w:rPr>
            <w:instrText xml:space="preserve"> PAGEREF _Toc14668 \h </w:instrText>
          </w:r>
          <w:r>
            <w:rPr>
              <w:color w:val="auto"/>
            </w:rPr>
            <w:fldChar w:fldCharType="separate"/>
          </w:r>
          <w:r>
            <w:rPr>
              <w:color w:val="auto"/>
            </w:rPr>
            <w:t>38</w:t>
          </w:r>
          <w:r>
            <w:rPr>
              <w:color w:val="auto"/>
            </w:rPr>
            <w:fldChar w:fldCharType="end"/>
          </w:r>
          <w:r>
            <w:rPr>
              <w:color w:val="auto"/>
            </w:rPr>
            <w:fldChar w:fldCharType="end"/>
          </w:r>
        </w:p>
        <w:p w14:paraId="24382F50">
          <w:pPr>
            <w:pStyle w:val="16"/>
            <w:tabs>
              <w:tab w:val="right" w:leader="dot" w:pos="8300"/>
            </w:tabs>
            <w:rPr>
              <w:color w:val="auto"/>
            </w:rPr>
          </w:pPr>
          <w:r>
            <w:fldChar w:fldCharType="begin"/>
          </w:r>
          <w:r>
            <w:instrText xml:space="preserve"> HYPERLINK \l "_Toc10204" </w:instrText>
          </w:r>
          <w:r>
            <w:fldChar w:fldCharType="separate"/>
          </w:r>
          <w:r>
            <w:rPr>
              <w:rFonts w:ascii="黑体" w:hAnsi="黑体" w:eastAsia="黑体" w:cs="黑体"/>
              <w:color w:val="auto"/>
              <w:spacing w:val="-2"/>
              <w:szCs w:val="28"/>
            </w:rPr>
            <w:t>评标办法前附表（</w:t>
          </w:r>
          <w:r>
            <w:rPr>
              <w:rFonts w:hint="eastAsia" w:ascii="黑体" w:hAnsi="黑体" w:eastAsia="黑体" w:cs="黑体"/>
              <w:color w:val="auto"/>
              <w:spacing w:val="-2"/>
              <w:szCs w:val="28"/>
              <w:lang w:eastAsia="zh-CN"/>
            </w:rPr>
            <w:t>综合评估法</w:t>
          </w:r>
          <w:r>
            <w:rPr>
              <w:rFonts w:ascii="黑体" w:hAnsi="黑体" w:eastAsia="黑体" w:cs="黑体"/>
              <w:color w:val="auto"/>
              <w:spacing w:val="-2"/>
              <w:szCs w:val="28"/>
            </w:rPr>
            <w:t>）</w:t>
          </w:r>
          <w:r>
            <w:rPr>
              <w:color w:val="auto"/>
            </w:rPr>
            <w:tab/>
          </w:r>
          <w:r>
            <w:rPr>
              <w:color w:val="auto"/>
            </w:rPr>
            <w:fldChar w:fldCharType="begin"/>
          </w:r>
          <w:r>
            <w:rPr>
              <w:color w:val="auto"/>
            </w:rPr>
            <w:instrText xml:space="preserve"> PAGEREF _Toc10204 \h </w:instrText>
          </w:r>
          <w:r>
            <w:rPr>
              <w:color w:val="auto"/>
            </w:rPr>
            <w:fldChar w:fldCharType="separate"/>
          </w:r>
          <w:r>
            <w:rPr>
              <w:color w:val="auto"/>
            </w:rPr>
            <w:t>39</w:t>
          </w:r>
          <w:r>
            <w:rPr>
              <w:color w:val="auto"/>
            </w:rPr>
            <w:fldChar w:fldCharType="end"/>
          </w:r>
          <w:r>
            <w:rPr>
              <w:color w:val="auto"/>
            </w:rPr>
            <w:fldChar w:fldCharType="end"/>
          </w:r>
        </w:p>
        <w:p w14:paraId="1C07D5A0">
          <w:pPr>
            <w:pStyle w:val="16"/>
            <w:tabs>
              <w:tab w:val="right" w:leader="dot" w:pos="8300"/>
            </w:tabs>
            <w:rPr>
              <w:color w:val="auto"/>
            </w:rPr>
          </w:pPr>
          <w:r>
            <w:fldChar w:fldCharType="begin"/>
          </w:r>
          <w:r>
            <w:instrText xml:space="preserve"> HYPERLINK \l "_Toc24595" </w:instrText>
          </w:r>
          <w:r>
            <w:fldChar w:fldCharType="separate"/>
          </w:r>
          <w:r>
            <w:rPr>
              <w:rFonts w:ascii="黑体" w:hAnsi="黑体" w:eastAsia="黑体" w:cs="黑体"/>
              <w:color w:val="auto"/>
              <w:spacing w:val="-2"/>
              <w:szCs w:val="28"/>
            </w:rPr>
            <w:t>评标办法正文部分</w:t>
          </w:r>
          <w:r>
            <w:rPr>
              <w:color w:val="auto"/>
            </w:rPr>
            <w:tab/>
          </w:r>
          <w:r>
            <w:rPr>
              <w:color w:val="auto"/>
            </w:rPr>
            <w:fldChar w:fldCharType="begin"/>
          </w:r>
          <w:r>
            <w:rPr>
              <w:color w:val="auto"/>
            </w:rPr>
            <w:instrText xml:space="preserve"> PAGEREF _Toc24595 \h </w:instrText>
          </w:r>
          <w:r>
            <w:rPr>
              <w:color w:val="auto"/>
            </w:rPr>
            <w:fldChar w:fldCharType="separate"/>
          </w:r>
          <w:r>
            <w:rPr>
              <w:color w:val="auto"/>
            </w:rPr>
            <w:t>45</w:t>
          </w:r>
          <w:r>
            <w:rPr>
              <w:color w:val="auto"/>
            </w:rPr>
            <w:fldChar w:fldCharType="end"/>
          </w:r>
          <w:r>
            <w:rPr>
              <w:color w:val="auto"/>
            </w:rPr>
            <w:fldChar w:fldCharType="end"/>
          </w:r>
        </w:p>
        <w:p w14:paraId="4260393B">
          <w:pPr>
            <w:pStyle w:val="16"/>
            <w:tabs>
              <w:tab w:val="right" w:leader="dot" w:pos="8300"/>
            </w:tabs>
            <w:rPr>
              <w:color w:val="auto"/>
            </w:rPr>
          </w:pPr>
          <w:r>
            <w:fldChar w:fldCharType="begin"/>
          </w:r>
          <w:r>
            <w:instrText xml:space="preserve"> HYPERLINK \l "_Toc18026" </w:instrText>
          </w:r>
          <w:r>
            <w:fldChar w:fldCharType="separate"/>
          </w:r>
          <w:r>
            <w:rPr>
              <w:rFonts w:ascii="黑体" w:hAnsi="黑体" w:eastAsia="黑体" w:cs="黑体"/>
              <w:color w:val="auto"/>
              <w:spacing w:val="-5"/>
              <w:szCs w:val="28"/>
            </w:rPr>
            <w:t>1.评标方法</w:t>
          </w:r>
          <w:r>
            <w:rPr>
              <w:color w:val="auto"/>
            </w:rPr>
            <w:tab/>
          </w:r>
          <w:r>
            <w:rPr>
              <w:color w:val="auto"/>
            </w:rPr>
            <w:fldChar w:fldCharType="begin"/>
          </w:r>
          <w:r>
            <w:rPr>
              <w:color w:val="auto"/>
            </w:rPr>
            <w:instrText xml:space="preserve"> PAGEREF _Toc18026 \h </w:instrText>
          </w:r>
          <w:r>
            <w:rPr>
              <w:color w:val="auto"/>
            </w:rPr>
            <w:fldChar w:fldCharType="separate"/>
          </w:r>
          <w:r>
            <w:rPr>
              <w:color w:val="auto"/>
            </w:rPr>
            <w:t>45</w:t>
          </w:r>
          <w:r>
            <w:rPr>
              <w:color w:val="auto"/>
            </w:rPr>
            <w:fldChar w:fldCharType="end"/>
          </w:r>
          <w:r>
            <w:rPr>
              <w:color w:val="auto"/>
            </w:rPr>
            <w:fldChar w:fldCharType="end"/>
          </w:r>
        </w:p>
        <w:p w14:paraId="3B0AF7CF">
          <w:pPr>
            <w:pStyle w:val="16"/>
            <w:tabs>
              <w:tab w:val="right" w:leader="dot" w:pos="8300"/>
            </w:tabs>
            <w:rPr>
              <w:color w:val="auto"/>
            </w:rPr>
          </w:pPr>
          <w:r>
            <w:fldChar w:fldCharType="begin"/>
          </w:r>
          <w:r>
            <w:instrText xml:space="preserve"> HYPERLINK \l "_Toc22115" </w:instrText>
          </w:r>
          <w:r>
            <w:fldChar w:fldCharType="separate"/>
          </w:r>
          <w:r>
            <w:rPr>
              <w:rFonts w:ascii="黑体" w:hAnsi="黑体" w:eastAsia="黑体" w:cs="黑体"/>
              <w:color w:val="auto"/>
              <w:spacing w:val="-2"/>
              <w:szCs w:val="28"/>
            </w:rPr>
            <w:t>2.评审标准</w:t>
          </w:r>
          <w:r>
            <w:rPr>
              <w:color w:val="auto"/>
            </w:rPr>
            <w:tab/>
          </w:r>
          <w:r>
            <w:rPr>
              <w:color w:val="auto"/>
            </w:rPr>
            <w:fldChar w:fldCharType="begin"/>
          </w:r>
          <w:r>
            <w:rPr>
              <w:color w:val="auto"/>
            </w:rPr>
            <w:instrText xml:space="preserve"> PAGEREF _Toc22115 \h </w:instrText>
          </w:r>
          <w:r>
            <w:rPr>
              <w:color w:val="auto"/>
            </w:rPr>
            <w:fldChar w:fldCharType="separate"/>
          </w:r>
          <w:r>
            <w:rPr>
              <w:color w:val="auto"/>
            </w:rPr>
            <w:t>45</w:t>
          </w:r>
          <w:r>
            <w:rPr>
              <w:color w:val="auto"/>
            </w:rPr>
            <w:fldChar w:fldCharType="end"/>
          </w:r>
          <w:r>
            <w:rPr>
              <w:color w:val="auto"/>
            </w:rPr>
            <w:fldChar w:fldCharType="end"/>
          </w:r>
        </w:p>
        <w:p w14:paraId="53CF7782">
          <w:pPr>
            <w:pStyle w:val="16"/>
            <w:tabs>
              <w:tab w:val="right" w:leader="dot" w:pos="8300"/>
            </w:tabs>
            <w:rPr>
              <w:color w:val="auto"/>
            </w:rPr>
          </w:pPr>
          <w:r>
            <w:fldChar w:fldCharType="begin"/>
          </w:r>
          <w:r>
            <w:instrText xml:space="preserve"> HYPERLINK \l "_Toc19886" </w:instrText>
          </w:r>
          <w:r>
            <w:fldChar w:fldCharType="separate"/>
          </w:r>
          <w:r>
            <w:rPr>
              <w:rFonts w:ascii="黑体" w:hAnsi="黑体" w:eastAsia="黑体" w:cs="黑体"/>
              <w:color w:val="auto"/>
              <w:spacing w:val="-2"/>
              <w:szCs w:val="28"/>
            </w:rPr>
            <w:t>3.评标程序</w:t>
          </w:r>
          <w:r>
            <w:rPr>
              <w:color w:val="auto"/>
            </w:rPr>
            <w:tab/>
          </w:r>
          <w:r>
            <w:rPr>
              <w:color w:val="auto"/>
            </w:rPr>
            <w:fldChar w:fldCharType="begin"/>
          </w:r>
          <w:r>
            <w:rPr>
              <w:color w:val="auto"/>
            </w:rPr>
            <w:instrText xml:space="preserve"> PAGEREF _Toc19886 \h </w:instrText>
          </w:r>
          <w:r>
            <w:rPr>
              <w:color w:val="auto"/>
            </w:rPr>
            <w:fldChar w:fldCharType="separate"/>
          </w:r>
          <w:r>
            <w:rPr>
              <w:color w:val="auto"/>
            </w:rPr>
            <w:t>45</w:t>
          </w:r>
          <w:r>
            <w:rPr>
              <w:color w:val="auto"/>
            </w:rPr>
            <w:fldChar w:fldCharType="end"/>
          </w:r>
          <w:r>
            <w:rPr>
              <w:color w:val="auto"/>
            </w:rPr>
            <w:fldChar w:fldCharType="end"/>
          </w:r>
        </w:p>
        <w:p w14:paraId="5AF8D05F">
          <w:pPr>
            <w:pStyle w:val="16"/>
            <w:tabs>
              <w:tab w:val="right" w:leader="dot" w:pos="8300"/>
            </w:tabs>
            <w:rPr>
              <w:color w:val="auto"/>
            </w:rPr>
          </w:pPr>
          <w:r>
            <w:fldChar w:fldCharType="begin"/>
          </w:r>
          <w:r>
            <w:instrText xml:space="preserve"> HYPERLINK \l "_Toc24989" </w:instrText>
          </w:r>
          <w:r>
            <w:fldChar w:fldCharType="separate"/>
          </w:r>
          <w:r>
            <w:rPr>
              <w:rFonts w:ascii="黑体" w:hAnsi="黑体" w:eastAsia="黑体" w:cs="黑体"/>
              <w:bCs/>
              <w:color w:val="auto"/>
              <w:spacing w:val="-4"/>
              <w:szCs w:val="24"/>
            </w:rPr>
            <w:t>附件</w:t>
          </w:r>
          <w:r>
            <w:rPr>
              <w:bCs/>
              <w:color w:val="auto"/>
              <w:spacing w:val="-4"/>
              <w:szCs w:val="24"/>
            </w:rPr>
            <w:t>A</w:t>
          </w:r>
          <w:r>
            <w:rPr>
              <w:rFonts w:ascii="黑体" w:hAnsi="黑体" w:eastAsia="黑体" w:cs="黑体"/>
              <w:bCs/>
              <w:color w:val="auto"/>
              <w:spacing w:val="-4"/>
              <w:szCs w:val="24"/>
            </w:rPr>
            <w:t>：评标详细程序</w:t>
          </w:r>
          <w:r>
            <w:rPr>
              <w:color w:val="auto"/>
            </w:rPr>
            <w:tab/>
          </w:r>
          <w:r>
            <w:rPr>
              <w:color w:val="auto"/>
            </w:rPr>
            <w:fldChar w:fldCharType="begin"/>
          </w:r>
          <w:r>
            <w:rPr>
              <w:color w:val="auto"/>
            </w:rPr>
            <w:instrText xml:space="preserve"> PAGEREF _Toc24989 \h </w:instrText>
          </w:r>
          <w:r>
            <w:rPr>
              <w:color w:val="auto"/>
            </w:rPr>
            <w:fldChar w:fldCharType="separate"/>
          </w:r>
          <w:r>
            <w:rPr>
              <w:color w:val="auto"/>
            </w:rPr>
            <w:t>48</w:t>
          </w:r>
          <w:r>
            <w:rPr>
              <w:color w:val="auto"/>
            </w:rPr>
            <w:fldChar w:fldCharType="end"/>
          </w:r>
          <w:r>
            <w:rPr>
              <w:color w:val="auto"/>
            </w:rPr>
            <w:fldChar w:fldCharType="end"/>
          </w:r>
        </w:p>
        <w:p w14:paraId="3312BD30">
          <w:pPr>
            <w:pStyle w:val="16"/>
            <w:tabs>
              <w:tab w:val="right" w:leader="dot" w:pos="8300"/>
            </w:tabs>
            <w:rPr>
              <w:color w:val="auto"/>
            </w:rPr>
          </w:pPr>
          <w:r>
            <w:fldChar w:fldCharType="begin"/>
          </w:r>
          <w:r>
            <w:instrText xml:space="preserve"> HYPERLINK \l "_Toc10764" </w:instrText>
          </w:r>
          <w:r>
            <w:fldChar w:fldCharType="separate"/>
          </w:r>
          <w:r>
            <w:rPr>
              <w:rFonts w:ascii="宋体" w:hAnsi="宋体" w:eastAsia="宋体" w:cs="宋体"/>
              <w:bCs/>
              <w:color w:val="auto"/>
              <w:spacing w:val="-5"/>
              <w:szCs w:val="24"/>
            </w:rPr>
            <w:t>附件B：否决投标的条件</w:t>
          </w:r>
          <w:r>
            <w:rPr>
              <w:color w:val="auto"/>
            </w:rPr>
            <w:tab/>
          </w:r>
          <w:r>
            <w:rPr>
              <w:color w:val="auto"/>
            </w:rPr>
            <w:fldChar w:fldCharType="begin"/>
          </w:r>
          <w:r>
            <w:rPr>
              <w:color w:val="auto"/>
            </w:rPr>
            <w:instrText xml:space="preserve"> PAGEREF _Toc10764 \h </w:instrText>
          </w:r>
          <w:r>
            <w:rPr>
              <w:color w:val="auto"/>
            </w:rPr>
            <w:fldChar w:fldCharType="separate"/>
          </w:r>
          <w:r>
            <w:rPr>
              <w:color w:val="auto"/>
            </w:rPr>
            <w:t>54</w:t>
          </w:r>
          <w:r>
            <w:rPr>
              <w:color w:val="auto"/>
            </w:rPr>
            <w:fldChar w:fldCharType="end"/>
          </w:r>
          <w:r>
            <w:rPr>
              <w:color w:val="auto"/>
            </w:rPr>
            <w:fldChar w:fldCharType="end"/>
          </w:r>
        </w:p>
        <w:p w14:paraId="1E31327F">
          <w:pPr>
            <w:pStyle w:val="15"/>
            <w:tabs>
              <w:tab w:val="right" w:leader="dot" w:pos="8300"/>
            </w:tabs>
            <w:rPr>
              <w:color w:val="auto"/>
            </w:rPr>
          </w:pPr>
          <w:r>
            <w:fldChar w:fldCharType="begin"/>
          </w:r>
          <w:r>
            <w:instrText xml:space="preserve"> HYPERLINK \l "_Toc12021" </w:instrText>
          </w:r>
          <w:r>
            <w:fldChar w:fldCharType="separate"/>
          </w:r>
          <w:r>
            <w:rPr>
              <w:rFonts w:ascii="黑体" w:hAnsi="黑体" w:eastAsia="黑体" w:cs="黑体"/>
              <w:color w:val="auto"/>
              <w:spacing w:val="-1"/>
              <w:szCs w:val="32"/>
            </w:rPr>
            <w:t>第四章  合同条款及格式</w:t>
          </w:r>
          <w:r>
            <w:rPr>
              <w:color w:val="auto"/>
            </w:rPr>
            <w:tab/>
          </w:r>
          <w:r>
            <w:rPr>
              <w:color w:val="auto"/>
            </w:rPr>
            <w:fldChar w:fldCharType="begin"/>
          </w:r>
          <w:r>
            <w:rPr>
              <w:color w:val="auto"/>
            </w:rPr>
            <w:instrText xml:space="preserve"> PAGEREF _Toc12021 \h </w:instrText>
          </w:r>
          <w:r>
            <w:rPr>
              <w:color w:val="auto"/>
            </w:rPr>
            <w:fldChar w:fldCharType="separate"/>
          </w:r>
          <w:r>
            <w:rPr>
              <w:color w:val="auto"/>
            </w:rPr>
            <w:t>76</w:t>
          </w:r>
          <w:r>
            <w:rPr>
              <w:color w:val="auto"/>
            </w:rPr>
            <w:fldChar w:fldCharType="end"/>
          </w:r>
          <w:r>
            <w:rPr>
              <w:color w:val="auto"/>
            </w:rPr>
            <w:fldChar w:fldCharType="end"/>
          </w:r>
        </w:p>
        <w:p w14:paraId="2CECF9A2">
          <w:pPr>
            <w:pStyle w:val="16"/>
            <w:tabs>
              <w:tab w:val="right" w:leader="dot" w:pos="8300"/>
            </w:tabs>
            <w:rPr>
              <w:color w:val="auto"/>
            </w:rPr>
          </w:pPr>
          <w:r>
            <w:fldChar w:fldCharType="begin"/>
          </w:r>
          <w:r>
            <w:instrText xml:space="preserve"> HYPERLINK \l "_Toc1225" </w:instrText>
          </w:r>
          <w:r>
            <w:fldChar w:fldCharType="separate"/>
          </w:r>
          <w:r>
            <w:rPr>
              <w:rFonts w:hint="eastAsia" w:ascii="宋体" w:hAnsi="宋体" w:eastAsia="宋体" w:cs="宋体"/>
              <w:bCs/>
              <w:color w:val="auto"/>
              <w:szCs w:val="36"/>
              <w:lang w:eastAsia="zh-CN"/>
            </w:rPr>
            <w:t>第一节 通用合同条款</w:t>
          </w:r>
          <w:r>
            <w:rPr>
              <w:color w:val="auto"/>
            </w:rPr>
            <w:tab/>
          </w:r>
          <w:r>
            <w:rPr>
              <w:color w:val="auto"/>
            </w:rPr>
            <w:fldChar w:fldCharType="begin"/>
          </w:r>
          <w:r>
            <w:rPr>
              <w:color w:val="auto"/>
            </w:rPr>
            <w:instrText xml:space="preserve"> PAGEREF _Toc1225 \h </w:instrText>
          </w:r>
          <w:r>
            <w:rPr>
              <w:color w:val="auto"/>
            </w:rPr>
            <w:fldChar w:fldCharType="separate"/>
          </w:r>
          <w:r>
            <w:rPr>
              <w:color w:val="auto"/>
            </w:rPr>
            <w:t>77</w:t>
          </w:r>
          <w:r>
            <w:rPr>
              <w:color w:val="auto"/>
            </w:rPr>
            <w:fldChar w:fldCharType="end"/>
          </w:r>
          <w:r>
            <w:rPr>
              <w:color w:val="auto"/>
            </w:rPr>
            <w:fldChar w:fldCharType="end"/>
          </w:r>
        </w:p>
        <w:p w14:paraId="68C5200E">
          <w:pPr>
            <w:pStyle w:val="16"/>
            <w:tabs>
              <w:tab w:val="right" w:leader="dot" w:pos="8300"/>
            </w:tabs>
            <w:rPr>
              <w:color w:val="auto"/>
            </w:rPr>
          </w:pPr>
          <w:r>
            <w:fldChar w:fldCharType="begin"/>
          </w:r>
          <w:r>
            <w:instrText xml:space="preserve"> HYPERLINK \l "_Toc6164" </w:instrText>
          </w:r>
          <w:r>
            <w:fldChar w:fldCharType="separate"/>
          </w:r>
          <w:r>
            <w:rPr>
              <w:rFonts w:hint="eastAsia" w:ascii="宋体" w:hAnsi="宋体" w:eastAsia="宋体" w:cs="宋体"/>
              <w:bCs/>
              <w:color w:val="auto"/>
              <w:szCs w:val="36"/>
              <w:lang w:eastAsia="zh-CN"/>
            </w:rPr>
            <w:t>第二节 专用合同条款</w:t>
          </w:r>
          <w:r>
            <w:rPr>
              <w:color w:val="auto"/>
            </w:rPr>
            <w:tab/>
          </w:r>
          <w:r>
            <w:rPr>
              <w:color w:val="auto"/>
            </w:rPr>
            <w:fldChar w:fldCharType="begin"/>
          </w:r>
          <w:r>
            <w:rPr>
              <w:color w:val="auto"/>
            </w:rPr>
            <w:instrText xml:space="preserve"> PAGEREF _Toc6164 \h </w:instrText>
          </w:r>
          <w:r>
            <w:rPr>
              <w:color w:val="auto"/>
            </w:rPr>
            <w:fldChar w:fldCharType="separate"/>
          </w:r>
          <w:r>
            <w:rPr>
              <w:color w:val="auto"/>
            </w:rPr>
            <w:t>92</w:t>
          </w:r>
          <w:r>
            <w:rPr>
              <w:color w:val="auto"/>
            </w:rPr>
            <w:fldChar w:fldCharType="end"/>
          </w:r>
          <w:r>
            <w:rPr>
              <w:color w:val="auto"/>
            </w:rPr>
            <w:fldChar w:fldCharType="end"/>
          </w:r>
        </w:p>
        <w:p w14:paraId="33592DF3">
          <w:pPr>
            <w:pStyle w:val="15"/>
            <w:tabs>
              <w:tab w:val="right" w:leader="dot" w:pos="8300"/>
            </w:tabs>
            <w:rPr>
              <w:color w:val="auto"/>
            </w:rPr>
          </w:pPr>
          <w:r>
            <w:fldChar w:fldCharType="begin"/>
          </w:r>
          <w:r>
            <w:instrText xml:space="preserve"> HYPERLINK \l "_Toc6287" </w:instrText>
          </w:r>
          <w:r>
            <w:fldChar w:fldCharType="separate"/>
          </w:r>
          <w:r>
            <w:rPr>
              <w:rFonts w:ascii="黑体" w:hAnsi="黑体" w:eastAsia="黑体" w:cs="黑体"/>
              <w:color w:val="auto"/>
              <w:spacing w:val="-5"/>
              <w:szCs w:val="48"/>
            </w:rPr>
            <w:t>第二卷</w:t>
          </w:r>
          <w:r>
            <w:rPr>
              <w:color w:val="auto"/>
            </w:rPr>
            <w:tab/>
          </w:r>
          <w:r>
            <w:rPr>
              <w:color w:val="auto"/>
            </w:rPr>
            <w:fldChar w:fldCharType="begin"/>
          </w:r>
          <w:r>
            <w:rPr>
              <w:color w:val="auto"/>
            </w:rPr>
            <w:instrText xml:space="preserve"> PAGEREF _Toc6287 \h </w:instrText>
          </w:r>
          <w:r>
            <w:rPr>
              <w:color w:val="auto"/>
            </w:rPr>
            <w:fldChar w:fldCharType="separate"/>
          </w:r>
          <w:r>
            <w:rPr>
              <w:color w:val="auto"/>
            </w:rPr>
            <w:t>101</w:t>
          </w:r>
          <w:r>
            <w:rPr>
              <w:color w:val="auto"/>
            </w:rPr>
            <w:fldChar w:fldCharType="end"/>
          </w:r>
          <w:r>
            <w:rPr>
              <w:color w:val="auto"/>
            </w:rPr>
            <w:fldChar w:fldCharType="end"/>
          </w:r>
        </w:p>
        <w:p w14:paraId="30F4505C">
          <w:pPr>
            <w:pStyle w:val="15"/>
            <w:tabs>
              <w:tab w:val="right" w:leader="dot" w:pos="8300"/>
            </w:tabs>
            <w:rPr>
              <w:color w:val="auto"/>
            </w:rPr>
          </w:pPr>
          <w:r>
            <w:fldChar w:fldCharType="begin"/>
          </w:r>
          <w:r>
            <w:instrText xml:space="preserve"> HYPERLINK \l "_Toc15863" </w:instrText>
          </w:r>
          <w:r>
            <w:fldChar w:fldCharType="separate"/>
          </w:r>
          <w:r>
            <w:rPr>
              <w:rFonts w:ascii="黑体" w:hAnsi="黑体" w:eastAsia="黑体" w:cs="黑体"/>
              <w:color w:val="auto"/>
              <w:spacing w:val="-2"/>
              <w:szCs w:val="32"/>
            </w:rPr>
            <w:t>第五章  供货要求</w:t>
          </w:r>
          <w:r>
            <w:rPr>
              <w:color w:val="auto"/>
            </w:rPr>
            <w:tab/>
          </w:r>
          <w:r>
            <w:rPr>
              <w:color w:val="auto"/>
            </w:rPr>
            <w:fldChar w:fldCharType="begin"/>
          </w:r>
          <w:r>
            <w:rPr>
              <w:color w:val="auto"/>
            </w:rPr>
            <w:instrText xml:space="preserve"> PAGEREF _Toc15863 \h </w:instrText>
          </w:r>
          <w:r>
            <w:rPr>
              <w:color w:val="auto"/>
            </w:rPr>
            <w:fldChar w:fldCharType="separate"/>
          </w:r>
          <w:r>
            <w:rPr>
              <w:color w:val="auto"/>
            </w:rPr>
            <w:t>102</w:t>
          </w:r>
          <w:r>
            <w:rPr>
              <w:color w:val="auto"/>
            </w:rPr>
            <w:fldChar w:fldCharType="end"/>
          </w:r>
          <w:r>
            <w:rPr>
              <w:color w:val="auto"/>
            </w:rPr>
            <w:fldChar w:fldCharType="end"/>
          </w:r>
        </w:p>
        <w:p w14:paraId="3A53E416">
          <w:pPr>
            <w:pStyle w:val="16"/>
            <w:tabs>
              <w:tab w:val="right" w:leader="dot" w:pos="8300"/>
            </w:tabs>
            <w:rPr>
              <w:color w:val="auto"/>
            </w:rPr>
          </w:pPr>
          <w:r>
            <w:fldChar w:fldCharType="begin"/>
          </w:r>
          <w:r>
            <w:instrText xml:space="preserve"> HYPERLINK \l "_Toc5987" </w:instrText>
          </w:r>
          <w:r>
            <w:fldChar w:fldCharType="separate"/>
          </w:r>
          <w:r>
            <w:rPr>
              <w:rFonts w:hint="eastAsia" w:ascii="黑体" w:hAnsi="黑体" w:eastAsia="黑体" w:cs="黑体"/>
              <w:color w:val="auto"/>
              <w:szCs w:val="24"/>
            </w:rPr>
            <w:t xml:space="preserve">一、 </w:t>
          </w:r>
          <w:r>
            <w:rPr>
              <w:rFonts w:ascii="黑体" w:hAnsi="黑体" w:eastAsia="黑体" w:cs="黑体"/>
              <w:color w:val="auto"/>
              <w:spacing w:val="-3"/>
              <w:szCs w:val="24"/>
            </w:rPr>
            <w:t>项目概况及总体要求</w:t>
          </w:r>
          <w:r>
            <w:rPr>
              <w:color w:val="auto"/>
            </w:rPr>
            <w:tab/>
          </w:r>
          <w:r>
            <w:rPr>
              <w:rFonts w:hint="eastAsia" w:eastAsiaTheme="minorEastAsia"/>
              <w:color w:val="auto"/>
              <w:lang w:eastAsia="zh-CN"/>
            </w:rPr>
            <w:t>103</w:t>
          </w:r>
          <w:r>
            <w:rPr>
              <w:rFonts w:hint="eastAsia" w:eastAsiaTheme="minorEastAsia"/>
              <w:color w:val="auto"/>
              <w:lang w:eastAsia="zh-CN"/>
            </w:rPr>
            <w:fldChar w:fldCharType="end"/>
          </w:r>
        </w:p>
        <w:p w14:paraId="08E2C5FE">
          <w:pPr>
            <w:pStyle w:val="16"/>
            <w:tabs>
              <w:tab w:val="right" w:leader="dot" w:pos="8300"/>
            </w:tabs>
            <w:rPr>
              <w:rFonts w:hint="eastAsia" w:eastAsiaTheme="minorEastAsia"/>
              <w:color w:val="auto"/>
              <w:lang w:eastAsia="zh-CN"/>
            </w:rPr>
          </w:pPr>
          <w:r>
            <w:fldChar w:fldCharType="begin"/>
          </w:r>
          <w:r>
            <w:instrText xml:space="preserve"> HYPERLINK \l "_Toc13222" </w:instrText>
          </w:r>
          <w:r>
            <w:fldChar w:fldCharType="separate"/>
          </w:r>
          <w:r>
            <w:rPr>
              <w:rFonts w:hint="eastAsia" w:ascii="黑体" w:hAnsi="黑体" w:eastAsia="黑体" w:cs="黑体"/>
              <w:color w:val="auto"/>
              <w:spacing w:val="-3"/>
              <w:szCs w:val="24"/>
            </w:rPr>
            <w:t xml:space="preserve">二、 </w:t>
          </w:r>
          <w:r>
            <w:rPr>
              <w:rFonts w:ascii="黑体" w:hAnsi="黑体" w:eastAsia="黑体" w:cs="黑体"/>
              <w:color w:val="auto"/>
              <w:spacing w:val="-3"/>
              <w:szCs w:val="24"/>
            </w:rPr>
            <w:t>设备需求一览表</w:t>
          </w:r>
          <w:r>
            <w:rPr>
              <w:color w:val="auto"/>
            </w:rPr>
            <w:tab/>
          </w:r>
          <w:r>
            <w:rPr>
              <w:rFonts w:hint="eastAsia" w:eastAsiaTheme="minorEastAsia"/>
              <w:color w:val="auto"/>
              <w:lang w:eastAsia="zh-CN"/>
            </w:rPr>
            <w:t xml:space="preserve">    103</w:t>
          </w:r>
          <w:r>
            <w:rPr>
              <w:rFonts w:hint="eastAsia" w:eastAsiaTheme="minorEastAsia"/>
              <w:color w:val="auto"/>
              <w:lang w:eastAsia="zh-CN"/>
            </w:rPr>
            <w:fldChar w:fldCharType="end"/>
          </w:r>
        </w:p>
        <w:p w14:paraId="08EBF038">
          <w:pPr>
            <w:pStyle w:val="15"/>
            <w:tabs>
              <w:tab w:val="right" w:leader="dot" w:pos="8300"/>
            </w:tabs>
            <w:rPr>
              <w:color w:val="auto"/>
            </w:rPr>
          </w:pPr>
          <w:r>
            <w:fldChar w:fldCharType="begin"/>
          </w:r>
          <w:r>
            <w:instrText xml:space="preserve"> HYPERLINK \l "_Toc441" </w:instrText>
          </w:r>
          <w:r>
            <w:fldChar w:fldCharType="separate"/>
          </w:r>
          <w:r>
            <w:rPr>
              <w:rFonts w:ascii="黑体" w:hAnsi="黑体" w:eastAsia="黑体" w:cs="黑体"/>
              <w:color w:val="auto"/>
              <w:spacing w:val="-5"/>
              <w:szCs w:val="48"/>
            </w:rPr>
            <w:t>第三卷</w:t>
          </w:r>
          <w:r>
            <w:rPr>
              <w:color w:val="auto"/>
            </w:rPr>
            <w:tab/>
          </w:r>
          <w:r>
            <w:rPr>
              <w:color w:val="auto"/>
            </w:rPr>
            <w:fldChar w:fldCharType="begin"/>
          </w:r>
          <w:r>
            <w:rPr>
              <w:color w:val="auto"/>
            </w:rPr>
            <w:instrText xml:space="preserve"> PAGEREF _Toc441 \h </w:instrText>
          </w:r>
          <w:r>
            <w:rPr>
              <w:color w:val="auto"/>
            </w:rPr>
            <w:fldChar w:fldCharType="separate"/>
          </w:r>
          <w:r>
            <w:rPr>
              <w:color w:val="auto"/>
            </w:rPr>
            <w:t>110</w:t>
          </w:r>
          <w:r>
            <w:rPr>
              <w:color w:val="auto"/>
            </w:rPr>
            <w:fldChar w:fldCharType="end"/>
          </w:r>
          <w:r>
            <w:rPr>
              <w:color w:val="auto"/>
            </w:rPr>
            <w:fldChar w:fldCharType="end"/>
          </w:r>
        </w:p>
        <w:p w14:paraId="068928F6">
          <w:pPr>
            <w:pStyle w:val="15"/>
            <w:tabs>
              <w:tab w:val="right" w:leader="dot" w:pos="8300"/>
            </w:tabs>
            <w:rPr>
              <w:color w:val="auto"/>
            </w:rPr>
          </w:pPr>
          <w:r>
            <w:fldChar w:fldCharType="begin"/>
          </w:r>
          <w:r>
            <w:instrText xml:space="preserve"> HYPERLINK \l "_Toc3332" </w:instrText>
          </w:r>
          <w:r>
            <w:fldChar w:fldCharType="separate"/>
          </w:r>
          <w:r>
            <w:rPr>
              <w:rFonts w:ascii="黑体" w:hAnsi="黑体" w:eastAsia="黑体" w:cs="黑体"/>
              <w:color w:val="auto"/>
              <w:spacing w:val="-1"/>
              <w:szCs w:val="32"/>
            </w:rPr>
            <w:t>第六章  投标文件格式</w:t>
          </w:r>
          <w:r>
            <w:rPr>
              <w:color w:val="auto"/>
            </w:rPr>
            <w:tab/>
          </w:r>
          <w:r>
            <w:rPr>
              <w:color w:val="auto"/>
            </w:rPr>
            <w:fldChar w:fldCharType="begin"/>
          </w:r>
          <w:r>
            <w:rPr>
              <w:color w:val="auto"/>
            </w:rPr>
            <w:instrText xml:space="preserve"> PAGEREF _Toc3332 \h </w:instrText>
          </w:r>
          <w:r>
            <w:rPr>
              <w:color w:val="auto"/>
            </w:rPr>
            <w:fldChar w:fldCharType="separate"/>
          </w:r>
          <w:r>
            <w:rPr>
              <w:color w:val="auto"/>
            </w:rPr>
            <w:t>111</w:t>
          </w:r>
          <w:r>
            <w:rPr>
              <w:color w:val="auto"/>
            </w:rPr>
            <w:fldChar w:fldCharType="end"/>
          </w:r>
          <w:r>
            <w:rPr>
              <w:color w:val="auto"/>
            </w:rPr>
            <w:fldChar w:fldCharType="end"/>
          </w:r>
        </w:p>
        <w:p w14:paraId="7825057D">
          <w:pPr>
            <w:pStyle w:val="16"/>
            <w:tabs>
              <w:tab w:val="right" w:leader="dot" w:pos="8300"/>
            </w:tabs>
            <w:rPr>
              <w:color w:val="auto"/>
            </w:rPr>
          </w:pPr>
          <w:r>
            <w:fldChar w:fldCharType="begin"/>
          </w:r>
          <w:r>
            <w:instrText xml:space="preserve"> HYPERLINK \l "_Toc4242" </w:instrText>
          </w:r>
          <w:r>
            <w:fldChar w:fldCharType="separate"/>
          </w:r>
          <w:r>
            <w:rPr>
              <w:rFonts w:ascii="黑体" w:hAnsi="黑体" w:eastAsia="黑体" w:cs="黑体"/>
              <w:color w:val="auto"/>
              <w:spacing w:val="-23"/>
              <w:szCs w:val="28"/>
            </w:rPr>
            <w:t>目录</w:t>
          </w:r>
          <w:r>
            <w:rPr>
              <w:color w:val="auto"/>
            </w:rPr>
            <w:tab/>
          </w:r>
          <w:r>
            <w:rPr>
              <w:color w:val="auto"/>
            </w:rPr>
            <w:fldChar w:fldCharType="begin"/>
          </w:r>
          <w:r>
            <w:rPr>
              <w:color w:val="auto"/>
            </w:rPr>
            <w:instrText xml:space="preserve"> PAGEREF _Toc4242 \h </w:instrText>
          </w:r>
          <w:r>
            <w:rPr>
              <w:color w:val="auto"/>
            </w:rPr>
            <w:fldChar w:fldCharType="separate"/>
          </w:r>
          <w:r>
            <w:rPr>
              <w:color w:val="auto"/>
            </w:rPr>
            <w:t>113</w:t>
          </w:r>
          <w:r>
            <w:rPr>
              <w:color w:val="auto"/>
            </w:rPr>
            <w:fldChar w:fldCharType="end"/>
          </w:r>
          <w:r>
            <w:rPr>
              <w:color w:val="auto"/>
            </w:rPr>
            <w:fldChar w:fldCharType="end"/>
          </w:r>
        </w:p>
        <w:p w14:paraId="4BFD37BD">
          <w:pPr>
            <w:pStyle w:val="16"/>
            <w:tabs>
              <w:tab w:val="right" w:leader="dot" w:pos="8300"/>
            </w:tabs>
            <w:rPr>
              <w:color w:val="auto"/>
            </w:rPr>
          </w:pPr>
          <w:r>
            <w:fldChar w:fldCharType="begin"/>
          </w:r>
          <w:r>
            <w:instrText xml:space="preserve"> HYPERLINK \l "_Toc17226" </w:instrText>
          </w:r>
          <w:r>
            <w:fldChar w:fldCharType="separate"/>
          </w:r>
          <w:r>
            <w:rPr>
              <w:rFonts w:ascii="黑体" w:hAnsi="黑体" w:eastAsia="黑体" w:cs="黑体"/>
              <w:color w:val="auto"/>
              <w:spacing w:val="-3"/>
              <w:szCs w:val="28"/>
            </w:rPr>
            <w:t>一、投标函及承诺函等</w:t>
          </w:r>
          <w:r>
            <w:rPr>
              <w:color w:val="auto"/>
            </w:rPr>
            <w:tab/>
          </w:r>
          <w:r>
            <w:rPr>
              <w:color w:val="auto"/>
            </w:rPr>
            <w:fldChar w:fldCharType="begin"/>
          </w:r>
          <w:r>
            <w:rPr>
              <w:color w:val="auto"/>
            </w:rPr>
            <w:instrText xml:space="preserve"> PAGEREF _Toc17226 \h </w:instrText>
          </w:r>
          <w:r>
            <w:rPr>
              <w:color w:val="auto"/>
            </w:rPr>
            <w:fldChar w:fldCharType="separate"/>
          </w:r>
          <w:r>
            <w:rPr>
              <w:color w:val="auto"/>
            </w:rPr>
            <w:t>114</w:t>
          </w:r>
          <w:r>
            <w:rPr>
              <w:color w:val="auto"/>
            </w:rPr>
            <w:fldChar w:fldCharType="end"/>
          </w:r>
          <w:r>
            <w:rPr>
              <w:color w:val="auto"/>
            </w:rPr>
            <w:fldChar w:fldCharType="end"/>
          </w:r>
        </w:p>
        <w:p w14:paraId="3A554ED6">
          <w:pPr>
            <w:pStyle w:val="16"/>
            <w:tabs>
              <w:tab w:val="right" w:leader="dot" w:pos="8300"/>
            </w:tabs>
            <w:rPr>
              <w:color w:val="auto"/>
            </w:rPr>
          </w:pPr>
          <w:r>
            <w:fldChar w:fldCharType="begin"/>
          </w:r>
          <w:r>
            <w:instrText xml:space="preserve"> HYPERLINK \l "_Toc10734" </w:instrText>
          </w:r>
          <w:r>
            <w:fldChar w:fldCharType="separate"/>
          </w:r>
          <w:r>
            <w:rPr>
              <w:rFonts w:ascii="黑体" w:hAnsi="黑体" w:eastAsia="黑体" w:cs="黑体"/>
              <w:color w:val="auto"/>
              <w:spacing w:val="-1"/>
              <w:szCs w:val="28"/>
            </w:rPr>
            <w:t>二、法定代表人身份证明或授权委托书</w:t>
          </w:r>
          <w:r>
            <w:rPr>
              <w:color w:val="auto"/>
            </w:rPr>
            <w:tab/>
          </w:r>
          <w:r>
            <w:rPr>
              <w:color w:val="auto"/>
            </w:rPr>
            <w:fldChar w:fldCharType="begin"/>
          </w:r>
          <w:r>
            <w:rPr>
              <w:color w:val="auto"/>
            </w:rPr>
            <w:instrText xml:space="preserve"> PAGEREF _Toc10734 \h </w:instrText>
          </w:r>
          <w:r>
            <w:rPr>
              <w:color w:val="auto"/>
            </w:rPr>
            <w:fldChar w:fldCharType="separate"/>
          </w:r>
          <w:r>
            <w:rPr>
              <w:color w:val="auto"/>
            </w:rPr>
            <w:t>119</w:t>
          </w:r>
          <w:r>
            <w:rPr>
              <w:color w:val="auto"/>
            </w:rPr>
            <w:fldChar w:fldCharType="end"/>
          </w:r>
          <w:r>
            <w:rPr>
              <w:color w:val="auto"/>
            </w:rPr>
            <w:fldChar w:fldCharType="end"/>
          </w:r>
        </w:p>
        <w:p w14:paraId="42870C0B">
          <w:pPr>
            <w:pStyle w:val="16"/>
            <w:tabs>
              <w:tab w:val="right" w:leader="dot" w:pos="8300"/>
            </w:tabs>
            <w:rPr>
              <w:color w:val="auto"/>
            </w:rPr>
          </w:pPr>
          <w:r>
            <w:fldChar w:fldCharType="begin"/>
          </w:r>
          <w:r>
            <w:instrText xml:space="preserve"> HYPERLINK \l "_Toc5323" </w:instrText>
          </w:r>
          <w:r>
            <w:fldChar w:fldCharType="separate"/>
          </w:r>
          <w:r>
            <w:rPr>
              <w:rFonts w:ascii="黑体" w:hAnsi="黑体" w:eastAsia="黑体" w:cs="黑体"/>
              <w:color w:val="auto"/>
              <w:spacing w:val="-3"/>
              <w:szCs w:val="28"/>
            </w:rPr>
            <w:t>三、投标保证金</w:t>
          </w:r>
          <w:r>
            <w:rPr>
              <w:color w:val="auto"/>
            </w:rPr>
            <w:tab/>
          </w:r>
          <w:r>
            <w:rPr>
              <w:color w:val="auto"/>
            </w:rPr>
            <w:fldChar w:fldCharType="begin"/>
          </w:r>
          <w:r>
            <w:rPr>
              <w:color w:val="auto"/>
            </w:rPr>
            <w:instrText xml:space="preserve"> PAGEREF _Toc5323 \h </w:instrText>
          </w:r>
          <w:r>
            <w:rPr>
              <w:color w:val="auto"/>
            </w:rPr>
            <w:fldChar w:fldCharType="separate"/>
          </w:r>
          <w:r>
            <w:rPr>
              <w:color w:val="auto"/>
            </w:rPr>
            <w:t>122</w:t>
          </w:r>
          <w:r>
            <w:rPr>
              <w:color w:val="auto"/>
            </w:rPr>
            <w:fldChar w:fldCharType="end"/>
          </w:r>
          <w:r>
            <w:rPr>
              <w:color w:val="auto"/>
            </w:rPr>
            <w:fldChar w:fldCharType="end"/>
          </w:r>
        </w:p>
        <w:p w14:paraId="4812AD7D">
          <w:pPr>
            <w:pStyle w:val="16"/>
            <w:tabs>
              <w:tab w:val="right" w:leader="dot" w:pos="8300"/>
            </w:tabs>
            <w:rPr>
              <w:color w:val="auto"/>
            </w:rPr>
          </w:pPr>
          <w:r>
            <w:fldChar w:fldCharType="begin"/>
          </w:r>
          <w:r>
            <w:instrText xml:space="preserve"> HYPERLINK \l "_Toc26186" </w:instrText>
          </w:r>
          <w:r>
            <w:fldChar w:fldCharType="separate"/>
          </w:r>
          <w:r>
            <w:rPr>
              <w:rFonts w:ascii="黑体" w:hAnsi="黑体" w:eastAsia="黑体" w:cs="黑体"/>
              <w:color w:val="auto"/>
              <w:spacing w:val="-4"/>
              <w:szCs w:val="28"/>
            </w:rPr>
            <w:t>四、联合体协议书</w:t>
          </w:r>
          <w:r>
            <w:rPr>
              <w:color w:val="auto"/>
            </w:rPr>
            <w:tab/>
          </w:r>
          <w:r>
            <w:rPr>
              <w:color w:val="auto"/>
            </w:rPr>
            <w:fldChar w:fldCharType="begin"/>
          </w:r>
          <w:r>
            <w:rPr>
              <w:color w:val="auto"/>
            </w:rPr>
            <w:instrText xml:space="preserve"> PAGEREF _Toc26186 \h </w:instrText>
          </w:r>
          <w:r>
            <w:rPr>
              <w:color w:val="auto"/>
            </w:rPr>
            <w:fldChar w:fldCharType="separate"/>
          </w:r>
          <w:r>
            <w:rPr>
              <w:color w:val="auto"/>
            </w:rPr>
            <w:t>123</w:t>
          </w:r>
          <w:r>
            <w:rPr>
              <w:color w:val="auto"/>
            </w:rPr>
            <w:fldChar w:fldCharType="end"/>
          </w:r>
          <w:r>
            <w:rPr>
              <w:color w:val="auto"/>
            </w:rPr>
            <w:fldChar w:fldCharType="end"/>
          </w:r>
        </w:p>
        <w:p w14:paraId="4FF9DD15">
          <w:pPr>
            <w:pStyle w:val="16"/>
            <w:tabs>
              <w:tab w:val="right" w:leader="dot" w:pos="8300"/>
            </w:tabs>
            <w:rPr>
              <w:color w:val="auto"/>
            </w:rPr>
          </w:pPr>
          <w:r>
            <w:fldChar w:fldCharType="begin"/>
          </w:r>
          <w:r>
            <w:instrText xml:space="preserve"> HYPERLINK \l "_Toc12348" </w:instrText>
          </w:r>
          <w:r>
            <w:fldChar w:fldCharType="separate"/>
          </w:r>
          <w:r>
            <w:rPr>
              <w:rFonts w:ascii="黑体" w:hAnsi="黑体" w:eastAsia="黑体" w:cs="黑体"/>
              <w:color w:val="auto"/>
              <w:spacing w:val="-2"/>
              <w:szCs w:val="28"/>
            </w:rPr>
            <w:t>五、商务和技术偏差表</w:t>
          </w:r>
          <w:r>
            <w:rPr>
              <w:color w:val="auto"/>
            </w:rPr>
            <w:tab/>
          </w:r>
          <w:r>
            <w:rPr>
              <w:color w:val="auto"/>
            </w:rPr>
            <w:fldChar w:fldCharType="begin"/>
          </w:r>
          <w:r>
            <w:rPr>
              <w:color w:val="auto"/>
            </w:rPr>
            <w:instrText xml:space="preserve"> PAGEREF _Toc12348 \h </w:instrText>
          </w:r>
          <w:r>
            <w:rPr>
              <w:color w:val="auto"/>
            </w:rPr>
            <w:fldChar w:fldCharType="separate"/>
          </w:r>
          <w:r>
            <w:rPr>
              <w:color w:val="auto"/>
            </w:rPr>
            <w:t>125</w:t>
          </w:r>
          <w:r>
            <w:rPr>
              <w:color w:val="auto"/>
            </w:rPr>
            <w:fldChar w:fldCharType="end"/>
          </w:r>
          <w:r>
            <w:rPr>
              <w:color w:val="auto"/>
            </w:rPr>
            <w:fldChar w:fldCharType="end"/>
          </w:r>
        </w:p>
        <w:p w14:paraId="0E42591C">
          <w:pPr>
            <w:pStyle w:val="16"/>
            <w:tabs>
              <w:tab w:val="right" w:leader="dot" w:pos="8300"/>
            </w:tabs>
            <w:rPr>
              <w:color w:val="auto"/>
            </w:rPr>
          </w:pPr>
          <w:r>
            <w:fldChar w:fldCharType="begin"/>
          </w:r>
          <w:r>
            <w:instrText xml:space="preserve"> HYPERLINK \l "_Toc30981" </w:instrText>
          </w:r>
          <w:r>
            <w:fldChar w:fldCharType="separate"/>
          </w:r>
          <w:r>
            <w:rPr>
              <w:rFonts w:ascii="黑体" w:hAnsi="黑体" w:eastAsia="黑体" w:cs="黑体"/>
              <w:color w:val="auto"/>
              <w:spacing w:val="-3"/>
              <w:szCs w:val="28"/>
            </w:rPr>
            <w:t>六、分项报价表</w:t>
          </w:r>
          <w:r>
            <w:rPr>
              <w:color w:val="auto"/>
            </w:rPr>
            <w:tab/>
          </w:r>
          <w:r>
            <w:rPr>
              <w:color w:val="auto"/>
            </w:rPr>
            <w:fldChar w:fldCharType="begin"/>
          </w:r>
          <w:r>
            <w:rPr>
              <w:color w:val="auto"/>
            </w:rPr>
            <w:instrText xml:space="preserve"> PAGEREF _Toc30981 \h </w:instrText>
          </w:r>
          <w:r>
            <w:rPr>
              <w:color w:val="auto"/>
            </w:rPr>
            <w:fldChar w:fldCharType="separate"/>
          </w:r>
          <w:r>
            <w:rPr>
              <w:color w:val="auto"/>
            </w:rPr>
            <w:t>126</w:t>
          </w:r>
          <w:r>
            <w:rPr>
              <w:color w:val="auto"/>
            </w:rPr>
            <w:fldChar w:fldCharType="end"/>
          </w:r>
          <w:r>
            <w:rPr>
              <w:color w:val="auto"/>
            </w:rPr>
            <w:fldChar w:fldCharType="end"/>
          </w:r>
        </w:p>
        <w:p w14:paraId="3970F8B7">
          <w:pPr>
            <w:pStyle w:val="16"/>
            <w:tabs>
              <w:tab w:val="right" w:leader="dot" w:pos="8300"/>
            </w:tabs>
            <w:rPr>
              <w:color w:val="auto"/>
            </w:rPr>
          </w:pPr>
          <w:r>
            <w:fldChar w:fldCharType="begin"/>
          </w:r>
          <w:r>
            <w:instrText xml:space="preserve"> HYPERLINK \l "_Toc17657" </w:instrText>
          </w:r>
          <w:r>
            <w:fldChar w:fldCharType="separate"/>
          </w:r>
          <w:r>
            <w:rPr>
              <w:rFonts w:ascii="黑体" w:hAnsi="黑体" w:eastAsia="黑体" w:cs="黑体"/>
              <w:color w:val="auto"/>
              <w:spacing w:val="-2"/>
              <w:szCs w:val="28"/>
            </w:rPr>
            <w:t>七、资格审查资料</w:t>
          </w:r>
          <w:r>
            <w:rPr>
              <w:color w:val="auto"/>
            </w:rPr>
            <w:tab/>
          </w:r>
          <w:r>
            <w:rPr>
              <w:color w:val="auto"/>
            </w:rPr>
            <w:fldChar w:fldCharType="begin"/>
          </w:r>
          <w:r>
            <w:rPr>
              <w:color w:val="auto"/>
            </w:rPr>
            <w:instrText xml:space="preserve"> PAGEREF _Toc17657 \h </w:instrText>
          </w:r>
          <w:r>
            <w:rPr>
              <w:color w:val="auto"/>
            </w:rPr>
            <w:fldChar w:fldCharType="separate"/>
          </w:r>
          <w:r>
            <w:rPr>
              <w:color w:val="auto"/>
            </w:rPr>
            <w:t>128</w:t>
          </w:r>
          <w:r>
            <w:rPr>
              <w:color w:val="auto"/>
            </w:rPr>
            <w:fldChar w:fldCharType="end"/>
          </w:r>
          <w:r>
            <w:rPr>
              <w:color w:val="auto"/>
            </w:rPr>
            <w:fldChar w:fldCharType="end"/>
          </w:r>
        </w:p>
        <w:p w14:paraId="339A59FE">
          <w:pPr>
            <w:pStyle w:val="16"/>
            <w:tabs>
              <w:tab w:val="right" w:leader="dot" w:pos="8300"/>
            </w:tabs>
            <w:rPr>
              <w:color w:val="auto"/>
            </w:rPr>
          </w:pPr>
          <w:r>
            <w:fldChar w:fldCharType="begin"/>
          </w:r>
          <w:r>
            <w:instrText xml:space="preserve"> HYPERLINK \l "_Toc24485" </w:instrText>
          </w:r>
          <w:r>
            <w:fldChar w:fldCharType="separate"/>
          </w:r>
          <w:r>
            <w:rPr>
              <w:rFonts w:ascii="黑体" w:hAnsi="黑体" w:eastAsia="黑体" w:cs="黑体"/>
              <w:color w:val="auto"/>
              <w:spacing w:val="-1"/>
              <w:szCs w:val="28"/>
            </w:rPr>
            <w:t>八、投标设备技术性能指标的详细描述</w:t>
          </w:r>
          <w:r>
            <w:rPr>
              <w:color w:val="auto"/>
            </w:rPr>
            <w:tab/>
          </w:r>
          <w:r>
            <w:rPr>
              <w:color w:val="auto"/>
            </w:rPr>
            <w:fldChar w:fldCharType="begin"/>
          </w:r>
          <w:r>
            <w:rPr>
              <w:color w:val="auto"/>
            </w:rPr>
            <w:instrText xml:space="preserve"> PAGEREF _Toc24485 \h </w:instrText>
          </w:r>
          <w:r>
            <w:rPr>
              <w:color w:val="auto"/>
            </w:rPr>
            <w:fldChar w:fldCharType="separate"/>
          </w:r>
          <w:r>
            <w:rPr>
              <w:color w:val="auto"/>
            </w:rPr>
            <w:t>147</w:t>
          </w:r>
          <w:r>
            <w:rPr>
              <w:color w:val="auto"/>
            </w:rPr>
            <w:fldChar w:fldCharType="end"/>
          </w:r>
          <w:r>
            <w:rPr>
              <w:color w:val="auto"/>
            </w:rPr>
            <w:fldChar w:fldCharType="end"/>
          </w:r>
        </w:p>
        <w:p w14:paraId="22E6E8F2">
          <w:pPr>
            <w:pStyle w:val="16"/>
            <w:tabs>
              <w:tab w:val="right" w:leader="dot" w:pos="8300"/>
            </w:tabs>
            <w:rPr>
              <w:color w:val="auto"/>
            </w:rPr>
          </w:pPr>
          <w:r>
            <w:fldChar w:fldCharType="begin"/>
          </w:r>
          <w:r>
            <w:instrText xml:space="preserve"> HYPERLINK \l "_Toc32699" </w:instrText>
          </w:r>
          <w:r>
            <w:fldChar w:fldCharType="separate"/>
          </w:r>
          <w:r>
            <w:rPr>
              <w:rFonts w:ascii="黑体" w:hAnsi="黑体" w:eastAsia="黑体" w:cs="黑体"/>
              <w:color w:val="auto"/>
              <w:spacing w:val="-2"/>
              <w:szCs w:val="28"/>
            </w:rPr>
            <w:t>九、技术支持资料</w:t>
          </w:r>
          <w:r>
            <w:rPr>
              <w:color w:val="auto"/>
            </w:rPr>
            <w:tab/>
          </w:r>
          <w:r>
            <w:rPr>
              <w:color w:val="auto"/>
            </w:rPr>
            <w:fldChar w:fldCharType="begin"/>
          </w:r>
          <w:r>
            <w:rPr>
              <w:color w:val="auto"/>
            </w:rPr>
            <w:instrText xml:space="preserve"> PAGEREF _Toc32699 \h </w:instrText>
          </w:r>
          <w:r>
            <w:rPr>
              <w:color w:val="auto"/>
            </w:rPr>
            <w:fldChar w:fldCharType="separate"/>
          </w:r>
          <w:r>
            <w:rPr>
              <w:color w:val="auto"/>
            </w:rPr>
            <w:t>148</w:t>
          </w:r>
          <w:r>
            <w:rPr>
              <w:color w:val="auto"/>
            </w:rPr>
            <w:fldChar w:fldCharType="end"/>
          </w:r>
          <w:r>
            <w:rPr>
              <w:color w:val="auto"/>
            </w:rPr>
            <w:fldChar w:fldCharType="end"/>
          </w:r>
        </w:p>
        <w:p w14:paraId="54A5665F">
          <w:pPr>
            <w:pStyle w:val="16"/>
            <w:tabs>
              <w:tab w:val="right" w:leader="dot" w:pos="8300"/>
            </w:tabs>
            <w:rPr>
              <w:color w:val="auto"/>
            </w:rPr>
          </w:pPr>
          <w:r>
            <w:fldChar w:fldCharType="begin"/>
          </w:r>
          <w:r>
            <w:instrText xml:space="preserve"> HYPERLINK \l "_Toc19480" </w:instrText>
          </w:r>
          <w:r>
            <w:fldChar w:fldCharType="separate"/>
          </w:r>
          <w:r>
            <w:rPr>
              <w:rFonts w:ascii="黑体" w:hAnsi="黑体" w:eastAsia="黑体" w:cs="黑体"/>
              <w:color w:val="auto"/>
              <w:spacing w:val="-1"/>
              <w:szCs w:val="28"/>
            </w:rPr>
            <w:t>十、技术服务和质保期服务计划</w:t>
          </w:r>
          <w:r>
            <w:rPr>
              <w:color w:val="auto"/>
            </w:rPr>
            <w:tab/>
          </w:r>
          <w:r>
            <w:rPr>
              <w:color w:val="auto"/>
            </w:rPr>
            <w:fldChar w:fldCharType="begin"/>
          </w:r>
          <w:r>
            <w:rPr>
              <w:color w:val="auto"/>
            </w:rPr>
            <w:instrText xml:space="preserve"> PAGEREF _Toc19480 \h </w:instrText>
          </w:r>
          <w:r>
            <w:rPr>
              <w:color w:val="auto"/>
            </w:rPr>
            <w:fldChar w:fldCharType="separate"/>
          </w:r>
          <w:r>
            <w:rPr>
              <w:color w:val="auto"/>
            </w:rPr>
            <w:t>149</w:t>
          </w:r>
          <w:r>
            <w:rPr>
              <w:color w:val="auto"/>
            </w:rPr>
            <w:fldChar w:fldCharType="end"/>
          </w:r>
          <w:r>
            <w:rPr>
              <w:color w:val="auto"/>
            </w:rPr>
            <w:fldChar w:fldCharType="end"/>
          </w:r>
        </w:p>
        <w:p w14:paraId="3CBFE1DA">
          <w:pPr>
            <w:pStyle w:val="16"/>
            <w:tabs>
              <w:tab w:val="right" w:leader="dot" w:pos="8300"/>
            </w:tabs>
            <w:rPr>
              <w:color w:val="auto"/>
            </w:rPr>
          </w:pPr>
          <w:r>
            <w:fldChar w:fldCharType="begin"/>
          </w:r>
          <w:r>
            <w:instrText xml:space="preserve"> HYPERLINK \l "_Toc10833" </w:instrText>
          </w:r>
          <w:r>
            <w:fldChar w:fldCharType="separate"/>
          </w:r>
          <w:r>
            <w:rPr>
              <w:rFonts w:ascii="黑体" w:hAnsi="黑体" w:eastAsia="黑体" w:cs="黑体"/>
              <w:color w:val="auto"/>
              <w:spacing w:val="-4"/>
              <w:szCs w:val="28"/>
            </w:rPr>
            <w:t>十一、其他材料</w:t>
          </w:r>
          <w:r>
            <w:rPr>
              <w:color w:val="auto"/>
            </w:rPr>
            <w:tab/>
          </w:r>
          <w:r>
            <w:rPr>
              <w:color w:val="auto"/>
            </w:rPr>
            <w:fldChar w:fldCharType="begin"/>
          </w:r>
          <w:r>
            <w:rPr>
              <w:color w:val="auto"/>
            </w:rPr>
            <w:instrText xml:space="preserve"> PAGEREF _Toc10833 \h </w:instrText>
          </w:r>
          <w:r>
            <w:rPr>
              <w:color w:val="auto"/>
            </w:rPr>
            <w:fldChar w:fldCharType="separate"/>
          </w:r>
          <w:r>
            <w:rPr>
              <w:color w:val="auto"/>
            </w:rPr>
            <w:t>150</w:t>
          </w:r>
          <w:r>
            <w:rPr>
              <w:color w:val="auto"/>
            </w:rPr>
            <w:fldChar w:fldCharType="end"/>
          </w:r>
          <w:r>
            <w:rPr>
              <w:color w:val="auto"/>
            </w:rPr>
            <w:fldChar w:fldCharType="end"/>
          </w:r>
        </w:p>
        <w:p w14:paraId="712BF04A">
          <w:pPr>
            <w:tabs>
              <w:tab w:val="right" w:leader="dot" w:pos="9990"/>
            </w:tabs>
            <w:spacing w:before="61" w:line="220" w:lineRule="auto"/>
            <w:ind w:left="1943"/>
            <w:rPr>
              <w:rFonts w:ascii="Times New Roman" w:hAnsi="Times New Roman" w:eastAsia="Times New Roman" w:cs="Times New Roman"/>
              <w:color w:val="auto"/>
            </w:rPr>
            <w:sectPr>
              <w:headerReference r:id="rId4" w:type="default"/>
              <w:pgSz w:w="11906" w:h="16839"/>
              <w:pgMar w:top="1440" w:right="1803" w:bottom="1440" w:left="1803" w:header="0" w:footer="0" w:gutter="0"/>
              <w:cols w:space="720" w:num="1"/>
            </w:sectPr>
          </w:pPr>
          <w:r>
            <w:rPr>
              <w:color w:val="auto"/>
            </w:rPr>
            <w:fldChar w:fldCharType="end"/>
          </w:r>
        </w:p>
      </w:sdtContent>
    </w:sdt>
    <w:p w14:paraId="4AEF76CF">
      <w:pPr>
        <w:pStyle w:val="8"/>
        <w:spacing w:line="243" w:lineRule="auto"/>
      </w:pPr>
    </w:p>
    <w:p w14:paraId="0D4822BA">
      <w:pPr>
        <w:pStyle w:val="8"/>
        <w:spacing w:line="243" w:lineRule="auto"/>
      </w:pPr>
    </w:p>
    <w:p w14:paraId="2EDE30DC">
      <w:pPr>
        <w:pStyle w:val="8"/>
        <w:spacing w:line="243" w:lineRule="auto"/>
      </w:pPr>
    </w:p>
    <w:p w14:paraId="44DA14CC">
      <w:pPr>
        <w:pStyle w:val="8"/>
        <w:spacing w:line="243" w:lineRule="auto"/>
      </w:pPr>
    </w:p>
    <w:p w14:paraId="4B80DF71">
      <w:pPr>
        <w:pStyle w:val="8"/>
        <w:spacing w:line="243" w:lineRule="auto"/>
      </w:pPr>
    </w:p>
    <w:p w14:paraId="7550990C">
      <w:pPr>
        <w:pStyle w:val="8"/>
        <w:spacing w:line="243" w:lineRule="auto"/>
      </w:pPr>
    </w:p>
    <w:p w14:paraId="69D7F87E">
      <w:pPr>
        <w:pStyle w:val="8"/>
        <w:spacing w:line="243" w:lineRule="auto"/>
      </w:pPr>
    </w:p>
    <w:p w14:paraId="3578299D">
      <w:pPr>
        <w:pStyle w:val="8"/>
        <w:spacing w:line="243" w:lineRule="auto"/>
      </w:pPr>
    </w:p>
    <w:p w14:paraId="3B4C4F4F">
      <w:pPr>
        <w:pStyle w:val="8"/>
        <w:spacing w:line="243" w:lineRule="auto"/>
      </w:pPr>
    </w:p>
    <w:p w14:paraId="0802F7B3">
      <w:pPr>
        <w:pStyle w:val="8"/>
        <w:spacing w:line="243" w:lineRule="auto"/>
      </w:pPr>
    </w:p>
    <w:p w14:paraId="0D573FDB">
      <w:pPr>
        <w:pStyle w:val="8"/>
        <w:spacing w:line="244" w:lineRule="auto"/>
      </w:pPr>
    </w:p>
    <w:p w14:paraId="64BADF0E">
      <w:pPr>
        <w:pStyle w:val="8"/>
        <w:spacing w:line="244" w:lineRule="auto"/>
      </w:pPr>
    </w:p>
    <w:p w14:paraId="2861B67E">
      <w:pPr>
        <w:pStyle w:val="8"/>
        <w:spacing w:line="244" w:lineRule="auto"/>
      </w:pPr>
    </w:p>
    <w:p w14:paraId="660E81E1">
      <w:pPr>
        <w:pStyle w:val="8"/>
        <w:spacing w:line="244" w:lineRule="auto"/>
      </w:pPr>
    </w:p>
    <w:p w14:paraId="51B48D18">
      <w:pPr>
        <w:pStyle w:val="8"/>
        <w:spacing w:line="244" w:lineRule="auto"/>
      </w:pPr>
    </w:p>
    <w:p w14:paraId="332FF102">
      <w:pPr>
        <w:pStyle w:val="8"/>
        <w:spacing w:line="244" w:lineRule="auto"/>
      </w:pPr>
    </w:p>
    <w:p w14:paraId="5DF8558F">
      <w:pPr>
        <w:pStyle w:val="8"/>
        <w:spacing w:line="244" w:lineRule="auto"/>
      </w:pPr>
    </w:p>
    <w:p w14:paraId="64988E6A">
      <w:pPr>
        <w:pStyle w:val="8"/>
        <w:spacing w:line="244" w:lineRule="auto"/>
      </w:pPr>
    </w:p>
    <w:p w14:paraId="0BC59DF1">
      <w:pPr>
        <w:pStyle w:val="8"/>
        <w:spacing w:line="244" w:lineRule="auto"/>
      </w:pPr>
    </w:p>
    <w:p w14:paraId="22564AA9">
      <w:pPr>
        <w:spacing w:before="156" w:line="222" w:lineRule="auto"/>
        <w:jc w:val="center"/>
        <w:outlineLvl w:val="0"/>
        <w:rPr>
          <w:rFonts w:ascii="黑体" w:hAnsi="黑体" w:eastAsia="黑体" w:cs="黑体"/>
          <w:color w:val="auto"/>
          <w:sz w:val="48"/>
          <w:szCs w:val="48"/>
          <w:lang w:eastAsia="zh-CN"/>
        </w:rPr>
      </w:pPr>
      <w:bookmarkStart w:id="0" w:name="bookmark2"/>
      <w:bookmarkEnd w:id="0"/>
      <w:bookmarkStart w:id="1" w:name="_Toc19790"/>
      <w:bookmarkStart w:id="2" w:name="_Toc14940"/>
      <w:bookmarkStart w:id="3" w:name="_Toc14692"/>
      <w:bookmarkStart w:id="4" w:name="_Toc16950"/>
      <w:bookmarkStart w:id="5" w:name="_Toc12093"/>
      <w:bookmarkStart w:id="6" w:name="_Toc26841"/>
      <w:r>
        <w:rPr>
          <w:rFonts w:ascii="黑体" w:hAnsi="黑体" w:eastAsia="黑体" w:cs="黑体"/>
          <w:color w:val="auto"/>
          <w:spacing w:val="-7"/>
          <w:sz w:val="48"/>
          <w:szCs w:val="48"/>
          <w:lang w:eastAsia="zh-CN"/>
        </w:rPr>
        <w:t>第一卷</w:t>
      </w:r>
      <w:bookmarkEnd w:id="1"/>
      <w:bookmarkEnd w:id="2"/>
      <w:bookmarkEnd w:id="3"/>
      <w:bookmarkEnd w:id="4"/>
      <w:bookmarkEnd w:id="5"/>
      <w:bookmarkEnd w:id="6"/>
    </w:p>
    <w:p w14:paraId="08F99E02">
      <w:pPr>
        <w:spacing w:line="222" w:lineRule="auto"/>
        <w:rPr>
          <w:rFonts w:ascii="黑体" w:hAnsi="黑体" w:eastAsia="黑体" w:cs="黑体"/>
          <w:color w:val="auto"/>
          <w:sz w:val="48"/>
          <w:szCs w:val="48"/>
          <w:lang w:eastAsia="zh-CN"/>
        </w:rPr>
      </w:pPr>
    </w:p>
    <w:p w14:paraId="176C56E8">
      <w:pPr>
        <w:rPr>
          <w:color w:val="auto"/>
          <w:lang w:eastAsia="zh-CN"/>
        </w:rPr>
      </w:pPr>
    </w:p>
    <w:p w14:paraId="0727ED30">
      <w:pPr>
        <w:rPr>
          <w:color w:val="auto"/>
          <w:lang w:eastAsia="zh-CN"/>
        </w:rPr>
      </w:pPr>
    </w:p>
    <w:p w14:paraId="184794F3">
      <w:pPr>
        <w:rPr>
          <w:color w:val="auto"/>
          <w:lang w:eastAsia="zh-CN"/>
        </w:rPr>
      </w:pPr>
    </w:p>
    <w:p w14:paraId="7559A318">
      <w:pPr>
        <w:rPr>
          <w:color w:val="auto"/>
          <w:lang w:eastAsia="zh-CN"/>
        </w:rPr>
      </w:pPr>
    </w:p>
    <w:p w14:paraId="09B27874">
      <w:pPr>
        <w:rPr>
          <w:color w:val="auto"/>
          <w:lang w:eastAsia="zh-CN"/>
        </w:rPr>
      </w:pPr>
    </w:p>
    <w:p w14:paraId="71DF8880">
      <w:pPr>
        <w:rPr>
          <w:color w:val="auto"/>
          <w:lang w:eastAsia="zh-CN"/>
        </w:rPr>
      </w:pPr>
    </w:p>
    <w:p w14:paraId="3C6E0857">
      <w:pPr>
        <w:rPr>
          <w:color w:val="auto"/>
          <w:lang w:eastAsia="zh-CN"/>
        </w:rPr>
      </w:pPr>
    </w:p>
    <w:p w14:paraId="2499D08F">
      <w:pPr>
        <w:rPr>
          <w:color w:val="auto"/>
          <w:lang w:eastAsia="zh-CN"/>
        </w:rPr>
      </w:pPr>
    </w:p>
    <w:p w14:paraId="0EF39255">
      <w:pPr>
        <w:rPr>
          <w:color w:val="auto"/>
          <w:lang w:eastAsia="zh-CN"/>
        </w:rPr>
      </w:pPr>
    </w:p>
    <w:p w14:paraId="7AE40709">
      <w:pPr>
        <w:rPr>
          <w:color w:val="auto"/>
          <w:lang w:eastAsia="zh-CN"/>
        </w:rPr>
      </w:pPr>
    </w:p>
    <w:p w14:paraId="38C844CA">
      <w:pPr>
        <w:rPr>
          <w:color w:val="auto"/>
          <w:lang w:eastAsia="zh-CN"/>
        </w:rPr>
      </w:pPr>
    </w:p>
    <w:p w14:paraId="2F63FA40">
      <w:pPr>
        <w:rPr>
          <w:color w:val="auto"/>
          <w:lang w:eastAsia="zh-CN"/>
        </w:rPr>
      </w:pPr>
    </w:p>
    <w:p w14:paraId="24404857">
      <w:pPr>
        <w:rPr>
          <w:color w:val="auto"/>
          <w:lang w:eastAsia="zh-CN"/>
        </w:rPr>
      </w:pPr>
    </w:p>
    <w:p w14:paraId="447F579C">
      <w:pPr>
        <w:rPr>
          <w:color w:val="auto"/>
          <w:lang w:eastAsia="zh-CN"/>
        </w:rPr>
      </w:pPr>
    </w:p>
    <w:p w14:paraId="5F14E4FB">
      <w:pPr>
        <w:rPr>
          <w:color w:val="auto"/>
          <w:lang w:eastAsia="zh-CN"/>
        </w:rPr>
      </w:pPr>
    </w:p>
    <w:p w14:paraId="1F001D0F">
      <w:pPr>
        <w:rPr>
          <w:color w:val="auto"/>
          <w:lang w:eastAsia="zh-CN"/>
        </w:rPr>
      </w:pPr>
    </w:p>
    <w:p w14:paraId="77AEED34">
      <w:pPr>
        <w:rPr>
          <w:color w:val="auto"/>
          <w:lang w:eastAsia="zh-CN"/>
        </w:rPr>
      </w:pPr>
    </w:p>
    <w:p w14:paraId="1972E480">
      <w:pPr>
        <w:rPr>
          <w:color w:val="auto"/>
          <w:lang w:eastAsia="zh-CN"/>
        </w:rPr>
      </w:pPr>
    </w:p>
    <w:p w14:paraId="42D87B85">
      <w:pPr>
        <w:rPr>
          <w:color w:val="auto"/>
          <w:lang w:eastAsia="zh-CN"/>
        </w:rPr>
      </w:pPr>
    </w:p>
    <w:p w14:paraId="5C5C2364">
      <w:pPr>
        <w:rPr>
          <w:color w:val="auto"/>
          <w:lang w:eastAsia="zh-CN"/>
        </w:rPr>
      </w:pPr>
    </w:p>
    <w:p w14:paraId="3792348E">
      <w:pPr>
        <w:rPr>
          <w:color w:val="auto"/>
          <w:lang w:eastAsia="zh-CN"/>
        </w:rPr>
      </w:pPr>
    </w:p>
    <w:p w14:paraId="6307F79E">
      <w:pPr>
        <w:rPr>
          <w:color w:val="auto"/>
          <w:lang w:eastAsia="zh-CN"/>
        </w:rPr>
      </w:pPr>
    </w:p>
    <w:p w14:paraId="23F9B3FA">
      <w:pPr>
        <w:rPr>
          <w:color w:val="auto"/>
          <w:lang w:eastAsia="zh-CN"/>
        </w:rPr>
      </w:pPr>
    </w:p>
    <w:p w14:paraId="07FB3B0F">
      <w:pPr>
        <w:rPr>
          <w:color w:val="auto"/>
          <w:lang w:eastAsia="zh-CN"/>
        </w:rPr>
      </w:pPr>
    </w:p>
    <w:p w14:paraId="71443562">
      <w:pPr>
        <w:rPr>
          <w:color w:val="auto"/>
          <w:lang w:eastAsia="zh-CN"/>
        </w:rPr>
      </w:pPr>
    </w:p>
    <w:p w14:paraId="70189695">
      <w:pPr>
        <w:rPr>
          <w:color w:val="auto"/>
          <w:lang w:eastAsia="zh-CN"/>
        </w:rPr>
      </w:pPr>
    </w:p>
    <w:p w14:paraId="55F72B8F">
      <w:pPr>
        <w:rPr>
          <w:color w:val="auto"/>
          <w:lang w:eastAsia="zh-CN"/>
        </w:rPr>
      </w:pPr>
    </w:p>
    <w:p w14:paraId="48503542">
      <w:pPr>
        <w:rPr>
          <w:color w:val="auto"/>
          <w:lang w:eastAsia="zh-CN"/>
        </w:rPr>
      </w:pPr>
    </w:p>
    <w:p w14:paraId="518D1A84">
      <w:pPr>
        <w:rPr>
          <w:color w:val="auto"/>
          <w:lang w:eastAsia="zh-CN"/>
        </w:rPr>
      </w:pPr>
    </w:p>
    <w:p w14:paraId="4F4C3A32">
      <w:pPr>
        <w:rPr>
          <w:color w:val="auto"/>
          <w:lang w:eastAsia="zh-CN"/>
        </w:rPr>
      </w:pPr>
    </w:p>
    <w:p w14:paraId="3C65AB8C">
      <w:pPr>
        <w:rPr>
          <w:color w:val="auto"/>
          <w:lang w:eastAsia="zh-CN"/>
        </w:rPr>
      </w:pPr>
    </w:p>
    <w:p w14:paraId="40E4042F">
      <w:pPr>
        <w:rPr>
          <w:color w:val="auto"/>
          <w:lang w:eastAsia="zh-CN"/>
        </w:rPr>
      </w:pPr>
    </w:p>
    <w:p w14:paraId="7E214FCD">
      <w:pPr>
        <w:tabs>
          <w:tab w:val="center" w:pos="5900"/>
        </w:tabs>
        <w:rPr>
          <w:rFonts w:eastAsia="宋体"/>
          <w:color w:val="auto"/>
          <w:lang w:eastAsia="zh-CN"/>
        </w:rPr>
        <w:sectPr>
          <w:headerReference r:id="rId5" w:type="default"/>
          <w:footerReference r:id="rId6" w:type="default"/>
          <w:pgSz w:w="11906" w:h="16839"/>
          <w:pgMar w:top="1440" w:right="1803" w:bottom="1440" w:left="1803" w:header="0" w:footer="987" w:gutter="0"/>
          <w:pgNumType w:start="1"/>
          <w:cols w:space="720" w:num="1"/>
        </w:sectPr>
      </w:pPr>
    </w:p>
    <w:p w14:paraId="1E4E4326">
      <w:pPr>
        <w:pStyle w:val="8"/>
        <w:spacing w:line="249" w:lineRule="auto"/>
        <w:rPr>
          <w:lang w:eastAsia="zh-CN"/>
        </w:rPr>
      </w:pPr>
    </w:p>
    <w:p w14:paraId="495FFEB2">
      <w:pPr>
        <w:pStyle w:val="8"/>
        <w:spacing w:line="249" w:lineRule="auto"/>
        <w:rPr>
          <w:lang w:eastAsia="zh-CN"/>
        </w:rPr>
      </w:pPr>
    </w:p>
    <w:p w14:paraId="76684C4B">
      <w:pPr>
        <w:pStyle w:val="8"/>
        <w:spacing w:line="249" w:lineRule="auto"/>
        <w:rPr>
          <w:lang w:eastAsia="zh-CN"/>
        </w:rPr>
      </w:pPr>
    </w:p>
    <w:p w14:paraId="6016A405">
      <w:pPr>
        <w:pStyle w:val="8"/>
        <w:spacing w:line="249" w:lineRule="auto"/>
        <w:rPr>
          <w:lang w:eastAsia="zh-CN"/>
        </w:rPr>
      </w:pPr>
    </w:p>
    <w:p w14:paraId="2C2FEF9D">
      <w:pPr>
        <w:pStyle w:val="8"/>
        <w:spacing w:line="249" w:lineRule="auto"/>
        <w:rPr>
          <w:lang w:eastAsia="zh-CN"/>
        </w:rPr>
      </w:pPr>
    </w:p>
    <w:p w14:paraId="5F7CA3BE">
      <w:pPr>
        <w:pStyle w:val="8"/>
        <w:spacing w:line="249" w:lineRule="auto"/>
        <w:rPr>
          <w:lang w:eastAsia="zh-CN"/>
        </w:rPr>
      </w:pPr>
    </w:p>
    <w:p w14:paraId="4D5DB552">
      <w:pPr>
        <w:pStyle w:val="8"/>
        <w:spacing w:line="250" w:lineRule="auto"/>
        <w:rPr>
          <w:lang w:eastAsia="zh-CN"/>
        </w:rPr>
      </w:pPr>
    </w:p>
    <w:p w14:paraId="5E57DC3C">
      <w:pPr>
        <w:pStyle w:val="8"/>
        <w:spacing w:line="250" w:lineRule="auto"/>
        <w:rPr>
          <w:lang w:eastAsia="zh-CN"/>
        </w:rPr>
      </w:pPr>
    </w:p>
    <w:p w14:paraId="4A48899D">
      <w:pPr>
        <w:pStyle w:val="8"/>
        <w:spacing w:line="250" w:lineRule="auto"/>
        <w:rPr>
          <w:lang w:eastAsia="zh-CN"/>
        </w:rPr>
      </w:pPr>
    </w:p>
    <w:p w14:paraId="5C2DDCDF">
      <w:pPr>
        <w:pStyle w:val="8"/>
        <w:spacing w:line="250" w:lineRule="auto"/>
        <w:rPr>
          <w:lang w:eastAsia="zh-CN"/>
        </w:rPr>
      </w:pPr>
    </w:p>
    <w:p w14:paraId="0C0441BC">
      <w:pPr>
        <w:pStyle w:val="8"/>
        <w:spacing w:line="250" w:lineRule="auto"/>
        <w:rPr>
          <w:lang w:eastAsia="zh-CN"/>
        </w:rPr>
      </w:pPr>
    </w:p>
    <w:p w14:paraId="56ED8A44">
      <w:pPr>
        <w:pStyle w:val="8"/>
        <w:spacing w:line="250" w:lineRule="auto"/>
        <w:rPr>
          <w:lang w:eastAsia="zh-CN"/>
        </w:rPr>
      </w:pPr>
    </w:p>
    <w:p w14:paraId="2558F1F3">
      <w:pPr>
        <w:pStyle w:val="8"/>
        <w:spacing w:line="250" w:lineRule="auto"/>
        <w:rPr>
          <w:lang w:eastAsia="zh-CN"/>
        </w:rPr>
      </w:pPr>
    </w:p>
    <w:p w14:paraId="2ABEC714">
      <w:pPr>
        <w:pStyle w:val="8"/>
        <w:spacing w:line="250" w:lineRule="auto"/>
        <w:rPr>
          <w:lang w:eastAsia="zh-CN"/>
        </w:rPr>
      </w:pPr>
    </w:p>
    <w:p w14:paraId="69F0B0B4">
      <w:pPr>
        <w:pStyle w:val="8"/>
        <w:spacing w:line="250" w:lineRule="auto"/>
        <w:rPr>
          <w:lang w:eastAsia="zh-CN"/>
        </w:rPr>
      </w:pPr>
    </w:p>
    <w:p w14:paraId="5B008089">
      <w:pPr>
        <w:pStyle w:val="8"/>
        <w:spacing w:line="250" w:lineRule="auto"/>
        <w:rPr>
          <w:lang w:eastAsia="zh-CN"/>
        </w:rPr>
      </w:pPr>
    </w:p>
    <w:p w14:paraId="626F6D95">
      <w:pPr>
        <w:pStyle w:val="8"/>
        <w:spacing w:line="250" w:lineRule="auto"/>
        <w:rPr>
          <w:lang w:eastAsia="zh-CN"/>
        </w:rPr>
      </w:pPr>
    </w:p>
    <w:p w14:paraId="016CC18D">
      <w:pPr>
        <w:pStyle w:val="8"/>
        <w:spacing w:line="250" w:lineRule="auto"/>
        <w:rPr>
          <w:lang w:eastAsia="zh-CN"/>
        </w:rPr>
      </w:pPr>
    </w:p>
    <w:p w14:paraId="1A7EE620">
      <w:pPr>
        <w:pStyle w:val="8"/>
        <w:spacing w:line="250" w:lineRule="auto"/>
        <w:rPr>
          <w:lang w:eastAsia="zh-CN"/>
        </w:rPr>
      </w:pPr>
    </w:p>
    <w:p w14:paraId="62BE3BE4">
      <w:pPr>
        <w:spacing w:before="104" w:line="222" w:lineRule="auto"/>
        <w:jc w:val="center"/>
        <w:outlineLvl w:val="0"/>
        <w:rPr>
          <w:rFonts w:ascii="黑体" w:hAnsi="黑体" w:eastAsia="黑体" w:cs="黑体"/>
          <w:color w:val="auto"/>
          <w:sz w:val="32"/>
          <w:szCs w:val="32"/>
          <w:lang w:eastAsia="zh-CN"/>
        </w:rPr>
      </w:pPr>
      <w:bookmarkStart w:id="7" w:name="bookmark3"/>
      <w:bookmarkEnd w:id="7"/>
      <w:bookmarkStart w:id="8" w:name="bookmark1"/>
      <w:bookmarkEnd w:id="8"/>
      <w:bookmarkStart w:id="9" w:name="_Toc5723"/>
      <w:bookmarkStart w:id="10" w:name="_Toc886"/>
      <w:bookmarkStart w:id="11" w:name="_Toc5564"/>
      <w:bookmarkStart w:id="12" w:name="_Toc1058"/>
      <w:bookmarkStart w:id="13" w:name="_Toc23005"/>
      <w:bookmarkStart w:id="14" w:name="_Toc15935"/>
      <w:r>
        <w:rPr>
          <w:rFonts w:ascii="黑体" w:hAnsi="黑体" w:eastAsia="黑体" w:cs="黑体"/>
          <w:color w:val="auto"/>
          <w:spacing w:val="-2"/>
          <w:sz w:val="32"/>
          <w:szCs w:val="32"/>
          <w:lang w:eastAsia="zh-CN"/>
        </w:rPr>
        <w:t>第一章  招标公告</w:t>
      </w:r>
      <w:bookmarkEnd w:id="9"/>
      <w:bookmarkEnd w:id="10"/>
      <w:bookmarkEnd w:id="11"/>
      <w:bookmarkEnd w:id="12"/>
      <w:bookmarkEnd w:id="13"/>
      <w:bookmarkEnd w:id="14"/>
    </w:p>
    <w:p w14:paraId="2E25FDDD">
      <w:pPr>
        <w:spacing w:line="222" w:lineRule="auto"/>
        <w:rPr>
          <w:rFonts w:ascii="黑体" w:hAnsi="黑体" w:eastAsia="黑体" w:cs="黑体"/>
          <w:color w:val="auto"/>
          <w:sz w:val="32"/>
          <w:szCs w:val="32"/>
          <w:lang w:eastAsia="zh-CN"/>
        </w:rPr>
        <w:sectPr>
          <w:footerReference r:id="rId7" w:type="default"/>
          <w:pgSz w:w="11906" w:h="16839"/>
          <w:pgMar w:top="1440" w:right="1803" w:bottom="1440" w:left="1803" w:header="0" w:footer="987" w:gutter="0"/>
          <w:cols w:space="720" w:num="1"/>
        </w:sectPr>
      </w:pPr>
    </w:p>
    <w:p w14:paraId="3B709FFA">
      <w:pPr>
        <w:pStyle w:val="5"/>
        <w:jc w:val="center"/>
        <w:rPr>
          <w:b/>
          <w:bCs/>
          <w:u w:val="single"/>
          <w:lang w:val="en-US"/>
        </w:rPr>
      </w:pPr>
      <w:r>
        <w:rPr>
          <w:rFonts w:hint="eastAsia"/>
          <w:b/>
          <w:bCs/>
          <w:u w:val="single"/>
          <w:lang w:val="en-US"/>
        </w:rPr>
        <w:t>盖州市东盛城建集团有限公司2026年盖州市住宅小区老旧电梯更新改造工程招标公告</w:t>
      </w:r>
    </w:p>
    <w:p w14:paraId="27AF6E23">
      <w:pPr>
        <w:pStyle w:val="3"/>
        <w:spacing w:line="360" w:lineRule="auto"/>
        <w:ind w:right="157"/>
        <w:contextualSpacing/>
        <w:rPr>
          <w:rFonts w:ascii="宋体" w:hAnsi="宋体" w:eastAsia="宋体" w:cs="宋体"/>
          <w:b w:val="0"/>
          <w:bCs w:val="0"/>
          <w:lang w:eastAsia="zh-CN"/>
        </w:rPr>
      </w:pPr>
      <w:bookmarkStart w:id="15" w:name="_bookmark2"/>
      <w:bookmarkEnd w:id="15"/>
      <w:bookmarkStart w:id="16" w:name="_Toc133075774"/>
      <w:bookmarkStart w:id="17" w:name="_Toc18772"/>
      <w:bookmarkStart w:id="18" w:name="_Toc153262322"/>
      <w:bookmarkStart w:id="19" w:name="OLE_LINK2"/>
      <w:bookmarkStart w:id="20" w:name="OLE_LINK3"/>
      <w:bookmarkStart w:id="21" w:name="OLE_LINK4"/>
      <w:bookmarkStart w:id="22" w:name="OLE_LINK1"/>
      <w:r>
        <w:rPr>
          <w:rFonts w:hint="eastAsia" w:ascii="宋体" w:hAnsi="宋体" w:eastAsia="宋体" w:cs="宋体"/>
          <w:lang w:eastAsia="zh-CN"/>
        </w:rPr>
        <w:t>1.招标条件</w:t>
      </w:r>
      <w:bookmarkEnd w:id="16"/>
      <w:bookmarkEnd w:id="17"/>
      <w:bookmarkEnd w:id="18"/>
    </w:p>
    <w:p w14:paraId="4ED96090">
      <w:pPr>
        <w:widowControl w:val="0"/>
        <w:kinsoku/>
        <w:autoSpaceDE/>
        <w:autoSpaceDN/>
        <w:adjustRightInd/>
        <w:snapToGrid/>
        <w:spacing w:line="360" w:lineRule="auto"/>
        <w:ind w:firstLine="420" w:firstLineChars="200"/>
        <w:textAlignment w:val="auto"/>
        <w:rPr>
          <w:rFonts w:cs="宋体"/>
          <w:color w:val="auto"/>
          <w:lang w:eastAsia="zh-CN"/>
        </w:rPr>
      </w:pPr>
      <w:r>
        <w:rPr>
          <w:rFonts w:hint="eastAsia" w:cs="宋体"/>
          <w:color w:val="auto"/>
          <w:lang w:eastAsia="zh-CN"/>
        </w:rPr>
        <w:t>本招标项目</w:t>
      </w:r>
      <w:r>
        <w:rPr>
          <w:rFonts w:hint="eastAsia" w:cs="宋体"/>
          <w:color w:val="auto"/>
          <w:u w:val="single"/>
          <w:lang w:eastAsia="zh-CN"/>
        </w:rPr>
        <w:t>盖州市东盛城建集团有限公司2026年盖州市住宅小区老旧电梯更新改造工程</w:t>
      </w:r>
      <w:r>
        <w:rPr>
          <w:rFonts w:hint="eastAsia" w:cs="宋体"/>
          <w:color w:val="auto"/>
          <w:lang w:eastAsia="zh-CN"/>
        </w:rPr>
        <w:t>已由</w:t>
      </w:r>
      <w:r>
        <w:rPr>
          <w:rFonts w:hint="eastAsia" w:cs="宋体"/>
          <w:color w:val="auto"/>
          <w:u w:val="single"/>
          <w:lang w:eastAsia="zh-CN"/>
        </w:rPr>
        <w:t>盖州市发展和改革局</w:t>
      </w:r>
      <w:r>
        <w:rPr>
          <w:rFonts w:hint="eastAsia" w:cs="宋体"/>
          <w:color w:val="auto"/>
          <w:lang w:eastAsia="zh-CN"/>
        </w:rPr>
        <w:t>以</w:t>
      </w:r>
      <w:r>
        <w:rPr>
          <w:rFonts w:hint="eastAsia" w:cs="宋体"/>
          <w:color w:val="auto"/>
          <w:u w:val="single"/>
          <w:lang w:eastAsia="zh-CN"/>
        </w:rPr>
        <w:t>关于</w:t>
      </w:r>
      <w:r>
        <w:rPr>
          <w:rFonts w:hint="eastAsia" w:eastAsia="宋体" w:cs="宋体"/>
          <w:color w:val="auto"/>
          <w:u w:val="single"/>
          <w:lang w:eastAsia="zh-CN"/>
        </w:rPr>
        <w:t>《</w:t>
      </w:r>
      <w:r>
        <w:rPr>
          <w:rFonts w:hint="eastAsia" w:cs="宋体"/>
          <w:color w:val="auto"/>
          <w:u w:val="single"/>
          <w:lang w:eastAsia="zh-CN"/>
        </w:rPr>
        <w:t>盖州市东盛城建集团有限公司2026年盖州市住宅小区老旧电梯更新改造工程</w:t>
      </w:r>
      <w:r>
        <w:rPr>
          <w:rFonts w:hint="eastAsia" w:eastAsia="宋体" w:cs="宋体"/>
          <w:color w:val="auto"/>
          <w:u w:val="single"/>
          <w:lang w:eastAsia="zh-CN"/>
        </w:rPr>
        <w:t>》</w:t>
      </w:r>
      <w:r>
        <w:rPr>
          <w:rFonts w:hint="eastAsia" w:cs="宋体"/>
          <w:color w:val="auto"/>
          <w:u w:val="single"/>
          <w:lang w:eastAsia="zh-CN"/>
        </w:rPr>
        <w:t>项目备案证明</w:t>
      </w:r>
      <w:r>
        <w:rPr>
          <w:rFonts w:hint="eastAsia" w:eastAsia="宋体" w:cs="宋体"/>
          <w:color w:val="auto"/>
          <w:u w:val="single"/>
          <w:lang w:eastAsia="zh-CN"/>
        </w:rPr>
        <w:t>（盖发改备</w:t>
      </w:r>
      <w:r>
        <w:rPr>
          <w:rFonts w:hint="eastAsia" w:cs="宋体"/>
          <w:color w:val="auto"/>
          <w:u w:val="single"/>
          <w:lang w:eastAsia="zh-CN"/>
        </w:rPr>
        <w:t>〔2026〕20号</w:t>
      </w:r>
      <w:r>
        <w:rPr>
          <w:rFonts w:hint="eastAsia" w:eastAsia="宋体" w:cs="宋体"/>
          <w:color w:val="auto"/>
          <w:u w:val="single"/>
          <w:lang w:eastAsia="zh-CN"/>
        </w:rPr>
        <w:t>）</w:t>
      </w:r>
      <w:r>
        <w:rPr>
          <w:rFonts w:hint="eastAsia" w:cs="宋体"/>
          <w:color w:val="auto"/>
          <w:lang w:eastAsia="zh-CN"/>
        </w:rPr>
        <w:t>批准建设，</w:t>
      </w:r>
      <w:r>
        <w:rPr>
          <w:rFonts w:hint="eastAsia" w:eastAsia="宋体" w:cs="宋体"/>
          <w:color w:val="auto"/>
          <w:lang w:eastAsia="zh-CN"/>
        </w:rPr>
        <w:t>项目业主</w:t>
      </w:r>
      <w:r>
        <w:rPr>
          <w:rFonts w:hint="eastAsia" w:cs="宋体"/>
          <w:color w:val="auto"/>
          <w:spacing w:val="-1"/>
          <w:lang w:eastAsia="zh-CN"/>
        </w:rPr>
        <w:t>为</w:t>
      </w:r>
      <w:r>
        <w:rPr>
          <w:rFonts w:hint="eastAsia" w:cs="宋体"/>
          <w:color w:val="auto"/>
          <w:u w:val="single"/>
          <w:lang w:eastAsia="zh-CN"/>
        </w:rPr>
        <w:t>盖州市东盛城建集团有限公司</w:t>
      </w:r>
      <w:r>
        <w:rPr>
          <w:rFonts w:hint="eastAsia" w:cs="宋体"/>
          <w:color w:val="auto"/>
          <w:spacing w:val="-1"/>
          <w:lang w:eastAsia="zh-CN"/>
        </w:rPr>
        <w:t>，</w:t>
      </w:r>
      <w:r>
        <w:rPr>
          <w:rFonts w:hint="eastAsia" w:cs="宋体"/>
          <w:color w:val="auto"/>
          <w:lang w:eastAsia="zh-CN"/>
        </w:rPr>
        <w:t>建设资金来自</w:t>
      </w:r>
      <w:r>
        <w:rPr>
          <w:rFonts w:hint="eastAsia" w:cs="宋体"/>
          <w:color w:val="auto"/>
          <w:u w:val="single"/>
          <w:lang w:eastAsia="zh-CN"/>
        </w:rPr>
        <w:t>超长期特别国债、自筹</w:t>
      </w:r>
      <w:r>
        <w:rPr>
          <w:rFonts w:hint="eastAsia" w:cs="宋体"/>
          <w:color w:val="auto"/>
          <w:lang w:eastAsia="zh-CN"/>
        </w:rPr>
        <w:t>，项目出资比例为</w:t>
      </w:r>
      <w:r>
        <w:rPr>
          <w:rFonts w:hint="eastAsia" w:cs="宋体"/>
          <w:color w:val="auto"/>
          <w:u w:val="single"/>
          <w:lang w:eastAsia="zh-CN"/>
        </w:rPr>
        <w:t>81.74%、18.26%</w:t>
      </w:r>
      <w:r>
        <w:rPr>
          <w:rFonts w:hint="eastAsia" w:cs="宋体"/>
          <w:color w:val="auto"/>
          <w:lang w:eastAsia="zh-CN"/>
        </w:rPr>
        <w:t>，招标人为盖州市东盛城建集团有限</w:t>
      </w:r>
      <w:r>
        <w:rPr>
          <w:rFonts w:hint="eastAsia" w:cs="宋体"/>
          <w:color w:val="auto"/>
          <w:u w:val="single"/>
          <w:lang w:eastAsia="zh-CN"/>
        </w:rPr>
        <w:t>公司</w:t>
      </w:r>
      <w:r>
        <w:rPr>
          <w:rFonts w:hint="eastAsia" w:cs="宋体"/>
          <w:color w:val="auto"/>
          <w:spacing w:val="-1"/>
          <w:lang w:eastAsia="zh-CN"/>
        </w:rPr>
        <w:t>，招标代理机构为</w:t>
      </w:r>
      <w:r>
        <w:rPr>
          <w:rFonts w:hint="eastAsia" w:cs="宋体"/>
          <w:color w:val="auto"/>
          <w:spacing w:val="-1"/>
          <w:u w:val="single"/>
          <w:lang w:eastAsia="zh-CN"/>
        </w:rPr>
        <w:t>盖州市诚建工程招标代理有限责任公司</w:t>
      </w:r>
      <w:r>
        <w:rPr>
          <w:rFonts w:hint="eastAsia" w:cs="宋体"/>
          <w:color w:val="auto"/>
          <w:spacing w:val="-4"/>
          <w:lang w:eastAsia="zh-CN"/>
        </w:rPr>
        <w:t>。项目已具备招标条</w:t>
      </w:r>
      <w:r>
        <w:rPr>
          <w:rFonts w:hint="eastAsia" w:cs="宋体"/>
          <w:color w:val="auto"/>
          <w:spacing w:val="-1"/>
          <w:lang w:eastAsia="zh-CN"/>
        </w:rPr>
        <w:t>件，现对该项目</w:t>
      </w:r>
      <w:r>
        <w:rPr>
          <w:rFonts w:hint="eastAsia" w:cs="宋体"/>
          <w:color w:val="auto"/>
          <w:spacing w:val="-2"/>
          <w:lang w:eastAsia="zh-CN"/>
        </w:rPr>
        <w:t>进行公开招标。</w:t>
      </w:r>
    </w:p>
    <w:p w14:paraId="33E17BFC">
      <w:pPr>
        <w:pStyle w:val="3"/>
        <w:spacing w:line="360" w:lineRule="auto"/>
        <w:contextualSpacing/>
        <w:jc w:val="both"/>
        <w:rPr>
          <w:rFonts w:ascii="宋体" w:hAnsi="宋体" w:eastAsia="宋体" w:cs="宋体"/>
          <w:b w:val="0"/>
          <w:bCs w:val="0"/>
          <w:lang w:eastAsia="zh-CN"/>
        </w:rPr>
      </w:pPr>
      <w:bookmarkStart w:id="23" w:name="_bookmark3"/>
      <w:bookmarkEnd w:id="23"/>
      <w:bookmarkStart w:id="24" w:name="_Toc133075775"/>
      <w:bookmarkStart w:id="25" w:name="_Toc153262323"/>
      <w:bookmarkStart w:id="26" w:name="_Toc25535"/>
      <w:r>
        <w:rPr>
          <w:rFonts w:hint="eastAsia" w:ascii="宋体" w:hAnsi="宋体" w:eastAsia="宋体" w:cs="宋体"/>
          <w:lang w:eastAsia="zh-CN"/>
        </w:rPr>
        <w:t>2.项目概况与招标范围</w:t>
      </w:r>
      <w:bookmarkEnd w:id="24"/>
      <w:bookmarkEnd w:id="25"/>
      <w:bookmarkEnd w:id="26"/>
    </w:p>
    <w:p w14:paraId="531631DF">
      <w:pPr>
        <w:pStyle w:val="8"/>
        <w:tabs>
          <w:tab w:val="left" w:pos="2412"/>
        </w:tabs>
        <w:spacing w:line="360" w:lineRule="auto"/>
        <w:ind w:right="157" w:firstLine="420" w:firstLineChars="200"/>
        <w:contextualSpacing/>
        <w:rPr>
          <w:rFonts w:cs="宋体"/>
          <w:lang w:eastAsia="zh-CN"/>
        </w:rPr>
      </w:pPr>
      <w:r>
        <w:rPr>
          <w:rFonts w:hint="eastAsia" w:cs="宋体"/>
          <w:lang w:eastAsia="zh-CN"/>
        </w:rPr>
        <w:t>2.1项目概况：</w:t>
      </w:r>
    </w:p>
    <w:p w14:paraId="0176B260">
      <w:pPr>
        <w:pStyle w:val="8"/>
        <w:tabs>
          <w:tab w:val="left" w:pos="2412"/>
        </w:tabs>
        <w:spacing w:line="360" w:lineRule="auto"/>
        <w:ind w:firstLine="735" w:firstLineChars="350"/>
        <w:contextualSpacing/>
        <w:rPr>
          <w:spacing w:val="-5"/>
          <w:lang w:eastAsia="zh-CN"/>
        </w:rPr>
      </w:pPr>
      <w:r>
        <w:rPr>
          <w:rFonts w:hint="eastAsia" w:cs="宋体"/>
          <w:lang w:eastAsia="zh-CN"/>
        </w:rPr>
        <w:t>建设地点：</w:t>
      </w:r>
      <w:r>
        <w:rPr>
          <w:rFonts w:hint="eastAsia" w:cs="宋体"/>
          <w:u w:val="single"/>
          <w:lang w:eastAsia="zh-CN"/>
        </w:rPr>
        <w:t>辽宁省营口市盖州市西城办事处永安村大景城小区</w:t>
      </w:r>
    </w:p>
    <w:p w14:paraId="57C96A9B">
      <w:pPr>
        <w:pStyle w:val="8"/>
        <w:tabs>
          <w:tab w:val="left" w:pos="2412"/>
        </w:tabs>
        <w:spacing w:line="360" w:lineRule="auto"/>
        <w:ind w:firstLine="735" w:firstLineChars="350"/>
        <w:contextualSpacing/>
        <w:rPr>
          <w:rFonts w:eastAsia="宋体" w:cs="宋体"/>
          <w:lang w:eastAsia="zh-CN"/>
        </w:rPr>
      </w:pPr>
      <w:r>
        <w:rPr>
          <w:rFonts w:hint="eastAsia" w:cs="宋体"/>
          <w:u w:val="single"/>
          <w:lang w:eastAsia="zh-CN"/>
        </w:rPr>
        <w:t>建设规模：项目建设地位于盖州市西城办事处永安村，项目占地面积8.4 万平方米，总建筑面积21.42万平方米。对盖州市大景城小区10号楼、13号楼、14号 楼、15号楼、16号楼更新改造住宅老旧电梯11部，涉及234户。包括更换轿厢，控制系统，线路等。</w:t>
      </w:r>
    </w:p>
    <w:p w14:paraId="376887CC">
      <w:pPr>
        <w:pStyle w:val="8"/>
        <w:tabs>
          <w:tab w:val="left" w:pos="2412"/>
        </w:tabs>
        <w:spacing w:line="360" w:lineRule="auto"/>
        <w:ind w:right="157" w:firstLine="420" w:firstLineChars="200"/>
        <w:contextualSpacing/>
        <w:rPr>
          <w:rFonts w:cs="宋体"/>
          <w:lang w:eastAsia="zh-CN"/>
        </w:rPr>
      </w:pPr>
      <w:r>
        <w:rPr>
          <w:rFonts w:hint="eastAsia" w:cs="宋体"/>
          <w:lang w:eastAsia="zh-CN"/>
        </w:rPr>
        <w:t>2.2.招标范围</w:t>
      </w:r>
    </w:p>
    <w:p w14:paraId="5D7A44CD">
      <w:pPr>
        <w:pStyle w:val="8"/>
        <w:tabs>
          <w:tab w:val="left" w:pos="2412"/>
        </w:tabs>
        <w:spacing w:line="360" w:lineRule="auto"/>
        <w:ind w:right="157" w:firstLine="735" w:firstLineChars="350"/>
        <w:contextualSpacing/>
        <w:rPr>
          <w:rFonts w:cs="宋体"/>
          <w:u w:val="single"/>
          <w:lang w:eastAsia="zh-CN"/>
        </w:rPr>
      </w:pPr>
      <w:r>
        <w:rPr>
          <w:rFonts w:hint="eastAsia" w:cs="宋体"/>
          <w:lang w:eastAsia="zh-CN"/>
        </w:rPr>
        <w:t>标段划分：共划分</w:t>
      </w:r>
      <w:r>
        <w:rPr>
          <w:rFonts w:hint="eastAsia" w:cs="宋体"/>
          <w:u w:val="single"/>
          <w:lang w:eastAsia="zh-CN"/>
        </w:rPr>
        <w:t>1</w:t>
      </w:r>
      <w:r>
        <w:rPr>
          <w:rFonts w:hint="eastAsia" w:cs="宋体"/>
          <w:lang w:eastAsia="zh-CN"/>
        </w:rPr>
        <w:t>个标段；是否兼投：</w:t>
      </w:r>
      <w:r>
        <w:rPr>
          <w:rFonts w:hint="eastAsia" w:cs="宋体"/>
          <w:u w:val="single"/>
          <w:lang w:eastAsia="zh-CN"/>
        </w:rPr>
        <w:t>否</w:t>
      </w:r>
      <w:r>
        <w:rPr>
          <w:rFonts w:hint="eastAsia" w:cs="宋体"/>
          <w:lang w:eastAsia="zh-CN"/>
        </w:rPr>
        <w:t>；是否兼中：</w:t>
      </w:r>
      <w:r>
        <w:rPr>
          <w:rFonts w:hint="eastAsia" w:cs="宋体"/>
          <w:u w:val="single"/>
          <w:lang w:eastAsia="zh-CN"/>
        </w:rPr>
        <w:t>否</w:t>
      </w:r>
    </w:p>
    <w:p w14:paraId="693CDC3B">
      <w:pPr>
        <w:pStyle w:val="8"/>
        <w:tabs>
          <w:tab w:val="left" w:pos="2412"/>
        </w:tabs>
        <w:spacing w:line="360" w:lineRule="auto"/>
        <w:ind w:right="157" w:firstLine="735" w:firstLineChars="350"/>
        <w:contextualSpacing/>
        <w:rPr>
          <w:rFonts w:cs="宋体"/>
          <w:lang w:eastAsia="zh-CN"/>
        </w:rPr>
      </w:pPr>
      <w:r>
        <w:rPr>
          <w:rFonts w:hint="eastAsia" w:cs="宋体"/>
          <w:lang w:eastAsia="zh-CN"/>
        </w:rPr>
        <w:t>计划工期/服务期限/供货期限：</w:t>
      </w:r>
      <w:r>
        <w:rPr>
          <w:rFonts w:hint="eastAsia" w:eastAsia="宋体" w:cs="宋体"/>
          <w:u w:val="single"/>
          <w:lang w:eastAsia="zh-CN"/>
        </w:rPr>
        <w:t>30</w:t>
      </w:r>
      <w:r>
        <w:rPr>
          <w:rFonts w:hint="eastAsia" w:cs="宋体"/>
          <w:lang w:eastAsia="zh-CN"/>
        </w:rPr>
        <w:t>日历天</w:t>
      </w:r>
    </w:p>
    <w:p w14:paraId="450AAFA3">
      <w:pPr>
        <w:pStyle w:val="8"/>
        <w:tabs>
          <w:tab w:val="left" w:pos="2412"/>
        </w:tabs>
        <w:spacing w:line="360" w:lineRule="auto"/>
        <w:ind w:right="159" w:firstLine="735" w:firstLineChars="350"/>
        <w:contextualSpacing/>
        <w:rPr>
          <w:rFonts w:cs="宋体"/>
          <w:lang w:eastAsia="zh-CN"/>
        </w:rPr>
      </w:pPr>
      <w:r>
        <w:rPr>
          <w:rFonts w:hint="eastAsia" w:cs="宋体"/>
          <w:lang w:eastAsia="zh-CN"/>
        </w:rPr>
        <w:t>计划开工/服务开始/供货开始日期</w:t>
      </w:r>
      <w:r>
        <w:rPr>
          <w:rFonts w:hint="eastAsia" w:cs="宋体"/>
          <w:u w:val="single"/>
          <w:lang w:eastAsia="zh-CN"/>
        </w:rPr>
        <w:t>2026年**月**日</w:t>
      </w:r>
      <w:r>
        <w:rPr>
          <w:rFonts w:hint="eastAsia" w:cs="宋体"/>
          <w:lang w:eastAsia="zh-CN"/>
        </w:rPr>
        <w:t>；计划竣工/服务结束/供货结束日期</w:t>
      </w:r>
      <w:r>
        <w:rPr>
          <w:rFonts w:hint="eastAsia" w:cs="宋体"/>
          <w:u w:val="single"/>
          <w:lang w:eastAsia="zh-CN"/>
        </w:rPr>
        <w:t>2026年**月**日</w:t>
      </w:r>
      <w:r>
        <w:rPr>
          <w:rFonts w:hint="eastAsia" w:cs="宋体"/>
          <w:lang w:eastAsia="zh-CN"/>
        </w:rPr>
        <w:t>；</w:t>
      </w:r>
    </w:p>
    <w:p w14:paraId="7E09BAC0">
      <w:pPr>
        <w:pStyle w:val="8"/>
        <w:tabs>
          <w:tab w:val="left" w:pos="2412"/>
        </w:tabs>
        <w:spacing w:line="360" w:lineRule="auto"/>
        <w:ind w:right="159" w:firstLine="735" w:firstLineChars="350"/>
        <w:contextualSpacing/>
        <w:rPr>
          <w:rFonts w:cs="宋体"/>
          <w:lang w:eastAsia="zh-CN"/>
        </w:rPr>
      </w:pPr>
      <w:r>
        <w:rPr>
          <w:rFonts w:hint="eastAsia" w:cs="宋体"/>
          <w:lang w:eastAsia="zh-CN"/>
        </w:rPr>
        <w:t>标段名称：</w:t>
      </w:r>
      <w:r>
        <w:rPr>
          <w:rFonts w:hint="eastAsia" w:cs="宋体"/>
          <w:color w:val="auto"/>
          <w:lang w:eastAsia="zh-CN"/>
        </w:rPr>
        <w:t>盖州市东盛城建集团有限公司2026年盖州市住宅小区老旧电梯更新改造工程</w:t>
      </w:r>
    </w:p>
    <w:p w14:paraId="327E8EC3">
      <w:pPr>
        <w:pStyle w:val="8"/>
        <w:tabs>
          <w:tab w:val="left" w:pos="2412"/>
        </w:tabs>
        <w:spacing w:line="360" w:lineRule="auto"/>
        <w:ind w:right="157" w:firstLine="735" w:firstLineChars="350"/>
        <w:contextualSpacing/>
        <w:rPr>
          <w:rFonts w:eastAsia="宋体" w:cs="宋体"/>
          <w:u w:val="single"/>
          <w:lang w:eastAsia="zh-CN"/>
        </w:rPr>
      </w:pPr>
      <w:r>
        <w:rPr>
          <w:rFonts w:hint="eastAsia" w:cs="宋体"/>
          <w:lang w:eastAsia="zh-CN"/>
        </w:rPr>
        <w:t>标段编号：***</w:t>
      </w:r>
    </w:p>
    <w:p w14:paraId="7A9790D1">
      <w:pPr>
        <w:pStyle w:val="8"/>
        <w:tabs>
          <w:tab w:val="left" w:pos="2412"/>
        </w:tabs>
        <w:spacing w:line="360" w:lineRule="auto"/>
        <w:ind w:firstLine="735" w:firstLineChars="350"/>
        <w:contextualSpacing/>
        <w:rPr>
          <w:rFonts w:eastAsia="宋体" w:cs="宋体"/>
          <w:u w:val="single"/>
          <w:lang w:eastAsia="zh-CN"/>
        </w:rPr>
      </w:pPr>
      <w:r>
        <w:rPr>
          <w:rFonts w:hint="eastAsia" w:cs="宋体"/>
          <w:lang w:eastAsia="zh-CN"/>
        </w:rPr>
        <w:t>标段招标范围：</w:t>
      </w:r>
      <w:bookmarkStart w:id="27" w:name="OLE_LINK7"/>
      <w:r>
        <w:rPr>
          <w:rFonts w:hint="eastAsia" w:cs="宋体"/>
          <w:u w:val="single"/>
          <w:lang w:eastAsia="zh-CN"/>
        </w:rPr>
        <w:t>对盖州市大景城小区10号楼、13号楼、14号 楼、15号楼、16号楼更新改造住宅老旧电梯11部，涉及234户。</w:t>
      </w:r>
      <w:bookmarkEnd w:id="27"/>
    </w:p>
    <w:p w14:paraId="37631609">
      <w:pPr>
        <w:pStyle w:val="8"/>
        <w:tabs>
          <w:tab w:val="left" w:pos="2412"/>
        </w:tabs>
        <w:spacing w:line="360" w:lineRule="auto"/>
        <w:ind w:right="157" w:firstLine="735" w:firstLineChars="350"/>
        <w:contextualSpacing/>
        <w:rPr>
          <w:rFonts w:cs="宋体"/>
          <w:lang w:eastAsia="zh-CN"/>
        </w:rPr>
      </w:pPr>
      <w:r>
        <w:rPr>
          <w:rFonts w:hint="eastAsia" w:cs="宋体"/>
          <w:lang w:eastAsia="zh-CN"/>
        </w:rPr>
        <w:t>标段类别：</w:t>
      </w:r>
      <w:r>
        <w:rPr>
          <w:rFonts w:hint="eastAsia" w:eastAsia="宋体" w:cs="宋体"/>
          <w:lang w:eastAsia="zh-CN"/>
        </w:rPr>
        <w:t>货物类-</w:t>
      </w:r>
      <w:r>
        <w:rPr>
          <w:rFonts w:hint="eastAsia" w:cs="宋体"/>
          <w:lang w:eastAsia="zh-CN"/>
        </w:rPr>
        <w:t>材料设备采购；标段合同估算价：</w:t>
      </w:r>
      <w:r>
        <w:rPr>
          <w:rFonts w:hint="eastAsia"/>
          <w:lang w:eastAsia="zh-CN"/>
        </w:rPr>
        <w:t>160</w:t>
      </w:r>
      <w:r>
        <w:rPr>
          <w:rFonts w:hint="eastAsia" w:cs="宋体"/>
          <w:lang w:eastAsia="zh-CN"/>
        </w:rPr>
        <w:t>万元。</w:t>
      </w:r>
    </w:p>
    <w:p w14:paraId="74F8FC31">
      <w:pPr>
        <w:pStyle w:val="11"/>
        <w:spacing w:line="360" w:lineRule="auto"/>
        <w:ind w:firstLine="735" w:firstLineChars="350"/>
        <w:rPr>
          <w:rFonts w:ascii="宋体" w:hAnsi="宋体" w:cs="宋体"/>
        </w:rPr>
      </w:pPr>
      <w:r>
        <w:rPr>
          <w:rFonts w:hint="eastAsia" w:ascii="宋体" w:hAnsi="宋体" w:cs="宋体"/>
        </w:rPr>
        <w:t>投标保证金金额：30000元；缴纳方式：转账、保函（保险）。</w:t>
      </w:r>
    </w:p>
    <w:p w14:paraId="2041D952">
      <w:pPr>
        <w:spacing w:line="360" w:lineRule="auto"/>
        <w:ind w:firstLine="420" w:firstLineChars="200"/>
        <w:contextualSpacing/>
        <w:jc w:val="both"/>
        <w:rPr>
          <w:rFonts w:ascii="宋体" w:hAnsi="宋体" w:eastAsia="宋体" w:cs="宋体"/>
          <w:color w:val="auto"/>
          <w:lang w:eastAsia="zh-CN"/>
        </w:rPr>
      </w:pPr>
      <w:r>
        <w:rPr>
          <w:rFonts w:hint="eastAsia" w:ascii="宋体" w:hAnsi="宋体" w:cs="宋体"/>
          <w:color w:val="auto"/>
          <w:lang w:eastAsia="zh-CN"/>
        </w:rPr>
        <w:t>2.3其他</w:t>
      </w:r>
      <w:r>
        <w:rPr>
          <w:rFonts w:hint="eastAsia" w:ascii="宋体" w:hAnsi="宋体" w:eastAsia="宋体" w:cs="宋体"/>
          <w:color w:val="auto"/>
          <w:kern w:val="2"/>
          <w:u w:val="single"/>
          <w:lang w:eastAsia="zh-CN"/>
        </w:rPr>
        <w:t xml:space="preserve"> / </w:t>
      </w:r>
    </w:p>
    <w:p w14:paraId="75D2A01A">
      <w:pPr>
        <w:pStyle w:val="3"/>
        <w:spacing w:line="360" w:lineRule="auto"/>
        <w:contextualSpacing/>
        <w:jc w:val="both"/>
        <w:rPr>
          <w:rFonts w:ascii="宋体" w:hAnsi="宋体" w:eastAsia="宋体" w:cs="宋体"/>
          <w:b w:val="0"/>
          <w:bCs w:val="0"/>
          <w:lang w:eastAsia="zh-CN"/>
        </w:rPr>
      </w:pPr>
      <w:bookmarkStart w:id="28" w:name="_bookmark4"/>
      <w:bookmarkEnd w:id="28"/>
      <w:bookmarkStart w:id="29" w:name="_Toc153262324"/>
      <w:bookmarkStart w:id="30" w:name="_Toc133075776"/>
      <w:bookmarkStart w:id="31" w:name="_Toc23962"/>
      <w:r>
        <w:rPr>
          <w:rFonts w:hint="eastAsia" w:ascii="宋体" w:hAnsi="宋体" w:eastAsia="宋体" w:cs="宋体"/>
          <w:lang w:eastAsia="zh-CN"/>
        </w:rPr>
        <w:t>3.投标人资格要求</w:t>
      </w:r>
      <w:bookmarkEnd w:id="29"/>
      <w:bookmarkEnd w:id="30"/>
      <w:bookmarkEnd w:id="31"/>
      <w:bookmarkStart w:id="32" w:name="_bookmark5"/>
      <w:bookmarkEnd w:id="32"/>
    </w:p>
    <w:p w14:paraId="07EB279F">
      <w:pPr>
        <w:pStyle w:val="3"/>
        <w:spacing w:line="360" w:lineRule="auto"/>
        <w:ind w:left="0" w:firstLine="420" w:firstLineChars="200"/>
        <w:contextualSpacing/>
        <w:jc w:val="both"/>
        <w:rPr>
          <w:rFonts w:ascii="宋体" w:hAnsi="宋体" w:eastAsia="宋体" w:cs="宋体"/>
          <w:b w:val="0"/>
          <w:bCs w:val="0"/>
          <w:kern w:val="2"/>
          <w:sz w:val="21"/>
          <w:szCs w:val="22"/>
          <w:lang w:eastAsia="zh-CN"/>
        </w:rPr>
      </w:pPr>
      <w:bookmarkStart w:id="33" w:name="_Toc23271"/>
      <w:bookmarkStart w:id="34" w:name="_Toc153262325"/>
      <w:r>
        <w:rPr>
          <w:rFonts w:hint="eastAsia" w:ascii="宋体" w:hAnsi="宋体" w:eastAsia="宋体" w:cs="宋体"/>
          <w:b w:val="0"/>
          <w:bCs w:val="0"/>
          <w:kern w:val="2"/>
          <w:sz w:val="21"/>
          <w:szCs w:val="22"/>
          <w:lang w:eastAsia="zh-CN"/>
        </w:rPr>
        <w:t>3.1 本次招标要求投标人须具备以下资质，并具有与本招标项目相应的供货能力。</w:t>
      </w:r>
    </w:p>
    <w:p w14:paraId="5C2AC544">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1）投标人具有独立法人资格的电梯生产厂家或电梯生产厂家授权的代理商（同品牌电梯只接受一家报名。代理商需提供电梯生产厂家针对本项目的唯一授权书）;（2）投标人为电梯生产厂家的须具有《中华人民共和国特种设备生产许可证》【许可项目：电梯制造（含安装、修理、改造）；许可子项目：曳引驱动乘客电梯（含消防员电梯）】;（3）投标人为代理商的须同时提供以下证书：1）电梯生产厂家的《中华人民共和国特种设备生产许可证》【许可项目：电梯制造（含安装、修理、改造）；许可子项目：曳引驱动乘客电梯（含消防员电梯）】;2）投标人的《中华人民共和国特种设备生产许可证》【许可项目：电梯安装（含修理）；许可子项目：曳引驱动乘客电梯（含消防员电梯）】;</w:t>
      </w:r>
    </w:p>
    <w:p w14:paraId="348F50EF">
      <w:pPr>
        <w:pStyle w:val="3"/>
        <w:spacing w:line="360" w:lineRule="auto"/>
        <w:ind w:left="0" w:firstLine="420" w:firstLineChars="20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3.2本次招标不接受联合体投标。</w:t>
      </w:r>
    </w:p>
    <w:p w14:paraId="60A7D199">
      <w:pPr>
        <w:pStyle w:val="3"/>
        <w:spacing w:line="360" w:lineRule="auto"/>
        <w:ind w:left="0" w:firstLine="420" w:firstLineChars="20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3.3与招标人存在利害关系可能影响招标公正性的法人、其他组织或者个人，不得参加本项目的投标；单位负责人为同一人或者存在控股、管理关系的不同单位，不得同时参与本项目的投标，否则，相关投标均无效。</w:t>
      </w:r>
    </w:p>
    <w:p w14:paraId="17F8FA2E">
      <w:pPr>
        <w:pStyle w:val="3"/>
        <w:spacing w:line="360" w:lineRule="auto"/>
        <w:ind w:left="0" w:firstLine="420" w:firstLineChars="20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3.4投标人（生产厂家或代理商或经销商）不得存在下列情形之一：</w:t>
      </w:r>
    </w:p>
    <w:p w14:paraId="65A81416">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（1）与招标人存在利害关系且可能影响招标公正性；</w:t>
      </w:r>
    </w:p>
    <w:p w14:paraId="66C1281E">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（2）与本招标项目的其他投标人为同一个单位负责人；</w:t>
      </w:r>
    </w:p>
    <w:p w14:paraId="7E6DC68D">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（3）与本招标项目的其他投标人存在控股、管理关系；</w:t>
      </w:r>
    </w:p>
    <w:p w14:paraId="39593066">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（4）与本招标项目其他投标人代理同一个制造商同一品牌同一型号的设备投标；</w:t>
      </w:r>
    </w:p>
    <w:p w14:paraId="7326E160">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（5）为本招标项目提供过设计、编制技术规范和其他文件的咨询服务；</w:t>
      </w:r>
    </w:p>
    <w:p w14:paraId="3E526EFE">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（6）为本招标项目的代建人；</w:t>
      </w:r>
    </w:p>
    <w:p w14:paraId="3745C81B">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（7）为本招标项目的招标代理机构；</w:t>
      </w:r>
    </w:p>
    <w:p w14:paraId="109CBA2F">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（8）与本招标项目的监理人或代建人或招标代理机构同为一个法定代表人；</w:t>
      </w:r>
    </w:p>
    <w:p w14:paraId="6FE4695A">
      <w:pPr>
        <w:pStyle w:val="3"/>
        <w:spacing w:line="360" w:lineRule="auto"/>
        <w:ind w:left="0"/>
        <w:contextualSpacing/>
        <w:jc w:val="both"/>
        <w:rPr>
          <w:rFonts w:ascii="宋体" w:hAnsi="宋体" w:eastAsia="宋体" w:cs="宋体"/>
          <w:b w:val="0"/>
          <w:bCs w:val="0"/>
          <w:kern w:val="2"/>
          <w:sz w:val="21"/>
          <w:szCs w:val="22"/>
          <w:lang w:eastAsia="zh-CN"/>
        </w:rPr>
      </w:pPr>
      <w:r>
        <w:rPr>
          <w:rFonts w:hint="eastAsia" w:ascii="宋体" w:hAnsi="宋体" w:eastAsia="宋体" w:cs="宋体"/>
          <w:b w:val="0"/>
          <w:bCs w:val="0"/>
          <w:kern w:val="2"/>
          <w:sz w:val="21"/>
          <w:szCs w:val="22"/>
          <w:lang w:eastAsia="zh-CN"/>
        </w:rPr>
        <w:t>（9）与本招标项目的监理人或代建人或招标代理机构存在控股或参股关系。</w:t>
      </w:r>
    </w:p>
    <w:p w14:paraId="327DE1EC">
      <w:pPr>
        <w:pStyle w:val="3"/>
        <w:spacing w:line="360" w:lineRule="auto"/>
        <w:ind w:left="0"/>
        <w:contextualSpacing/>
        <w:jc w:val="both"/>
        <w:rPr>
          <w:rFonts w:ascii="宋体" w:hAnsi="宋体" w:eastAsia="宋体" w:cs="宋体"/>
          <w:lang w:eastAsia="zh-CN"/>
        </w:rPr>
      </w:pPr>
      <w:r>
        <w:rPr>
          <w:rFonts w:hint="eastAsia" w:ascii="宋体" w:hAnsi="宋体" w:eastAsia="宋体" w:cs="宋体"/>
          <w:lang w:eastAsia="zh-CN"/>
        </w:rPr>
        <w:t>4.招标文件的获取</w:t>
      </w:r>
      <w:bookmarkEnd w:id="33"/>
      <w:bookmarkEnd w:id="34"/>
    </w:p>
    <w:p w14:paraId="6C7404BC">
      <w:pPr>
        <w:pStyle w:val="8"/>
        <w:tabs>
          <w:tab w:val="left" w:pos="2388"/>
          <w:tab w:val="left" w:pos="2832"/>
          <w:tab w:val="left" w:pos="3472"/>
          <w:tab w:val="left" w:pos="6667"/>
          <w:tab w:val="left" w:pos="7270"/>
        </w:tabs>
        <w:spacing w:line="360" w:lineRule="auto"/>
        <w:ind w:right="153" w:firstLine="419"/>
        <w:contextualSpacing/>
        <w:rPr>
          <w:rFonts w:cs="宋体"/>
          <w:lang w:eastAsia="zh-CN"/>
        </w:rPr>
      </w:pPr>
      <w:bookmarkStart w:id="35" w:name="_Toc153262326"/>
      <w:r>
        <w:rPr>
          <w:rFonts w:hint="eastAsia" w:cs="宋体"/>
          <w:lang w:eastAsia="zh-CN"/>
        </w:rPr>
        <w:t>4.1 凡有意参加投标者（若为联合体投标，指联合体所有成员），应当在主体信息库（辽宁省工程建设项目主体云库）进行注册登记（具体参见主体云库注册操作指南）。</w:t>
      </w:r>
    </w:p>
    <w:p w14:paraId="04010E05">
      <w:pPr>
        <w:pStyle w:val="8"/>
        <w:tabs>
          <w:tab w:val="left" w:pos="2388"/>
          <w:tab w:val="left" w:pos="2832"/>
          <w:tab w:val="left" w:pos="3472"/>
          <w:tab w:val="left" w:pos="6667"/>
          <w:tab w:val="left" w:pos="7270"/>
        </w:tabs>
        <w:spacing w:line="360" w:lineRule="auto"/>
        <w:ind w:right="153" w:firstLine="419"/>
        <w:contextualSpacing/>
        <w:rPr>
          <w:rFonts w:cs="宋体"/>
          <w:lang w:eastAsia="zh-CN"/>
        </w:rPr>
      </w:pPr>
      <w:r>
        <w:rPr>
          <w:rFonts w:hint="eastAsia" w:cs="宋体"/>
        </w:rPr>
        <w:t>4.2 完成注册登记后，请于</w:t>
      </w:r>
      <w:r>
        <w:rPr>
          <w:rFonts w:hint="eastAsia" w:cs="宋体"/>
          <w:u w:val="single"/>
          <w:lang w:eastAsia="zh-CN"/>
        </w:rPr>
        <w:t>2026年**</w:t>
      </w:r>
      <w:r>
        <w:rPr>
          <w:rFonts w:hint="eastAsia" w:cs="宋体"/>
          <w:u w:val="single"/>
        </w:rPr>
        <w:t>月</w:t>
      </w:r>
      <w:r>
        <w:rPr>
          <w:rFonts w:hint="eastAsia" w:cs="宋体"/>
          <w:u w:val="single"/>
          <w:lang w:eastAsia="zh-CN"/>
        </w:rPr>
        <w:t>**</w:t>
      </w:r>
      <w:r>
        <w:rPr>
          <w:rFonts w:hint="eastAsia" w:cs="宋体"/>
          <w:u w:val="single"/>
        </w:rPr>
        <w:t>日</w:t>
      </w:r>
      <w:r>
        <w:rPr>
          <w:rFonts w:hint="eastAsia" w:cs="宋体"/>
          <w:u w:val="single"/>
          <w:lang w:eastAsia="zh-CN"/>
        </w:rPr>
        <w:t>16</w:t>
      </w:r>
      <w:r>
        <w:rPr>
          <w:rFonts w:hint="eastAsia" w:cs="宋体"/>
          <w:u w:val="single"/>
        </w:rPr>
        <w:t>时</w:t>
      </w:r>
      <w:r>
        <w:rPr>
          <w:rFonts w:hint="eastAsia" w:cs="宋体"/>
          <w:u w:val="single"/>
          <w:lang w:eastAsia="zh-CN"/>
        </w:rPr>
        <w:t>3</w:t>
      </w:r>
      <w:r>
        <w:rPr>
          <w:rFonts w:hint="eastAsia" w:cs="宋体"/>
          <w:u w:val="single"/>
        </w:rPr>
        <w:t>0分</w:t>
      </w:r>
      <w:r>
        <w:rPr>
          <w:rFonts w:hint="eastAsia" w:cs="宋体"/>
        </w:rPr>
        <w:t>至</w:t>
      </w:r>
      <w:r>
        <w:rPr>
          <w:rFonts w:hint="eastAsia" w:cs="宋体"/>
          <w:u w:val="single"/>
          <w:lang w:eastAsia="zh-CN"/>
        </w:rPr>
        <w:t>2026年**</w:t>
      </w:r>
      <w:r>
        <w:rPr>
          <w:rFonts w:hint="eastAsia" w:cs="宋体"/>
          <w:u w:val="single"/>
        </w:rPr>
        <w:t>月</w:t>
      </w:r>
      <w:r>
        <w:rPr>
          <w:rFonts w:hint="eastAsia" w:cs="宋体"/>
          <w:u w:val="single"/>
          <w:lang w:eastAsia="zh-CN"/>
        </w:rPr>
        <w:t>**</w:t>
      </w:r>
      <w:r>
        <w:rPr>
          <w:rFonts w:hint="eastAsia" w:cs="宋体"/>
          <w:u w:val="single"/>
        </w:rPr>
        <w:t>日</w:t>
      </w:r>
      <w:r>
        <w:rPr>
          <w:rFonts w:hint="eastAsia" w:cs="宋体"/>
          <w:u w:val="single"/>
          <w:lang w:eastAsia="zh-CN"/>
        </w:rPr>
        <w:t>16</w:t>
      </w:r>
      <w:r>
        <w:rPr>
          <w:rFonts w:hint="eastAsia" w:cs="宋体"/>
          <w:u w:val="single"/>
        </w:rPr>
        <w:t>时</w:t>
      </w:r>
      <w:r>
        <w:rPr>
          <w:rFonts w:hint="eastAsia" w:cs="宋体"/>
          <w:u w:val="single"/>
          <w:lang w:eastAsia="zh-CN"/>
        </w:rPr>
        <w:t>3</w:t>
      </w:r>
      <w:r>
        <w:rPr>
          <w:rFonts w:hint="eastAsia" w:cs="宋体"/>
          <w:u w:val="single"/>
        </w:rPr>
        <w:t>0分</w:t>
      </w:r>
      <w:r>
        <w:rPr>
          <w:rFonts w:hint="eastAsia" w:cs="宋体"/>
        </w:rPr>
        <w:t>止（北京时间、下同），通过</w:t>
      </w:r>
      <w:r>
        <w:rPr>
          <w:rFonts w:hint="eastAsia" w:cs="宋体"/>
          <w:u w:val="single"/>
        </w:rPr>
        <w:t>辽宁</w:t>
      </w:r>
      <w:r>
        <w:rPr>
          <w:rFonts w:hint="eastAsia" w:cs="宋体"/>
          <w:u w:val="single"/>
          <w:lang w:eastAsia="zh-CN"/>
        </w:rPr>
        <w:t>城乡建设</w:t>
      </w:r>
      <w:r>
        <w:rPr>
          <w:rFonts w:hint="eastAsia" w:cs="宋体"/>
          <w:u w:val="single"/>
        </w:rPr>
        <w:t>招投标交易平台（投标盲盒工具https</w:t>
      </w:r>
      <w:r>
        <w:rPr>
          <w:rFonts w:hint="eastAsia" w:cs="宋体"/>
          <w:u w:val="single"/>
          <w:lang w:eastAsia="zh-CN"/>
        </w:rPr>
        <w:t>：</w:t>
      </w:r>
      <w:r>
        <w:rPr>
          <w:rFonts w:hint="eastAsia" w:cs="宋体"/>
          <w:u w:val="single"/>
        </w:rPr>
        <w:t>//nxbox.lnzb.com</w:t>
      </w:r>
      <w:r>
        <w:rPr>
          <w:rFonts w:hint="eastAsia" w:cs="宋体"/>
          <w:u w:val="single"/>
          <w:lang w:eastAsia="zh-CN"/>
        </w:rPr>
        <w:t>：</w:t>
      </w:r>
      <w:r>
        <w:rPr>
          <w:rFonts w:hint="eastAsia" w:cs="宋体"/>
          <w:u w:val="single"/>
        </w:rPr>
        <w:t>8888/#/login）</w:t>
      </w:r>
      <w:r>
        <w:rPr>
          <w:rFonts w:hint="eastAsia" w:cs="宋体"/>
        </w:rPr>
        <w:t>，在所投标段进行资格确认并下载招标文件。</w:t>
      </w:r>
      <w:r>
        <w:rPr>
          <w:rFonts w:hint="eastAsia" w:cs="宋体"/>
          <w:lang w:eastAsia="zh-CN"/>
        </w:rPr>
        <w:t>联合体投标的，由联合体牵头人下载招标文件。</w:t>
      </w:r>
    </w:p>
    <w:bookmarkEnd w:id="35"/>
    <w:p w14:paraId="6026F276">
      <w:pPr>
        <w:pStyle w:val="3"/>
        <w:spacing w:line="360" w:lineRule="auto"/>
        <w:contextualSpacing/>
        <w:jc w:val="both"/>
        <w:rPr>
          <w:rFonts w:ascii="宋体" w:hAnsi="宋体" w:eastAsia="宋体" w:cs="宋体"/>
          <w:lang w:eastAsia="zh-CN"/>
        </w:rPr>
      </w:pPr>
      <w:bookmarkStart w:id="36" w:name="_bookmark6"/>
      <w:bookmarkEnd w:id="36"/>
      <w:bookmarkStart w:id="37" w:name="_Toc4057"/>
      <w:bookmarkStart w:id="38" w:name="_Toc153262327"/>
      <w:bookmarkStart w:id="39" w:name="_Toc11433"/>
      <w:r>
        <w:rPr>
          <w:rFonts w:hint="eastAsia" w:ascii="宋体" w:hAnsi="宋体" w:eastAsia="宋体" w:cs="宋体"/>
          <w:lang w:eastAsia="zh-CN"/>
        </w:rPr>
        <w:t>5.投标文件的递交</w:t>
      </w:r>
      <w:bookmarkEnd w:id="37"/>
      <w:bookmarkEnd w:id="38"/>
      <w:bookmarkEnd w:id="39"/>
    </w:p>
    <w:p w14:paraId="4B063646">
      <w:pPr>
        <w:pStyle w:val="8"/>
        <w:tabs>
          <w:tab w:val="left" w:pos="2388"/>
          <w:tab w:val="left" w:pos="2832"/>
          <w:tab w:val="left" w:pos="3472"/>
          <w:tab w:val="left" w:pos="6667"/>
          <w:tab w:val="left" w:pos="7270"/>
        </w:tabs>
        <w:spacing w:line="360" w:lineRule="auto"/>
        <w:ind w:right="153" w:firstLine="419"/>
        <w:contextualSpacing/>
        <w:rPr>
          <w:rFonts w:cs="宋体"/>
          <w:lang w:eastAsia="zh-CN"/>
        </w:rPr>
      </w:pPr>
      <w:r>
        <w:rPr>
          <w:rFonts w:hint="eastAsia" w:cs="宋体"/>
          <w:lang w:eastAsia="zh-CN"/>
        </w:rPr>
        <w:t>5.1 投标文件递交截止时间为：</w:t>
      </w:r>
      <w:r>
        <w:rPr>
          <w:rFonts w:hint="eastAsia" w:cs="宋体"/>
          <w:u w:val="single"/>
          <w:lang w:eastAsia="zh-CN"/>
        </w:rPr>
        <w:t xml:space="preserve">2026年**月**日 </w:t>
      </w:r>
      <w:r>
        <w:rPr>
          <w:rFonts w:hint="eastAsia" w:eastAsia="宋体" w:cs="宋体"/>
          <w:u w:val="single"/>
          <w:lang w:eastAsia="zh-CN"/>
        </w:rPr>
        <w:t>10：</w:t>
      </w:r>
      <w:r>
        <w:rPr>
          <w:rFonts w:hint="eastAsia" w:cs="宋体"/>
          <w:u w:val="single"/>
          <w:lang w:eastAsia="zh-CN"/>
        </w:rPr>
        <w:t>00</w:t>
      </w:r>
      <w:r>
        <w:rPr>
          <w:rFonts w:hint="eastAsia" w:cs="宋体"/>
          <w:lang w:eastAsia="zh-CN"/>
        </w:rPr>
        <w:t>。</w:t>
      </w:r>
    </w:p>
    <w:p w14:paraId="63586DB9">
      <w:pPr>
        <w:pStyle w:val="8"/>
        <w:tabs>
          <w:tab w:val="left" w:pos="2388"/>
          <w:tab w:val="left" w:pos="2832"/>
          <w:tab w:val="left" w:pos="3472"/>
          <w:tab w:val="left" w:pos="6667"/>
          <w:tab w:val="left" w:pos="7270"/>
        </w:tabs>
        <w:spacing w:line="360" w:lineRule="auto"/>
        <w:ind w:right="153" w:firstLine="419"/>
        <w:contextualSpacing/>
        <w:rPr>
          <w:rFonts w:cs="宋体"/>
          <w:lang w:eastAsia="zh-CN"/>
        </w:rPr>
      </w:pPr>
      <w:r>
        <w:rPr>
          <w:rFonts w:hint="eastAsia" w:cs="宋体"/>
        </w:rPr>
        <w:t>5.2 投标人应当在投标截止时间前，通过</w:t>
      </w:r>
      <w:r>
        <w:rPr>
          <w:rFonts w:hint="eastAsia" w:cs="宋体"/>
          <w:u w:val="single"/>
        </w:rPr>
        <w:t>辽宁</w:t>
      </w:r>
      <w:r>
        <w:rPr>
          <w:rFonts w:hint="eastAsia" w:cs="宋体"/>
          <w:u w:val="single"/>
          <w:lang w:eastAsia="zh-CN"/>
        </w:rPr>
        <w:t>城乡建设</w:t>
      </w:r>
      <w:r>
        <w:rPr>
          <w:rFonts w:hint="eastAsia" w:cs="宋体"/>
          <w:u w:val="single"/>
        </w:rPr>
        <w:t>招投标交易平台（投标盲盒工具https</w:t>
      </w:r>
      <w:r>
        <w:rPr>
          <w:rFonts w:hint="eastAsia" w:cs="宋体"/>
          <w:u w:val="single"/>
          <w:lang w:eastAsia="zh-CN"/>
        </w:rPr>
        <w:t>：</w:t>
      </w:r>
      <w:r>
        <w:rPr>
          <w:rFonts w:hint="eastAsia" w:cs="宋体"/>
          <w:u w:val="single"/>
        </w:rPr>
        <w:t>//nxbox.lnzb.com</w:t>
      </w:r>
      <w:r>
        <w:rPr>
          <w:rFonts w:hint="eastAsia" w:cs="宋体"/>
          <w:u w:val="single"/>
          <w:lang w:eastAsia="zh-CN"/>
        </w:rPr>
        <w:t>：</w:t>
      </w:r>
      <w:r>
        <w:rPr>
          <w:rFonts w:hint="eastAsia" w:cs="宋体"/>
          <w:u w:val="single"/>
        </w:rPr>
        <w:t>8888/#/login）</w:t>
      </w:r>
      <w:r>
        <w:rPr>
          <w:rFonts w:hint="eastAsia" w:cs="宋体"/>
        </w:rPr>
        <w:t>，选择所投标段将加密的电子投标文件上传。</w:t>
      </w:r>
      <w:r>
        <w:rPr>
          <w:rFonts w:hint="eastAsia" w:cs="宋体"/>
          <w:lang w:eastAsia="zh-CN"/>
        </w:rPr>
        <w:t>投标人完成投标文件上传后，电子交易系统向投标人发出电子签收凭证，递交时间以电子签收凭证载明的时间为准。逾期未完成上传或未加密的电子投标文件，招标人（电子交易系统）将拒收其投标文件。</w:t>
      </w:r>
    </w:p>
    <w:p w14:paraId="348B1D1C">
      <w:pPr>
        <w:pStyle w:val="8"/>
        <w:tabs>
          <w:tab w:val="left" w:pos="2388"/>
          <w:tab w:val="left" w:pos="2832"/>
          <w:tab w:val="left" w:pos="3472"/>
          <w:tab w:val="left" w:pos="6667"/>
          <w:tab w:val="left" w:pos="7270"/>
        </w:tabs>
        <w:spacing w:line="360" w:lineRule="auto"/>
        <w:ind w:right="153" w:firstLine="419"/>
        <w:contextualSpacing/>
        <w:rPr>
          <w:rFonts w:cs="宋体"/>
          <w:u w:val="single"/>
        </w:rPr>
      </w:pPr>
      <w:r>
        <w:rPr>
          <w:rFonts w:hint="eastAsia" w:cs="宋体"/>
        </w:rPr>
        <w:t>5.3 开标地点：</w:t>
      </w:r>
      <w:r>
        <w:rPr>
          <w:rFonts w:hint="eastAsia" w:cs="宋体"/>
          <w:u w:val="single"/>
        </w:rPr>
        <w:t>辽宁省工程建设项目数字化开标评标</w:t>
      </w:r>
      <w:r>
        <w:rPr>
          <w:rFonts w:hint="eastAsia" w:eastAsia="宋体" w:cs="宋体"/>
          <w:u w:val="single"/>
          <w:lang w:eastAsia="zh-CN"/>
        </w:rPr>
        <w:t>系统</w:t>
      </w:r>
      <w:r>
        <w:rPr>
          <w:rFonts w:hint="eastAsia" w:cs="宋体"/>
          <w:u w:val="single"/>
        </w:rPr>
        <w:t>（https</w:t>
      </w:r>
      <w:r>
        <w:rPr>
          <w:rFonts w:hint="eastAsia" w:cs="宋体"/>
          <w:u w:val="single"/>
          <w:lang w:eastAsia="zh-CN"/>
        </w:rPr>
        <w:t>：</w:t>
      </w:r>
      <w:r>
        <w:rPr>
          <w:rFonts w:hint="eastAsia" w:cs="宋体"/>
          <w:u w:val="single"/>
        </w:rPr>
        <w:t>//dts.lnzb.com</w:t>
      </w:r>
      <w:r>
        <w:rPr>
          <w:rFonts w:hint="eastAsia" w:cs="宋体"/>
          <w:u w:val="single"/>
          <w:lang w:eastAsia="zh-CN"/>
        </w:rPr>
        <w:t>：</w:t>
      </w:r>
      <w:r>
        <w:rPr>
          <w:rFonts w:hint="eastAsia" w:cs="宋体"/>
          <w:u w:val="single"/>
        </w:rPr>
        <w:t>8888/zjt-bid/）。</w:t>
      </w:r>
    </w:p>
    <w:p w14:paraId="2250EDCB">
      <w:pPr>
        <w:pStyle w:val="8"/>
        <w:tabs>
          <w:tab w:val="left" w:pos="2388"/>
          <w:tab w:val="left" w:pos="2832"/>
          <w:tab w:val="left" w:pos="3472"/>
          <w:tab w:val="left" w:pos="6667"/>
          <w:tab w:val="left" w:pos="7270"/>
        </w:tabs>
        <w:spacing w:line="360" w:lineRule="auto"/>
        <w:ind w:right="153" w:firstLine="419"/>
        <w:contextualSpacing/>
        <w:rPr>
          <w:rFonts w:eastAsia="宋体" w:cs="宋体"/>
          <w:u w:val="single"/>
          <w:lang w:eastAsia="zh-CN"/>
        </w:rPr>
      </w:pPr>
      <w:r>
        <w:rPr>
          <w:rFonts w:hint="eastAsia" w:cs="宋体"/>
        </w:rPr>
        <w:t>5.4 开标方式：</w:t>
      </w:r>
      <w:r>
        <w:rPr>
          <w:rFonts w:hint="eastAsia" w:cs="宋体"/>
          <w:u w:val="single"/>
        </w:rPr>
        <w:t>远程不见面（请按招标文件规定时间登录“辽宁省工程建设项目数字化开标评标系统（https</w:t>
      </w:r>
      <w:r>
        <w:rPr>
          <w:rFonts w:hint="eastAsia" w:cs="宋体"/>
          <w:u w:val="single"/>
          <w:lang w:eastAsia="zh-CN"/>
        </w:rPr>
        <w:t>：</w:t>
      </w:r>
      <w:r>
        <w:rPr>
          <w:rFonts w:hint="eastAsia" w:cs="宋体"/>
          <w:u w:val="single"/>
        </w:rPr>
        <w:t>//dts.lnzb.com</w:t>
      </w:r>
      <w:r>
        <w:rPr>
          <w:rFonts w:hint="eastAsia" w:cs="宋体"/>
          <w:u w:val="single"/>
          <w:lang w:eastAsia="zh-CN"/>
        </w:rPr>
        <w:t>：</w:t>
      </w:r>
      <w:r>
        <w:rPr>
          <w:rFonts w:hint="eastAsia" w:cs="宋体"/>
          <w:u w:val="single"/>
        </w:rPr>
        <w:t>8888/zjt-bid/）”进行解密）</w:t>
      </w:r>
      <w:r>
        <w:rPr>
          <w:rFonts w:hint="eastAsia" w:eastAsia="宋体" w:cs="宋体"/>
          <w:lang w:eastAsia="zh-CN"/>
        </w:rPr>
        <w:t>。</w:t>
      </w:r>
    </w:p>
    <w:p w14:paraId="555AF024">
      <w:pPr>
        <w:pStyle w:val="3"/>
        <w:spacing w:line="360" w:lineRule="auto"/>
        <w:contextualSpacing/>
        <w:jc w:val="both"/>
        <w:rPr>
          <w:rFonts w:ascii="宋体" w:hAnsi="宋体" w:eastAsia="宋体" w:cs="宋体"/>
          <w:lang w:eastAsia="zh-CN"/>
        </w:rPr>
      </w:pPr>
      <w:bookmarkStart w:id="40" w:name="_Toc25123"/>
      <w:r>
        <w:rPr>
          <w:rFonts w:hint="eastAsia" w:ascii="宋体" w:hAnsi="宋体" w:eastAsia="宋体" w:cs="宋体"/>
          <w:lang w:eastAsia="zh-CN"/>
        </w:rPr>
        <w:t>6.投标相关事宜</w:t>
      </w:r>
      <w:bookmarkEnd w:id="40"/>
    </w:p>
    <w:p w14:paraId="624D5BE8">
      <w:pPr>
        <w:pStyle w:val="4"/>
        <w:rPr>
          <w:lang w:eastAsia="zh-CN"/>
        </w:rPr>
      </w:pPr>
      <w:r>
        <w:rPr>
          <w:rFonts w:hint="eastAsia" w:ascii="宋体" w:hAnsi="宋体" w:cs="宋体"/>
          <w:kern w:val="2"/>
          <w:sz w:val="21"/>
          <w:szCs w:val="21"/>
          <w:u w:val="single"/>
          <w:lang w:eastAsia="zh-CN"/>
        </w:rPr>
        <w:t xml:space="preserve"> / </w:t>
      </w:r>
    </w:p>
    <w:p w14:paraId="4AFAD46E">
      <w:pPr>
        <w:pStyle w:val="3"/>
        <w:spacing w:line="360" w:lineRule="auto"/>
        <w:contextualSpacing/>
        <w:jc w:val="both"/>
        <w:rPr>
          <w:rFonts w:ascii="宋体" w:hAnsi="宋体" w:eastAsia="宋体" w:cs="宋体"/>
          <w:lang w:eastAsia="zh-CN"/>
        </w:rPr>
      </w:pPr>
      <w:bookmarkStart w:id="41" w:name="_Toc28881"/>
      <w:r>
        <w:rPr>
          <w:rFonts w:hint="eastAsia" w:ascii="宋体" w:hAnsi="宋体" w:eastAsia="宋体" w:cs="宋体"/>
          <w:lang w:eastAsia="zh-CN"/>
        </w:rPr>
        <w:t>7.评标办法</w:t>
      </w:r>
      <w:bookmarkEnd w:id="41"/>
    </w:p>
    <w:p w14:paraId="17DFD525">
      <w:pPr>
        <w:pStyle w:val="4"/>
        <w:ind w:firstLine="206" w:firstLineChars="100"/>
        <w:rPr>
          <w:rFonts w:ascii="宋体" w:hAnsi="宋体" w:cs="宋体"/>
          <w:spacing w:val="-2"/>
          <w:kern w:val="2"/>
          <w:sz w:val="21"/>
          <w:szCs w:val="21"/>
          <w:lang w:eastAsia="zh-CN"/>
        </w:rPr>
      </w:pPr>
      <w:r>
        <w:rPr>
          <w:rFonts w:hint="eastAsia" w:ascii="宋体" w:hAnsi="宋体" w:cs="宋体"/>
          <w:spacing w:val="-2"/>
          <w:kern w:val="2"/>
          <w:sz w:val="21"/>
          <w:szCs w:val="21"/>
          <w:lang w:eastAsia="zh-CN"/>
        </w:rPr>
        <w:t>本次招标评标办法采用</w:t>
      </w:r>
      <w:r>
        <w:rPr>
          <w:rFonts w:hint="eastAsia" w:ascii="宋体" w:hAnsi="宋体" w:cs="宋体"/>
          <w:spacing w:val="-2"/>
          <w:kern w:val="2"/>
          <w:sz w:val="21"/>
          <w:szCs w:val="21"/>
          <w:u w:val="single"/>
          <w:lang w:eastAsia="zh-CN"/>
        </w:rPr>
        <w:t xml:space="preserve">综合评估法 </w:t>
      </w:r>
    </w:p>
    <w:p w14:paraId="4FF95964">
      <w:pPr>
        <w:pStyle w:val="4"/>
        <w:rPr>
          <w:rFonts w:ascii="宋体" w:hAnsi="宋体" w:cs="宋体"/>
          <w:lang w:eastAsia="zh-CN"/>
        </w:rPr>
      </w:pPr>
    </w:p>
    <w:p w14:paraId="2E5A5D43">
      <w:pPr>
        <w:pStyle w:val="3"/>
        <w:spacing w:line="360" w:lineRule="auto"/>
        <w:ind w:right="113"/>
        <w:contextualSpacing/>
        <w:rPr>
          <w:rFonts w:ascii="宋体" w:hAnsi="宋体" w:eastAsia="宋体" w:cs="宋体"/>
          <w:b w:val="0"/>
          <w:bCs w:val="0"/>
          <w:lang w:eastAsia="zh-CN"/>
        </w:rPr>
      </w:pPr>
      <w:bookmarkStart w:id="42" w:name="_bookmark7"/>
      <w:bookmarkEnd w:id="42"/>
      <w:bookmarkStart w:id="43" w:name="_Toc153262328"/>
      <w:bookmarkStart w:id="44" w:name="_Toc26965"/>
      <w:bookmarkStart w:id="45" w:name="_Toc133075779"/>
      <w:r>
        <w:rPr>
          <w:rFonts w:hint="eastAsia" w:ascii="宋体" w:hAnsi="宋体" w:eastAsia="宋体" w:cs="宋体"/>
          <w:lang w:eastAsia="zh-CN"/>
        </w:rPr>
        <w:t>8.发布公告的媒介</w:t>
      </w:r>
      <w:bookmarkEnd w:id="43"/>
      <w:bookmarkEnd w:id="44"/>
      <w:bookmarkEnd w:id="45"/>
    </w:p>
    <w:p w14:paraId="5329CC61">
      <w:pPr>
        <w:spacing w:line="360" w:lineRule="auto"/>
        <w:ind w:right="113"/>
        <w:contextualSpacing/>
        <w:rPr>
          <w:rFonts w:ascii="宋体" w:hAnsi="宋体" w:eastAsia="宋体" w:cs="宋体"/>
          <w:color w:val="auto"/>
          <w:spacing w:val="-2"/>
          <w:kern w:val="2"/>
          <w:u w:val="single"/>
          <w:lang w:eastAsia="zh-CN"/>
        </w:rPr>
      </w:pPr>
      <w:bookmarkStart w:id="46" w:name="_Toc12944"/>
      <w:r>
        <w:rPr>
          <w:rFonts w:hint="eastAsia" w:ascii="宋体" w:hAnsi="宋体" w:eastAsia="宋体" w:cs="宋体"/>
          <w:color w:val="auto"/>
          <w:spacing w:val="-2"/>
          <w:kern w:val="2"/>
          <w:lang w:eastAsia="zh-CN"/>
        </w:rPr>
        <w:t>本次招标公告同时在</w:t>
      </w:r>
      <w:r>
        <w:rPr>
          <w:rFonts w:hint="eastAsia" w:ascii="宋体" w:hAnsi="宋体" w:eastAsia="宋体" w:cs="宋体"/>
          <w:color w:val="auto"/>
          <w:spacing w:val="-2"/>
          <w:kern w:val="2"/>
          <w:u w:val="single"/>
          <w:lang w:eastAsia="zh-CN"/>
        </w:rPr>
        <w:t>辽宁省招标投标监管网、辽宁省建设工程信息网</w:t>
      </w:r>
      <w:bookmarkEnd w:id="46"/>
      <w:bookmarkStart w:id="47" w:name="_Toc7480"/>
      <w:r>
        <w:rPr>
          <w:rFonts w:hint="eastAsia" w:ascii="宋体" w:hAnsi="宋体" w:eastAsia="宋体" w:cs="宋体"/>
          <w:color w:val="auto"/>
          <w:spacing w:val="-2"/>
          <w:kern w:val="2"/>
          <w:lang w:eastAsia="zh-CN"/>
        </w:rPr>
        <w:t>上发布。</w:t>
      </w:r>
    </w:p>
    <w:p w14:paraId="71E713CB">
      <w:pPr>
        <w:pStyle w:val="3"/>
        <w:spacing w:line="360" w:lineRule="auto"/>
        <w:ind w:right="113"/>
        <w:contextualSpacing/>
        <w:rPr>
          <w:rFonts w:ascii="宋体" w:hAnsi="宋体" w:eastAsia="宋体" w:cs="宋体"/>
          <w:lang w:eastAsia="zh-CN"/>
        </w:rPr>
      </w:pPr>
      <w:r>
        <w:rPr>
          <w:rFonts w:hint="eastAsia" w:ascii="宋体" w:hAnsi="宋体" w:eastAsia="宋体" w:cs="宋体"/>
          <w:lang w:eastAsia="zh-CN"/>
        </w:rPr>
        <w:t>9.监督信息</w:t>
      </w:r>
      <w:bookmarkEnd w:id="47"/>
    </w:p>
    <w:p w14:paraId="57480CF0">
      <w:pPr>
        <w:pStyle w:val="8"/>
        <w:tabs>
          <w:tab w:val="left" w:pos="2388"/>
          <w:tab w:val="left" w:pos="2832"/>
          <w:tab w:val="left" w:pos="3472"/>
          <w:tab w:val="left" w:pos="6667"/>
          <w:tab w:val="left" w:pos="7270"/>
        </w:tabs>
        <w:spacing w:line="360" w:lineRule="auto"/>
        <w:ind w:right="153" w:firstLine="419"/>
        <w:contextualSpacing/>
        <w:rPr>
          <w:rFonts w:eastAsia="宋体" w:cs="宋体"/>
          <w:lang w:eastAsia="zh-CN"/>
        </w:rPr>
      </w:pPr>
      <w:r>
        <w:rPr>
          <w:rFonts w:hint="eastAsia" w:cs="宋体"/>
          <w:spacing w:val="-2"/>
          <w:lang w:eastAsia="zh-CN"/>
        </w:rPr>
        <w:t>1</w:t>
      </w:r>
      <w:r>
        <w:rPr>
          <w:rFonts w:hint="eastAsia" w:cs="宋体"/>
          <w:lang w:eastAsia="zh-CN"/>
        </w:rPr>
        <w:t>.监督部门：</w:t>
      </w:r>
      <w:r>
        <w:rPr>
          <w:rFonts w:hint="eastAsia" w:eastAsia="宋体" w:cs="宋体"/>
          <w:lang w:eastAsia="zh-CN"/>
        </w:rPr>
        <w:t>盖州市住房和城乡建设局</w:t>
      </w:r>
      <w:r>
        <w:rPr>
          <w:rFonts w:hint="eastAsia" w:cs="宋体"/>
          <w:lang w:eastAsia="zh-CN"/>
        </w:rPr>
        <w:t>，负责人：刘女士，联系方式：0417-</w:t>
      </w:r>
      <w:r>
        <w:rPr>
          <w:rFonts w:hint="eastAsia" w:eastAsia="宋体" w:cs="宋体"/>
          <w:lang w:eastAsia="zh-CN"/>
        </w:rPr>
        <w:t>7813284</w:t>
      </w:r>
    </w:p>
    <w:p w14:paraId="068FC01D">
      <w:pPr>
        <w:pStyle w:val="8"/>
        <w:tabs>
          <w:tab w:val="left" w:pos="2388"/>
          <w:tab w:val="left" w:pos="2832"/>
          <w:tab w:val="left" w:pos="3472"/>
          <w:tab w:val="left" w:pos="6667"/>
          <w:tab w:val="left" w:pos="7270"/>
        </w:tabs>
        <w:spacing w:line="360" w:lineRule="auto"/>
        <w:ind w:right="153" w:firstLine="419"/>
        <w:contextualSpacing/>
        <w:rPr>
          <w:rFonts w:eastAsia="宋体" w:cs="宋体"/>
          <w:lang w:eastAsia="zh-CN"/>
        </w:rPr>
      </w:pPr>
      <w:r>
        <w:rPr>
          <w:rFonts w:hint="eastAsia" w:cs="宋体"/>
          <w:lang w:eastAsia="zh-CN"/>
        </w:rPr>
        <w:t>2.招标负责人</w:t>
      </w:r>
      <w:bookmarkStart w:id="48" w:name="_Toc153262329"/>
      <w:bookmarkStart w:id="49" w:name="_Toc133075780"/>
      <w:r>
        <w:rPr>
          <w:rFonts w:hint="eastAsia" w:eastAsia="宋体" w:cs="宋体"/>
          <w:lang w:eastAsia="zh-CN"/>
        </w:rPr>
        <w:t>：</w:t>
      </w:r>
      <w:r>
        <w:rPr>
          <w:rFonts w:hint="eastAsia" w:cs="宋体"/>
          <w:lang w:eastAsia="zh-CN"/>
        </w:rPr>
        <w:t>姜先生，联系方式：0417-</w:t>
      </w:r>
      <w:r>
        <w:rPr>
          <w:rFonts w:hint="eastAsia" w:eastAsia="宋体" w:cs="宋体"/>
          <w:lang w:eastAsia="zh-CN"/>
        </w:rPr>
        <w:t>7812775</w:t>
      </w:r>
    </w:p>
    <w:p w14:paraId="7EBADFDA">
      <w:pPr>
        <w:pStyle w:val="3"/>
        <w:spacing w:line="360" w:lineRule="auto"/>
        <w:ind w:right="113"/>
        <w:contextualSpacing/>
        <w:rPr>
          <w:rFonts w:ascii="宋体" w:hAnsi="宋体" w:eastAsia="宋体" w:cs="宋体"/>
          <w:lang w:eastAsia="zh-CN"/>
        </w:rPr>
      </w:pPr>
      <w:bookmarkStart w:id="50" w:name="_Toc11816"/>
      <w:r>
        <w:rPr>
          <w:rFonts w:hint="eastAsia" w:ascii="宋体" w:hAnsi="宋体" w:eastAsia="宋体" w:cs="宋体"/>
          <w:lang w:eastAsia="zh-CN"/>
        </w:rPr>
        <w:t>10.联系方式</w:t>
      </w:r>
      <w:bookmarkEnd w:id="48"/>
      <w:bookmarkEnd w:id="49"/>
      <w:bookmarkEnd w:id="50"/>
    </w:p>
    <w:bookmarkEnd w:id="19"/>
    <w:bookmarkEnd w:id="20"/>
    <w:bookmarkEnd w:id="21"/>
    <w:bookmarkEnd w:id="22"/>
    <w:tbl>
      <w:tblPr>
        <w:tblStyle w:val="18"/>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2"/>
        <w:gridCol w:w="4254"/>
      </w:tblGrid>
      <w:tr w14:paraId="2D03F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0656ED59">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lang w:eastAsia="zh-CN"/>
              </w:rPr>
              <w:t>招标人：</w:t>
            </w:r>
            <w:r>
              <w:rPr>
                <w:rFonts w:hint="eastAsia" w:cs="宋体"/>
                <w:color w:val="auto"/>
                <w:u w:val="single"/>
                <w:lang w:eastAsia="zh-CN"/>
              </w:rPr>
              <w:t>盖州市东盛城建集团有限公司</w:t>
            </w:r>
          </w:p>
        </w:tc>
        <w:tc>
          <w:tcPr>
            <w:tcW w:w="2500" w:type="pct"/>
          </w:tcPr>
          <w:p w14:paraId="799187D5">
            <w:pPr>
              <w:widowControl w:val="0"/>
              <w:kinsoku/>
              <w:spacing w:line="360" w:lineRule="auto"/>
              <w:jc w:val="both"/>
              <w:textAlignment w:val="auto"/>
              <w:rPr>
                <w:rFonts w:ascii="宋体" w:hAnsi="宋体" w:eastAsia="宋体" w:cs="宋体"/>
                <w:color w:val="auto"/>
                <w:lang w:eastAsia="zh-CN"/>
              </w:rPr>
            </w:pPr>
            <w:r>
              <w:rPr>
                <w:rFonts w:hint="eastAsia" w:ascii="宋体" w:hAnsi="宋体" w:eastAsia="宋体" w:cs="宋体"/>
                <w:color w:val="auto"/>
                <w:lang w:eastAsia="zh-CN"/>
              </w:rPr>
              <w:t>招标代理机构：</w:t>
            </w:r>
            <w:r>
              <w:rPr>
                <w:rFonts w:hint="eastAsia" w:ascii="宋体" w:hAnsi="宋体" w:eastAsia="宋体" w:cs="宋体"/>
                <w:color w:val="auto"/>
                <w:u w:val="single"/>
                <w:lang w:eastAsia="zh-CN"/>
              </w:rPr>
              <w:t>盖州市诚建工程招标代理有限责任公司</w:t>
            </w:r>
          </w:p>
        </w:tc>
      </w:tr>
      <w:tr w14:paraId="75DE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2499" w:type="pct"/>
          </w:tcPr>
          <w:p w14:paraId="7A9C5B5B">
            <w:pPr>
              <w:pStyle w:val="21"/>
              <w:widowControl w:val="0"/>
              <w:spacing w:before="68" w:line="230" w:lineRule="auto"/>
              <w:ind w:left="110"/>
              <w:jc w:val="left"/>
              <w:rPr>
                <w:color w:val="auto"/>
                <w:lang w:eastAsia="zh-CN"/>
              </w:rPr>
            </w:pPr>
            <w:r>
              <w:rPr>
                <w:rFonts w:hint="eastAsia"/>
                <w:color w:val="auto"/>
                <w:lang w:eastAsia="zh-CN"/>
              </w:rPr>
              <w:t>地  址：</w:t>
            </w:r>
            <w:r>
              <w:rPr>
                <w:rFonts w:hint="eastAsia"/>
                <w:color w:val="auto"/>
                <w:u w:val="single"/>
                <w:lang w:eastAsia="zh-CN"/>
              </w:rPr>
              <w:t>辽宁省营口盖州市鼓楼街道办事处兴辰社区中海四期21号楼1-6层1号</w:t>
            </w:r>
          </w:p>
        </w:tc>
        <w:tc>
          <w:tcPr>
            <w:tcW w:w="2500" w:type="pct"/>
          </w:tcPr>
          <w:p w14:paraId="1A41ED3E">
            <w:pPr>
              <w:widowControl w:val="0"/>
              <w:kinsoku/>
              <w:spacing w:line="360" w:lineRule="auto"/>
              <w:jc w:val="both"/>
              <w:textAlignment w:val="auto"/>
              <w:rPr>
                <w:rFonts w:ascii="宋体" w:hAnsi="宋体" w:eastAsia="宋体" w:cs="宋体"/>
                <w:color w:val="auto"/>
                <w:lang w:eastAsia="zh-CN"/>
              </w:rPr>
            </w:pPr>
            <w:r>
              <w:rPr>
                <w:rFonts w:hint="eastAsia" w:ascii="宋体" w:hAnsi="宋体" w:eastAsia="宋体" w:cs="宋体"/>
                <w:color w:val="auto"/>
              </w:rPr>
              <w:t>地   址：</w:t>
            </w:r>
            <w:r>
              <w:rPr>
                <w:rFonts w:hint="eastAsia" w:ascii="宋体" w:hAnsi="宋体" w:eastAsia="宋体" w:cs="宋体"/>
                <w:color w:val="auto"/>
                <w:u w:val="single"/>
                <w:lang w:eastAsia="zh-CN"/>
              </w:rPr>
              <w:t>盖州市南路63号</w:t>
            </w:r>
          </w:p>
        </w:tc>
      </w:tr>
      <w:tr w14:paraId="1FBBA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13851574">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rPr>
              <w:t>邮编：</w:t>
            </w:r>
            <w:r>
              <w:rPr>
                <w:rFonts w:hint="eastAsia" w:ascii="宋体" w:hAnsi="宋体" w:eastAsia="宋体" w:cs="宋体"/>
                <w:color w:val="auto"/>
                <w:u w:val="single"/>
                <w:lang w:eastAsia="zh-CN"/>
              </w:rPr>
              <w:t>115200</w:t>
            </w:r>
          </w:p>
        </w:tc>
        <w:tc>
          <w:tcPr>
            <w:tcW w:w="2500" w:type="pct"/>
          </w:tcPr>
          <w:p w14:paraId="7EF68705">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rPr>
              <w:t>邮编：</w:t>
            </w:r>
            <w:r>
              <w:rPr>
                <w:rFonts w:hint="eastAsia" w:ascii="宋体" w:hAnsi="宋体" w:eastAsia="宋体" w:cs="宋体"/>
                <w:color w:val="auto"/>
                <w:u w:val="single"/>
                <w:lang w:eastAsia="zh-CN"/>
              </w:rPr>
              <w:t>115200</w:t>
            </w:r>
          </w:p>
        </w:tc>
      </w:tr>
      <w:tr w14:paraId="3435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2499" w:type="pct"/>
          </w:tcPr>
          <w:p w14:paraId="28B0F665">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rPr>
              <w:t>联系人：</w:t>
            </w:r>
            <w:r>
              <w:rPr>
                <w:rFonts w:hint="eastAsia" w:ascii="宋体" w:hAnsi="宋体" w:eastAsia="宋体" w:cs="宋体"/>
                <w:color w:val="auto"/>
                <w:u w:val="single"/>
                <w:lang w:eastAsia="zh-CN"/>
              </w:rPr>
              <w:t>姜先生</w:t>
            </w:r>
          </w:p>
        </w:tc>
        <w:tc>
          <w:tcPr>
            <w:tcW w:w="2500" w:type="pct"/>
          </w:tcPr>
          <w:p w14:paraId="3780E1A5">
            <w:pPr>
              <w:widowControl w:val="0"/>
              <w:kinsoku/>
              <w:spacing w:line="360" w:lineRule="auto"/>
              <w:jc w:val="both"/>
              <w:textAlignment w:val="auto"/>
              <w:rPr>
                <w:rFonts w:ascii="宋体" w:hAnsi="宋体" w:eastAsia="宋体" w:cs="宋体"/>
                <w:color w:val="auto"/>
                <w:lang w:eastAsia="zh-CN"/>
              </w:rPr>
            </w:pPr>
            <w:r>
              <w:rPr>
                <w:rFonts w:hint="eastAsia" w:ascii="宋体" w:hAnsi="宋体" w:eastAsia="宋体" w:cs="宋体"/>
                <w:color w:val="auto"/>
              </w:rPr>
              <w:t>联系人：</w:t>
            </w:r>
            <w:r>
              <w:rPr>
                <w:rFonts w:hint="eastAsia" w:ascii="宋体" w:hAnsi="宋体" w:eastAsia="宋体" w:cs="宋体"/>
                <w:color w:val="auto"/>
                <w:u w:val="single"/>
                <w:lang w:eastAsia="zh-CN"/>
              </w:rPr>
              <w:t>朱女士</w:t>
            </w:r>
          </w:p>
        </w:tc>
      </w:tr>
      <w:tr w14:paraId="5FE00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50BC2E3F">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rPr>
              <w:t>电    话：</w:t>
            </w:r>
            <w:r>
              <w:rPr>
                <w:rFonts w:hint="eastAsia" w:ascii="宋体" w:hAnsi="宋体" w:eastAsia="宋体" w:cs="宋体"/>
                <w:color w:val="auto"/>
                <w:u w:val="single"/>
                <w:lang w:eastAsia="zh-CN"/>
              </w:rPr>
              <w:t>0417-7812775</w:t>
            </w:r>
          </w:p>
        </w:tc>
        <w:tc>
          <w:tcPr>
            <w:tcW w:w="2500" w:type="pct"/>
          </w:tcPr>
          <w:p w14:paraId="5B5056A7">
            <w:pPr>
              <w:widowControl w:val="0"/>
              <w:kinsoku/>
              <w:spacing w:line="360" w:lineRule="auto"/>
              <w:jc w:val="both"/>
              <w:textAlignment w:val="auto"/>
              <w:rPr>
                <w:rFonts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lang w:eastAsia="zh-CN"/>
              </w:rPr>
              <w:t>0417-7811127</w:t>
            </w:r>
          </w:p>
        </w:tc>
      </w:tr>
      <w:tr w14:paraId="5C44C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64CA887B">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lang w:eastAsia="zh-CN"/>
              </w:rPr>
              <w:t>传    真：</w:t>
            </w:r>
          </w:p>
        </w:tc>
        <w:tc>
          <w:tcPr>
            <w:tcW w:w="2500" w:type="pct"/>
          </w:tcPr>
          <w:p w14:paraId="2D9F63E5">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lang w:eastAsia="zh-CN"/>
              </w:rPr>
              <w:t>传    真：</w:t>
            </w:r>
          </w:p>
        </w:tc>
      </w:tr>
      <w:tr w14:paraId="07EA1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547A6654">
            <w:pPr>
              <w:widowControl w:val="0"/>
              <w:spacing w:line="400" w:lineRule="exact"/>
              <w:jc w:val="both"/>
              <w:rPr>
                <w:rFonts w:ascii="宋体" w:hAnsi="宋体" w:eastAsia="宋体" w:cs="宋体"/>
                <w:color w:val="auto"/>
              </w:rPr>
            </w:pPr>
            <w:r>
              <w:rPr>
                <w:rFonts w:hint="eastAsia" w:ascii="宋体" w:hAnsi="宋体" w:eastAsia="宋体" w:cs="宋体"/>
                <w:color w:val="auto"/>
              </w:rPr>
              <w:t>电子邮件</w:t>
            </w:r>
            <w:r>
              <w:rPr>
                <w:rFonts w:hint="eastAsia" w:ascii="宋体" w:hAnsi="宋体" w:eastAsia="宋体" w:cs="宋体"/>
                <w:color w:val="auto"/>
                <w:lang w:eastAsia="zh-CN"/>
              </w:rPr>
              <w:t>：</w:t>
            </w:r>
          </w:p>
        </w:tc>
        <w:tc>
          <w:tcPr>
            <w:tcW w:w="2500" w:type="pct"/>
          </w:tcPr>
          <w:p w14:paraId="182B6B95">
            <w:pPr>
              <w:widowControl w:val="0"/>
              <w:spacing w:line="400" w:lineRule="exact"/>
              <w:jc w:val="both"/>
              <w:rPr>
                <w:rFonts w:ascii="宋体" w:hAnsi="宋体" w:eastAsia="宋体" w:cs="宋体"/>
                <w:color w:val="auto"/>
              </w:rPr>
            </w:pPr>
            <w:r>
              <w:rPr>
                <w:rFonts w:hint="eastAsia" w:ascii="宋体" w:hAnsi="宋体" w:eastAsia="宋体" w:cs="宋体"/>
                <w:color w:val="auto"/>
              </w:rPr>
              <w:t>电子邮件：</w:t>
            </w:r>
            <w:r>
              <w:rPr>
                <w:rFonts w:hint="eastAsia" w:ascii="宋体" w:hAnsi="宋体" w:eastAsia="宋体" w:cs="宋体"/>
                <w:color w:val="auto"/>
                <w:u w:val="single"/>
                <w:lang w:eastAsia="zh-CN"/>
              </w:rPr>
              <w:t>964466594@qq.com</w:t>
            </w:r>
          </w:p>
        </w:tc>
      </w:tr>
      <w:tr w14:paraId="2DFB3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71E20EE3">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lang w:eastAsia="zh-CN"/>
              </w:rPr>
              <w:t>开户银行：</w:t>
            </w:r>
          </w:p>
        </w:tc>
        <w:tc>
          <w:tcPr>
            <w:tcW w:w="2500" w:type="pct"/>
          </w:tcPr>
          <w:p w14:paraId="718C857D">
            <w:pPr>
              <w:widowControl w:val="0"/>
              <w:spacing w:line="400" w:lineRule="exact"/>
              <w:jc w:val="both"/>
              <w:rPr>
                <w:rFonts w:ascii="宋体" w:hAnsi="宋体" w:eastAsia="宋体" w:cs="宋体"/>
                <w:color w:val="auto"/>
              </w:rPr>
            </w:pPr>
            <w:r>
              <w:rPr>
                <w:rFonts w:hint="eastAsia" w:ascii="宋体" w:hAnsi="宋体" w:eastAsia="宋体" w:cs="宋体"/>
                <w:color w:val="auto"/>
                <w:lang w:eastAsia="zh-CN"/>
              </w:rPr>
              <w:t>开户银行：</w:t>
            </w:r>
          </w:p>
        </w:tc>
      </w:tr>
      <w:tr w14:paraId="306B5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61CF7F16">
            <w:pPr>
              <w:widowControl w:val="0"/>
              <w:spacing w:line="400" w:lineRule="exact"/>
              <w:jc w:val="both"/>
              <w:rPr>
                <w:rFonts w:ascii="宋体" w:hAnsi="宋体" w:eastAsia="宋体" w:cs="宋体"/>
                <w:color w:val="auto"/>
                <w:lang w:eastAsia="zh-CN"/>
              </w:rPr>
            </w:pPr>
            <w:r>
              <w:rPr>
                <w:rFonts w:hint="eastAsia" w:ascii="宋体" w:hAnsi="宋体" w:eastAsia="宋体" w:cs="宋体"/>
                <w:color w:val="auto"/>
                <w:lang w:eastAsia="zh-CN"/>
              </w:rPr>
              <w:t>账    号：</w:t>
            </w:r>
          </w:p>
        </w:tc>
        <w:tc>
          <w:tcPr>
            <w:tcW w:w="2500" w:type="pct"/>
          </w:tcPr>
          <w:p w14:paraId="1280D41B">
            <w:pPr>
              <w:widowControl w:val="0"/>
              <w:spacing w:line="400" w:lineRule="exact"/>
              <w:jc w:val="both"/>
              <w:rPr>
                <w:rFonts w:ascii="宋体" w:hAnsi="宋体" w:eastAsia="宋体" w:cs="宋体"/>
                <w:color w:val="auto"/>
              </w:rPr>
            </w:pPr>
            <w:r>
              <w:rPr>
                <w:rFonts w:hint="eastAsia" w:ascii="宋体" w:hAnsi="宋体" w:eastAsia="宋体" w:cs="宋体"/>
                <w:color w:val="auto"/>
                <w:lang w:eastAsia="zh-CN"/>
              </w:rPr>
              <w:t>账    号：</w:t>
            </w:r>
          </w:p>
        </w:tc>
      </w:tr>
      <w:tr w14:paraId="63AF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4E03A12F">
            <w:pPr>
              <w:widowControl w:val="0"/>
              <w:spacing w:line="400" w:lineRule="exact"/>
              <w:ind w:firstLine="420" w:firstLineChars="200"/>
              <w:jc w:val="both"/>
              <w:rPr>
                <w:rFonts w:ascii="宋体" w:hAnsi="宋体" w:eastAsia="宋体" w:cs="宋体"/>
                <w:color w:val="auto"/>
              </w:rPr>
            </w:pPr>
          </w:p>
        </w:tc>
        <w:tc>
          <w:tcPr>
            <w:tcW w:w="2500" w:type="pct"/>
            <w:vAlign w:val="bottom"/>
          </w:tcPr>
          <w:p w14:paraId="0B45F6F1">
            <w:pPr>
              <w:widowControl w:val="0"/>
              <w:kinsoku/>
              <w:spacing w:line="360" w:lineRule="auto"/>
              <w:jc w:val="right"/>
              <w:textAlignment w:val="auto"/>
              <w:rPr>
                <w:rFonts w:ascii="宋体" w:hAnsi="宋体" w:eastAsia="宋体" w:cs="宋体"/>
                <w:color w:val="auto"/>
                <w:lang w:eastAsia="zh-CN"/>
              </w:rPr>
            </w:pPr>
          </w:p>
        </w:tc>
      </w:tr>
    </w:tbl>
    <w:p w14:paraId="79796154">
      <w:pPr>
        <w:pStyle w:val="8"/>
        <w:spacing w:line="258" w:lineRule="auto"/>
      </w:pPr>
      <w:r>
        <w:pict>
          <v:shape id="_x0000_s1026" o:spid="_x0000_s1026" o:spt="136" type="#_x0000_t136" style="position:absolute;left:0pt;margin-left:-14.1pt;margin-top:69.1pt;height:14.4pt;width:343.65pt;mso-position-horizontal-relative:page;mso-position-vertical-relative:page;rotation:21626880f;z-index:251661312;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 style="font-family:KaiTi;font-size:8pt;v-text-align:center;"/>
          </v:shape>
        </w:pict>
      </w:r>
      <w:r>
        <w:pict>
          <v:shape id="_x0000_s1027" o:spid="_x0000_s1027" o:spt="136" type="#_x0000_t136" style="position:absolute;left:0pt;margin-left:-22.25pt;margin-top:211.45pt;height:14.4pt;width:386.4pt;rotation:21626880f;z-index:251665408;mso-width-relative:page;mso-height-relative:page;" fillcolor="#000000" filled="t" stroked="f" coordsize="21600,21600">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pict>
          <v:shape id="_x0000_s1028" o:spid="_x0000_s1028" o:spt="136" type="#_x0000_t136" style="position:absolute;left:0pt;margin-left:462.6pt;margin-top:49.65pt;height:14.25pt;width:133.65pt;rotation:21626880f;z-index:251662336;mso-width-relative:page;mso-height-relative:page;" fillcolor="#000000" filled="t" stroked="f" coordsize="21600,21600">
            <v:path/>
            <v:fill on="t" opacity="6682f" focussize="0,0"/>
            <v:stroke on="f"/>
            <v:imagedata o:title=""/>
            <o:lock v:ext="edit"/>
            <v:textpath on="t" fitshape="t" fitpath="t" trim="t" xscale="f" string="辽宁省房屋建筑和市" style="font-family:KaiTi;font-size:8pt;v-text-align:center;"/>
          </v:shape>
        </w:pict>
      </w:r>
      <w:r>
        <w:pict>
          <v:shape id="_x0000_s1029" o:spid="_x0000_s1029" o:spt="136" type="#_x0000_t136" style="position:absolute;left:0pt;margin-left:-22.25pt;margin-top:436.45pt;height:14.4pt;width:386.4pt;rotation:21626880f;z-index:251666432;mso-width-relative:page;mso-height-relative:page;" fillcolor="#000000" filled="t" stroked="f" coordsize="21600,21600">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pict>
          <v:shape id="_x0000_s1030" o:spid="_x0000_s1030" o:spt="136" type="#_x0000_t136" style="position:absolute;left:0pt;margin-left:462.6pt;margin-top:274.65pt;height:14.25pt;width:133.65pt;rotation:21626880f;z-index:251660288;mso-width-relative:page;mso-height-relative:page;" fillcolor="#000000" filled="t" stroked="f" coordsize="21600,21600">
            <v:path/>
            <v:fill on="t" opacity="6682f" focussize="0,0"/>
            <v:stroke on="f"/>
            <v:imagedata o:title=""/>
            <o:lock v:ext="edit"/>
            <v:textpath on="t" fitshape="t" fitpath="t" trim="t" xscale="f" string="辽宁省房屋建筑和市" style="font-family:KaiTi;font-size:8pt;v-text-align:center;"/>
          </v:shape>
        </w:pict>
      </w:r>
      <w:r>
        <w:pict>
          <v:shape id="_x0000_s1031" o:spid="_x0000_s1031" o:spt="136" type="#_x0000_t136" style="position:absolute;left:0pt;margin-left:462.6pt;margin-top:499.65pt;height:14.25pt;width:133.65pt;rotation:21626880f;z-index:251663360;mso-width-relative:page;mso-height-relative:page;" fillcolor="#000000" filled="t" stroked="f" coordsize="21600,21600">
            <v:path/>
            <v:fill on="t" opacity="6682f" focussize="0,0"/>
            <v:stroke on="f"/>
            <v:imagedata o:title=""/>
            <o:lock v:ext="edit"/>
            <v:textpath on="t" fitshape="t" fitpath="t" trim="t" xscale="f" string="辽宁省房屋建筑和市" style="font-family:KaiTi;font-size:8pt;v-text-align:center;"/>
          </v:shape>
        </w:pict>
      </w:r>
      <w:r>
        <w:pict>
          <v:shape id="_x0000_s1032" o:spid="_x0000_s1032" o:spt="136" type="#_x0000_t136" style="position:absolute;left:0pt;margin-left:462.6pt;margin-top:724.65pt;height:14.25pt;width:133.65pt;rotation:21626880f;z-index:251664384;mso-width-relative:page;mso-height-relative:page;" fillcolor="#000000" filled="t" stroked="f" coordsize="21600,21600">
            <v:path/>
            <v:fill on="t" opacity="6682f" focussize="0,0"/>
            <v:stroke on="f"/>
            <v:imagedata o:title=""/>
            <o:lock v:ext="edit"/>
            <v:textpath on="t" fitshape="t" fitpath="t" trim="t" xscale="f" string="辽宁省房屋建筑和市" style="font-family:KaiTi;font-size:8pt;v-text-align:center;"/>
          </v:shape>
        </w:pict>
      </w:r>
      <w:r>
        <w:pict>
          <v:shape id="_x0000_s1033" o:spid="_x0000_s1033" o:spt="136" type="#_x0000_t136" style="position:absolute;left:0pt;margin-left:-14.1pt;margin-top:69.1pt;height:14.4pt;width:343.65pt;mso-position-horizontal-relative:page;mso-position-vertical-relative:page;rotation:21626880f;z-index:251668480;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 style="font-family:KaiTi;font-size:8pt;v-text-align:center;"/>
          </v:shape>
        </w:pict>
      </w:r>
    </w:p>
    <w:p w14:paraId="0695223E">
      <w:pPr>
        <w:pStyle w:val="8"/>
        <w:spacing w:line="241" w:lineRule="auto"/>
      </w:pPr>
    </w:p>
    <w:p w14:paraId="1D666EE2">
      <w:pPr>
        <w:pStyle w:val="8"/>
        <w:spacing w:line="241" w:lineRule="auto"/>
      </w:pPr>
    </w:p>
    <w:p w14:paraId="138C954A">
      <w:pPr>
        <w:pStyle w:val="8"/>
        <w:spacing w:line="241" w:lineRule="auto"/>
      </w:pPr>
    </w:p>
    <w:p w14:paraId="615A4181">
      <w:pPr>
        <w:pStyle w:val="8"/>
        <w:spacing w:line="241" w:lineRule="auto"/>
      </w:pPr>
    </w:p>
    <w:p w14:paraId="5F8101FF">
      <w:pPr>
        <w:pStyle w:val="8"/>
        <w:spacing w:line="241" w:lineRule="auto"/>
      </w:pPr>
    </w:p>
    <w:p w14:paraId="2151B27C">
      <w:pPr>
        <w:pStyle w:val="8"/>
        <w:spacing w:line="241" w:lineRule="auto"/>
      </w:pPr>
    </w:p>
    <w:p w14:paraId="2C25D702">
      <w:pPr>
        <w:pStyle w:val="8"/>
        <w:spacing w:line="241" w:lineRule="auto"/>
      </w:pPr>
    </w:p>
    <w:p w14:paraId="312DD9D3">
      <w:pPr>
        <w:pStyle w:val="8"/>
        <w:spacing w:line="241" w:lineRule="auto"/>
      </w:pPr>
    </w:p>
    <w:p w14:paraId="2187E2A1">
      <w:pPr>
        <w:pStyle w:val="8"/>
        <w:spacing w:line="241" w:lineRule="auto"/>
      </w:pPr>
    </w:p>
    <w:p w14:paraId="4072A379">
      <w:pPr>
        <w:pStyle w:val="8"/>
        <w:spacing w:line="241" w:lineRule="auto"/>
      </w:pPr>
    </w:p>
    <w:p w14:paraId="0D376F3E">
      <w:pPr>
        <w:pStyle w:val="8"/>
        <w:spacing w:line="241" w:lineRule="auto"/>
      </w:pPr>
    </w:p>
    <w:p w14:paraId="1BAC5322">
      <w:pPr>
        <w:pStyle w:val="8"/>
        <w:spacing w:line="241" w:lineRule="auto"/>
      </w:pPr>
    </w:p>
    <w:p w14:paraId="783E7ED9">
      <w:pPr>
        <w:pStyle w:val="8"/>
        <w:spacing w:line="241" w:lineRule="auto"/>
      </w:pPr>
    </w:p>
    <w:p w14:paraId="193F4C9C">
      <w:pPr>
        <w:pStyle w:val="8"/>
        <w:spacing w:line="241" w:lineRule="auto"/>
      </w:pPr>
    </w:p>
    <w:p w14:paraId="10771AE7">
      <w:pPr>
        <w:pStyle w:val="8"/>
        <w:spacing w:line="241" w:lineRule="auto"/>
      </w:pPr>
    </w:p>
    <w:p w14:paraId="03DD2B7B">
      <w:pPr>
        <w:pStyle w:val="8"/>
        <w:spacing w:line="241" w:lineRule="auto"/>
      </w:pPr>
    </w:p>
    <w:p w14:paraId="26FC206C">
      <w:pPr>
        <w:pStyle w:val="8"/>
        <w:spacing w:line="241" w:lineRule="auto"/>
      </w:pPr>
    </w:p>
    <w:p w14:paraId="193CB21F">
      <w:pPr>
        <w:pStyle w:val="8"/>
        <w:spacing w:line="241" w:lineRule="auto"/>
      </w:pPr>
    </w:p>
    <w:p w14:paraId="65D5CEF7">
      <w:pPr>
        <w:pStyle w:val="8"/>
        <w:spacing w:line="241" w:lineRule="auto"/>
      </w:pPr>
    </w:p>
    <w:p w14:paraId="7CF28C52">
      <w:pPr>
        <w:pStyle w:val="8"/>
        <w:spacing w:line="241" w:lineRule="auto"/>
      </w:pPr>
    </w:p>
    <w:p w14:paraId="029F059A">
      <w:pPr>
        <w:pStyle w:val="8"/>
        <w:spacing w:line="241" w:lineRule="auto"/>
      </w:pPr>
    </w:p>
    <w:p w14:paraId="269C74B5">
      <w:pPr>
        <w:pStyle w:val="8"/>
        <w:spacing w:line="241" w:lineRule="auto"/>
      </w:pPr>
    </w:p>
    <w:p w14:paraId="7F759D13">
      <w:pPr>
        <w:pStyle w:val="10"/>
      </w:pPr>
    </w:p>
    <w:p w14:paraId="7CCE6D0A">
      <w:pPr>
        <w:pStyle w:val="11"/>
      </w:pPr>
    </w:p>
    <w:p w14:paraId="4CFE196C">
      <w:pPr>
        <w:pStyle w:val="11"/>
      </w:pPr>
    </w:p>
    <w:p w14:paraId="1511F6F3">
      <w:pPr>
        <w:spacing w:before="104" w:line="221" w:lineRule="auto"/>
        <w:jc w:val="both"/>
        <w:rPr>
          <w:rFonts w:ascii="黑体" w:hAnsi="黑体" w:eastAsia="黑体" w:cs="黑体"/>
          <w:color w:val="auto"/>
          <w:spacing w:val="-2"/>
          <w:sz w:val="32"/>
          <w:szCs w:val="32"/>
        </w:rPr>
      </w:pPr>
      <w:bookmarkStart w:id="51" w:name="bookmark4"/>
      <w:bookmarkEnd w:id="51"/>
    </w:p>
    <w:p w14:paraId="1DBE6325">
      <w:pPr>
        <w:spacing w:before="104" w:line="221" w:lineRule="auto"/>
        <w:jc w:val="both"/>
        <w:rPr>
          <w:rFonts w:ascii="黑体" w:hAnsi="黑体" w:eastAsia="黑体" w:cs="黑体"/>
          <w:color w:val="auto"/>
          <w:spacing w:val="-2"/>
          <w:sz w:val="32"/>
          <w:szCs w:val="32"/>
        </w:rPr>
      </w:pPr>
    </w:p>
    <w:p w14:paraId="16ADD222">
      <w:pPr>
        <w:spacing w:before="104" w:line="221" w:lineRule="auto"/>
        <w:jc w:val="both"/>
        <w:rPr>
          <w:rFonts w:ascii="黑体" w:hAnsi="黑体" w:eastAsia="黑体" w:cs="黑体"/>
          <w:color w:val="auto"/>
          <w:spacing w:val="-2"/>
          <w:sz w:val="32"/>
          <w:szCs w:val="32"/>
        </w:rPr>
      </w:pPr>
    </w:p>
    <w:p w14:paraId="386E0C3F">
      <w:pPr>
        <w:spacing w:before="104" w:line="221" w:lineRule="auto"/>
        <w:jc w:val="center"/>
        <w:outlineLvl w:val="0"/>
        <w:rPr>
          <w:rFonts w:ascii="黑体" w:hAnsi="黑体" w:eastAsia="黑体" w:cs="黑体"/>
          <w:color w:val="auto"/>
          <w:sz w:val="32"/>
          <w:szCs w:val="32"/>
        </w:rPr>
      </w:pPr>
      <w:bookmarkStart w:id="52" w:name="_Toc4795"/>
      <w:bookmarkStart w:id="53" w:name="_Toc21010"/>
      <w:bookmarkStart w:id="54" w:name="_Toc16315"/>
      <w:bookmarkStart w:id="55" w:name="_Toc4880"/>
      <w:bookmarkStart w:id="56" w:name="_Toc11285"/>
      <w:bookmarkStart w:id="57" w:name="_Toc27203"/>
      <w:r>
        <w:rPr>
          <w:rFonts w:ascii="黑体" w:hAnsi="黑体" w:eastAsia="黑体" w:cs="黑体"/>
          <w:color w:val="auto"/>
          <w:spacing w:val="-2"/>
          <w:sz w:val="32"/>
          <w:szCs w:val="32"/>
        </w:rPr>
        <w:t>第二章  投标人须知</w:t>
      </w:r>
      <w:bookmarkEnd w:id="52"/>
      <w:bookmarkEnd w:id="53"/>
      <w:bookmarkEnd w:id="54"/>
      <w:bookmarkEnd w:id="55"/>
      <w:bookmarkEnd w:id="56"/>
      <w:bookmarkEnd w:id="57"/>
    </w:p>
    <w:p w14:paraId="02900780">
      <w:pPr>
        <w:pStyle w:val="8"/>
        <w:spacing w:line="247" w:lineRule="auto"/>
      </w:pPr>
    </w:p>
    <w:p w14:paraId="4F6C7C07">
      <w:pPr>
        <w:pStyle w:val="8"/>
        <w:spacing w:line="247" w:lineRule="auto"/>
      </w:pPr>
    </w:p>
    <w:p w14:paraId="04C645C1">
      <w:pPr>
        <w:pStyle w:val="8"/>
        <w:spacing w:line="247" w:lineRule="auto"/>
      </w:pPr>
    </w:p>
    <w:p w14:paraId="555F0297">
      <w:pPr>
        <w:pStyle w:val="8"/>
        <w:spacing w:line="247" w:lineRule="auto"/>
      </w:pPr>
    </w:p>
    <w:p w14:paraId="1A4A2808">
      <w:pPr>
        <w:pStyle w:val="8"/>
        <w:spacing w:line="247" w:lineRule="auto"/>
      </w:pPr>
    </w:p>
    <w:p w14:paraId="3EDD2465">
      <w:pPr>
        <w:pStyle w:val="8"/>
        <w:spacing w:line="247" w:lineRule="auto"/>
      </w:pPr>
    </w:p>
    <w:p w14:paraId="7FBD9503">
      <w:pPr>
        <w:pStyle w:val="8"/>
        <w:spacing w:line="247" w:lineRule="auto"/>
      </w:pPr>
    </w:p>
    <w:p w14:paraId="7FE6C2AA">
      <w:pPr>
        <w:pStyle w:val="8"/>
        <w:spacing w:line="247" w:lineRule="auto"/>
      </w:pPr>
    </w:p>
    <w:p w14:paraId="164C1D07">
      <w:pPr>
        <w:pStyle w:val="8"/>
        <w:spacing w:line="247" w:lineRule="auto"/>
      </w:pPr>
    </w:p>
    <w:p w14:paraId="14083E4F">
      <w:pPr>
        <w:pStyle w:val="8"/>
        <w:spacing w:line="247" w:lineRule="auto"/>
      </w:pPr>
    </w:p>
    <w:p w14:paraId="1D2E19F5">
      <w:pPr>
        <w:pStyle w:val="8"/>
        <w:spacing w:line="248" w:lineRule="auto"/>
      </w:pPr>
    </w:p>
    <w:p w14:paraId="2ED32836">
      <w:pPr>
        <w:pStyle w:val="8"/>
        <w:spacing w:line="248" w:lineRule="auto"/>
      </w:pPr>
    </w:p>
    <w:p w14:paraId="3FC34B91">
      <w:pPr>
        <w:pStyle w:val="8"/>
        <w:spacing w:line="248" w:lineRule="auto"/>
      </w:pPr>
    </w:p>
    <w:p w14:paraId="3D95DC95">
      <w:pPr>
        <w:pStyle w:val="8"/>
        <w:spacing w:line="248" w:lineRule="auto"/>
      </w:pPr>
    </w:p>
    <w:p w14:paraId="0FBB616C">
      <w:pPr>
        <w:pStyle w:val="8"/>
        <w:spacing w:line="248" w:lineRule="auto"/>
      </w:pPr>
    </w:p>
    <w:p w14:paraId="1C24ADB0">
      <w:pPr>
        <w:pStyle w:val="8"/>
        <w:spacing w:line="248" w:lineRule="auto"/>
      </w:pPr>
    </w:p>
    <w:p w14:paraId="1077D1F3">
      <w:pPr>
        <w:pStyle w:val="8"/>
        <w:spacing w:line="248" w:lineRule="auto"/>
      </w:pPr>
    </w:p>
    <w:p w14:paraId="44DDF497">
      <w:pPr>
        <w:pStyle w:val="8"/>
        <w:spacing w:line="248" w:lineRule="auto"/>
      </w:pPr>
    </w:p>
    <w:p w14:paraId="1432D48F">
      <w:pPr>
        <w:pStyle w:val="8"/>
        <w:spacing w:line="248" w:lineRule="auto"/>
      </w:pPr>
    </w:p>
    <w:p w14:paraId="34B74732">
      <w:pPr>
        <w:pStyle w:val="8"/>
        <w:spacing w:line="248" w:lineRule="auto"/>
      </w:pPr>
    </w:p>
    <w:p w14:paraId="2224CEB6">
      <w:pPr>
        <w:pStyle w:val="8"/>
        <w:spacing w:line="248" w:lineRule="auto"/>
      </w:pPr>
    </w:p>
    <w:p w14:paraId="08299599">
      <w:pPr>
        <w:pStyle w:val="8"/>
        <w:spacing w:line="248" w:lineRule="auto"/>
      </w:pPr>
    </w:p>
    <w:p w14:paraId="64FCDAF6">
      <w:pPr>
        <w:pStyle w:val="8"/>
        <w:spacing w:line="248" w:lineRule="auto"/>
      </w:pPr>
    </w:p>
    <w:p w14:paraId="19003F1E">
      <w:pPr>
        <w:pStyle w:val="8"/>
        <w:spacing w:line="248" w:lineRule="auto"/>
      </w:pPr>
    </w:p>
    <w:p w14:paraId="5F21D7D8">
      <w:pPr>
        <w:pStyle w:val="8"/>
        <w:spacing w:line="248" w:lineRule="auto"/>
      </w:pPr>
    </w:p>
    <w:p w14:paraId="56FB92EC">
      <w:pPr>
        <w:pStyle w:val="8"/>
        <w:spacing w:line="248" w:lineRule="auto"/>
      </w:pPr>
    </w:p>
    <w:p w14:paraId="4FFC2053">
      <w:pPr>
        <w:pStyle w:val="8"/>
        <w:spacing w:line="248" w:lineRule="auto"/>
      </w:pPr>
    </w:p>
    <w:p w14:paraId="6AF8D307">
      <w:pPr>
        <w:spacing w:line="183" w:lineRule="auto"/>
        <w:rPr>
          <w:rFonts w:ascii="Times New Roman" w:hAnsi="Times New Roman" w:eastAsia="Times New Roman" w:cs="Times New Roman"/>
          <w:color w:val="auto"/>
          <w:sz w:val="18"/>
          <w:szCs w:val="18"/>
        </w:rPr>
        <w:sectPr>
          <w:headerReference r:id="rId8" w:type="default"/>
          <w:footerReference r:id="rId9" w:type="default"/>
          <w:pgSz w:w="11906" w:h="16839"/>
          <w:pgMar w:top="1440" w:right="1803" w:bottom="1440" w:left="1803" w:header="0" w:footer="0" w:gutter="0"/>
          <w:cols w:space="720" w:num="1"/>
        </w:sectPr>
      </w:pPr>
    </w:p>
    <w:p w14:paraId="55ED1E3F">
      <w:pPr>
        <w:pStyle w:val="8"/>
        <w:spacing w:line="245" w:lineRule="auto"/>
      </w:pPr>
    </w:p>
    <w:p w14:paraId="3BD3A556">
      <w:pPr>
        <w:spacing w:before="104" w:line="221" w:lineRule="auto"/>
        <w:jc w:val="center"/>
        <w:rPr>
          <w:rFonts w:ascii="黑体" w:hAnsi="黑体" w:eastAsia="黑体" w:cs="黑体"/>
          <w:color w:val="auto"/>
          <w:sz w:val="32"/>
          <w:szCs w:val="32"/>
        </w:rPr>
      </w:pPr>
      <w:bookmarkStart w:id="58" w:name="bookmark5"/>
      <w:bookmarkEnd w:id="58"/>
      <w:r>
        <w:rPr>
          <w:rFonts w:ascii="黑体" w:hAnsi="黑体" w:eastAsia="黑体" w:cs="黑体"/>
          <w:color w:val="auto"/>
          <w:spacing w:val="-2"/>
          <w:sz w:val="32"/>
          <w:szCs w:val="32"/>
        </w:rPr>
        <w:t>第二章  投标人须知</w:t>
      </w:r>
    </w:p>
    <w:p w14:paraId="2C620141">
      <w:pPr>
        <w:spacing w:before="160" w:line="212" w:lineRule="auto"/>
        <w:jc w:val="center"/>
        <w:outlineLvl w:val="1"/>
        <w:rPr>
          <w:rFonts w:ascii="黑体" w:hAnsi="黑体" w:eastAsia="黑体" w:cs="黑体"/>
          <w:color w:val="auto"/>
          <w:sz w:val="28"/>
          <w:szCs w:val="28"/>
        </w:rPr>
      </w:pPr>
      <w:bookmarkStart w:id="59" w:name="bookmark208"/>
      <w:bookmarkEnd w:id="59"/>
      <w:bookmarkStart w:id="60" w:name="_Toc9048"/>
      <w:bookmarkStart w:id="61" w:name="_Toc606"/>
      <w:bookmarkStart w:id="62" w:name="_Toc20915"/>
      <w:bookmarkStart w:id="63" w:name="_Toc31474"/>
      <w:bookmarkStart w:id="64" w:name="_Toc10816"/>
      <w:bookmarkStart w:id="65" w:name="_Toc27354"/>
      <w:r>
        <w:rPr>
          <w:rFonts w:ascii="黑体" w:hAnsi="黑体" w:eastAsia="黑体" w:cs="黑体"/>
          <w:color w:val="auto"/>
          <w:spacing w:val="-1"/>
          <w:sz w:val="28"/>
          <w:szCs w:val="28"/>
        </w:rPr>
        <w:t>投标人须知前附表</w:t>
      </w:r>
      <w:bookmarkEnd w:id="60"/>
      <w:bookmarkEnd w:id="61"/>
      <w:bookmarkEnd w:id="62"/>
      <w:bookmarkEnd w:id="63"/>
      <w:bookmarkEnd w:id="64"/>
      <w:bookmarkEnd w:id="65"/>
    </w:p>
    <w:tbl>
      <w:tblPr>
        <w:tblStyle w:val="20"/>
        <w:tblW w:w="84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037"/>
        <w:gridCol w:w="5516"/>
      </w:tblGrid>
      <w:tr w14:paraId="4B69F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jc w:val="center"/>
        </w:trPr>
        <w:tc>
          <w:tcPr>
            <w:tcW w:w="861" w:type="dxa"/>
          </w:tcPr>
          <w:p w14:paraId="7AF417E1">
            <w:pPr>
              <w:pStyle w:val="21"/>
              <w:spacing w:before="205" w:line="220" w:lineRule="auto"/>
              <w:ind w:left="117"/>
              <w:rPr>
                <w:color w:val="auto"/>
              </w:rPr>
            </w:pPr>
            <w:r>
              <w:rPr>
                <w:b/>
                <w:bCs/>
                <w:color w:val="auto"/>
                <w:spacing w:val="-5"/>
              </w:rPr>
              <w:t>条款号</w:t>
            </w:r>
          </w:p>
        </w:tc>
        <w:tc>
          <w:tcPr>
            <w:tcW w:w="2037" w:type="dxa"/>
          </w:tcPr>
          <w:p w14:paraId="29F7E64E">
            <w:pPr>
              <w:pStyle w:val="21"/>
              <w:spacing w:before="205" w:line="220" w:lineRule="auto"/>
              <w:ind w:left="395"/>
              <w:rPr>
                <w:color w:val="auto"/>
              </w:rPr>
            </w:pPr>
            <w:r>
              <w:rPr>
                <w:b/>
                <w:bCs/>
                <w:color w:val="auto"/>
                <w:spacing w:val="-10"/>
              </w:rPr>
              <w:t>条款名称</w:t>
            </w:r>
          </w:p>
        </w:tc>
        <w:tc>
          <w:tcPr>
            <w:tcW w:w="5516" w:type="dxa"/>
          </w:tcPr>
          <w:p w14:paraId="5027C09A">
            <w:pPr>
              <w:pStyle w:val="21"/>
              <w:spacing w:before="205" w:line="220" w:lineRule="auto"/>
              <w:ind w:left="1914"/>
              <w:rPr>
                <w:color w:val="auto"/>
              </w:rPr>
            </w:pPr>
            <w:r>
              <w:rPr>
                <w:b/>
                <w:bCs/>
                <w:color w:val="auto"/>
                <w:spacing w:val="-17"/>
              </w:rPr>
              <w:t>编列内容</w:t>
            </w:r>
          </w:p>
        </w:tc>
      </w:tr>
      <w:tr w14:paraId="3606A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jc w:val="center"/>
        </w:trPr>
        <w:tc>
          <w:tcPr>
            <w:tcW w:w="861" w:type="dxa"/>
          </w:tcPr>
          <w:p w14:paraId="50CBFFFE">
            <w:pPr>
              <w:spacing w:line="250" w:lineRule="auto"/>
              <w:rPr>
                <w:color w:val="auto"/>
              </w:rPr>
            </w:pPr>
          </w:p>
          <w:p w14:paraId="04C59E96">
            <w:pPr>
              <w:spacing w:line="251" w:lineRule="auto"/>
              <w:rPr>
                <w:color w:val="auto"/>
              </w:rPr>
            </w:pPr>
          </w:p>
          <w:p w14:paraId="25514437">
            <w:pPr>
              <w:spacing w:line="251" w:lineRule="auto"/>
              <w:rPr>
                <w:color w:val="auto"/>
              </w:rPr>
            </w:pPr>
          </w:p>
          <w:p w14:paraId="218C5DAA">
            <w:pPr>
              <w:spacing w:line="251" w:lineRule="auto"/>
              <w:rPr>
                <w:color w:val="auto"/>
              </w:rPr>
            </w:pPr>
          </w:p>
          <w:p w14:paraId="2DEA69EC">
            <w:pPr>
              <w:spacing w:before="60"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1.1.2</w:t>
            </w:r>
          </w:p>
        </w:tc>
        <w:tc>
          <w:tcPr>
            <w:tcW w:w="2037" w:type="dxa"/>
          </w:tcPr>
          <w:p w14:paraId="6CB903FF">
            <w:pPr>
              <w:spacing w:line="319" w:lineRule="auto"/>
              <w:rPr>
                <w:color w:val="auto"/>
              </w:rPr>
            </w:pPr>
          </w:p>
          <w:p w14:paraId="4D3BCC96">
            <w:pPr>
              <w:spacing w:line="319" w:lineRule="auto"/>
              <w:rPr>
                <w:color w:val="auto"/>
              </w:rPr>
            </w:pPr>
          </w:p>
          <w:p w14:paraId="670C89DB">
            <w:pPr>
              <w:spacing w:line="319" w:lineRule="auto"/>
              <w:rPr>
                <w:color w:val="auto"/>
              </w:rPr>
            </w:pPr>
          </w:p>
          <w:p w14:paraId="55CA31AB">
            <w:pPr>
              <w:pStyle w:val="21"/>
              <w:spacing w:before="68" w:line="221" w:lineRule="auto"/>
              <w:ind w:left="816"/>
              <w:rPr>
                <w:color w:val="auto"/>
              </w:rPr>
            </w:pPr>
            <w:r>
              <w:rPr>
                <w:color w:val="auto"/>
                <w:spacing w:val="-3"/>
              </w:rPr>
              <w:t>招标人</w:t>
            </w:r>
          </w:p>
        </w:tc>
        <w:tc>
          <w:tcPr>
            <w:tcW w:w="5516" w:type="dxa"/>
          </w:tcPr>
          <w:p w14:paraId="245E1496">
            <w:pPr>
              <w:pStyle w:val="21"/>
              <w:spacing w:before="71" w:line="221" w:lineRule="auto"/>
              <w:ind w:left="112"/>
              <w:rPr>
                <w:color w:val="auto"/>
                <w:lang w:eastAsia="zh-CN"/>
              </w:rPr>
            </w:pPr>
            <w:r>
              <w:rPr>
                <w:color w:val="auto"/>
                <w:spacing w:val="-1"/>
                <w:lang w:eastAsia="zh-CN"/>
              </w:rPr>
              <w:t>名    称：</w:t>
            </w:r>
            <w:r>
              <w:rPr>
                <w:rFonts w:hint="eastAsia" w:ascii="Arial" w:hAnsi="Arial" w:eastAsia="Arial"/>
                <w:color w:val="auto"/>
                <w:u w:val="single"/>
                <w:lang w:eastAsia="zh-CN"/>
              </w:rPr>
              <w:t>盖州市东盛城建集团有限公司</w:t>
            </w:r>
          </w:p>
          <w:p w14:paraId="13B1459D">
            <w:pPr>
              <w:pStyle w:val="21"/>
              <w:spacing w:before="68" w:line="230" w:lineRule="auto"/>
              <w:ind w:left="110"/>
              <w:rPr>
                <w:color w:val="auto"/>
                <w:u w:val="single"/>
                <w:lang w:eastAsia="zh-CN"/>
              </w:rPr>
            </w:pPr>
            <w:r>
              <w:rPr>
                <w:color w:val="auto"/>
                <w:spacing w:val="-1"/>
                <w:lang w:eastAsia="zh-CN"/>
              </w:rPr>
              <w:t>地    址：</w:t>
            </w:r>
            <w:r>
              <w:rPr>
                <w:rFonts w:hint="eastAsia"/>
                <w:color w:val="auto"/>
                <w:u w:val="single"/>
                <w:lang w:eastAsia="zh-CN"/>
              </w:rPr>
              <w:t>辽宁省营口盖州市鼓楼街道办事处兴辰社区中海四期21号楼1-6层1号</w:t>
            </w:r>
          </w:p>
          <w:p w14:paraId="4CD35B26">
            <w:pPr>
              <w:pStyle w:val="21"/>
              <w:spacing w:before="59" w:line="220" w:lineRule="auto"/>
              <w:ind w:left="111"/>
              <w:rPr>
                <w:color w:val="auto"/>
                <w:lang w:eastAsia="zh-CN"/>
              </w:rPr>
            </w:pPr>
            <w:r>
              <w:rPr>
                <w:color w:val="auto"/>
                <w:spacing w:val="-3"/>
                <w:lang w:eastAsia="zh-CN"/>
              </w:rPr>
              <w:t>联系 人：</w:t>
            </w:r>
            <w:r>
              <w:rPr>
                <w:rFonts w:hint="eastAsia"/>
                <w:color w:val="auto"/>
                <w:spacing w:val="-3"/>
                <w:lang w:eastAsia="zh-CN"/>
              </w:rPr>
              <w:t>姜先生</w:t>
            </w:r>
          </w:p>
          <w:p w14:paraId="27DD2D7E">
            <w:pPr>
              <w:pStyle w:val="21"/>
              <w:spacing w:before="59" w:line="220" w:lineRule="auto"/>
              <w:ind w:left="111"/>
              <w:rPr>
                <w:rFonts w:ascii="Times New Roman" w:hAnsi="Times New Roman" w:eastAsia="Times New Roman" w:cs="Times New Roman"/>
                <w:color w:val="auto"/>
                <w:lang w:eastAsia="zh-CN"/>
              </w:rPr>
            </w:pPr>
            <w:r>
              <w:rPr>
                <w:color w:val="auto"/>
                <w:spacing w:val="-3"/>
                <w:lang w:eastAsia="zh-CN"/>
              </w:rPr>
              <w:t>电话：</w:t>
            </w:r>
            <w:r>
              <w:rPr>
                <w:rFonts w:hint="eastAsia"/>
                <w:color w:val="auto"/>
                <w:spacing w:val="-3"/>
                <w:lang w:eastAsia="zh-CN"/>
              </w:rPr>
              <w:t>0417-7812775</w:t>
            </w:r>
          </w:p>
        </w:tc>
      </w:tr>
      <w:tr w14:paraId="2E31F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2" w:hRule="atLeast"/>
          <w:jc w:val="center"/>
        </w:trPr>
        <w:tc>
          <w:tcPr>
            <w:tcW w:w="861" w:type="dxa"/>
          </w:tcPr>
          <w:p w14:paraId="2139039D">
            <w:pPr>
              <w:spacing w:line="251" w:lineRule="auto"/>
              <w:rPr>
                <w:color w:val="auto"/>
                <w:lang w:eastAsia="zh-CN"/>
              </w:rPr>
            </w:pPr>
          </w:p>
          <w:p w14:paraId="6B48171A">
            <w:pPr>
              <w:spacing w:line="251" w:lineRule="auto"/>
              <w:rPr>
                <w:color w:val="auto"/>
                <w:lang w:eastAsia="zh-CN"/>
              </w:rPr>
            </w:pPr>
          </w:p>
          <w:p w14:paraId="1D39525B">
            <w:pPr>
              <w:spacing w:line="251" w:lineRule="auto"/>
              <w:rPr>
                <w:color w:val="auto"/>
                <w:lang w:eastAsia="zh-CN"/>
              </w:rPr>
            </w:pPr>
          </w:p>
          <w:p w14:paraId="5AB4FEC6">
            <w:pPr>
              <w:spacing w:line="252" w:lineRule="auto"/>
              <w:rPr>
                <w:color w:val="auto"/>
                <w:lang w:eastAsia="zh-CN"/>
              </w:rPr>
            </w:pPr>
          </w:p>
          <w:p w14:paraId="46CD614A">
            <w:pPr>
              <w:spacing w:before="60"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1.1.3</w:t>
            </w:r>
          </w:p>
        </w:tc>
        <w:tc>
          <w:tcPr>
            <w:tcW w:w="2037" w:type="dxa"/>
          </w:tcPr>
          <w:p w14:paraId="58F5A868">
            <w:pPr>
              <w:spacing w:line="319" w:lineRule="auto"/>
              <w:rPr>
                <w:color w:val="auto"/>
              </w:rPr>
            </w:pPr>
          </w:p>
          <w:p w14:paraId="7B21B045">
            <w:pPr>
              <w:spacing w:line="319" w:lineRule="auto"/>
              <w:rPr>
                <w:color w:val="auto"/>
              </w:rPr>
            </w:pPr>
          </w:p>
          <w:p w14:paraId="320AAE76">
            <w:pPr>
              <w:spacing w:line="320" w:lineRule="auto"/>
              <w:rPr>
                <w:color w:val="auto"/>
              </w:rPr>
            </w:pPr>
          </w:p>
          <w:p w14:paraId="1D64E4C0">
            <w:pPr>
              <w:pStyle w:val="21"/>
              <w:spacing w:before="69" w:line="220" w:lineRule="auto"/>
              <w:ind w:left="501"/>
              <w:rPr>
                <w:color w:val="auto"/>
              </w:rPr>
            </w:pPr>
            <w:r>
              <w:rPr>
                <w:color w:val="auto"/>
                <w:spacing w:val="-2"/>
              </w:rPr>
              <w:t>招标代理机构</w:t>
            </w:r>
          </w:p>
        </w:tc>
        <w:tc>
          <w:tcPr>
            <w:tcW w:w="5516" w:type="dxa"/>
          </w:tcPr>
          <w:p w14:paraId="06B967EE">
            <w:pPr>
              <w:pStyle w:val="21"/>
              <w:spacing w:before="73" w:line="221" w:lineRule="auto"/>
              <w:ind w:left="112"/>
              <w:rPr>
                <w:color w:val="auto"/>
                <w:lang w:eastAsia="zh-CN"/>
              </w:rPr>
            </w:pPr>
            <w:r>
              <w:rPr>
                <w:color w:val="auto"/>
                <w:spacing w:val="-1"/>
                <w:lang w:eastAsia="zh-CN"/>
              </w:rPr>
              <w:t>名    称：</w:t>
            </w:r>
            <w:r>
              <w:rPr>
                <w:rFonts w:hint="eastAsia"/>
                <w:color w:val="auto"/>
                <w:u w:val="single"/>
                <w:lang w:eastAsia="zh-CN"/>
              </w:rPr>
              <w:t>盖州市诚建工程招标代理有限责任公司</w:t>
            </w:r>
          </w:p>
          <w:p w14:paraId="45448F80">
            <w:pPr>
              <w:pStyle w:val="21"/>
              <w:spacing w:before="68" w:line="222" w:lineRule="auto"/>
              <w:ind w:left="110"/>
              <w:rPr>
                <w:color w:val="auto"/>
                <w:lang w:eastAsia="zh-CN"/>
              </w:rPr>
            </w:pPr>
            <w:r>
              <w:rPr>
                <w:color w:val="auto"/>
                <w:spacing w:val="-1"/>
                <w:lang w:eastAsia="zh-CN"/>
              </w:rPr>
              <w:t>地    址：</w:t>
            </w:r>
            <w:r>
              <w:rPr>
                <w:rFonts w:hint="eastAsia"/>
                <w:color w:val="auto"/>
                <w:u w:val="single"/>
                <w:lang w:eastAsia="zh-CN"/>
              </w:rPr>
              <w:t>盖州市南路63号</w:t>
            </w:r>
          </w:p>
          <w:p w14:paraId="0204B030">
            <w:pPr>
              <w:pStyle w:val="21"/>
              <w:spacing w:before="68" w:line="222" w:lineRule="auto"/>
              <w:ind w:left="111"/>
              <w:rPr>
                <w:rFonts w:ascii="Times New Roman" w:hAnsi="Times New Roman" w:cs="Times New Roman"/>
                <w:color w:val="auto"/>
                <w:lang w:eastAsia="zh-CN"/>
              </w:rPr>
            </w:pPr>
            <w:r>
              <w:rPr>
                <w:color w:val="auto"/>
                <w:spacing w:val="-2"/>
                <w:lang w:eastAsia="zh-CN"/>
              </w:rPr>
              <w:t>联 系人：</w:t>
            </w:r>
            <w:r>
              <w:rPr>
                <w:rFonts w:hint="eastAsia"/>
                <w:color w:val="auto"/>
                <w:lang w:eastAsia="zh-CN"/>
              </w:rPr>
              <w:t>朱女士</w:t>
            </w:r>
          </w:p>
          <w:p w14:paraId="54E2881C">
            <w:pPr>
              <w:pStyle w:val="21"/>
              <w:spacing w:before="67" w:line="222" w:lineRule="auto"/>
              <w:ind w:left="134"/>
              <w:rPr>
                <w:rFonts w:ascii="Times New Roman" w:hAnsi="Times New Roman" w:eastAsia="Times New Roman" w:cs="Times New Roman"/>
                <w:color w:val="auto"/>
              </w:rPr>
            </w:pPr>
            <w:r>
              <w:rPr>
                <w:color w:val="auto"/>
                <w:spacing w:val="-2"/>
              </w:rPr>
              <w:t>电话：</w:t>
            </w:r>
            <w:r>
              <w:rPr>
                <w:rFonts w:hint="eastAsia"/>
                <w:color w:val="auto"/>
                <w:lang w:eastAsia="zh-CN"/>
              </w:rPr>
              <w:t>0417-7811127</w:t>
            </w:r>
          </w:p>
          <w:p w14:paraId="01000430">
            <w:pPr>
              <w:pStyle w:val="21"/>
              <w:spacing w:before="36" w:line="291" w:lineRule="exact"/>
              <w:ind w:left="134"/>
              <w:rPr>
                <w:rFonts w:ascii="Times New Roman" w:hAnsi="Times New Roman" w:eastAsia="Times New Roman" w:cs="Times New Roman"/>
                <w:color w:val="auto"/>
              </w:rPr>
            </w:pPr>
            <w:r>
              <w:rPr>
                <w:color w:val="auto"/>
                <w:spacing w:val="-2"/>
                <w:position w:val="2"/>
              </w:rPr>
              <w:t>电子邮件：</w:t>
            </w:r>
            <w:r>
              <w:rPr>
                <w:rFonts w:hint="eastAsia"/>
                <w:color w:val="auto"/>
                <w:lang w:eastAsia="zh-CN"/>
              </w:rPr>
              <w:t>964466594@qq.com</w:t>
            </w:r>
          </w:p>
        </w:tc>
      </w:tr>
      <w:tr w14:paraId="2BAF5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861" w:type="dxa"/>
          </w:tcPr>
          <w:p w14:paraId="3B4EB596">
            <w:pPr>
              <w:spacing w:before="180"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1.1.4</w:t>
            </w:r>
          </w:p>
        </w:tc>
        <w:tc>
          <w:tcPr>
            <w:tcW w:w="2037" w:type="dxa"/>
          </w:tcPr>
          <w:p w14:paraId="7E6A99A4">
            <w:pPr>
              <w:pStyle w:val="21"/>
              <w:spacing w:before="141" w:line="221" w:lineRule="auto"/>
              <w:ind w:left="501"/>
              <w:rPr>
                <w:color w:val="auto"/>
              </w:rPr>
            </w:pPr>
            <w:r>
              <w:rPr>
                <w:color w:val="auto"/>
                <w:spacing w:val="-2"/>
              </w:rPr>
              <w:t>招标项目名称</w:t>
            </w:r>
          </w:p>
        </w:tc>
        <w:tc>
          <w:tcPr>
            <w:tcW w:w="5516" w:type="dxa"/>
          </w:tcPr>
          <w:p w14:paraId="257DA253">
            <w:pPr>
              <w:spacing w:before="110" w:line="276" w:lineRule="exact"/>
              <w:ind w:left="102"/>
              <w:rPr>
                <w:rFonts w:ascii="Times New Roman" w:hAnsi="Times New Roman" w:eastAsia="Times New Roman" w:cs="Times New Roman"/>
                <w:color w:val="auto"/>
                <w:lang w:eastAsia="zh-CN"/>
              </w:rPr>
            </w:pPr>
            <w:r>
              <w:rPr>
                <w:rFonts w:hint="eastAsia" w:ascii="宋体" w:hAnsi="宋体" w:eastAsia="宋体" w:cs="宋体"/>
                <w:color w:val="auto"/>
                <w:u w:val="single"/>
                <w:lang w:eastAsia="zh-CN"/>
              </w:rPr>
              <w:t>盖州市东盛城建集团有限公司2026年盖州市住宅小区老旧电梯更新改造工程</w:t>
            </w:r>
          </w:p>
        </w:tc>
      </w:tr>
      <w:tr w14:paraId="67C71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61" w:type="dxa"/>
          </w:tcPr>
          <w:p w14:paraId="0C3B534D">
            <w:pPr>
              <w:spacing w:before="183"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1.1.5</w:t>
            </w:r>
          </w:p>
        </w:tc>
        <w:tc>
          <w:tcPr>
            <w:tcW w:w="2037" w:type="dxa"/>
          </w:tcPr>
          <w:p w14:paraId="624EAA60">
            <w:pPr>
              <w:pStyle w:val="21"/>
              <w:spacing w:before="145" w:line="221" w:lineRule="auto"/>
              <w:ind w:left="501"/>
              <w:rPr>
                <w:color w:val="auto"/>
              </w:rPr>
            </w:pPr>
            <w:r>
              <w:rPr>
                <w:color w:val="auto"/>
                <w:spacing w:val="-2"/>
              </w:rPr>
              <w:t>标段项目名称</w:t>
            </w:r>
          </w:p>
        </w:tc>
        <w:tc>
          <w:tcPr>
            <w:tcW w:w="5516" w:type="dxa"/>
          </w:tcPr>
          <w:p w14:paraId="2C28DE1C">
            <w:pPr>
              <w:pStyle w:val="21"/>
              <w:spacing w:before="144" w:line="222" w:lineRule="auto"/>
              <w:ind w:left="111"/>
              <w:rPr>
                <w:color w:val="auto"/>
                <w:lang w:eastAsia="zh-CN"/>
              </w:rPr>
            </w:pPr>
            <w:r>
              <w:rPr>
                <w:rFonts w:hint="eastAsia"/>
                <w:color w:val="auto"/>
                <w:u w:val="single"/>
                <w:lang w:eastAsia="zh-CN"/>
              </w:rPr>
              <w:t>盖州市东盛城建集团有限公司2026年盖州市住宅小区老旧电梯更新改造工程</w:t>
            </w:r>
          </w:p>
        </w:tc>
      </w:tr>
      <w:tr w14:paraId="72EE4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jc w:val="center"/>
        </w:trPr>
        <w:tc>
          <w:tcPr>
            <w:tcW w:w="861" w:type="dxa"/>
          </w:tcPr>
          <w:p w14:paraId="6581E7E3">
            <w:pPr>
              <w:spacing w:before="183"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1.1.6</w:t>
            </w:r>
          </w:p>
        </w:tc>
        <w:tc>
          <w:tcPr>
            <w:tcW w:w="2037" w:type="dxa"/>
          </w:tcPr>
          <w:p w14:paraId="2A795258">
            <w:pPr>
              <w:pStyle w:val="21"/>
              <w:spacing w:before="144" w:line="222" w:lineRule="auto"/>
              <w:ind w:left="712"/>
              <w:rPr>
                <w:color w:val="auto"/>
              </w:rPr>
            </w:pPr>
            <w:r>
              <w:rPr>
                <w:color w:val="auto"/>
                <w:spacing w:val="-3"/>
              </w:rPr>
              <w:t>建设地点</w:t>
            </w:r>
          </w:p>
        </w:tc>
        <w:tc>
          <w:tcPr>
            <w:tcW w:w="5516" w:type="dxa"/>
          </w:tcPr>
          <w:p w14:paraId="0B79525F">
            <w:pPr>
              <w:pStyle w:val="8"/>
              <w:spacing w:before="163" w:line="222" w:lineRule="auto"/>
              <w:ind w:firstLine="200" w:firstLineChars="100"/>
              <w:rPr>
                <w:rFonts w:ascii="Times New Roman" w:hAnsi="Times New Roman" w:eastAsia="Times New Roman" w:cs="Times New Roman"/>
                <w:color w:val="auto"/>
                <w:lang w:eastAsia="zh-CN"/>
              </w:rPr>
            </w:pPr>
            <w:r>
              <w:rPr>
                <w:spacing w:val="-5"/>
                <w:lang w:eastAsia="zh-CN"/>
              </w:rPr>
              <w:t>辽宁省营口市盖州市西城办事处永安村</w:t>
            </w:r>
            <w:r>
              <w:rPr>
                <w:rFonts w:hint="eastAsia" w:eastAsia="宋体"/>
                <w:spacing w:val="-5"/>
                <w:lang w:eastAsia="zh-CN"/>
              </w:rPr>
              <w:t>大景城小区</w:t>
            </w:r>
          </w:p>
        </w:tc>
      </w:tr>
      <w:tr w14:paraId="040DD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61" w:type="dxa"/>
          </w:tcPr>
          <w:p w14:paraId="11B790B0">
            <w:pPr>
              <w:spacing w:before="183"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1.1.7</w:t>
            </w:r>
          </w:p>
        </w:tc>
        <w:tc>
          <w:tcPr>
            <w:tcW w:w="2037" w:type="dxa"/>
          </w:tcPr>
          <w:p w14:paraId="508FEF98">
            <w:pPr>
              <w:pStyle w:val="21"/>
              <w:spacing w:before="144" w:line="219" w:lineRule="auto"/>
              <w:ind w:left="503"/>
              <w:rPr>
                <w:color w:val="auto"/>
              </w:rPr>
            </w:pPr>
            <w:r>
              <w:rPr>
                <w:color w:val="auto"/>
                <w:spacing w:val="-2"/>
              </w:rPr>
              <w:t>项目投资估算</w:t>
            </w:r>
          </w:p>
        </w:tc>
        <w:tc>
          <w:tcPr>
            <w:tcW w:w="5516" w:type="dxa"/>
          </w:tcPr>
          <w:p w14:paraId="1A104A29">
            <w:pPr>
              <w:pStyle w:val="21"/>
              <w:spacing w:before="145" w:line="221" w:lineRule="auto"/>
              <w:ind w:left="126"/>
              <w:rPr>
                <w:color w:val="auto"/>
              </w:rPr>
            </w:pPr>
            <w:r>
              <w:rPr>
                <w:rFonts w:hint="eastAsia"/>
                <w:color w:val="auto"/>
                <w:u w:val="single"/>
                <w:lang w:eastAsia="zh-CN"/>
              </w:rPr>
              <w:t>183.5</w:t>
            </w:r>
            <w:r>
              <w:rPr>
                <w:rFonts w:hint="eastAsia"/>
                <w:color w:val="auto"/>
              </w:rPr>
              <w:t>万元</w:t>
            </w:r>
          </w:p>
        </w:tc>
      </w:tr>
      <w:tr w14:paraId="4AE5F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861" w:type="dxa"/>
          </w:tcPr>
          <w:p w14:paraId="04C2F294">
            <w:pPr>
              <w:spacing w:before="27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1.1.8</w:t>
            </w:r>
          </w:p>
        </w:tc>
        <w:tc>
          <w:tcPr>
            <w:tcW w:w="2037" w:type="dxa"/>
          </w:tcPr>
          <w:p w14:paraId="76EE804E">
            <w:pPr>
              <w:pStyle w:val="21"/>
              <w:spacing w:before="235" w:line="221" w:lineRule="auto"/>
              <w:ind w:left="524"/>
              <w:rPr>
                <w:color w:val="auto"/>
              </w:rPr>
            </w:pPr>
            <w:r>
              <w:rPr>
                <w:color w:val="auto"/>
                <w:spacing w:val="-5"/>
              </w:rPr>
              <w:t>电子交易系统</w:t>
            </w:r>
          </w:p>
        </w:tc>
        <w:tc>
          <w:tcPr>
            <w:tcW w:w="5516" w:type="dxa"/>
            <w:vAlign w:val="center"/>
          </w:tcPr>
          <w:p w14:paraId="1A5A637D">
            <w:pPr>
              <w:pStyle w:val="21"/>
              <w:spacing w:before="75" w:line="220" w:lineRule="auto"/>
              <w:ind w:left="115"/>
              <w:jc w:val="both"/>
              <w:rPr>
                <w:color w:val="auto"/>
                <w:lang w:eastAsia="zh-CN"/>
              </w:rPr>
            </w:pPr>
            <w:r>
              <w:rPr>
                <w:color w:val="auto"/>
                <w:spacing w:val="-1"/>
                <w:lang w:eastAsia="zh-CN"/>
              </w:rPr>
              <w:t>辽宁省房屋建筑和市政工程电子交易系统</w:t>
            </w:r>
            <w:r>
              <w:rPr>
                <w:rFonts w:hint="eastAsia"/>
                <w:color w:val="auto"/>
                <w:lang w:eastAsia="zh-CN"/>
              </w:rPr>
              <w:t>（</w:t>
            </w:r>
            <w:r>
              <w:rPr>
                <w:rFonts w:hint="eastAsia"/>
                <w:lang w:eastAsia="zh-CN"/>
              </w:rPr>
              <w:t>城乡建设</w:t>
            </w:r>
            <w:r>
              <w:rPr>
                <w:rFonts w:hint="eastAsia"/>
                <w:color w:val="auto"/>
                <w:lang w:eastAsia="zh-CN"/>
              </w:rPr>
              <w:t>）</w:t>
            </w:r>
          </w:p>
        </w:tc>
      </w:tr>
      <w:tr w14:paraId="6A207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61" w:type="dxa"/>
          </w:tcPr>
          <w:p w14:paraId="7A5630A9">
            <w:pPr>
              <w:spacing w:before="18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1.2.1</w:t>
            </w:r>
          </w:p>
        </w:tc>
        <w:tc>
          <w:tcPr>
            <w:tcW w:w="2037" w:type="dxa"/>
          </w:tcPr>
          <w:p w14:paraId="19BFC917">
            <w:pPr>
              <w:pStyle w:val="21"/>
              <w:spacing w:before="146" w:line="220" w:lineRule="auto"/>
              <w:ind w:left="719"/>
              <w:rPr>
                <w:color w:val="auto"/>
              </w:rPr>
            </w:pPr>
            <w:r>
              <w:rPr>
                <w:color w:val="auto"/>
                <w:spacing w:val="-4"/>
              </w:rPr>
              <w:t>资金来源</w:t>
            </w:r>
          </w:p>
        </w:tc>
        <w:tc>
          <w:tcPr>
            <w:tcW w:w="5516" w:type="dxa"/>
          </w:tcPr>
          <w:p w14:paraId="333EF102">
            <w:pPr>
              <w:pStyle w:val="21"/>
              <w:spacing w:before="75" w:line="220" w:lineRule="auto"/>
              <w:ind w:left="115"/>
              <w:jc w:val="both"/>
              <w:rPr>
                <w:color w:val="auto"/>
                <w:spacing w:val="-1"/>
                <w:lang w:eastAsia="zh-CN"/>
              </w:rPr>
            </w:pPr>
            <w:r>
              <w:rPr>
                <w:rFonts w:hint="eastAsia"/>
                <w:color w:val="auto"/>
                <w:spacing w:val="-1"/>
                <w:lang w:eastAsia="zh-CN"/>
              </w:rPr>
              <w:t>超长期特别国债、自筹</w:t>
            </w:r>
          </w:p>
        </w:tc>
      </w:tr>
      <w:tr w14:paraId="026A0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61" w:type="dxa"/>
          </w:tcPr>
          <w:p w14:paraId="15562F94">
            <w:pPr>
              <w:spacing w:before="18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1.2.2</w:t>
            </w:r>
          </w:p>
        </w:tc>
        <w:tc>
          <w:tcPr>
            <w:tcW w:w="2037" w:type="dxa"/>
          </w:tcPr>
          <w:p w14:paraId="3F2E1670">
            <w:pPr>
              <w:pStyle w:val="21"/>
              <w:spacing w:before="145" w:line="222" w:lineRule="auto"/>
              <w:ind w:left="728"/>
              <w:rPr>
                <w:color w:val="auto"/>
              </w:rPr>
            </w:pPr>
            <w:r>
              <w:rPr>
                <w:color w:val="auto"/>
                <w:spacing w:val="-5"/>
              </w:rPr>
              <w:t>出资比例</w:t>
            </w:r>
          </w:p>
        </w:tc>
        <w:tc>
          <w:tcPr>
            <w:tcW w:w="5516" w:type="dxa"/>
          </w:tcPr>
          <w:p w14:paraId="7F776C54">
            <w:pPr>
              <w:pStyle w:val="21"/>
              <w:spacing w:before="75" w:line="220" w:lineRule="auto"/>
              <w:ind w:left="115"/>
              <w:jc w:val="both"/>
              <w:rPr>
                <w:color w:val="auto"/>
                <w:spacing w:val="-1"/>
              </w:rPr>
            </w:pPr>
            <w:r>
              <w:rPr>
                <w:rFonts w:hint="eastAsia"/>
                <w:color w:val="auto"/>
                <w:spacing w:val="-1"/>
                <w:lang w:eastAsia="zh-CN"/>
              </w:rPr>
              <w:t>81.74</w:t>
            </w:r>
            <w:r>
              <w:rPr>
                <w:rFonts w:hint="eastAsia"/>
                <w:color w:val="auto"/>
                <w:spacing w:val="-1"/>
              </w:rPr>
              <w:t>%</w:t>
            </w:r>
            <w:r>
              <w:rPr>
                <w:rFonts w:hint="eastAsia"/>
                <w:color w:val="auto"/>
                <w:spacing w:val="-1"/>
                <w:lang w:eastAsia="zh-CN"/>
              </w:rPr>
              <w:t>、18.26%</w:t>
            </w:r>
          </w:p>
        </w:tc>
      </w:tr>
      <w:tr w14:paraId="74646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61" w:type="dxa"/>
          </w:tcPr>
          <w:p w14:paraId="68DF0321">
            <w:pPr>
              <w:spacing w:before="18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1.2.3</w:t>
            </w:r>
          </w:p>
        </w:tc>
        <w:tc>
          <w:tcPr>
            <w:tcW w:w="2037" w:type="dxa"/>
          </w:tcPr>
          <w:p w14:paraId="75C10879">
            <w:pPr>
              <w:pStyle w:val="21"/>
              <w:spacing w:before="145" w:line="219" w:lineRule="auto"/>
              <w:ind w:left="396"/>
              <w:rPr>
                <w:color w:val="auto"/>
              </w:rPr>
            </w:pPr>
            <w:r>
              <w:rPr>
                <w:color w:val="auto"/>
                <w:spacing w:val="-2"/>
              </w:rPr>
              <w:t>标段合同估算价</w:t>
            </w:r>
          </w:p>
        </w:tc>
        <w:tc>
          <w:tcPr>
            <w:tcW w:w="5516" w:type="dxa"/>
          </w:tcPr>
          <w:p w14:paraId="4A4D4B00">
            <w:pPr>
              <w:pStyle w:val="21"/>
              <w:spacing w:before="146" w:line="221" w:lineRule="auto"/>
              <w:ind w:left="126"/>
              <w:rPr>
                <w:color w:val="auto"/>
              </w:rPr>
            </w:pPr>
            <w:r>
              <w:rPr>
                <w:rFonts w:hint="eastAsia"/>
                <w:color w:val="auto"/>
                <w:u w:val="single"/>
                <w:lang w:eastAsia="zh-CN"/>
              </w:rPr>
              <w:t>160</w:t>
            </w:r>
            <w:r>
              <w:rPr>
                <w:color w:val="auto"/>
                <w:spacing w:val="-7"/>
              </w:rPr>
              <w:t>万元</w:t>
            </w:r>
          </w:p>
        </w:tc>
      </w:tr>
      <w:tr w14:paraId="17E91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jc w:val="center"/>
        </w:trPr>
        <w:tc>
          <w:tcPr>
            <w:tcW w:w="861" w:type="dxa"/>
          </w:tcPr>
          <w:p w14:paraId="3B0C6AE9">
            <w:pPr>
              <w:spacing w:before="185"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1.2.4</w:t>
            </w:r>
          </w:p>
        </w:tc>
        <w:tc>
          <w:tcPr>
            <w:tcW w:w="2037" w:type="dxa"/>
          </w:tcPr>
          <w:p w14:paraId="377320AC">
            <w:pPr>
              <w:pStyle w:val="21"/>
              <w:spacing w:before="147" w:line="221" w:lineRule="auto"/>
              <w:ind w:left="509"/>
              <w:rPr>
                <w:color w:val="auto"/>
              </w:rPr>
            </w:pPr>
            <w:r>
              <w:rPr>
                <w:color w:val="auto"/>
                <w:spacing w:val="-3"/>
              </w:rPr>
              <w:t>资金落实情况</w:t>
            </w:r>
          </w:p>
        </w:tc>
        <w:tc>
          <w:tcPr>
            <w:tcW w:w="5516" w:type="dxa"/>
          </w:tcPr>
          <w:p w14:paraId="5A97CF2C">
            <w:pPr>
              <w:spacing w:before="116" w:line="275" w:lineRule="exact"/>
              <w:ind w:left="102"/>
              <w:rPr>
                <w:rFonts w:ascii="Times New Roman" w:hAnsi="Times New Roman" w:eastAsia="Times New Roman" w:cs="Times New Roman"/>
                <w:color w:val="auto"/>
              </w:rPr>
            </w:pPr>
            <w:r>
              <w:rPr>
                <w:rFonts w:hint="eastAsia" w:ascii="宋体" w:hAnsi="宋体" w:cs="宋体"/>
                <w:color w:val="auto"/>
              </w:rPr>
              <w:t>已落实</w:t>
            </w:r>
          </w:p>
        </w:tc>
      </w:tr>
      <w:tr w14:paraId="4BFE7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9" w:hRule="atLeast"/>
          <w:jc w:val="center"/>
        </w:trPr>
        <w:tc>
          <w:tcPr>
            <w:tcW w:w="861" w:type="dxa"/>
          </w:tcPr>
          <w:p w14:paraId="6544E1A8">
            <w:pPr>
              <w:spacing w:line="462" w:lineRule="auto"/>
              <w:rPr>
                <w:color w:val="auto"/>
              </w:rPr>
            </w:pPr>
          </w:p>
          <w:p w14:paraId="0F10BF53">
            <w:pPr>
              <w:spacing w:before="61"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1.3.1</w:t>
            </w:r>
          </w:p>
        </w:tc>
        <w:tc>
          <w:tcPr>
            <w:tcW w:w="2037" w:type="dxa"/>
          </w:tcPr>
          <w:p w14:paraId="23651537">
            <w:pPr>
              <w:spacing w:line="416" w:lineRule="auto"/>
              <w:rPr>
                <w:color w:val="auto"/>
              </w:rPr>
            </w:pPr>
          </w:p>
          <w:p w14:paraId="448067D7">
            <w:pPr>
              <w:pStyle w:val="21"/>
              <w:spacing w:before="69" w:line="221" w:lineRule="auto"/>
              <w:ind w:left="711"/>
              <w:rPr>
                <w:color w:val="auto"/>
              </w:rPr>
            </w:pPr>
            <w:r>
              <w:rPr>
                <w:color w:val="auto"/>
                <w:spacing w:val="-2"/>
              </w:rPr>
              <w:t>招标范围</w:t>
            </w:r>
          </w:p>
        </w:tc>
        <w:tc>
          <w:tcPr>
            <w:tcW w:w="5516" w:type="dxa"/>
          </w:tcPr>
          <w:p w14:paraId="37DC017D">
            <w:pPr>
              <w:pStyle w:val="21"/>
              <w:spacing w:before="70" w:line="298" w:lineRule="auto"/>
              <w:ind w:left="102" w:right="46" w:firstLine="20"/>
              <w:rPr>
                <w:color w:val="auto"/>
                <w:spacing w:val="-6"/>
                <w:lang w:eastAsia="zh-CN"/>
              </w:rPr>
            </w:pPr>
            <w:r>
              <w:rPr>
                <w:rFonts w:hint="eastAsia"/>
                <w:color w:val="auto"/>
                <w:spacing w:val="-6"/>
                <w:lang w:eastAsia="zh-CN"/>
              </w:rPr>
              <w:t>对盖州市大景城小区10号楼、13号楼、14号 楼、15号楼、16号楼更新改造住宅老旧电梯11部，涉及234户。</w:t>
            </w:r>
          </w:p>
          <w:p w14:paraId="53CA3A29">
            <w:pPr>
              <w:pStyle w:val="21"/>
              <w:spacing w:before="67" w:line="220" w:lineRule="auto"/>
              <w:ind w:firstLine="206" w:firstLineChars="100"/>
              <w:rPr>
                <w:color w:val="auto"/>
                <w:lang w:eastAsia="zh-CN"/>
              </w:rPr>
            </w:pPr>
            <w:r>
              <w:rPr>
                <w:color w:val="auto"/>
                <w:spacing w:val="-2"/>
                <w:lang w:eastAsia="zh-CN"/>
              </w:rPr>
              <w:t>关于招标范围的详细说明见第五章“供货要求”。</w:t>
            </w:r>
          </w:p>
        </w:tc>
      </w:tr>
      <w:tr w14:paraId="07614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6" w:hRule="atLeast"/>
          <w:jc w:val="center"/>
        </w:trPr>
        <w:tc>
          <w:tcPr>
            <w:tcW w:w="861" w:type="dxa"/>
          </w:tcPr>
          <w:p w14:paraId="5059A6D3">
            <w:pPr>
              <w:spacing w:line="283" w:lineRule="auto"/>
              <w:rPr>
                <w:color w:val="auto"/>
                <w:lang w:eastAsia="zh-CN"/>
              </w:rPr>
            </w:pPr>
          </w:p>
          <w:p w14:paraId="7E882630">
            <w:pPr>
              <w:spacing w:line="284" w:lineRule="auto"/>
              <w:rPr>
                <w:color w:val="auto"/>
                <w:lang w:eastAsia="zh-CN"/>
              </w:rPr>
            </w:pPr>
          </w:p>
          <w:p w14:paraId="7C4C3C75">
            <w:pPr>
              <w:spacing w:line="284" w:lineRule="auto"/>
              <w:rPr>
                <w:color w:val="auto"/>
                <w:lang w:eastAsia="zh-CN"/>
              </w:rPr>
            </w:pPr>
          </w:p>
          <w:p w14:paraId="0F0B6CDD">
            <w:pPr>
              <w:spacing w:before="60"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1.3.2</w:t>
            </w:r>
          </w:p>
        </w:tc>
        <w:tc>
          <w:tcPr>
            <w:tcW w:w="2037" w:type="dxa"/>
          </w:tcPr>
          <w:p w14:paraId="610EF108">
            <w:pPr>
              <w:spacing w:line="268" w:lineRule="auto"/>
              <w:rPr>
                <w:color w:val="auto"/>
              </w:rPr>
            </w:pPr>
          </w:p>
          <w:p w14:paraId="7B30495E">
            <w:pPr>
              <w:spacing w:line="268" w:lineRule="auto"/>
              <w:rPr>
                <w:color w:val="auto"/>
              </w:rPr>
            </w:pPr>
          </w:p>
          <w:p w14:paraId="4802E68D">
            <w:pPr>
              <w:spacing w:line="268" w:lineRule="auto"/>
              <w:rPr>
                <w:color w:val="auto"/>
              </w:rPr>
            </w:pPr>
          </w:p>
          <w:p w14:paraId="326F8EA8">
            <w:pPr>
              <w:pStyle w:val="21"/>
              <w:spacing w:before="69" w:line="220" w:lineRule="auto"/>
              <w:ind w:left="819"/>
              <w:rPr>
                <w:color w:val="auto"/>
              </w:rPr>
            </w:pPr>
            <w:r>
              <w:rPr>
                <w:color w:val="auto"/>
                <w:spacing w:val="-3"/>
              </w:rPr>
              <w:t>交货期</w:t>
            </w:r>
          </w:p>
        </w:tc>
        <w:tc>
          <w:tcPr>
            <w:tcW w:w="5516" w:type="dxa"/>
          </w:tcPr>
          <w:p w14:paraId="5BCF1088">
            <w:pPr>
              <w:pStyle w:val="21"/>
              <w:spacing w:before="78" w:line="220" w:lineRule="auto"/>
              <w:ind w:left="110"/>
              <w:rPr>
                <w:color w:val="auto"/>
                <w:lang w:eastAsia="zh-CN"/>
              </w:rPr>
            </w:pPr>
            <w:r>
              <w:rPr>
                <w:color w:val="auto"/>
                <w:spacing w:val="-4"/>
                <w:lang w:eastAsia="zh-CN"/>
              </w:rPr>
              <w:t>供货期限：</w:t>
            </w:r>
            <w:r>
              <w:rPr>
                <w:rFonts w:hint="eastAsia" w:ascii="Times New Roman" w:hAnsi="Times New Roman" w:cs="Times New Roman"/>
                <w:color w:val="auto"/>
                <w:spacing w:val="-4"/>
                <w:u w:val="single"/>
                <w:lang w:eastAsia="zh-CN"/>
              </w:rPr>
              <w:t>30</w:t>
            </w:r>
            <w:r>
              <w:rPr>
                <w:color w:val="auto"/>
                <w:spacing w:val="-4"/>
                <w:lang w:eastAsia="zh-CN"/>
              </w:rPr>
              <w:t>日历天</w:t>
            </w:r>
          </w:p>
          <w:p w14:paraId="2F3E7621">
            <w:pPr>
              <w:pStyle w:val="21"/>
              <w:spacing w:before="69" w:line="220" w:lineRule="auto"/>
              <w:ind w:left="110"/>
              <w:rPr>
                <w:color w:val="auto"/>
                <w:lang w:eastAsia="zh-CN"/>
              </w:rPr>
            </w:pPr>
            <w:r>
              <w:rPr>
                <w:color w:val="auto"/>
                <w:spacing w:val="-2"/>
                <w:lang w:eastAsia="zh-CN"/>
              </w:rPr>
              <w:t>计划供货开始日期：</w:t>
            </w:r>
            <w:r>
              <w:rPr>
                <w:rFonts w:ascii="Times New Roman" w:hAnsi="Times New Roman" w:eastAsia="Times New Roman" w:cs="Times New Roman"/>
                <w:color w:val="auto"/>
                <w:spacing w:val="-2"/>
                <w:u w:val="single"/>
                <w:lang w:eastAsia="zh-CN"/>
              </w:rPr>
              <w:t xml:space="preserve">2026 </w:t>
            </w:r>
            <w:r>
              <w:rPr>
                <w:color w:val="auto"/>
                <w:spacing w:val="-2"/>
                <w:u w:val="single"/>
                <w:lang w:eastAsia="zh-CN"/>
              </w:rPr>
              <w:t>年</w:t>
            </w:r>
            <w:r>
              <w:rPr>
                <w:rFonts w:hint="eastAsia"/>
                <w:color w:val="auto"/>
                <w:spacing w:val="-45"/>
                <w:u w:val="single"/>
                <w:lang w:eastAsia="zh-CN"/>
              </w:rPr>
              <w:t>**</w:t>
            </w:r>
            <w:r>
              <w:rPr>
                <w:color w:val="auto"/>
                <w:spacing w:val="-2"/>
                <w:u w:val="single"/>
                <w:lang w:eastAsia="zh-CN"/>
              </w:rPr>
              <w:t>月</w:t>
            </w:r>
            <w:r>
              <w:rPr>
                <w:rFonts w:hint="eastAsia"/>
                <w:color w:val="auto"/>
                <w:spacing w:val="-45"/>
                <w:u w:val="single"/>
                <w:lang w:eastAsia="zh-CN"/>
              </w:rPr>
              <w:t>**</w:t>
            </w:r>
            <w:r>
              <w:rPr>
                <w:color w:val="auto"/>
                <w:spacing w:val="-2"/>
                <w:u w:val="single"/>
                <w:lang w:eastAsia="zh-CN"/>
              </w:rPr>
              <w:t>日</w:t>
            </w:r>
          </w:p>
          <w:p w14:paraId="0262C395">
            <w:pPr>
              <w:pStyle w:val="21"/>
              <w:spacing w:before="69" w:line="220" w:lineRule="auto"/>
              <w:ind w:left="110"/>
              <w:rPr>
                <w:color w:val="auto"/>
                <w:lang w:eastAsia="zh-CN"/>
              </w:rPr>
            </w:pPr>
            <w:r>
              <w:rPr>
                <w:color w:val="auto"/>
                <w:spacing w:val="-2"/>
                <w:lang w:eastAsia="zh-CN"/>
              </w:rPr>
              <w:t>计划供货结束日期：</w:t>
            </w:r>
            <w:r>
              <w:rPr>
                <w:rFonts w:ascii="Times New Roman" w:hAnsi="Times New Roman" w:eastAsia="Times New Roman" w:cs="Times New Roman"/>
                <w:color w:val="auto"/>
                <w:spacing w:val="-2"/>
                <w:u w:val="single"/>
                <w:lang w:eastAsia="zh-CN"/>
              </w:rPr>
              <w:t xml:space="preserve">2026 </w:t>
            </w:r>
            <w:r>
              <w:rPr>
                <w:color w:val="auto"/>
                <w:spacing w:val="-2"/>
                <w:u w:val="single"/>
                <w:lang w:eastAsia="zh-CN"/>
              </w:rPr>
              <w:t>年</w:t>
            </w:r>
            <w:r>
              <w:rPr>
                <w:rFonts w:hint="eastAsia"/>
                <w:color w:val="auto"/>
                <w:spacing w:val="-45"/>
                <w:u w:val="single"/>
                <w:lang w:eastAsia="zh-CN"/>
              </w:rPr>
              <w:t>**</w:t>
            </w:r>
            <w:r>
              <w:rPr>
                <w:color w:val="auto"/>
                <w:spacing w:val="-2"/>
                <w:u w:val="single"/>
                <w:lang w:eastAsia="zh-CN"/>
              </w:rPr>
              <w:t>月</w:t>
            </w:r>
            <w:r>
              <w:rPr>
                <w:rFonts w:hint="eastAsia"/>
                <w:color w:val="auto"/>
                <w:spacing w:val="-45"/>
                <w:u w:val="single"/>
                <w:lang w:eastAsia="zh-CN"/>
              </w:rPr>
              <w:t>**</w:t>
            </w:r>
            <w:r>
              <w:rPr>
                <w:color w:val="auto"/>
                <w:spacing w:val="-2"/>
                <w:u w:val="single"/>
                <w:lang w:eastAsia="zh-CN"/>
              </w:rPr>
              <w:t>日</w:t>
            </w:r>
          </w:p>
          <w:p w14:paraId="1FC6AB7E">
            <w:pPr>
              <w:pStyle w:val="21"/>
              <w:spacing w:before="70" w:line="298" w:lineRule="auto"/>
              <w:ind w:left="102" w:right="46" w:firstLine="20"/>
              <w:rPr>
                <w:rFonts w:ascii="Times New Roman" w:hAnsi="Times New Roman" w:eastAsia="Times New Roman" w:cs="Times New Roman"/>
                <w:color w:val="auto"/>
                <w:lang w:eastAsia="zh-CN"/>
              </w:rPr>
            </w:pPr>
            <w:r>
              <w:rPr>
                <w:color w:val="auto"/>
                <w:spacing w:val="-6"/>
                <w:lang w:eastAsia="zh-CN"/>
              </w:rPr>
              <w:t>除上述总供货期限外，发包人还要求以下区段供货期限：</w:t>
            </w:r>
            <w:r>
              <w:rPr>
                <w:rFonts w:ascii="Times New Roman" w:hAnsi="Times New Roman" w:eastAsia="Times New Roman" w:cs="Times New Roman"/>
                <w:color w:val="auto"/>
                <w:u w:val="single"/>
                <w:lang w:eastAsia="zh-CN"/>
              </w:rPr>
              <w:t>/</w:t>
            </w:r>
          </w:p>
          <w:p w14:paraId="7429792B">
            <w:pPr>
              <w:pStyle w:val="21"/>
              <w:spacing w:before="1" w:line="206" w:lineRule="auto"/>
              <w:ind w:left="113"/>
              <w:rPr>
                <w:color w:val="auto"/>
                <w:lang w:eastAsia="zh-CN"/>
              </w:rPr>
            </w:pPr>
            <w:r>
              <w:rPr>
                <w:color w:val="auto"/>
                <w:spacing w:val="-2"/>
                <w:lang w:eastAsia="zh-CN"/>
              </w:rPr>
              <w:t>关于供货期限的详细说明见第五章“供货要求”。</w:t>
            </w:r>
          </w:p>
        </w:tc>
      </w:tr>
      <w:tr w14:paraId="20BEA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861" w:type="dxa"/>
          </w:tcPr>
          <w:p w14:paraId="6C1C798C">
            <w:pPr>
              <w:spacing w:before="26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1.3.3</w:t>
            </w:r>
          </w:p>
        </w:tc>
        <w:tc>
          <w:tcPr>
            <w:tcW w:w="2037" w:type="dxa"/>
          </w:tcPr>
          <w:p w14:paraId="2B42113F">
            <w:pPr>
              <w:pStyle w:val="21"/>
              <w:spacing w:before="225" w:line="220" w:lineRule="auto"/>
              <w:ind w:left="714"/>
              <w:rPr>
                <w:color w:val="auto"/>
              </w:rPr>
            </w:pPr>
            <w:r>
              <w:rPr>
                <w:color w:val="auto"/>
                <w:spacing w:val="-3"/>
              </w:rPr>
              <w:t>交货地点</w:t>
            </w:r>
          </w:p>
        </w:tc>
        <w:tc>
          <w:tcPr>
            <w:tcW w:w="5516" w:type="dxa"/>
          </w:tcPr>
          <w:p w14:paraId="4A86C305">
            <w:pPr>
              <w:spacing w:before="194" w:line="276" w:lineRule="exact"/>
              <w:ind w:left="102"/>
              <w:rPr>
                <w:rFonts w:ascii="Times New Roman" w:hAnsi="Times New Roman" w:eastAsia="宋体" w:cs="Times New Roman"/>
                <w:color w:val="auto"/>
                <w:lang w:eastAsia="zh-CN"/>
              </w:rPr>
            </w:pPr>
            <w:r>
              <w:rPr>
                <w:rFonts w:hint="eastAsia" w:ascii="宋体" w:hAnsi="宋体" w:eastAsia="宋体" w:cs="宋体"/>
                <w:color w:val="auto"/>
                <w:lang w:eastAsia="zh-CN"/>
              </w:rPr>
              <w:t>辽宁省营口市盖州市大景城小区</w:t>
            </w:r>
          </w:p>
        </w:tc>
      </w:tr>
      <w:tr w14:paraId="19E11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jc w:val="center"/>
        </w:trPr>
        <w:tc>
          <w:tcPr>
            <w:tcW w:w="861" w:type="dxa"/>
          </w:tcPr>
          <w:p w14:paraId="2100EAF3">
            <w:pPr>
              <w:spacing w:line="367" w:lineRule="auto"/>
              <w:rPr>
                <w:color w:val="auto"/>
                <w:lang w:eastAsia="zh-CN"/>
              </w:rPr>
            </w:pPr>
          </w:p>
          <w:p w14:paraId="05E3CB6C">
            <w:pPr>
              <w:spacing w:before="60" w:line="186" w:lineRule="auto"/>
              <w:ind w:left="238"/>
              <w:rPr>
                <w:rFonts w:ascii="Times New Roman" w:hAnsi="Times New Roman" w:eastAsia="宋体" w:cs="Times New Roman"/>
                <w:color w:val="auto"/>
                <w:lang w:eastAsia="zh-CN"/>
              </w:rPr>
            </w:pPr>
            <w:r>
              <w:rPr>
                <w:rFonts w:ascii="Times New Roman" w:hAnsi="Times New Roman" w:eastAsia="Times New Roman" w:cs="Times New Roman"/>
                <w:color w:val="auto"/>
                <w:spacing w:val="-4"/>
              </w:rPr>
              <w:t>1.3.</w:t>
            </w:r>
            <w:r>
              <w:rPr>
                <w:rFonts w:hint="eastAsia" w:ascii="Times New Roman" w:hAnsi="Times New Roman" w:eastAsia="宋体" w:cs="Times New Roman"/>
                <w:color w:val="auto"/>
                <w:spacing w:val="-4"/>
                <w:lang w:eastAsia="zh-CN"/>
              </w:rPr>
              <w:t>4</w:t>
            </w:r>
          </w:p>
        </w:tc>
        <w:tc>
          <w:tcPr>
            <w:tcW w:w="2037" w:type="dxa"/>
          </w:tcPr>
          <w:p w14:paraId="42F9259D">
            <w:pPr>
              <w:spacing w:line="321" w:lineRule="auto"/>
              <w:rPr>
                <w:color w:val="auto"/>
              </w:rPr>
            </w:pPr>
          </w:p>
          <w:p w14:paraId="7632F194">
            <w:pPr>
              <w:pStyle w:val="21"/>
              <w:spacing w:before="68" w:line="221" w:lineRule="auto"/>
              <w:ind w:left="711"/>
              <w:rPr>
                <w:color w:val="auto"/>
              </w:rPr>
            </w:pPr>
            <w:r>
              <w:rPr>
                <w:color w:val="auto"/>
                <w:spacing w:val="-2"/>
              </w:rPr>
              <w:t>质量标准</w:t>
            </w:r>
          </w:p>
        </w:tc>
        <w:tc>
          <w:tcPr>
            <w:tcW w:w="5516" w:type="dxa"/>
          </w:tcPr>
          <w:p w14:paraId="2323C96E">
            <w:pPr>
              <w:pStyle w:val="21"/>
              <w:spacing w:before="40" w:line="278" w:lineRule="auto"/>
              <w:ind w:left="111"/>
              <w:rPr>
                <w:rFonts w:ascii="Times New Roman" w:hAnsi="Times New Roman" w:eastAsia="Times New Roman" w:cs="Times New Roman"/>
                <w:color w:val="auto"/>
                <w:lang w:eastAsia="zh-CN"/>
              </w:rPr>
            </w:pPr>
            <w:r>
              <w:rPr>
                <w:color w:val="auto"/>
                <w:spacing w:val="-2"/>
                <w:lang w:eastAsia="zh-CN"/>
              </w:rPr>
              <w:t>质量目标：</w:t>
            </w:r>
            <w:r>
              <w:rPr>
                <w:rFonts w:hint="eastAsia"/>
                <w:color w:val="auto"/>
                <w:u w:val="single"/>
                <w:lang w:eastAsia="zh-CN"/>
              </w:rPr>
              <w:t>合格</w:t>
            </w:r>
          </w:p>
          <w:p w14:paraId="41C2F455">
            <w:pPr>
              <w:pStyle w:val="21"/>
              <w:spacing w:before="3" w:line="278" w:lineRule="auto"/>
              <w:ind w:left="111"/>
              <w:rPr>
                <w:rFonts w:ascii="Times New Roman" w:hAnsi="Times New Roman" w:eastAsia="Times New Roman" w:cs="Times New Roman"/>
                <w:color w:val="auto"/>
                <w:lang w:eastAsia="zh-CN"/>
              </w:rPr>
            </w:pPr>
            <w:r>
              <w:rPr>
                <w:color w:val="auto"/>
                <w:spacing w:val="-2"/>
                <w:lang w:eastAsia="zh-CN"/>
              </w:rPr>
              <w:t>其他要求：</w:t>
            </w:r>
            <w:r>
              <w:rPr>
                <w:rFonts w:ascii="Times New Roman" w:hAnsi="Times New Roman" w:eastAsia="Times New Roman" w:cs="Times New Roman"/>
                <w:color w:val="auto"/>
                <w:spacing w:val="-2"/>
                <w:u w:val="single"/>
                <w:lang w:eastAsia="zh-CN"/>
              </w:rPr>
              <w:t>/</w:t>
            </w:r>
          </w:p>
          <w:p w14:paraId="76DDBBDE">
            <w:pPr>
              <w:pStyle w:val="21"/>
              <w:spacing w:before="34" w:line="209" w:lineRule="auto"/>
              <w:ind w:left="113"/>
              <w:rPr>
                <w:color w:val="auto"/>
                <w:lang w:eastAsia="zh-CN"/>
              </w:rPr>
            </w:pPr>
            <w:r>
              <w:rPr>
                <w:color w:val="auto"/>
                <w:spacing w:val="-2"/>
                <w:lang w:eastAsia="zh-CN"/>
              </w:rPr>
              <w:t>关于质量标准的详细说明见第五章“供货要求”。</w:t>
            </w:r>
          </w:p>
        </w:tc>
      </w:tr>
      <w:tr w14:paraId="7152F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861" w:type="dxa"/>
          </w:tcPr>
          <w:p w14:paraId="30B4D880">
            <w:pPr>
              <w:spacing w:line="246" w:lineRule="auto"/>
              <w:rPr>
                <w:color w:val="auto"/>
                <w:lang w:eastAsia="zh-CN"/>
              </w:rPr>
            </w:pPr>
          </w:p>
          <w:p w14:paraId="0AAFEDA1">
            <w:pPr>
              <w:spacing w:line="247" w:lineRule="auto"/>
              <w:rPr>
                <w:color w:val="auto"/>
                <w:lang w:eastAsia="zh-CN"/>
              </w:rPr>
            </w:pPr>
          </w:p>
          <w:p w14:paraId="0CD32AD8">
            <w:pPr>
              <w:spacing w:line="247" w:lineRule="auto"/>
              <w:rPr>
                <w:color w:val="auto"/>
                <w:lang w:eastAsia="zh-CN"/>
              </w:rPr>
            </w:pPr>
          </w:p>
          <w:p w14:paraId="003ABAEA">
            <w:pPr>
              <w:spacing w:line="247" w:lineRule="auto"/>
              <w:rPr>
                <w:color w:val="auto"/>
                <w:lang w:eastAsia="zh-CN"/>
              </w:rPr>
            </w:pPr>
          </w:p>
          <w:p w14:paraId="74C78B69">
            <w:pPr>
              <w:spacing w:line="247" w:lineRule="auto"/>
              <w:rPr>
                <w:color w:val="auto"/>
                <w:lang w:eastAsia="zh-CN"/>
              </w:rPr>
            </w:pPr>
          </w:p>
          <w:p w14:paraId="5B3C77AF">
            <w:pPr>
              <w:spacing w:line="247" w:lineRule="auto"/>
              <w:rPr>
                <w:color w:val="auto"/>
                <w:lang w:eastAsia="zh-CN"/>
              </w:rPr>
            </w:pPr>
          </w:p>
          <w:p w14:paraId="5B81F458">
            <w:pPr>
              <w:spacing w:before="61" w:line="186" w:lineRule="auto"/>
              <w:ind w:left="238"/>
              <w:rPr>
                <w:rFonts w:ascii="Times New Roman" w:hAnsi="Times New Roman" w:eastAsia="Times New Roman" w:cs="Times New Roman"/>
                <w:color w:val="auto"/>
                <w:spacing w:val="-4"/>
                <w:lang w:eastAsia="zh-CN"/>
              </w:rPr>
            </w:pPr>
          </w:p>
          <w:p w14:paraId="78D32A46">
            <w:pPr>
              <w:spacing w:before="61" w:line="186" w:lineRule="auto"/>
              <w:rPr>
                <w:rFonts w:ascii="Times New Roman" w:hAnsi="Times New Roman" w:eastAsia="Times New Roman" w:cs="Times New Roman"/>
                <w:color w:val="auto"/>
                <w:spacing w:val="-4"/>
                <w:lang w:eastAsia="zh-CN"/>
              </w:rPr>
            </w:pPr>
          </w:p>
          <w:p w14:paraId="549D46CA">
            <w:pPr>
              <w:spacing w:before="61" w:line="186" w:lineRule="auto"/>
              <w:ind w:left="238"/>
              <w:rPr>
                <w:rFonts w:ascii="Times New Roman" w:hAnsi="Times New Roman" w:eastAsia="Times New Roman" w:cs="Times New Roman"/>
                <w:color w:val="auto"/>
                <w:spacing w:val="-4"/>
                <w:lang w:eastAsia="zh-CN"/>
              </w:rPr>
            </w:pPr>
          </w:p>
          <w:p w14:paraId="4A77725C">
            <w:pPr>
              <w:spacing w:before="61" w:line="186" w:lineRule="auto"/>
              <w:ind w:left="238"/>
              <w:rPr>
                <w:rFonts w:ascii="Times New Roman" w:hAnsi="Times New Roman" w:eastAsia="Times New Roman" w:cs="Times New Roman"/>
                <w:color w:val="auto"/>
                <w:spacing w:val="-4"/>
                <w:lang w:eastAsia="zh-CN"/>
              </w:rPr>
            </w:pPr>
          </w:p>
          <w:p w14:paraId="425DE0C8">
            <w:pPr>
              <w:spacing w:before="61" w:line="186" w:lineRule="auto"/>
              <w:ind w:left="238"/>
              <w:rPr>
                <w:rFonts w:ascii="Times New Roman" w:hAnsi="Times New Roman" w:eastAsia="Times New Roman" w:cs="Times New Roman"/>
                <w:color w:val="auto"/>
                <w:spacing w:val="-4"/>
                <w:lang w:eastAsia="zh-CN"/>
              </w:rPr>
            </w:pPr>
          </w:p>
          <w:p w14:paraId="71377123">
            <w:pPr>
              <w:spacing w:before="61" w:line="186" w:lineRule="auto"/>
              <w:ind w:left="238"/>
              <w:rPr>
                <w:rFonts w:ascii="Times New Roman" w:hAnsi="Times New Roman" w:eastAsia="Times New Roman" w:cs="Times New Roman"/>
                <w:color w:val="auto"/>
                <w:spacing w:val="-4"/>
                <w:lang w:eastAsia="zh-CN"/>
              </w:rPr>
            </w:pPr>
          </w:p>
          <w:p w14:paraId="60A315E0">
            <w:pPr>
              <w:spacing w:before="61"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1.4.1</w:t>
            </w:r>
          </w:p>
        </w:tc>
        <w:tc>
          <w:tcPr>
            <w:tcW w:w="2037" w:type="dxa"/>
          </w:tcPr>
          <w:p w14:paraId="411ABD70">
            <w:pPr>
              <w:spacing w:line="255" w:lineRule="auto"/>
              <w:rPr>
                <w:color w:val="auto"/>
                <w:lang w:eastAsia="zh-CN"/>
              </w:rPr>
            </w:pPr>
          </w:p>
          <w:p w14:paraId="3C0C8B84">
            <w:pPr>
              <w:spacing w:line="255" w:lineRule="auto"/>
              <w:rPr>
                <w:color w:val="auto"/>
                <w:lang w:eastAsia="zh-CN"/>
              </w:rPr>
            </w:pPr>
          </w:p>
          <w:p w14:paraId="675F6EFC">
            <w:pPr>
              <w:spacing w:line="255" w:lineRule="auto"/>
              <w:rPr>
                <w:color w:val="auto"/>
                <w:lang w:eastAsia="zh-CN"/>
              </w:rPr>
            </w:pPr>
          </w:p>
          <w:p w14:paraId="6BCC5E79">
            <w:pPr>
              <w:spacing w:line="255" w:lineRule="auto"/>
              <w:rPr>
                <w:color w:val="auto"/>
                <w:lang w:eastAsia="zh-CN"/>
              </w:rPr>
            </w:pPr>
          </w:p>
          <w:p w14:paraId="0BC04192">
            <w:pPr>
              <w:spacing w:line="256" w:lineRule="auto"/>
              <w:rPr>
                <w:color w:val="auto"/>
                <w:lang w:eastAsia="zh-CN"/>
              </w:rPr>
            </w:pPr>
          </w:p>
          <w:p w14:paraId="1C068BE1">
            <w:pPr>
              <w:pStyle w:val="21"/>
              <w:spacing w:before="68" w:line="283" w:lineRule="auto"/>
              <w:ind w:left="612" w:right="317" w:hanging="320"/>
              <w:rPr>
                <w:color w:val="auto"/>
                <w:spacing w:val="-6"/>
                <w:lang w:eastAsia="zh-CN"/>
              </w:rPr>
            </w:pPr>
          </w:p>
          <w:p w14:paraId="542B5281">
            <w:pPr>
              <w:pStyle w:val="21"/>
              <w:spacing w:before="68" w:line="283" w:lineRule="auto"/>
              <w:ind w:right="317"/>
              <w:rPr>
                <w:color w:val="auto"/>
                <w:spacing w:val="-6"/>
                <w:lang w:eastAsia="zh-CN"/>
              </w:rPr>
            </w:pPr>
          </w:p>
          <w:p w14:paraId="7B515691">
            <w:pPr>
              <w:pStyle w:val="21"/>
              <w:spacing w:before="68" w:line="283" w:lineRule="auto"/>
              <w:ind w:left="612" w:right="317" w:hanging="320"/>
              <w:rPr>
                <w:color w:val="auto"/>
                <w:spacing w:val="-6"/>
                <w:lang w:eastAsia="zh-CN"/>
              </w:rPr>
            </w:pPr>
          </w:p>
          <w:p w14:paraId="1599FC68">
            <w:pPr>
              <w:pStyle w:val="21"/>
              <w:spacing w:before="68" w:line="283" w:lineRule="auto"/>
              <w:ind w:right="317" w:firstLine="198" w:firstLineChars="100"/>
              <w:rPr>
                <w:color w:val="auto"/>
                <w:spacing w:val="-6"/>
                <w:lang w:eastAsia="zh-CN"/>
              </w:rPr>
            </w:pPr>
            <w:r>
              <w:rPr>
                <w:color w:val="auto"/>
                <w:spacing w:val="-6"/>
                <w:lang w:eastAsia="zh-CN"/>
              </w:rPr>
              <w:t>投标人资质条</w:t>
            </w:r>
          </w:p>
          <w:p w14:paraId="5F6181B6">
            <w:pPr>
              <w:pStyle w:val="21"/>
              <w:spacing w:before="68" w:line="283" w:lineRule="auto"/>
              <w:ind w:right="317" w:firstLine="198" w:firstLineChars="100"/>
              <w:rPr>
                <w:color w:val="auto"/>
                <w:lang w:eastAsia="zh-CN"/>
              </w:rPr>
            </w:pPr>
            <w:r>
              <w:rPr>
                <w:rFonts w:hint="eastAsia"/>
                <w:color w:val="auto"/>
                <w:spacing w:val="-6"/>
                <w:lang w:eastAsia="zh-CN"/>
              </w:rPr>
              <w:t>件、</w:t>
            </w:r>
            <w:r>
              <w:rPr>
                <w:color w:val="auto"/>
                <w:spacing w:val="-3"/>
                <w:lang w:eastAsia="zh-CN"/>
              </w:rPr>
              <w:t>能力和信誉</w:t>
            </w:r>
          </w:p>
        </w:tc>
        <w:tc>
          <w:tcPr>
            <w:tcW w:w="5516" w:type="dxa"/>
          </w:tcPr>
          <w:p w14:paraId="18A18076">
            <w:pPr>
              <w:pStyle w:val="21"/>
              <w:spacing w:before="1" w:line="267" w:lineRule="auto"/>
              <w:ind w:left="111" w:right="99" w:hanging="1"/>
              <w:rPr>
                <w:color w:val="auto"/>
                <w:u w:val="single"/>
                <w:lang w:eastAsia="zh-CN"/>
              </w:rPr>
            </w:pPr>
            <w:r>
              <w:rPr>
                <w:b/>
                <w:bCs/>
                <w:color w:val="auto"/>
                <w:spacing w:val="-2"/>
                <w:lang w:eastAsia="zh-CN"/>
              </w:rPr>
              <w:t>资质要求：</w:t>
            </w:r>
            <w:r>
              <w:rPr>
                <w:rFonts w:hint="eastAsia"/>
                <w:color w:val="auto"/>
                <w:lang w:eastAsia="zh-CN"/>
              </w:rPr>
              <w:t>（1）投标人具有独立法人资格的电梯生产厂家或电梯生产厂家授权的代理商（同品牌电梯只接受一家报名。代理商需提供电梯生产厂家针对本项目的唯一授权书）;（2）投标人为电梯生产厂家的须具有《中华人民共和国特种设备生产许可证》【许可项目：电梯制造（含安装、修理、改造）；许可子项目：曳引驱动乘客电梯（含消防员电梯）】;（3）投标人为代理商的须同时提供以下证书：1）电梯生产厂家的《中华人民共和国特种设备生产许可证》【许可项目：电梯制造（含安装、修理、改造）；许可子项目：曳引驱动乘客电梯（含消防员电梯）】;2）投标人的《中华人民共和国特种设备生产许可证》【许可项目：电梯安装（含修理）；许可子项目：曳引驱动乘客电梯（含消防员电梯）】;</w:t>
            </w:r>
          </w:p>
          <w:p w14:paraId="46C6A27B">
            <w:pPr>
              <w:pStyle w:val="21"/>
              <w:spacing w:before="1" w:line="267" w:lineRule="auto"/>
              <w:ind w:left="111" w:right="99" w:hanging="1"/>
              <w:rPr>
                <w:color w:val="auto"/>
                <w:lang w:eastAsia="zh-CN"/>
              </w:rPr>
            </w:pPr>
            <w:r>
              <w:rPr>
                <w:b/>
                <w:bCs/>
                <w:color w:val="auto"/>
                <w:spacing w:val="-2"/>
                <w:lang w:eastAsia="zh-CN"/>
              </w:rPr>
              <w:t>信誉要求：</w:t>
            </w:r>
            <w:r>
              <w:rPr>
                <w:color w:val="auto"/>
                <w:spacing w:val="-2"/>
                <w:lang w:eastAsia="zh-CN"/>
              </w:rPr>
              <w:t>不得具有投标人须知第</w:t>
            </w:r>
            <w:r>
              <w:rPr>
                <w:rFonts w:ascii="Times New Roman" w:hAnsi="Times New Roman" w:eastAsia="Times New Roman" w:cs="Times New Roman"/>
                <w:color w:val="auto"/>
                <w:spacing w:val="-2"/>
                <w:lang w:eastAsia="zh-CN"/>
              </w:rPr>
              <w:t>1.4.3</w:t>
            </w:r>
            <w:r>
              <w:rPr>
                <w:color w:val="auto"/>
                <w:spacing w:val="-2"/>
                <w:lang w:eastAsia="zh-CN"/>
              </w:rPr>
              <w:t>（</w:t>
            </w:r>
            <w:r>
              <w:rPr>
                <w:rFonts w:ascii="Times New Roman" w:hAnsi="Times New Roman" w:eastAsia="Times New Roman" w:cs="Times New Roman"/>
                <w:color w:val="auto"/>
                <w:spacing w:val="-2"/>
                <w:lang w:eastAsia="zh-CN"/>
              </w:rPr>
              <w:t>12</w:t>
            </w:r>
            <w:r>
              <w:rPr>
                <w:color w:val="auto"/>
                <w:spacing w:val="-2"/>
                <w:lang w:eastAsia="zh-CN"/>
              </w:rPr>
              <w:t>）至（</w:t>
            </w:r>
            <w:r>
              <w:rPr>
                <w:rFonts w:ascii="Times New Roman" w:hAnsi="Times New Roman" w:eastAsia="Times New Roman" w:cs="Times New Roman"/>
                <w:color w:val="auto"/>
                <w:spacing w:val="-2"/>
                <w:lang w:eastAsia="zh-CN"/>
              </w:rPr>
              <w:t>19</w:t>
            </w:r>
            <w:r>
              <w:rPr>
                <w:color w:val="auto"/>
                <w:spacing w:val="-2"/>
                <w:lang w:eastAsia="zh-CN"/>
              </w:rPr>
              <w:t>）</w:t>
            </w:r>
            <w:r>
              <w:rPr>
                <w:color w:val="auto"/>
                <w:spacing w:val="-5"/>
                <w:lang w:eastAsia="zh-CN"/>
              </w:rPr>
              <w:t>条目规定的情形。</w:t>
            </w:r>
          </w:p>
          <w:p w14:paraId="6EC53B8D">
            <w:pPr>
              <w:pStyle w:val="21"/>
              <w:spacing w:line="281" w:lineRule="auto"/>
              <w:ind w:left="111" w:right="102" w:firstLine="2"/>
              <w:rPr>
                <w:color w:val="auto"/>
                <w:lang w:eastAsia="zh-CN"/>
              </w:rPr>
            </w:pPr>
            <w:r>
              <w:rPr>
                <w:b/>
                <w:bCs/>
                <w:color w:val="auto"/>
                <w:spacing w:val="-2"/>
                <w:lang w:eastAsia="zh-CN"/>
              </w:rPr>
              <w:t>项目负责人资格要求：</w:t>
            </w:r>
            <w:r>
              <w:rPr>
                <w:color w:val="auto"/>
                <w:spacing w:val="-2"/>
                <w:lang w:eastAsia="zh-CN"/>
              </w:rPr>
              <w:t>具备</w:t>
            </w:r>
            <w:r>
              <w:rPr>
                <w:rFonts w:ascii="Times New Roman" w:hAnsi="Times New Roman" w:eastAsia="Times New Roman" w:cs="Times New Roman"/>
                <w:color w:val="auto"/>
                <w:spacing w:val="-2"/>
                <w:u w:val="single"/>
                <w:lang w:eastAsia="zh-CN"/>
              </w:rPr>
              <w:t>/</w:t>
            </w:r>
            <w:r>
              <w:rPr>
                <w:color w:val="auto"/>
                <w:spacing w:val="-2"/>
                <w:lang w:eastAsia="zh-CN"/>
              </w:rPr>
              <w:t>执业资格，二次刷</w:t>
            </w:r>
            <w:r>
              <w:rPr>
                <w:color w:val="auto"/>
                <w:spacing w:val="-3"/>
                <w:lang w:eastAsia="zh-CN"/>
              </w:rPr>
              <w:t>卡认证通</w:t>
            </w:r>
            <w:r>
              <w:rPr>
                <w:color w:val="auto"/>
                <w:spacing w:val="-10"/>
                <w:lang w:eastAsia="zh-CN"/>
              </w:rPr>
              <w:t>过</w:t>
            </w:r>
          </w:p>
          <w:p w14:paraId="134711D5">
            <w:pPr>
              <w:pStyle w:val="21"/>
              <w:spacing w:line="278" w:lineRule="auto"/>
              <w:ind w:left="109"/>
              <w:rPr>
                <w:rFonts w:ascii="Times New Roman" w:hAnsi="Times New Roman" w:cs="Times New Roman"/>
                <w:color w:val="auto"/>
                <w:u w:val="single"/>
                <w:lang w:eastAsia="zh-CN"/>
              </w:rPr>
            </w:pPr>
            <w:r>
              <w:rPr>
                <w:b/>
                <w:bCs/>
                <w:color w:val="auto"/>
                <w:spacing w:val="-3"/>
                <w:lang w:eastAsia="zh-CN"/>
              </w:rPr>
              <w:t>业绩要求：</w:t>
            </w:r>
            <w:r>
              <w:rPr>
                <w:rFonts w:hint="eastAsia"/>
                <w:color w:val="auto"/>
                <w:spacing w:val="-3"/>
                <w:u w:val="single"/>
                <w:lang w:eastAsia="zh-CN"/>
              </w:rPr>
              <w:t xml:space="preserve">  /  </w:t>
            </w:r>
          </w:p>
          <w:p w14:paraId="0C9C65D7">
            <w:pPr>
              <w:pStyle w:val="21"/>
              <w:spacing w:before="4" w:line="234" w:lineRule="auto"/>
              <w:ind w:left="111"/>
              <w:rPr>
                <w:rFonts w:ascii="Times New Roman" w:hAnsi="Times New Roman" w:eastAsia="Times New Roman" w:cs="Times New Roman"/>
                <w:color w:val="auto"/>
                <w:lang w:eastAsia="zh-CN"/>
              </w:rPr>
            </w:pPr>
            <w:r>
              <w:rPr>
                <w:b/>
                <w:bCs/>
                <w:color w:val="auto"/>
                <w:spacing w:val="-3"/>
                <w:lang w:eastAsia="zh-CN"/>
              </w:rPr>
              <w:t>其他要求：</w:t>
            </w:r>
            <w:r>
              <w:rPr>
                <w:rFonts w:hint="eastAsia"/>
                <w:color w:val="auto"/>
                <w:u w:val="single"/>
                <w:lang w:eastAsia="zh-CN"/>
              </w:rPr>
              <w:t>投标单位授权委托代理人应具有与投标单位签订的经人社部门认定盖章的劳动合同或社会养老保险关系证明。</w:t>
            </w:r>
          </w:p>
        </w:tc>
      </w:tr>
      <w:tr w14:paraId="71FA1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9" w:hRule="atLeast"/>
          <w:jc w:val="center"/>
        </w:trPr>
        <w:tc>
          <w:tcPr>
            <w:tcW w:w="861" w:type="dxa"/>
          </w:tcPr>
          <w:p w14:paraId="2899BC7F">
            <w:pPr>
              <w:spacing w:line="269" w:lineRule="auto"/>
              <w:rPr>
                <w:color w:val="auto"/>
                <w:lang w:eastAsia="zh-CN"/>
              </w:rPr>
            </w:pPr>
          </w:p>
          <w:p w14:paraId="6B97700D">
            <w:pPr>
              <w:spacing w:line="269" w:lineRule="auto"/>
              <w:rPr>
                <w:color w:val="auto"/>
                <w:lang w:eastAsia="zh-CN"/>
              </w:rPr>
            </w:pPr>
          </w:p>
          <w:p w14:paraId="21A8BD50">
            <w:pPr>
              <w:spacing w:line="269" w:lineRule="auto"/>
              <w:rPr>
                <w:color w:val="auto"/>
                <w:lang w:eastAsia="zh-CN"/>
              </w:rPr>
            </w:pPr>
          </w:p>
          <w:p w14:paraId="50645795">
            <w:pPr>
              <w:spacing w:before="61"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1.4.2</w:t>
            </w:r>
          </w:p>
        </w:tc>
        <w:tc>
          <w:tcPr>
            <w:tcW w:w="2037" w:type="dxa"/>
          </w:tcPr>
          <w:p w14:paraId="50E68E0C">
            <w:pPr>
              <w:spacing w:line="253" w:lineRule="auto"/>
              <w:rPr>
                <w:color w:val="auto"/>
              </w:rPr>
            </w:pPr>
          </w:p>
          <w:p w14:paraId="1D58A37C">
            <w:pPr>
              <w:spacing w:line="254" w:lineRule="auto"/>
              <w:rPr>
                <w:color w:val="auto"/>
              </w:rPr>
            </w:pPr>
          </w:p>
          <w:p w14:paraId="6A48A603">
            <w:pPr>
              <w:spacing w:line="254" w:lineRule="auto"/>
              <w:rPr>
                <w:color w:val="auto"/>
              </w:rPr>
            </w:pPr>
          </w:p>
          <w:p w14:paraId="2DB8DC49">
            <w:pPr>
              <w:pStyle w:val="21"/>
              <w:spacing w:before="68" w:line="221" w:lineRule="auto"/>
              <w:ind w:left="188"/>
              <w:rPr>
                <w:color w:val="auto"/>
              </w:rPr>
            </w:pPr>
            <w:r>
              <w:rPr>
                <w:color w:val="auto"/>
                <w:spacing w:val="-2"/>
              </w:rPr>
              <w:t>是否接受联合体投标</w:t>
            </w:r>
          </w:p>
        </w:tc>
        <w:tc>
          <w:tcPr>
            <w:tcW w:w="5516" w:type="dxa"/>
          </w:tcPr>
          <w:p w14:paraId="67CD3B49">
            <w:pPr>
              <w:pStyle w:val="21"/>
              <w:spacing w:before="194" w:line="210" w:lineRule="auto"/>
              <w:ind w:left="119"/>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不接受</w:t>
            </w:r>
          </w:p>
          <w:p w14:paraId="523437AA">
            <w:pPr>
              <w:pStyle w:val="21"/>
              <w:spacing w:before="37" w:line="277" w:lineRule="auto"/>
              <w:ind w:left="131"/>
              <w:rPr>
                <w:rFonts w:ascii="Times New Roman" w:hAnsi="Times New Roman" w:eastAsia="Times New Roman" w:cs="Times New Roman"/>
                <w:color w:val="auto"/>
                <w:lang w:eastAsia="zh-CN"/>
              </w:rPr>
            </w:pPr>
            <w:r>
              <w:rPr>
                <w:color w:val="auto"/>
                <w:spacing w:val="-3"/>
                <w:lang w:eastAsia="zh-CN"/>
              </w:rPr>
              <w:t>□接受，应满足下列要求：</w:t>
            </w:r>
            <w:r>
              <w:rPr>
                <w:rFonts w:ascii="Times New Roman" w:hAnsi="Times New Roman" w:eastAsia="Times New Roman" w:cs="Times New Roman"/>
                <w:color w:val="auto"/>
                <w:spacing w:val="-3"/>
                <w:u w:val="single"/>
                <w:lang w:eastAsia="zh-CN"/>
              </w:rPr>
              <w:t>/</w:t>
            </w:r>
          </w:p>
          <w:p w14:paraId="7EB4C51C">
            <w:pPr>
              <w:pStyle w:val="21"/>
              <w:spacing w:before="35" w:line="283" w:lineRule="auto"/>
              <w:ind w:left="110" w:right="142"/>
              <w:rPr>
                <w:color w:val="auto"/>
                <w:lang w:eastAsia="zh-CN"/>
              </w:rPr>
            </w:pPr>
            <w:r>
              <w:rPr>
                <w:color w:val="auto"/>
                <w:spacing w:val="-1"/>
                <w:lang w:eastAsia="zh-CN"/>
              </w:rPr>
              <w:t>其中：</w:t>
            </w:r>
            <w:r>
              <w:rPr>
                <w:color w:val="auto"/>
                <w:spacing w:val="-1"/>
                <w:u w:val="single"/>
                <w:lang w:eastAsia="zh-CN"/>
              </w:rPr>
              <w:t>联合体资质按照联合体协议约定的分工认定，其他按照评审标准规定和联合体协议中约定的各成员分工</w:t>
            </w:r>
            <w:r>
              <w:rPr>
                <w:color w:val="auto"/>
                <w:spacing w:val="-2"/>
                <w:u w:val="single"/>
                <w:lang w:eastAsia="zh-CN"/>
              </w:rPr>
              <w:t>要求进行。</w:t>
            </w:r>
          </w:p>
        </w:tc>
      </w:tr>
      <w:tr w14:paraId="298DA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861" w:type="dxa"/>
          </w:tcPr>
          <w:p w14:paraId="0685DC34">
            <w:pPr>
              <w:spacing w:before="114"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1.4.3</w:t>
            </w:r>
          </w:p>
          <w:p w14:paraId="7A86EC61">
            <w:pPr>
              <w:pStyle w:val="21"/>
              <w:spacing w:before="94" w:line="205" w:lineRule="auto"/>
              <w:ind w:left="122"/>
              <w:rPr>
                <w:color w:val="auto"/>
              </w:rPr>
            </w:pPr>
            <w:r>
              <w:rPr>
                <w:color w:val="auto"/>
                <w:spacing w:val="-4"/>
              </w:rPr>
              <w:t>（</w:t>
            </w:r>
            <w:r>
              <w:rPr>
                <w:rFonts w:ascii="Times New Roman" w:hAnsi="Times New Roman" w:eastAsia="Times New Roman" w:cs="Times New Roman"/>
                <w:color w:val="auto"/>
                <w:spacing w:val="-4"/>
              </w:rPr>
              <w:t>19</w:t>
            </w:r>
            <w:r>
              <w:rPr>
                <w:color w:val="auto"/>
                <w:spacing w:val="-4"/>
              </w:rPr>
              <w:t>）</w:t>
            </w:r>
          </w:p>
        </w:tc>
        <w:tc>
          <w:tcPr>
            <w:tcW w:w="2037" w:type="dxa"/>
          </w:tcPr>
          <w:p w14:paraId="50A0277A">
            <w:pPr>
              <w:pStyle w:val="21"/>
              <w:spacing w:before="76" w:line="243" w:lineRule="auto"/>
              <w:ind w:left="814" w:right="182" w:hanging="627"/>
              <w:rPr>
                <w:color w:val="auto"/>
                <w:lang w:eastAsia="zh-CN"/>
              </w:rPr>
            </w:pPr>
            <w:r>
              <w:rPr>
                <w:color w:val="auto"/>
                <w:spacing w:val="-2"/>
                <w:lang w:eastAsia="zh-CN"/>
              </w:rPr>
              <w:t>投标人不得存在的其他情形</w:t>
            </w:r>
          </w:p>
        </w:tc>
        <w:tc>
          <w:tcPr>
            <w:tcW w:w="5516" w:type="dxa"/>
          </w:tcPr>
          <w:p w14:paraId="4398B147">
            <w:pPr>
              <w:spacing w:before="204" w:line="276" w:lineRule="exact"/>
              <w:ind w:left="102"/>
              <w:rPr>
                <w:rFonts w:ascii="Times New Roman" w:hAnsi="Times New Roman" w:eastAsia="Times New Roman" w:cs="Times New Roman"/>
                <w:color w:val="auto"/>
              </w:rPr>
            </w:pPr>
            <w:r>
              <w:rPr>
                <w:rFonts w:ascii="Times New Roman" w:hAnsi="Times New Roman" w:eastAsia="Times New Roman" w:cs="Times New Roman"/>
                <w:color w:val="auto"/>
                <w:position w:val="1"/>
              </w:rPr>
              <w:t>/</w:t>
            </w:r>
          </w:p>
        </w:tc>
      </w:tr>
      <w:tr w14:paraId="2BC38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jc w:val="center"/>
        </w:trPr>
        <w:tc>
          <w:tcPr>
            <w:tcW w:w="861" w:type="dxa"/>
          </w:tcPr>
          <w:p w14:paraId="2F768D2B">
            <w:pPr>
              <w:spacing w:line="255" w:lineRule="auto"/>
              <w:rPr>
                <w:color w:val="auto"/>
              </w:rPr>
            </w:pPr>
          </w:p>
          <w:p w14:paraId="69DEC698">
            <w:pPr>
              <w:spacing w:line="256" w:lineRule="auto"/>
              <w:rPr>
                <w:color w:val="auto"/>
              </w:rPr>
            </w:pPr>
          </w:p>
          <w:p w14:paraId="5E63B47D">
            <w:pPr>
              <w:spacing w:before="60"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1.9.1</w:t>
            </w:r>
          </w:p>
        </w:tc>
        <w:tc>
          <w:tcPr>
            <w:tcW w:w="2037" w:type="dxa"/>
          </w:tcPr>
          <w:p w14:paraId="36B26266">
            <w:pPr>
              <w:spacing w:line="464" w:lineRule="auto"/>
              <w:rPr>
                <w:color w:val="auto"/>
              </w:rPr>
            </w:pPr>
          </w:p>
          <w:p w14:paraId="4971221A">
            <w:pPr>
              <w:pStyle w:val="21"/>
              <w:spacing w:before="68" w:line="220" w:lineRule="auto"/>
              <w:ind w:left="607"/>
              <w:rPr>
                <w:color w:val="auto"/>
              </w:rPr>
            </w:pPr>
            <w:r>
              <w:rPr>
                <w:color w:val="auto"/>
                <w:spacing w:val="-2"/>
              </w:rPr>
              <w:t>投标预备会</w:t>
            </w:r>
          </w:p>
        </w:tc>
        <w:tc>
          <w:tcPr>
            <w:tcW w:w="5516" w:type="dxa"/>
          </w:tcPr>
          <w:p w14:paraId="0F766F92">
            <w:pPr>
              <w:pStyle w:val="21"/>
              <w:spacing w:before="215" w:line="210" w:lineRule="auto"/>
              <w:ind w:left="119"/>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不召开</w:t>
            </w:r>
          </w:p>
          <w:p w14:paraId="4BBB32E9">
            <w:pPr>
              <w:pStyle w:val="21"/>
              <w:spacing w:before="36" w:line="279" w:lineRule="auto"/>
              <w:ind w:left="131"/>
              <w:rPr>
                <w:rFonts w:ascii="Times New Roman" w:hAnsi="Times New Roman" w:eastAsia="Times New Roman" w:cs="Times New Roman"/>
                <w:color w:val="auto"/>
                <w:lang w:eastAsia="zh-CN"/>
              </w:rPr>
            </w:pPr>
            <w:r>
              <w:rPr>
                <w:color w:val="auto"/>
                <w:spacing w:val="-3"/>
                <w:lang w:eastAsia="zh-CN"/>
              </w:rPr>
              <w:t>□召开，召开时间：</w:t>
            </w:r>
            <w:r>
              <w:rPr>
                <w:rFonts w:ascii="Times New Roman" w:hAnsi="Times New Roman" w:eastAsia="Times New Roman" w:cs="Times New Roman"/>
                <w:color w:val="auto"/>
                <w:spacing w:val="-3"/>
                <w:u w:val="single"/>
                <w:lang w:eastAsia="zh-CN"/>
              </w:rPr>
              <w:t>/</w:t>
            </w:r>
          </w:p>
          <w:p w14:paraId="2F523E8E">
            <w:pPr>
              <w:pStyle w:val="21"/>
              <w:spacing w:before="2" w:line="279" w:lineRule="auto"/>
              <w:ind w:left="958"/>
              <w:rPr>
                <w:rFonts w:ascii="Times New Roman" w:hAnsi="Times New Roman" w:eastAsia="Times New Roman" w:cs="Times New Roman"/>
                <w:color w:val="auto"/>
              </w:rPr>
            </w:pPr>
            <w:r>
              <w:rPr>
                <w:color w:val="auto"/>
                <w:spacing w:val="-3"/>
              </w:rPr>
              <w:t>召开地点：</w:t>
            </w:r>
            <w:r>
              <w:rPr>
                <w:rFonts w:ascii="Times New Roman" w:hAnsi="Times New Roman" w:eastAsia="Times New Roman" w:cs="Times New Roman"/>
                <w:color w:val="auto"/>
                <w:spacing w:val="-3"/>
                <w:u w:val="single"/>
              </w:rPr>
              <w:t>/</w:t>
            </w:r>
          </w:p>
        </w:tc>
      </w:tr>
      <w:tr w14:paraId="4F463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jc w:val="center"/>
        </w:trPr>
        <w:tc>
          <w:tcPr>
            <w:tcW w:w="861" w:type="dxa"/>
          </w:tcPr>
          <w:p w14:paraId="2738E882">
            <w:pPr>
              <w:spacing w:before="276" w:line="186" w:lineRule="auto"/>
              <w:ind w:left="238"/>
              <w:rPr>
                <w:rFonts w:ascii="Times New Roman" w:hAnsi="Times New Roman" w:eastAsia="Times New Roman" w:cs="Times New Roman"/>
                <w:color w:val="auto"/>
              </w:rPr>
            </w:pPr>
            <w:r>
              <w:rPr>
                <w:rFonts w:ascii="Times New Roman" w:hAnsi="Times New Roman" w:eastAsia="Times New Roman" w:cs="Times New Roman"/>
                <w:color w:val="auto"/>
                <w:spacing w:val="-4"/>
              </w:rPr>
              <w:t>1.9.2</w:t>
            </w:r>
          </w:p>
        </w:tc>
        <w:tc>
          <w:tcPr>
            <w:tcW w:w="2037" w:type="dxa"/>
          </w:tcPr>
          <w:p w14:paraId="1D0C1E03">
            <w:pPr>
              <w:pStyle w:val="21"/>
              <w:spacing w:before="78" w:line="242" w:lineRule="auto"/>
              <w:ind w:left="708" w:right="287" w:hanging="416"/>
              <w:rPr>
                <w:color w:val="auto"/>
                <w:lang w:eastAsia="zh-CN"/>
              </w:rPr>
            </w:pPr>
            <w:r>
              <w:rPr>
                <w:color w:val="auto"/>
                <w:spacing w:val="-2"/>
                <w:lang w:eastAsia="zh-CN"/>
              </w:rPr>
              <w:t>投标人提出问题的截止时间</w:t>
            </w:r>
          </w:p>
        </w:tc>
        <w:tc>
          <w:tcPr>
            <w:tcW w:w="5516" w:type="dxa"/>
          </w:tcPr>
          <w:p w14:paraId="3B9FEB97">
            <w:pPr>
              <w:pStyle w:val="21"/>
              <w:spacing w:before="36" w:line="279" w:lineRule="auto"/>
              <w:ind w:left="131"/>
              <w:rPr>
                <w:rFonts w:ascii="Times New Roman" w:hAnsi="Times New Roman" w:eastAsia="Times New Roman" w:cs="Times New Roman"/>
                <w:color w:val="auto"/>
                <w:spacing w:val="-3"/>
                <w:u w:val="single"/>
                <w:lang w:eastAsia="zh-CN"/>
              </w:rPr>
            </w:pPr>
          </w:p>
          <w:p w14:paraId="6962B45A">
            <w:pPr>
              <w:pStyle w:val="21"/>
              <w:spacing w:before="36" w:line="279" w:lineRule="auto"/>
              <w:ind w:left="131"/>
              <w:rPr>
                <w:rFonts w:ascii="Times New Roman" w:hAnsi="Times New Roman" w:eastAsia="Times New Roman" w:cs="Times New Roman"/>
                <w:color w:val="auto"/>
              </w:rPr>
            </w:pPr>
            <w:r>
              <w:rPr>
                <w:rFonts w:ascii="Times New Roman" w:hAnsi="Times New Roman" w:eastAsia="Times New Roman" w:cs="Times New Roman"/>
                <w:color w:val="auto"/>
                <w:spacing w:val="-3"/>
                <w:u w:val="single"/>
              </w:rPr>
              <w:t>/</w:t>
            </w:r>
          </w:p>
        </w:tc>
      </w:tr>
      <w:tr w14:paraId="1B0DB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6" w:hRule="atLeast"/>
          <w:jc w:val="center"/>
        </w:trPr>
        <w:tc>
          <w:tcPr>
            <w:tcW w:w="861" w:type="dxa"/>
          </w:tcPr>
          <w:p w14:paraId="42500552">
            <w:pPr>
              <w:spacing w:line="330" w:lineRule="auto"/>
              <w:rPr>
                <w:color w:val="auto"/>
              </w:rPr>
            </w:pPr>
          </w:p>
          <w:p w14:paraId="30F113C3">
            <w:pPr>
              <w:spacing w:line="331" w:lineRule="auto"/>
              <w:rPr>
                <w:color w:val="auto"/>
              </w:rPr>
            </w:pPr>
          </w:p>
          <w:p w14:paraId="3D3959EF">
            <w:pPr>
              <w:spacing w:before="60" w:line="186" w:lineRule="auto"/>
              <w:ind w:left="264"/>
              <w:rPr>
                <w:rFonts w:ascii="Times New Roman" w:hAnsi="Times New Roman" w:eastAsia="Times New Roman" w:cs="Times New Roman"/>
                <w:color w:val="auto"/>
              </w:rPr>
            </w:pPr>
            <w:r>
              <w:rPr>
                <w:rFonts w:ascii="Times New Roman" w:hAnsi="Times New Roman" w:eastAsia="Times New Roman" w:cs="Times New Roman"/>
                <w:color w:val="auto"/>
                <w:spacing w:val="-5"/>
              </w:rPr>
              <w:t>1.10</w:t>
            </w:r>
          </w:p>
        </w:tc>
        <w:tc>
          <w:tcPr>
            <w:tcW w:w="2037" w:type="dxa"/>
          </w:tcPr>
          <w:p w14:paraId="185AE885">
            <w:pPr>
              <w:spacing w:line="307" w:lineRule="auto"/>
              <w:rPr>
                <w:color w:val="auto"/>
              </w:rPr>
            </w:pPr>
          </w:p>
          <w:p w14:paraId="74D3275B">
            <w:pPr>
              <w:spacing w:line="308" w:lineRule="auto"/>
              <w:rPr>
                <w:color w:val="auto"/>
              </w:rPr>
            </w:pPr>
          </w:p>
          <w:p w14:paraId="39FF52C4">
            <w:pPr>
              <w:pStyle w:val="21"/>
              <w:spacing w:before="68" w:line="221" w:lineRule="auto"/>
              <w:ind w:left="817"/>
              <w:rPr>
                <w:color w:val="auto"/>
              </w:rPr>
            </w:pPr>
            <w:r>
              <w:rPr>
                <w:color w:val="auto"/>
                <w:spacing w:val="-6"/>
              </w:rPr>
              <w:t>分包</w:t>
            </w:r>
          </w:p>
        </w:tc>
        <w:tc>
          <w:tcPr>
            <w:tcW w:w="5516" w:type="dxa"/>
          </w:tcPr>
          <w:p w14:paraId="1E02F1C0">
            <w:pPr>
              <w:pStyle w:val="21"/>
              <w:spacing w:before="198" w:line="208" w:lineRule="auto"/>
              <w:ind w:left="119"/>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不允许</w:t>
            </w:r>
          </w:p>
          <w:p w14:paraId="6E4DCAD3">
            <w:pPr>
              <w:pStyle w:val="21"/>
              <w:spacing w:before="27" w:line="277" w:lineRule="auto"/>
              <w:ind w:left="131"/>
              <w:rPr>
                <w:rFonts w:ascii="Times New Roman" w:hAnsi="Times New Roman" w:eastAsia="Times New Roman" w:cs="Times New Roman"/>
                <w:color w:val="auto"/>
                <w:lang w:eastAsia="zh-CN"/>
              </w:rPr>
            </w:pPr>
            <w:r>
              <w:rPr>
                <w:color w:val="auto"/>
                <w:spacing w:val="-3"/>
                <w:lang w:eastAsia="zh-CN"/>
              </w:rPr>
              <w:t>□允许，分包内容要求：</w:t>
            </w:r>
            <w:r>
              <w:rPr>
                <w:rFonts w:ascii="Times New Roman" w:hAnsi="Times New Roman" w:eastAsia="Times New Roman" w:cs="Times New Roman"/>
                <w:color w:val="auto"/>
                <w:spacing w:val="-3"/>
                <w:u w:val="single"/>
                <w:lang w:eastAsia="zh-CN"/>
              </w:rPr>
              <w:t>/</w:t>
            </w:r>
          </w:p>
          <w:p w14:paraId="4BD958E6">
            <w:pPr>
              <w:pStyle w:val="21"/>
              <w:spacing w:before="4" w:line="277" w:lineRule="auto"/>
              <w:ind w:left="952"/>
              <w:rPr>
                <w:rFonts w:ascii="Times New Roman" w:hAnsi="Times New Roman" w:eastAsia="Times New Roman" w:cs="Times New Roman"/>
                <w:color w:val="auto"/>
                <w:lang w:eastAsia="zh-CN"/>
              </w:rPr>
            </w:pPr>
            <w:r>
              <w:rPr>
                <w:color w:val="auto"/>
                <w:spacing w:val="-2"/>
                <w:lang w:eastAsia="zh-CN"/>
              </w:rPr>
              <w:t>分包金额要求：</w:t>
            </w:r>
            <w:r>
              <w:rPr>
                <w:rFonts w:ascii="Times New Roman" w:hAnsi="Times New Roman" w:eastAsia="Times New Roman" w:cs="Times New Roman"/>
                <w:color w:val="auto"/>
                <w:spacing w:val="-2"/>
                <w:u w:val="single"/>
                <w:lang w:eastAsia="zh-CN"/>
              </w:rPr>
              <w:t>/</w:t>
            </w:r>
          </w:p>
          <w:p w14:paraId="5C7E316A">
            <w:pPr>
              <w:pStyle w:val="21"/>
              <w:spacing w:before="4" w:line="277" w:lineRule="auto"/>
              <w:ind w:left="529"/>
              <w:rPr>
                <w:rFonts w:ascii="Times New Roman" w:hAnsi="Times New Roman" w:eastAsia="Times New Roman" w:cs="Times New Roman"/>
                <w:color w:val="auto"/>
                <w:lang w:eastAsia="zh-CN"/>
              </w:rPr>
            </w:pPr>
            <w:r>
              <w:rPr>
                <w:color w:val="auto"/>
                <w:spacing w:val="-1"/>
                <w:lang w:eastAsia="zh-CN"/>
              </w:rPr>
              <w:t>接受分包的第三人资质要求：</w:t>
            </w:r>
            <w:r>
              <w:rPr>
                <w:rFonts w:ascii="Times New Roman" w:hAnsi="Times New Roman" w:eastAsia="Times New Roman" w:cs="Times New Roman"/>
                <w:color w:val="auto"/>
                <w:spacing w:val="-1"/>
                <w:u w:val="single"/>
                <w:lang w:eastAsia="zh-CN"/>
              </w:rPr>
              <w:t>/</w:t>
            </w:r>
          </w:p>
        </w:tc>
      </w:tr>
      <w:tr w14:paraId="4525B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7" w:hRule="atLeast"/>
          <w:jc w:val="center"/>
        </w:trPr>
        <w:tc>
          <w:tcPr>
            <w:tcW w:w="861" w:type="dxa"/>
          </w:tcPr>
          <w:p w14:paraId="39DC896E">
            <w:pPr>
              <w:spacing w:line="257" w:lineRule="auto"/>
              <w:rPr>
                <w:color w:val="auto"/>
                <w:lang w:eastAsia="zh-CN"/>
              </w:rPr>
            </w:pPr>
          </w:p>
          <w:p w14:paraId="4CF6C04E">
            <w:pPr>
              <w:spacing w:line="257" w:lineRule="auto"/>
              <w:rPr>
                <w:color w:val="auto"/>
                <w:lang w:eastAsia="zh-CN"/>
              </w:rPr>
            </w:pPr>
          </w:p>
          <w:p w14:paraId="60A8DF2B">
            <w:pPr>
              <w:spacing w:line="258" w:lineRule="auto"/>
              <w:rPr>
                <w:color w:val="auto"/>
                <w:lang w:eastAsia="zh-CN"/>
              </w:rPr>
            </w:pPr>
          </w:p>
          <w:p w14:paraId="0376A80F">
            <w:pPr>
              <w:spacing w:before="60" w:line="186" w:lineRule="auto"/>
              <w:ind w:left="264"/>
              <w:rPr>
                <w:rFonts w:ascii="Times New Roman" w:hAnsi="Times New Roman" w:eastAsia="Times New Roman" w:cs="Times New Roman"/>
                <w:color w:val="auto"/>
              </w:rPr>
            </w:pPr>
            <w:r>
              <w:rPr>
                <w:rFonts w:ascii="Times New Roman" w:hAnsi="Times New Roman" w:eastAsia="Times New Roman" w:cs="Times New Roman"/>
                <w:color w:val="auto"/>
                <w:spacing w:val="-5"/>
              </w:rPr>
              <w:t>1.11</w:t>
            </w:r>
          </w:p>
        </w:tc>
        <w:tc>
          <w:tcPr>
            <w:tcW w:w="2037" w:type="dxa"/>
          </w:tcPr>
          <w:p w14:paraId="69A17E35">
            <w:pPr>
              <w:spacing w:line="242" w:lineRule="auto"/>
              <w:rPr>
                <w:color w:val="auto"/>
              </w:rPr>
            </w:pPr>
          </w:p>
          <w:p w14:paraId="19ED55F6">
            <w:pPr>
              <w:spacing w:line="242" w:lineRule="auto"/>
              <w:rPr>
                <w:color w:val="auto"/>
              </w:rPr>
            </w:pPr>
          </w:p>
          <w:p w14:paraId="47F4E947">
            <w:pPr>
              <w:spacing w:line="242" w:lineRule="auto"/>
              <w:rPr>
                <w:color w:val="auto"/>
              </w:rPr>
            </w:pPr>
          </w:p>
          <w:p w14:paraId="3BFA5B3C">
            <w:pPr>
              <w:pStyle w:val="21"/>
              <w:spacing w:before="68" w:line="220" w:lineRule="auto"/>
              <w:ind w:left="815"/>
              <w:rPr>
                <w:color w:val="auto"/>
              </w:rPr>
            </w:pPr>
            <w:r>
              <w:rPr>
                <w:color w:val="auto"/>
                <w:spacing w:val="-5"/>
              </w:rPr>
              <w:t>偏离</w:t>
            </w:r>
          </w:p>
        </w:tc>
        <w:tc>
          <w:tcPr>
            <w:tcW w:w="5516" w:type="dxa"/>
          </w:tcPr>
          <w:p w14:paraId="2EA6427C">
            <w:pPr>
              <w:spacing w:line="247" w:lineRule="auto"/>
              <w:rPr>
                <w:color w:val="auto"/>
                <w:lang w:eastAsia="zh-CN"/>
              </w:rPr>
            </w:pPr>
          </w:p>
          <w:p w14:paraId="75004ACC">
            <w:pPr>
              <w:pStyle w:val="21"/>
              <w:spacing w:before="70" w:line="208" w:lineRule="auto"/>
              <w:ind w:left="119"/>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不允许</w:t>
            </w:r>
          </w:p>
          <w:p w14:paraId="50105F74">
            <w:pPr>
              <w:pStyle w:val="21"/>
              <w:spacing w:before="68" w:line="268" w:lineRule="auto"/>
              <w:ind w:left="956" w:right="295" w:hanging="825"/>
              <w:rPr>
                <w:rFonts w:ascii="Times New Roman" w:hAnsi="Times New Roman" w:eastAsia="Times New Roman" w:cs="Times New Roman"/>
                <w:color w:val="auto"/>
                <w:lang w:eastAsia="zh-CN"/>
              </w:rPr>
            </w:pPr>
            <w:r>
              <w:rPr>
                <w:color w:val="auto"/>
                <w:spacing w:val="-9"/>
                <w:lang w:eastAsia="zh-CN"/>
              </w:rPr>
              <w:t>□允许，可偏离的项目和范围见第五章“供货要求”：</w:t>
            </w:r>
            <w:r>
              <w:rPr>
                <w:color w:val="auto"/>
                <w:spacing w:val="-2"/>
                <w:lang w:eastAsia="zh-CN"/>
              </w:rPr>
              <w:t>允许偏离最高项数：</w:t>
            </w:r>
            <w:r>
              <w:rPr>
                <w:rFonts w:ascii="Times New Roman" w:hAnsi="Times New Roman" w:eastAsia="Times New Roman" w:cs="Times New Roman"/>
                <w:color w:val="auto"/>
                <w:spacing w:val="-2"/>
                <w:u w:val="single"/>
                <w:lang w:eastAsia="zh-CN"/>
              </w:rPr>
              <w:t>/</w:t>
            </w:r>
          </w:p>
          <w:p w14:paraId="40E791C3">
            <w:pPr>
              <w:pStyle w:val="21"/>
              <w:spacing w:line="277" w:lineRule="auto"/>
              <w:ind w:left="950"/>
              <w:rPr>
                <w:rFonts w:ascii="Times New Roman" w:hAnsi="Times New Roman" w:eastAsia="Times New Roman" w:cs="Times New Roman"/>
                <w:color w:val="auto"/>
              </w:rPr>
            </w:pPr>
            <w:r>
              <w:rPr>
                <w:color w:val="auto"/>
                <w:spacing w:val="-1"/>
              </w:rPr>
              <w:t>偏差调整方法：</w:t>
            </w:r>
            <w:r>
              <w:rPr>
                <w:rFonts w:ascii="Times New Roman" w:hAnsi="Times New Roman" w:eastAsia="Times New Roman" w:cs="Times New Roman"/>
                <w:color w:val="auto"/>
                <w:spacing w:val="-1"/>
                <w:u w:val="single"/>
              </w:rPr>
              <w:t>/</w:t>
            </w:r>
          </w:p>
        </w:tc>
      </w:tr>
      <w:tr w14:paraId="7850D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jc w:val="center"/>
        </w:trPr>
        <w:tc>
          <w:tcPr>
            <w:tcW w:w="861" w:type="dxa"/>
          </w:tcPr>
          <w:p w14:paraId="5C91CC7E">
            <w:pPr>
              <w:spacing w:before="119" w:line="186" w:lineRule="auto"/>
              <w:ind w:left="217"/>
              <w:rPr>
                <w:rFonts w:ascii="Times New Roman" w:hAnsi="Times New Roman" w:eastAsia="Times New Roman" w:cs="Times New Roman"/>
                <w:color w:val="auto"/>
              </w:rPr>
            </w:pPr>
            <w:r>
              <w:rPr>
                <w:rFonts w:ascii="Times New Roman" w:hAnsi="Times New Roman" w:eastAsia="Times New Roman" w:cs="Times New Roman"/>
                <w:color w:val="auto"/>
                <w:spacing w:val="-1"/>
              </w:rPr>
              <w:t>2.1.1</w:t>
            </w:r>
          </w:p>
          <w:p w14:paraId="3B688508">
            <w:pPr>
              <w:pStyle w:val="21"/>
              <w:spacing w:before="94" w:line="205" w:lineRule="auto"/>
              <w:ind w:left="174"/>
              <w:rPr>
                <w:color w:val="auto"/>
              </w:rPr>
            </w:pPr>
            <w:r>
              <w:rPr>
                <w:color w:val="auto"/>
                <w:spacing w:val="-5"/>
              </w:rPr>
              <w:t>（</w:t>
            </w:r>
            <w:r>
              <w:rPr>
                <w:rFonts w:ascii="Times New Roman" w:hAnsi="Times New Roman" w:eastAsia="Times New Roman" w:cs="Times New Roman"/>
                <w:color w:val="auto"/>
                <w:spacing w:val="-5"/>
              </w:rPr>
              <w:t>7</w:t>
            </w:r>
            <w:r>
              <w:rPr>
                <w:color w:val="auto"/>
                <w:spacing w:val="-5"/>
              </w:rPr>
              <w:t>）</w:t>
            </w:r>
          </w:p>
        </w:tc>
        <w:tc>
          <w:tcPr>
            <w:tcW w:w="2037" w:type="dxa"/>
          </w:tcPr>
          <w:p w14:paraId="03CA5D84">
            <w:pPr>
              <w:pStyle w:val="21"/>
              <w:spacing w:before="81" w:line="243" w:lineRule="auto"/>
              <w:ind w:left="919" w:right="182" w:hanging="732"/>
              <w:rPr>
                <w:color w:val="auto"/>
                <w:lang w:eastAsia="zh-CN"/>
              </w:rPr>
            </w:pPr>
            <w:r>
              <w:rPr>
                <w:color w:val="auto"/>
                <w:spacing w:val="-2"/>
                <w:lang w:eastAsia="zh-CN"/>
              </w:rPr>
              <w:t>构成招标文件的其他</w:t>
            </w:r>
            <w:r>
              <w:rPr>
                <w:color w:val="auto"/>
                <w:spacing w:val="-3"/>
                <w:lang w:eastAsia="zh-CN"/>
              </w:rPr>
              <w:t>材料</w:t>
            </w:r>
          </w:p>
        </w:tc>
        <w:tc>
          <w:tcPr>
            <w:tcW w:w="5516" w:type="dxa"/>
          </w:tcPr>
          <w:p w14:paraId="3B9535B9">
            <w:pPr>
              <w:spacing w:before="209" w:line="276" w:lineRule="exact"/>
              <w:ind w:left="102"/>
              <w:rPr>
                <w:rFonts w:ascii="Times New Roman" w:hAnsi="Times New Roman" w:eastAsia="Times New Roman" w:cs="Times New Roman"/>
                <w:color w:val="auto"/>
              </w:rPr>
            </w:pPr>
            <w:r>
              <w:rPr>
                <w:rFonts w:ascii="Times New Roman" w:hAnsi="Times New Roman" w:eastAsia="Times New Roman" w:cs="Times New Roman"/>
                <w:color w:val="auto"/>
                <w:position w:val="1"/>
              </w:rPr>
              <w:t>/</w:t>
            </w:r>
          </w:p>
        </w:tc>
      </w:tr>
      <w:tr w14:paraId="2B68C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jc w:val="center"/>
        </w:trPr>
        <w:tc>
          <w:tcPr>
            <w:tcW w:w="861" w:type="dxa"/>
          </w:tcPr>
          <w:p w14:paraId="16538373">
            <w:pPr>
              <w:spacing w:line="267" w:lineRule="auto"/>
              <w:rPr>
                <w:color w:val="auto"/>
              </w:rPr>
            </w:pPr>
          </w:p>
          <w:p w14:paraId="59786524">
            <w:pPr>
              <w:spacing w:before="60" w:line="186" w:lineRule="auto"/>
              <w:ind w:left="217"/>
              <w:rPr>
                <w:color w:val="auto"/>
                <w:spacing w:val="-5"/>
              </w:rPr>
            </w:pPr>
            <w:r>
              <w:rPr>
                <w:rFonts w:ascii="Times New Roman" w:hAnsi="Times New Roman" w:eastAsia="Times New Roman" w:cs="Times New Roman"/>
                <w:color w:val="auto"/>
                <w:spacing w:val="-1"/>
              </w:rPr>
              <w:t>2.2.1</w:t>
            </w:r>
          </w:p>
        </w:tc>
        <w:tc>
          <w:tcPr>
            <w:tcW w:w="2037" w:type="dxa"/>
          </w:tcPr>
          <w:p w14:paraId="3186D21A">
            <w:pPr>
              <w:pStyle w:val="21"/>
              <w:spacing w:before="131" w:line="270" w:lineRule="auto"/>
              <w:ind w:left="396" w:right="182" w:hanging="209"/>
              <w:rPr>
                <w:color w:val="auto"/>
                <w:spacing w:val="-2"/>
                <w:lang w:eastAsia="zh-CN"/>
              </w:rPr>
            </w:pPr>
            <w:r>
              <w:rPr>
                <w:color w:val="auto"/>
                <w:spacing w:val="-2"/>
                <w:lang w:eastAsia="zh-CN"/>
              </w:rPr>
              <w:t>投标人要求澄清招标文件的截止时间</w:t>
            </w:r>
          </w:p>
        </w:tc>
        <w:tc>
          <w:tcPr>
            <w:tcW w:w="5516" w:type="dxa"/>
          </w:tcPr>
          <w:p w14:paraId="1DA9ED2A">
            <w:pPr>
              <w:pStyle w:val="21"/>
              <w:spacing w:before="36" w:line="279" w:lineRule="auto"/>
              <w:ind w:left="131"/>
              <w:rPr>
                <w:color w:val="auto"/>
                <w:spacing w:val="-3"/>
                <w:lang w:eastAsia="zh-CN"/>
              </w:rPr>
            </w:pPr>
          </w:p>
          <w:p w14:paraId="30BF4BB1">
            <w:pPr>
              <w:pStyle w:val="21"/>
              <w:spacing w:before="36" w:line="279" w:lineRule="auto"/>
              <w:ind w:left="131"/>
              <w:rPr>
                <w:rFonts w:ascii="Times New Roman" w:hAnsi="Times New Roman" w:eastAsia="Times New Roman" w:cs="Times New Roman"/>
                <w:color w:val="auto"/>
                <w:position w:val="1"/>
                <w:lang w:eastAsia="zh-CN"/>
              </w:rPr>
            </w:pPr>
            <w:r>
              <w:rPr>
                <w:color w:val="auto"/>
                <w:spacing w:val="-3"/>
                <w:lang w:eastAsia="zh-CN"/>
              </w:rPr>
              <w:t>递交投标文件截止之日</w:t>
            </w:r>
            <w:r>
              <w:rPr>
                <w:rFonts w:ascii="Times New Roman" w:hAnsi="Times New Roman" w:eastAsia="Times New Roman" w:cs="Times New Roman"/>
                <w:color w:val="auto"/>
                <w:spacing w:val="-3"/>
                <w:u w:val="single"/>
                <w:lang w:eastAsia="zh-CN"/>
              </w:rPr>
              <w:t>/</w:t>
            </w:r>
            <w:r>
              <w:rPr>
                <w:color w:val="auto"/>
                <w:spacing w:val="-3"/>
                <w:lang w:eastAsia="zh-CN"/>
              </w:rPr>
              <w:t>日前</w:t>
            </w:r>
          </w:p>
        </w:tc>
      </w:tr>
    </w:tbl>
    <w:p w14:paraId="4CB9EE22">
      <w:pPr>
        <w:spacing w:before="18"/>
        <w:rPr>
          <w:color w:val="auto"/>
          <w:lang w:eastAsia="zh-CN"/>
        </w:rPr>
      </w:pPr>
    </w:p>
    <w:tbl>
      <w:tblPr>
        <w:tblStyle w:val="20"/>
        <w:tblW w:w="84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59"/>
        <w:gridCol w:w="5294"/>
      </w:tblGrid>
      <w:tr w14:paraId="35645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861" w:type="dxa"/>
          </w:tcPr>
          <w:p w14:paraId="27CB2FA3">
            <w:pPr>
              <w:spacing w:line="264" w:lineRule="auto"/>
              <w:rPr>
                <w:color w:val="auto"/>
                <w:lang w:eastAsia="zh-CN"/>
              </w:rPr>
            </w:pPr>
          </w:p>
          <w:p w14:paraId="5B520217">
            <w:pPr>
              <w:spacing w:line="265" w:lineRule="auto"/>
              <w:rPr>
                <w:color w:val="auto"/>
                <w:lang w:eastAsia="zh-CN"/>
              </w:rPr>
            </w:pPr>
          </w:p>
          <w:p w14:paraId="3911901C">
            <w:pPr>
              <w:spacing w:line="265" w:lineRule="auto"/>
              <w:rPr>
                <w:color w:val="auto"/>
                <w:lang w:eastAsia="zh-CN"/>
              </w:rPr>
            </w:pPr>
          </w:p>
          <w:p w14:paraId="07481442">
            <w:pPr>
              <w:spacing w:line="265" w:lineRule="auto"/>
              <w:rPr>
                <w:color w:val="auto"/>
                <w:lang w:eastAsia="zh-CN"/>
              </w:rPr>
            </w:pPr>
          </w:p>
          <w:p w14:paraId="0D885EA7">
            <w:pPr>
              <w:spacing w:line="265" w:lineRule="auto"/>
              <w:rPr>
                <w:color w:val="auto"/>
                <w:lang w:eastAsia="zh-CN"/>
              </w:rPr>
            </w:pPr>
          </w:p>
          <w:p w14:paraId="56F4E82C">
            <w:pPr>
              <w:spacing w:before="61" w:line="186" w:lineRule="auto"/>
              <w:ind w:left="217"/>
              <w:rPr>
                <w:rFonts w:ascii="Times New Roman" w:hAnsi="Times New Roman" w:eastAsia="Times New Roman" w:cs="Times New Roman"/>
                <w:color w:val="auto"/>
              </w:rPr>
            </w:pPr>
            <w:r>
              <w:rPr>
                <w:rFonts w:ascii="Times New Roman" w:hAnsi="Times New Roman" w:eastAsia="Times New Roman" w:cs="Times New Roman"/>
                <w:color w:val="auto"/>
                <w:spacing w:val="-1"/>
              </w:rPr>
              <w:t>2.4.1</w:t>
            </w:r>
          </w:p>
        </w:tc>
        <w:tc>
          <w:tcPr>
            <w:tcW w:w="2259" w:type="dxa"/>
          </w:tcPr>
          <w:p w14:paraId="36CBF2E6">
            <w:pPr>
              <w:spacing w:line="273" w:lineRule="auto"/>
              <w:rPr>
                <w:color w:val="auto"/>
                <w:lang w:eastAsia="zh-CN"/>
              </w:rPr>
            </w:pPr>
          </w:p>
          <w:p w14:paraId="5FE8CFAA">
            <w:pPr>
              <w:spacing w:line="273" w:lineRule="auto"/>
              <w:rPr>
                <w:color w:val="auto"/>
                <w:lang w:eastAsia="zh-CN"/>
              </w:rPr>
            </w:pPr>
          </w:p>
          <w:p w14:paraId="67674239">
            <w:pPr>
              <w:spacing w:line="273" w:lineRule="auto"/>
              <w:rPr>
                <w:color w:val="auto"/>
                <w:lang w:eastAsia="zh-CN"/>
              </w:rPr>
            </w:pPr>
          </w:p>
          <w:p w14:paraId="3EB0DC8D">
            <w:pPr>
              <w:spacing w:line="273" w:lineRule="auto"/>
              <w:rPr>
                <w:color w:val="auto"/>
                <w:lang w:eastAsia="zh-CN"/>
              </w:rPr>
            </w:pPr>
          </w:p>
          <w:p w14:paraId="7F2C0130">
            <w:pPr>
              <w:pStyle w:val="21"/>
              <w:spacing w:before="68" w:line="284" w:lineRule="auto"/>
              <w:ind w:left="710" w:right="392" w:hanging="313"/>
              <w:rPr>
                <w:color w:val="auto"/>
                <w:lang w:eastAsia="zh-CN"/>
              </w:rPr>
            </w:pPr>
            <w:r>
              <w:rPr>
                <w:color w:val="auto"/>
                <w:spacing w:val="-2"/>
                <w:lang w:eastAsia="zh-CN"/>
              </w:rPr>
              <w:t>异议受理部门及联系方式</w:t>
            </w:r>
          </w:p>
        </w:tc>
        <w:tc>
          <w:tcPr>
            <w:tcW w:w="5294" w:type="dxa"/>
          </w:tcPr>
          <w:p w14:paraId="432FE8B7">
            <w:pPr>
              <w:pStyle w:val="21"/>
              <w:spacing w:before="70" w:line="221" w:lineRule="auto"/>
              <w:ind w:left="111"/>
              <w:rPr>
                <w:color w:val="auto"/>
                <w:highlight w:val="yellow"/>
                <w:u w:val="single"/>
                <w:lang w:eastAsia="zh-CN"/>
              </w:rPr>
            </w:pPr>
            <w:r>
              <w:rPr>
                <w:color w:val="auto"/>
                <w:spacing w:val="-12"/>
                <w:lang w:eastAsia="zh-CN"/>
              </w:rPr>
              <w:t>招标人：</w:t>
            </w:r>
            <w:r>
              <w:rPr>
                <w:spacing w:val="-4"/>
                <w:u w:val="single"/>
                <w:lang w:eastAsia="zh-CN"/>
              </w:rPr>
              <w:t>盖州市东盛城建集团有限公司</w:t>
            </w:r>
          </w:p>
          <w:p w14:paraId="3599AE83">
            <w:pPr>
              <w:pStyle w:val="21"/>
              <w:spacing w:before="35" w:line="220" w:lineRule="auto"/>
              <w:ind w:left="111"/>
              <w:rPr>
                <w:color w:val="auto"/>
                <w:lang w:eastAsia="zh-CN"/>
              </w:rPr>
            </w:pPr>
            <w:r>
              <w:rPr>
                <w:rFonts w:hint="eastAsia"/>
                <w:color w:val="auto"/>
                <w:lang w:eastAsia="zh-CN"/>
              </w:rPr>
              <w:t>地    址：</w:t>
            </w:r>
            <w:r>
              <w:rPr>
                <w:rFonts w:hint="eastAsia"/>
                <w:color w:val="auto"/>
                <w:u w:val="single"/>
                <w:lang w:eastAsia="zh-CN"/>
              </w:rPr>
              <w:t>辽宁省营口盖州市鼓楼街道办事处兴辰社区中海四期21号楼1-6层1号</w:t>
            </w:r>
          </w:p>
          <w:p w14:paraId="16CD2C37">
            <w:pPr>
              <w:pStyle w:val="21"/>
              <w:spacing w:before="35" w:line="220" w:lineRule="auto"/>
              <w:ind w:left="111"/>
              <w:rPr>
                <w:color w:val="auto"/>
                <w:lang w:eastAsia="zh-CN"/>
              </w:rPr>
            </w:pPr>
            <w:r>
              <w:rPr>
                <w:rFonts w:hint="eastAsia"/>
                <w:color w:val="auto"/>
                <w:lang w:eastAsia="zh-CN"/>
              </w:rPr>
              <w:t>联 系 人：</w:t>
            </w:r>
            <w:r>
              <w:rPr>
                <w:rFonts w:hint="eastAsia"/>
                <w:color w:val="auto"/>
                <w:u w:val="single"/>
                <w:lang w:eastAsia="zh-CN"/>
              </w:rPr>
              <w:t>姜先生</w:t>
            </w:r>
          </w:p>
          <w:p w14:paraId="23AF01E2">
            <w:pPr>
              <w:pStyle w:val="21"/>
              <w:spacing w:before="35" w:line="220" w:lineRule="auto"/>
              <w:ind w:left="111"/>
              <w:rPr>
                <w:color w:val="auto"/>
                <w:u w:val="single"/>
                <w:lang w:eastAsia="zh-CN"/>
              </w:rPr>
            </w:pPr>
            <w:r>
              <w:rPr>
                <w:rFonts w:hint="eastAsia"/>
                <w:color w:val="auto"/>
                <w:lang w:eastAsia="zh-CN"/>
              </w:rPr>
              <w:t>电话：</w:t>
            </w:r>
            <w:r>
              <w:rPr>
                <w:rFonts w:hint="eastAsia"/>
                <w:color w:val="auto"/>
                <w:u w:val="single"/>
                <w:lang w:eastAsia="zh-CN"/>
              </w:rPr>
              <w:t>0417-7812775</w:t>
            </w:r>
          </w:p>
          <w:p w14:paraId="2BF0E57D">
            <w:pPr>
              <w:pStyle w:val="21"/>
              <w:spacing w:before="35" w:line="220" w:lineRule="auto"/>
              <w:ind w:left="111"/>
              <w:rPr>
                <w:color w:val="auto"/>
                <w:u w:val="single"/>
                <w:lang w:eastAsia="zh-CN"/>
              </w:rPr>
            </w:pPr>
            <w:r>
              <w:rPr>
                <w:rFonts w:hint="eastAsia"/>
                <w:color w:val="auto"/>
                <w:lang w:eastAsia="zh-CN"/>
              </w:rPr>
              <w:t>邮政编码：</w:t>
            </w:r>
            <w:r>
              <w:rPr>
                <w:rFonts w:hint="eastAsia"/>
                <w:color w:val="auto"/>
                <w:u w:val="single"/>
                <w:lang w:eastAsia="zh-CN"/>
              </w:rPr>
              <w:t>115200</w:t>
            </w:r>
          </w:p>
          <w:p w14:paraId="3C06E253">
            <w:pPr>
              <w:pStyle w:val="21"/>
              <w:spacing w:before="35" w:line="220" w:lineRule="auto"/>
              <w:ind w:left="111"/>
              <w:rPr>
                <w:color w:val="auto"/>
                <w:lang w:eastAsia="zh-CN"/>
              </w:rPr>
            </w:pPr>
            <w:r>
              <w:rPr>
                <w:color w:val="auto"/>
                <w:spacing w:val="-8"/>
                <w:lang w:eastAsia="zh-CN"/>
              </w:rPr>
              <w:t>招标代理机构：</w:t>
            </w:r>
            <w:r>
              <w:rPr>
                <w:rFonts w:hint="eastAsia"/>
                <w:color w:val="auto"/>
                <w:u w:val="single"/>
                <w:lang w:eastAsia="zh-CN"/>
              </w:rPr>
              <w:t>盖州市诚建工程招标代理有限责任公司</w:t>
            </w:r>
          </w:p>
          <w:p w14:paraId="642FAD2F">
            <w:pPr>
              <w:pStyle w:val="21"/>
              <w:spacing w:before="68" w:line="222" w:lineRule="auto"/>
              <w:ind w:left="110"/>
              <w:rPr>
                <w:color w:val="auto"/>
                <w:lang w:eastAsia="zh-CN"/>
              </w:rPr>
            </w:pPr>
            <w:r>
              <w:rPr>
                <w:color w:val="auto"/>
                <w:spacing w:val="-1"/>
                <w:lang w:eastAsia="zh-CN"/>
              </w:rPr>
              <w:t>地    址：</w:t>
            </w:r>
            <w:r>
              <w:rPr>
                <w:rFonts w:hint="eastAsia"/>
                <w:color w:val="auto"/>
                <w:u w:val="single"/>
                <w:lang w:eastAsia="zh-CN"/>
              </w:rPr>
              <w:t>盖州市南路63号</w:t>
            </w:r>
          </w:p>
          <w:p w14:paraId="489A1453">
            <w:pPr>
              <w:pStyle w:val="21"/>
              <w:spacing w:before="68" w:line="222" w:lineRule="auto"/>
              <w:ind w:left="111"/>
              <w:rPr>
                <w:rFonts w:ascii="Times New Roman" w:hAnsi="Times New Roman" w:eastAsia="Times New Roman" w:cs="Times New Roman"/>
                <w:color w:val="auto"/>
                <w:lang w:eastAsia="zh-CN"/>
              </w:rPr>
            </w:pPr>
            <w:r>
              <w:rPr>
                <w:color w:val="auto"/>
                <w:spacing w:val="-2"/>
                <w:lang w:eastAsia="zh-CN"/>
              </w:rPr>
              <w:t>联 系人：</w:t>
            </w:r>
            <w:r>
              <w:rPr>
                <w:rFonts w:hint="eastAsia"/>
                <w:color w:val="auto"/>
                <w:u w:val="single"/>
                <w:lang w:eastAsia="zh-CN"/>
              </w:rPr>
              <w:t>朱女士</w:t>
            </w:r>
          </w:p>
          <w:p w14:paraId="6AC24F77">
            <w:pPr>
              <w:pStyle w:val="21"/>
              <w:spacing w:before="68" w:line="222" w:lineRule="auto"/>
              <w:ind w:left="134"/>
              <w:rPr>
                <w:rFonts w:ascii="Times New Roman" w:hAnsi="Times New Roman" w:eastAsia="Times New Roman" w:cs="Times New Roman"/>
                <w:color w:val="auto"/>
                <w:lang w:eastAsia="zh-CN"/>
              </w:rPr>
            </w:pPr>
            <w:r>
              <w:rPr>
                <w:color w:val="auto"/>
                <w:spacing w:val="-2"/>
                <w:lang w:eastAsia="zh-CN"/>
              </w:rPr>
              <w:t>电话：</w:t>
            </w:r>
            <w:r>
              <w:rPr>
                <w:rFonts w:hint="eastAsia"/>
                <w:color w:val="auto"/>
                <w:u w:val="single"/>
                <w:lang w:eastAsia="zh-CN"/>
              </w:rPr>
              <w:t>0417-7811127</w:t>
            </w:r>
          </w:p>
          <w:p w14:paraId="6502B079">
            <w:pPr>
              <w:pStyle w:val="21"/>
              <w:spacing w:before="36" w:line="277" w:lineRule="auto"/>
              <w:ind w:left="125"/>
              <w:rPr>
                <w:rFonts w:ascii="Times New Roman" w:hAnsi="Times New Roman" w:eastAsia="Times New Roman" w:cs="Times New Roman"/>
                <w:color w:val="auto"/>
                <w:lang w:eastAsia="zh-CN"/>
              </w:rPr>
            </w:pPr>
            <w:r>
              <w:rPr>
                <w:color w:val="auto"/>
                <w:spacing w:val="-4"/>
                <w:lang w:eastAsia="zh-CN"/>
              </w:rPr>
              <w:t>邮政编码</w:t>
            </w:r>
            <w:r>
              <w:rPr>
                <w:rFonts w:hint="eastAsia"/>
                <w:color w:val="auto"/>
                <w:spacing w:val="-4"/>
                <w:lang w:eastAsia="zh-CN"/>
              </w:rPr>
              <w:t>：</w:t>
            </w:r>
            <w:r>
              <w:rPr>
                <w:rFonts w:hint="eastAsia" w:ascii="Times New Roman" w:hAnsi="Times New Roman" w:cs="Times New Roman"/>
                <w:color w:val="auto"/>
                <w:spacing w:val="-4"/>
                <w:u w:val="single"/>
                <w:lang w:eastAsia="zh-CN"/>
              </w:rPr>
              <w:t>115200</w:t>
            </w:r>
          </w:p>
          <w:p w14:paraId="19A77557">
            <w:pPr>
              <w:pStyle w:val="21"/>
              <w:spacing w:before="35" w:line="245" w:lineRule="auto"/>
              <w:ind w:left="113" w:right="142" w:hanging="1"/>
              <w:rPr>
                <w:color w:val="auto"/>
                <w:lang w:eastAsia="zh-CN"/>
              </w:rPr>
            </w:pPr>
            <w:r>
              <w:rPr>
                <w:color w:val="auto"/>
                <w:spacing w:val="-1"/>
                <w:lang w:eastAsia="zh-CN"/>
              </w:rPr>
              <w:t>异议投诉渠道：辽宁省工程建设项目招标投标异议投诉</w:t>
            </w:r>
            <w:r>
              <w:rPr>
                <w:color w:val="auto"/>
                <w:spacing w:val="-3"/>
                <w:lang w:eastAsia="zh-CN"/>
              </w:rPr>
              <w:t>处理系统</w:t>
            </w:r>
          </w:p>
        </w:tc>
      </w:tr>
      <w:tr w14:paraId="159A9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861" w:type="dxa"/>
          </w:tcPr>
          <w:p w14:paraId="77A930AE">
            <w:pPr>
              <w:spacing w:before="112"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3.1.1</w:t>
            </w:r>
          </w:p>
          <w:p w14:paraId="11B215C7">
            <w:pPr>
              <w:pStyle w:val="21"/>
              <w:spacing w:before="94" w:line="208" w:lineRule="auto"/>
              <w:ind w:left="122"/>
              <w:rPr>
                <w:color w:val="auto"/>
              </w:rPr>
            </w:pPr>
            <w:r>
              <w:rPr>
                <w:color w:val="auto"/>
                <w:spacing w:val="-4"/>
              </w:rPr>
              <w:t>（</w:t>
            </w:r>
            <w:r>
              <w:rPr>
                <w:rFonts w:ascii="Times New Roman" w:hAnsi="Times New Roman" w:eastAsia="Times New Roman" w:cs="Times New Roman"/>
                <w:color w:val="auto"/>
                <w:spacing w:val="-4"/>
              </w:rPr>
              <w:t>11</w:t>
            </w:r>
            <w:r>
              <w:rPr>
                <w:color w:val="auto"/>
                <w:spacing w:val="-4"/>
              </w:rPr>
              <w:t>）</w:t>
            </w:r>
          </w:p>
        </w:tc>
        <w:tc>
          <w:tcPr>
            <w:tcW w:w="2259" w:type="dxa"/>
          </w:tcPr>
          <w:p w14:paraId="00B62538">
            <w:pPr>
              <w:pStyle w:val="21"/>
              <w:spacing w:before="72" w:line="245" w:lineRule="auto"/>
              <w:ind w:left="919" w:right="182" w:hanging="732"/>
              <w:rPr>
                <w:color w:val="auto"/>
                <w:lang w:eastAsia="zh-CN"/>
              </w:rPr>
            </w:pPr>
            <w:r>
              <w:rPr>
                <w:color w:val="auto"/>
                <w:spacing w:val="-2"/>
                <w:lang w:eastAsia="zh-CN"/>
              </w:rPr>
              <w:t>构成投标文件的其他</w:t>
            </w:r>
            <w:r>
              <w:rPr>
                <w:color w:val="auto"/>
                <w:spacing w:val="-3"/>
                <w:lang w:eastAsia="zh-CN"/>
              </w:rPr>
              <w:t>材料</w:t>
            </w:r>
          </w:p>
        </w:tc>
        <w:tc>
          <w:tcPr>
            <w:tcW w:w="5294" w:type="dxa"/>
          </w:tcPr>
          <w:p w14:paraId="52594B7B">
            <w:pPr>
              <w:spacing w:before="202" w:line="276" w:lineRule="exact"/>
              <w:ind w:left="102"/>
              <w:rPr>
                <w:rFonts w:ascii="Times New Roman" w:hAnsi="Times New Roman" w:eastAsia="Times New Roman" w:cs="Times New Roman"/>
                <w:color w:val="auto"/>
              </w:rPr>
            </w:pPr>
            <w:r>
              <w:rPr>
                <w:rFonts w:hint="eastAsia"/>
                <w:color w:val="auto"/>
                <w:lang w:eastAsia="zh-CN"/>
              </w:rPr>
              <w:t>/</w:t>
            </w:r>
          </w:p>
        </w:tc>
      </w:tr>
      <w:tr w14:paraId="285A9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1" w:hRule="atLeast"/>
          <w:jc w:val="center"/>
        </w:trPr>
        <w:tc>
          <w:tcPr>
            <w:tcW w:w="861" w:type="dxa"/>
          </w:tcPr>
          <w:p w14:paraId="1046749D">
            <w:pPr>
              <w:spacing w:line="264" w:lineRule="auto"/>
              <w:rPr>
                <w:color w:val="auto"/>
              </w:rPr>
            </w:pPr>
          </w:p>
          <w:p w14:paraId="48B539C2">
            <w:pPr>
              <w:spacing w:line="264" w:lineRule="auto"/>
              <w:rPr>
                <w:color w:val="auto"/>
              </w:rPr>
            </w:pPr>
          </w:p>
          <w:p w14:paraId="07C70405">
            <w:pPr>
              <w:spacing w:before="60" w:line="186" w:lineRule="auto"/>
              <w:ind w:left="222"/>
              <w:rPr>
                <w:rFonts w:ascii="Times New Roman" w:hAnsi="Times New Roman" w:eastAsia="Times New Roman" w:cs="Times New Roman"/>
                <w:color w:val="auto"/>
                <w:spacing w:val="-2"/>
              </w:rPr>
            </w:pPr>
          </w:p>
          <w:p w14:paraId="18D23D6D">
            <w:pPr>
              <w:spacing w:before="60"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3.2.4</w:t>
            </w:r>
          </w:p>
        </w:tc>
        <w:tc>
          <w:tcPr>
            <w:tcW w:w="2259" w:type="dxa"/>
          </w:tcPr>
          <w:p w14:paraId="47CFBB65">
            <w:pPr>
              <w:spacing w:line="324" w:lineRule="auto"/>
              <w:rPr>
                <w:color w:val="auto"/>
                <w:lang w:eastAsia="zh-CN"/>
              </w:rPr>
            </w:pPr>
          </w:p>
          <w:p w14:paraId="5DF41B17">
            <w:pPr>
              <w:pStyle w:val="21"/>
              <w:spacing w:before="68" w:line="283" w:lineRule="auto"/>
              <w:ind w:left="502" w:right="497"/>
              <w:rPr>
                <w:color w:val="auto"/>
                <w:spacing w:val="-2"/>
                <w:lang w:eastAsia="zh-CN"/>
              </w:rPr>
            </w:pPr>
          </w:p>
          <w:p w14:paraId="1947788C">
            <w:pPr>
              <w:pStyle w:val="21"/>
              <w:spacing w:before="68" w:line="283" w:lineRule="auto"/>
              <w:ind w:left="502" w:right="497"/>
              <w:rPr>
                <w:color w:val="auto"/>
                <w:lang w:eastAsia="zh-CN"/>
              </w:rPr>
            </w:pPr>
            <w:r>
              <w:rPr>
                <w:color w:val="auto"/>
                <w:spacing w:val="-2"/>
                <w:lang w:eastAsia="zh-CN"/>
              </w:rPr>
              <w:t>最高投标限价或其计算方法</w:t>
            </w:r>
          </w:p>
        </w:tc>
        <w:tc>
          <w:tcPr>
            <w:tcW w:w="5294" w:type="dxa"/>
          </w:tcPr>
          <w:p w14:paraId="762F82F7">
            <w:pPr>
              <w:pStyle w:val="21"/>
              <w:spacing w:before="73" w:line="222" w:lineRule="auto"/>
              <w:ind w:left="131"/>
              <w:rPr>
                <w:color w:val="auto"/>
                <w:lang w:eastAsia="zh-CN"/>
              </w:rPr>
            </w:pPr>
            <w:r>
              <w:rPr>
                <w:color w:val="auto"/>
                <w:spacing w:val="-6"/>
                <w:lang w:eastAsia="zh-CN"/>
              </w:rPr>
              <w:t>□不设置</w:t>
            </w:r>
          </w:p>
          <w:p w14:paraId="3F036771">
            <w:pPr>
              <w:pStyle w:val="21"/>
              <w:spacing w:before="37" w:line="262" w:lineRule="auto"/>
              <w:ind w:left="119"/>
              <w:rPr>
                <w:color w:val="auto"/>
                <w:lang w:eastAsia="zh-CN"/>
              </w:rPr>
            </w:pPr>
            <w:r>
              <w:rPr>
                <w:rFonts w:ascii="Segoe UI Symbol" w:hAnsi="Segoe UI Symbol" w:eastAsia="Segoe UI Symbol" w:cs="Segoe UI Symbol"/>
                <w:color w:val="auto"/>
                <w:spacing w:val="-2"/>
                <w:lang w:eastAsia="zh-CN"/>
              </w:rPr>
              <w:t>☑</w:t>
            </w:r>
            <w:r>
              <w:rPr>
                <w:color w:val="auto"/>
                <w:spacing w:val="-2"/>
                <w:lang w:eastAsia="zh-CN"/>
              </w:rPr>
              <w:t>设置，最高投标限价：</w:t>
            </w:r>
            <w:r>
              <w:rPr>
                <w:rFonts w:hint="eastAsia"/>
                <w:color w:val="auto"/>
                <w:lang w:eastAsia="zh-CN"/>
              </w:rPr>
              <w:t>万元。</w:t>
            </w:r>
          </w:p>
          <w:p w14:paraId="460E62E9">
            <w:pPr>
              <w:pStyle w:val="21"/>
              <w:spacing w:before="6" w:line="276" w:lineRule="auto"/>
              <w:ind w:left="112"/>
              <w:rPr>
                <w:color w:val="auto"/>
                <w:lang w:eastAsia="zh-CN"/>
              </w:rPr>
            </w:pPr>
            <w:r>
              <w:rPr>
                <w:color w:val="auto"/>
                <w:spacing w:val="-4"/>
                <w:lang w:eastAsia="zh-CN"/>
              </w:rPr>
              <w:t>最高投标限价公布时间：投标截止时间</w:t>
            </w:r>
            <w:r>
              <w:rPr>
                <w:rFonts w:ascii="Times New Roman" w:hAnsi="Times New Roman" w:eastAsia="Times New Roman" w:cs="Times New Roman"/>
                <w:color w:val="auto"/>
                <w:spacing w:val="-4"/>
                <w:u w:val="single"/>
                <w:lang w:eastAsia="zh-CN"/>
              </w:rPr>
              <w:t>/</w:t>
            </w:r>
            <w:r>
              <w:rPr>
                <w:color w:val="auto"/>
                <w:spacing w:val="-4"/>
                <w:lang w:eastAsia="zh-CN"/>
              </w:rPr>
              <w:t>日前。</w:t>
            </w:r>
          </w:p>
          <w:p w14:paraId="397CE419">
            <w:pPr>
              <w:spacing w:line="360" w:lineRule="auto"/>
              <w:rPr>
                <w:rFonts w:cs="宋体"/>
                <w:color w:val="auto"/>
                <w:u w:val="single"/>
                <w:lang w:eastAsia="zh-CN"/>
              </w:rPr>
            </w:pPr>
            <w:r>
              <w:rPr>
                <w:color w:val="auto"/>
                <w:spacing w:val="-2"/>
                <w:lang w:eastAsia="zh-CN"/>
              </w:rPr>
              <w:t>其他要求：</w:t>
            </w:r>
            <w:r>
              <w:rPr>
                <w:rFonts w:hint="eastAsia"/>
                <w:color w:val="auto"/>
                <w:spacing w:val="-2"/>
                <w:u w:val="single"/>
                <w:lang w:eastAsia="zh-CN"/>
              </w:rPr>
              <w:t>投标人的投标报价不得超过最高投标限价，否则评标委员会将否决其投标</w:t>
            </w:r>
            <w:r>
              <w:rPr>
                <w:rFonts w:hint="eastAsia" w:cs="宋体"/>
                <w:color w:val="auto"/>
                <w:u w:val="single"/>
                <w:lang w:eastAsia="zh-CN"/>
              </w:rPr>
              <w:t>。</w:t>
            </w:r>
          </w:p>
        </w:tc>
      </w:tr>
      <w:tr w14:paraId="5FF21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8" w:hRule="atLeast"/>
          <w:jc w:val="center"/>
        </w:trPr>
        <w:tc>
          <w:tcPr>
            <w:tcW w:w="861" w:type="dxa"/>
          </w:tcPr>
          <w:p w14:paraId="37D657E6">
            <w:pPr>
              <w:spacing w:line="294" w:lineRule="auto"/>
              <w:rPr>
                <w:color w:val="auto"/>
                <w:lang w:eastAsia="zh-CN"/>
              </w:rPr>
            </w:pPr>
          </w:p>
          <w:p w14:paraId="12D3E11E">
            <w:pPr>
              <w:spacing w:line="295" w:lineRule="auto"/>
              <w:rPr>
                <w:color w:val="auto"/>
                <w:lang w:eastAsia="zh-CN"/>
              </w:rPr>
            </w:pPr>
          </w:p>
          <w:p w14:paraId="3331534E">
            <w:pPr>
              <w:spacing w:line="295" w:lineRule="auto"/>
              <w:rPr>
                <w:color w:val="auto"/>
                <w:lang w:eastAsia="zh-CN"/>
              </w:rPr>
            </w:pPr>
          </w:p>
          <w:p w14:paraId="16CAF4AD">
            <w:pPr>
              <w:spacing w:line="295" w:lineRule="auto"/>
              <w:rPr>
                <w:color w:val="auto"/>
                <w:lang w:eastAsia="zh-CN"/>
              </w:rPr>
            </w:pPr>
          </w:p>
          <w:p w14:paraId="48F13EE1">
            <w:pPr>
              <w:spacing w:before="60"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3.2.5</w:t>
            </w:r>
          </w:p>
        </w:tc>
        <w:tc>
          <w:tcPr>
            <w:tcW w:w="2259" w:type="dxa"/>
          </w:tcPr>
          <w:p w14:paraId="4B34B7B9">
            <w:pPr>
              <w:spacing w:line="283" w:lineRule="auto"/>
              <w:rPr>
                <w:color w:val="auto"/>
              </w:rPr>
            </w:pPr>
          </w:p>
          <w:p w14:paraId="5526C1E4">
            <w:pPr>
              <w:spacing w:line="283" w:lineRule="auto"/>
              <w:rPr>
                <w:color w:val="auto"/>
              </w:rPr>
            </w:pPr>
          </w:p>
          <w:p w14:paraId="26CD50FA">
            <w:pPr>
              <w:spacing w:line="283" w:lineRule="auto"/>
              <w:rPr>
                <w:color w:val="auto"/>
              </w:rPr>
            </w:pPr>
          </w:p>
          <w:p w14:paraId="58AC78A9">
            <w:pPr>
              <w:spacing w:line="284" w:lineRule="auto"/>
              <w:rPr>
                <w:color w:val="auto"/>
              </w:rPr>
            </w:pPr>
          </w:p>
          <w:p w14:paraId="09505F99">
            <w:pPr>
              <w:pStyle w:val="21"/>
              <w:spacing w:before="68" w:line="219" w:lineRule="auto"/>
              <w:ind w:left="708"/>
              <w:rPr>
                <w:color w:val="auto"/>
              </w:rPr>
            </w:pPr>
            <w:r>
              <w:rPr>
                <w:color w:val="auto"/>
                <w:spacing w:val="-2"/>
              </w:rPr>
              <w:t>报价说明</w:t>
            </w:r>
          </w:p>
        </w:tc>
        <w:tc>
          <w:tcPr>
            <w:tcW w:w="5294" w:type="dxa"/>
          </w:tcPr>
          <w:p w14:paraId="62FAF458">
            <w:pPr>
              <w:pStyle w:val="21"/>
              <w:spacing w:before="88" w:line="219" w:lineRule="auto"/>
              <w:ind w:left="108"/>
              <w:rPr>
                <w:color w:val="auto"/>
                <w:lang w:eastAsia="zh-CN"/>
              </w:rPr>
            </w:pPr>
            <w:r>
              <w:rPr>
                <w:color w:val="auto"/>
                <w:spacing w:val="-9"/>
                <w:lang w:eastAsia="zh-CN"/>
              </w:rPr>
              <w:t>报价方式：</w:t>
            </w:r>
          </w:p>
          <w:p w14:paraId="714A5BEB">
            <w:pPr>
              <w:pStyle w:val="21"/>
              <w:spacing w:before="70" w:line="207" w:lineRule="auto"/>
              <w:ind w:left="119"/>
              <w:rPr>
                <w:color w:val="auto"/>
                <w:lang w:eastAsia="zh-CN"/>
              </w:rPr>
            </w:pPr>
            <w:r>
              <w:rPr>
                <w:rFonts w:ascii="Segoe UI Symbol" w:hAnsi="Segoe UI Symbol" w:eastAsia="Segoe UI Symbol" w:cs="Segoe UI Symbol"/>
                <w:color w:val="auto"/>
                <w:spacing w:val="-3"/>
                <w:lang w:eastAsia="zh-CN"/>
              </w:rPr>
              <w:t>☑</w:t>
            </w:r>
            <w:r>
              <w:rPr>
                <w:color w:val="auto"/>
                <w:spacing w:val="-3"/>
                <w:lang w:eastAsia="zh-CN"/>
              </w:rPr>
              <w:t>人民币价格</w:t>
            </w:r>
          </w:p>
          <w:p w14:paraId="67ED8AD0">
            <w:pPr>
              <w:pStyle w:val="21"/>
              <w:spacing w:before="70" w:line="219" w:lineRule="auto"/>
              <w:ind w:left="131"/>
              <w:rPr>
                <w:color w:val="auto"/>
                <w:lang w:eastAsia="zh-CN"/>
              </w:rPr>
            </w:pPr>
            <w:r>
              <w:rPr>
                <w:color w:val="auto"/>
                <w:spacing w:val="-3"/>
                <w:lang w:eastAsia="zh-CN"/>
              </w:rPr>
              <w:t>□综合费率（参与价格评审的为综合费率）</w:t>
            </w:r>
          </w:p>
          <w:p w14:paraId="1263B679">
            <w:pPr>
              <w:pStyle w:val="21"/>
              <w:spacing w:before="70" w:line="219" w:lineRule="auto"/>
              <w:ind w:left="131"/>
              <w:rPr>
                <w:color w:val="auto"/>
                <w:lang w:eastAsia="zh-CN"/>
              </w:rPr>
            </w:pPr>
            <w:r>
              <w:rPr>
                <w:color w:val="auto"/>
                <w:spacing w:val="-3"/>
                <w:lang w:eastAsia="zh-CN"/>
              </w:rPr>
              <w:t>□下浮率（参与价格评审的为下浮率）</w:t>
            </w:r>
          </w:p>
          <w:p w14:paraId="2BE25B30">
            <w:pPr>
              <w:pStyle w:val="21"/>
              <w:spacing w:before="71" w:line="219" w:lineRule="auto"/>
              <w:ind w:left="131"/>
              <w:rPr>
                <w:color w:val="auto"/>
                <w:lang w:eastAsia="zh-CN"/>
              </w:rPr>
            </w:pPr>
            <w:r>
              <w:rPr>
                <w:color w:val="auto"/>
                <w:spacing w:val="-3"/>
                <w:lang w:eastAsia="zh-CN"/>
              </w:rPr>
              <w:t>□综合单价（参与价格评审的为综合单价）</w:t>
            </w:r>
          </w:p>
          <w:p w14:paraId="7277E2DD">
            <w:pPr>
              <w:pStyle w:val="21"/>
              <w:spacing w:before="71" w:line="268" w:lineRule="auto"/>
              <w:ind w:left="124" w:right="103" w:hanging="14"/>
              <w:rPr>
                <w:color w:val="auto"/>
                <w:lang w:eastAsia="zh-CN"/>
              </w:rPr>
            </w:pPr>
            <w:r>
              <w:rPr>
                <w:color w:val="auto"/>
                <w:spacing w:val="1"/>
                <w:lang w:eastAsia="zh-CN"/>
              </w:rPr>
              <w:t>特别说明：非人民币价格方式报价，投标人均应根据实</w:t>
            </w:r>
            <w:r>
              <w:rPr>
                <w:color w:val="auto"/>
                <w:spacing w:val="-4"/>
                <w:lang w:eastAsia="zh-CN"/>
              </w:rPr>
              <w:t>际情况合理填报转换的人民币价格。</w:t>
            </w:r>
          </w:p>
          <w:p w14:paraId="4D8E5797">
            <w:pPr>
              <w:pStyle w:val="21"/>
              <w:spacing w:line="220" w:lineRule="auto"/>
              <w:ind w:left="108"/>
              <w:rPr>
                <w:rFonts w:ascii="Times New Roman" w:hAnsi="Times New Roman" w:eastAsia="Times New Roman" w:cs="Times New Roman"/>
                <w:color w:val="auto"/>
              </w:rPr>
            </w:pPr>
            <w:r>
              <w:rPr>
                <w:color w:val="auto"/>
                <w:spacing w:val="-2"/>
              </w:rPr>
              <w:t>报价要求：</w:t>
            </w:r>
            <w:r>
              <w:rPr>
                <w:rFonts w:ascii="Times New Roman" w:hAnsi="Times New Roman" w:eastAsia="Times New Roman" w:cs="Times New Roman"/>
                <w:color w:val="auto"/>
                <w:spacing w:val="-2"/>
              </w:rPr>
              <w:t>/</w:t>
            </w:r>
          </w:p>
        </w:tc>
      </w:tr>
      <w:tr w14:paraId="04DD1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861" w:type="dxa"/>
          </w:tcPr>
          <w:p w14:paraId="489F2790">
            <w:pPr>
              <w:spacing w:before="196"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3.3.1</w:t>
            </w:r>
          </w:p>
        </w:tc>
        <w:tc>
          <w:tcPr>
            <w:tcW w:w="2259" w:type="dxa"/>
          </w:tcPr>
          <w:p w14:paraId="1B2AC628">
            <w:pPr>
              <w:pStyle w:val="21"/>
              <w:spacing w:before="157" w:line="221" w:lineRule="auto"/>
              <w:ind w:left="607"/>
              <w:rPr>
                <w:color w:val="auto"/>
              </w:rPr>
            </w:pPr>
            <w:r>
              <w:rPr>
                <w:color w:val="auto"/>
                <w:spacing w:val="-2"/>
              </w:rPr>
              <w:t>投标有效期</w:t>
            </w:r>
          </w:p>
        </w:tc>
        <w:tc>
          <w:tcPr>
            <w:tcW w:w="5294" w:type="dxa"/>
          </w:tcPr>
          <w:p w14:paraId="307C7F58">
            <w:pPr>
              <w:pStyle w:val="21"/>
              <w:spacing w:before="157" w:line="220" w:lineRule="auto"/>
              <w:ind w:left="144"/>
              <w:rPr>
                <w:color w:val="auto"/>
                <w:lang w:eastAsia="zh-CN"/>
              </w:rPr>
            </w:pPr>
            <w:r>
              <w:rPr>
                <w:color w:val="auto"/>
                <w:spacing w:val="-6"/>
                <w:lang w:eastAsia="zh-CN"/>
              </w:rPr>
              <w:t>自投标截止之日起</w:t>
            </w:r>
            <w:r>
              <w:rPr>
                <w:rFonts w:hint="eastAsia"/>
                <w:color w:val="auto"/>
                <w:spacing w:val="-42"/>
                <w:u w:val="single"/>
                <w:lang w:eastAsia="zh-CN"/>
              </w:rPr>
              <w:t>90</w:t>
            </w:r>
            <w:r>
              <w:rPr>
                <w:color w:val="auto"/>
                <w:spacing w:val="-6"/>
                <w:lang w:eastAsia="zh-CN"/>
              </w:rPr>
              <w:t>日内有效</w:t>
            </w:r>
          </w:p>
        </w:tc>
      </w:tr>
      <w:tr w14:paraId="03063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2" w:hRule="atLeast"/>
          <w:jc w:val="center"/>
        </w:trPr>
        <w:tc>
          <w:tcPr>
            <w:tcW w:w="861" w:type="dxa"/>
          </w:tcPr>
          <w:p w14:paraId="6180932D">
            <w:pPr>
              <w:spacing w:line="274" w:lineRule="auto"/>
              <w:rPr>
                <w:color w:val="auto"/>
                <w:lang w:eastAsia="zh-CN"/>
              </w:rPr>
            </w:pPr>
          </w:p>
          <w:p w14:paraId="49FFFDCB">
            <w:pPr>
              <w:spacing w:line="274" w:lineRule="auto"/>
              <w:rPr>
                <w:color w:val="auto"/>
                <w:lang w:eastAsia="zh-CN"/>
              </w:rPr>
            </w:pPr>
          </w:p>
          <w:p w14:paraId="341920A7">
            <w:pPr>
              <w:spacing w:line="274" w:lineRule="auto"/>
              <w:rPr>
                <w:color w:val="auto"/>
                <w:lang w:eastAsia="zh-CN"/>
              </w:rPr>
            </w:pPr>
          </w:p>
          <w:p w14:paraId="38F8875D">
            <w:pPr>
              <w:spacing w:line="274" w:lineRule="auto"/>
              <w:rPr>
                <w:color w:val="auto"/>
                <w:lang w:eastAsia="zh-CN"/>
              </w:rPr>
            </w:pPr>
          </w:p>
          <w:p w14:paraId="540E4638">
            <w:pPr>
              <w:spacing w:line="274" w:lineRule="auto"/>
              <w:rPr>
                <w:color w:val="auto"/>
                <w:lang w:eastAsia="zh-CN"/>
              </w:rPr>
            </w:pPr>
          </w:p>
          <w:p w14:paraId="5811C839">
            <w:pPr>
              <w:spacing w:line="275" w:lineRule="auto"/>
              <w:rPr>
                <w:color w:val="auto"/>
                <w:lang w:eastAsia="zh-CN"/>
              </w:rPr>
            </w:pPr>
          </w:p>
          <w:p w14:paraId="402F8C5B">
            <w:pPr>
              <w:spacing w:before="60" w:line="186" w:lineRule="auto"/>
              <w:ind w:left="222"/>
              <w:rPr>
                <w:rFonts w:ascii="Times New Roman" w:hAnsi="Times New Roman" w:eastAsia="Times New Roman" w:cs="Times New Roman"/>
                <w:color w:val="auto"/>
                <w:spacing w:val="-2"/>
                <w:lang w:eastAsia="zh-CN"/>
              </w:rPr>
            </w:pPr>
          </w:p>
          <w:p w14:paraId="414C0344">
            <w:pPr>
              <w:spacing w:before="60" w:line="186" w:lineRule="auto"/>
              <w:ind w:left="222"/>
              <w:rPr>
                <w:rFonts w:ascii="Times New Roman" w:hAnsi="Times New Roman" w:eastAsia="Times New Roman" w:cs="Times New Roman"/>
                <w:color w:val="auto"/>
                <w:spacing w:val="-2"/>
                <w:lang w:eastAsia="zh-CN"/>
              </w:rPr>
            </w:pPr>
          </w:p>
          <w:p w14:paraId="6254B0B5">
            <w:pPr>
              <w:spacing w:before="60" w:line="186" w:lineRule="auto"/>
              <w:ind w:left="222"/>
              <w:rPr>
                <w:rFonts w:ascii="Times New Roman" w:hAnsi="Times New Roman" w:eastAsia="Times New Roman" w:cs="Times New Roman"/>
                <w:color w:val="auto"/>
                <w:spacing w:val="-2"/>
                <w:lang w:eastAsia="zh-CN"/>
              </w:rPr>
            </w:pPr>
          </w:p>
          <w:p w14:paraId="6F64A77B">
            <w:pPr>
              <w:spacing w:before="60" w:line="186" w:lineRule="auto"/>
              <w:ind w:left="222"/>
              <w:rPr>
                <w:rFonts w:ascii="Times New Roman" w:hAnsi="Times New Roman" w:eastAsia="Times New Roman" w:cs="Times New Roman"/>
                <w:color w:val="auto"/>
                <w:spacing w:val="-2"/>
                <w:lang w:eastAsia="zh-CN"/>
              </w:rPr>
            </w:pPr>
          </w:p>
          <w:p w14:paraId="0A5E61F7">
            <w:pPr>
              <w:spacing w:before="60" w:line="186" w:lineRule="auto"/>
              <w:ind w:left="222"/>
              <w:rPr>
                <w:rFonts w:ascii="Times New Roman" w:hAnsi="Times New Roman" w:eastAsia="Times New Roman" w:cs="Times New Roman"/>
                <w:color w:val="auto"/>
                <w:spacing w:val="-2"/>
                <w:lang w:eastAsia="zh-CN"/>
              </w:rPr>
            </w:pPr>
          </w:p>
          <w:p w14:paraId="6CE968E5">
            <w:pPr>
              <w:spacing w:before="60" w:line="186" w:lineRule="auto"/>
              <w:ind w:left="222"/>
              <w:rPr>
                <w:rFonts w:ascii="Times New Roman" w:hAnsi="Times New Roman" w:eastAsia="Times New Roman" w:cs="Times New Roman"/>
                <w:color w:val="auto"/>
                <w:spacing w:val="-2"/>
                <w:lang w:eastAsia="zh-CN"/>
              </w:rPr>
            </w:pPr>
          </w:p>
          <w:p w14:paraId="3405ED37">
            <w:pPr>
              <w:spacing w:before="60"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3.4.1</w:t>
            </w:r>
          </w:p>
        </w:tc>
        <w:tc>
          <w:tcPr>
            <w:tcW w:w="2259" w:type="dxa"/>
          </w:tcPr>
          <w:p w14:paraId="12B54396">
            <w:pPr>
              <w:spacing w:line="266" w:lineRule="auto"/>
              <w:rPr>
                <w:color w:val="auto"/>
              </w:rPr>
            </w:pPr>
          </w:p>
          <w:p w14:paraId="7117599D">
            <w:pPr>
              <w:spacing w:line="266" w:lineRule="auto"/>
              <w:rPr>
                <w:color w:val="auto"/>
              </w:rPr>
            </w:pPr>
          </w:p>
          <w:p w14:paraId="65269F90">
            <w:pPr>
              <w:spacing w:line="266" w:lineRule="auto"/>
              <w:rPr>
                <w:color w:val="auto"/>
              </w:rPr>
            </w:pPr>
          </w:p>
          <w:p w14:paraId="19B107C3">
            <w:pPr>
              <w:spacing w:line="267" w:lineRule="auto"/>
              <w:rPr>
                <w:color w:val="auto"/>
              </w:rPr>
            </w:pPr>
          </w:p>
          <w:p w14:paraId="61AD4908">
            <w:pPr>
              <w:spacing w:line="267" w:lineRule="auto"/>
              <w:rPr>
                <w:color w:val="auto"/>
              </w:rPr>
            </w:pPr>
          </w:p>
          <w:p w14:paraId="47A53BCF">
            <w:pPr>
              <w:spacing w:line="267" w:lineRule="auto"/>
              <w:rPr>
                <w:color w:val="auto"/>
              </w:rPr>
            </w:pPr>
          </w:p>
          <w:p w14:paraId="5D8A80B5">
            <w:pPr>
              <w:pStyle w:val="21"/>
              <w:spacing w:before="68" w:line="221" w:lineRule="auto"/>
              <w:ind w:left="607"/>
              <w:rPr>
                <w:color w:val="auto"/>
                <w:spacing w:val="-2"/>
              </w:rPr>
            </w:pPr>
          </w:p>
          <w:p w14:paraId="35ADB460">
            <w:pPr>
              <w:pStyle w:val="21"/>
              <w:spacing w:before="68" w:line="221" w:lineRule="auto"/>
              <w:ind w:left="607"/>
              <w:rPr>
                <w:color w:val="auto"/>
                <w:spacing w:val="-2"/>
              </w:rPr>
            </w:pPr>
          </w:p>
          <w:p w14:paraId="117D43C0">
            <w:pPr>
              <w:pStyle w:val="21"/>
              <w:spacing w:before="68" w:line="221" w:lineRule="auto"/>
              <w:ind w:left="607"/>
              <w:rPr>
                <w:color w:val="auto"/>
                <w:spacing w:val="-2"/>
              </w:rPr>
            </w:pPr>
          </w:p>
          <w:p w14:paraId="0AE9B4FA">
            <w:pPr>
              <w:pStyle w:val="21"/>
              <w:spacing w:before="68" w:line="221" w:lineRule="auto"/>
              <w:ind w:left="607"/>
              <w:rPr>
                <w:color w:val="auto"/>
                <w:spacing w:val="-2"/>
              </w:rPr>
            </w:pPr>
          </w:p>
          <w:p w14:paraId="3A846714">
            <w:pPr>
              <w:pStyle w:val="21"/>
              <w:spacing w:before="68" w:line="221" w:lineRule="auto"/>
              <w:ind w:left="607"/>
              <w:rPr>
                <w:color w:val="auto"/>
                <w:spacing w:val="-2"/>
              </w:rPr>
            </w:pPr>
          </w:p>
          <w:p w14:paraId="2C1A44C7">
            <w:pPr>
              <w:pStyle w:val="21"/>
              <w:spacing w:before="68" w:line="221" w:lineRule="auto"/>
              <w:ind w:left="607"/>
              <w:rPr>
                <w:color w:val="auto"/>
              </w:rPr>
            </w:pPr>
            <w:r>
              <w:rPr>
                <w:color w:val="auto"/>
                <w:spacing w:val="-2"/>
              </w:rPr>
              <w:t>投标保证金</w:t>
            </w:r>
          </w:p>
        </w:tc>
        <w:tc>
          <w:tcPr>
            <w:tcW w:w="5294" w:type="dxa"/>
          </w:tcPr>
          <w:p w14:paraId="64811853">
            <w:pPr>
              <w:pStyle w:val="21"/>
              <w:spacing w:before="78" w:line="274" w:lineRule="auto"/>
              <w:ind w:right="4342"/>
              <w:rPr>
                <w:color w:val="auto"/>
                <w:lang w:eastAsia="zh-CN"/>
              </w:rPr>
            </w:pPr>
            <w:r>
              <w:rPr>
                <w:rFonts w:hint="eastAsia"/>
                <w:color w:val="auto"/>
                <w:spacing w:val="-8"/>
                <w:lang w:eastAsia="zh-CN"/>
              </w:rPr>
              <w:t>□</w:t>
            </w:r>
            <w:r>
              <w:rPr>
                <w:color w:val="auto"/>
                <w:spacing w:val="-8"/>
                <w:lang w:eastAsia="zh-CN"/>
              </w:rPr>
              <w:t>不提交</w:t>
            </w:r>
            <w:r>
              <w:rPr>
                <w:rFonts w:hint="eastAsia"/>
                <w:color w:val="auto"/>
                <w:spacing w:val="-8"/>
                <w:lang w:eastAsia="zh-CN"/>
              </w:rPr>
              <w:t>☑提交</w:t>
            </w:r>
          </w:p>
          <w:p w14:paraId="2F67C19D">
            <w:pPr>
              <w:pStyle w:val="21"/>
              <w:spacing w:line="219" w:lineRule="auto"/>
              <w:ind w:left="125"/>
              <w:rPr>
                <w:color w:val="auto"/>
                <w:lang w:eastAsia="zh-CN"/>
              </w:rPr>
            </w:pPr>
            <w:r>
              <w:rPr>
                <w:color w:val="auto"/>
                <w:spacing w:val="-3"/>
                <w:lang w:eastAsia="zh-CN"/>
              </w:rPr>
              <w:t>1.递交截止时间（到账时间</w:t>
            </w:r>
            <w:r>
              <w:rPr>
                <w:color w:val="auto"/>
                <w:spacing w:val="14"/>
                <w:lang w:eastAsia="zh-CN"/>
              </w:rPr>
              <w:t>）：</w:t>
            </w:r>
            <w:r>
              <w:rPr>
                <w:b/>
                <w:bCs/>
                <w:color w:val="auto"/>
                <w:spacing w:val="-3"/>
                <w:lang w:eastAsia="zh-CN"/>
              </w:rPr>
              <w:t>同本标段投标截止时间</w:t>
            </w:r>
          </w:p>
          <w:p w14:paraId="27AFDCDA">
            <w:pPr>
              <w:pStyle w:val="21"/>
              <w:spacing w:before="70" w:line="220" w:lineRule="auto"/>
              <w:ind w:left="112"/>
              <w:rPr>
                <w:color w:val="auto"/>
                <w:lang w:eastAsia="zh-CN"/>
              </w:rPr>
            </w:pPr>
            <w:r>
              <w:rPr>
                <w:color w:val="auto"/>
                <w:spacing w:val="-5"/>
                <w:lang w:eastAsia="zh-CN"/>
              </w:rPr>
              <w:t>2.金额：</w:t>
            </w:r>
            <w:r>
              <w:rPr>
                <w:rFonts w:hint="eastAsia"/>
                <w:color w:val="auto"/>
                <w:spacing w:val="-5"/>
                <w:u w:val="single"/>
                <w:lang w:eastAsia="zh-CN"/>
              </w:rPr>
              <w:t>3</w:t>
            </w:r>
            <w:r>
              <w:rPr>
                <w:color w:val="auto"/>
                <w:spacing w:val="-5"/>
                <w:lang w:eastAsia="zh-CN"/>
              </w:rPr>
              <w:t>万元。</w:t>
            </w:r>
          </w:p>
          <w:p w14:paraId="3EA565A9">
            <w:pPr>
              <w:pStyle w:val="21"/>
              <w:spacing w:before="69" w:line="245" w:lineRule="auto"/>
              <w:ind w:left="112" w:right="102" w:firstLine="1"/>
              <w:rPr>
                <w:color w:val="auto"/>
                <w:lang w:eastAsia="zh-CN"/>
              </w:rPr>
            </w:pPr>
            <w:r>
              <w:rPr>
                <w:color w:val="auto"/>
                <w:spacing w:val="-18"/>
                <w:lang w:eastAsia="zh-CN"/>
              </w:rPr>
              <w:t>3.形式：</w:t>
            </w:r>
            <w:r>
              <w:rPr>
                <w:rFonts w:hint="eastAsia" w:ascii="Segoe UI Symbol" w:hAnsi="Segoe UI Symbol" w:cs="Segoe UI Symbol"/>
                <w:color w:val="auto"/>
                <w:spacing w:val="-18"/>
                <w:lang w:eastAsia="zh-CN"/>
              </w:rPr>
              <w:t>☑</w:t>
            </w:r>
            <w:r>
              <w:rPr>
                <w:rFonts w:hint="eastAsia"/>
                <w:color w:val="auto"/>
                <w:spacing w:val="-18"/>
                <w:lang w:eastAsia="zh-CN"/>
              </w:rPr>
              <w:t>现金</w:t>
            </w:r>
            <w:r>
              <w:rPr>
                <w:color w:val="auto"/>
                <w:spacing w:val="-18"/>
                <w:lang w:eastAsia="zh-CN"/>
              </w:rPr>
              <w:t>（指电汇、支票）</w:t>
            </w:r>
            <w:r>
              <w:rPr>
                <w:rFonts w:ascii="Segoe UI Symbol" w:hAnsi="Segoe UI Symbol" w:eastAsia="Segoe UI Symbol" w:cs="Segoe UI Symbol"/>
                <w:color w:val="auto"/>
                <w:spacing w:val="-18"/>
                <w:lang w:eastAsia="zh-CN"/>
              </w:rPr>
              <w:t>☑</w:t>
            </w:r>
            <w:r>
              <w:rPr>
                <w:color w:val="auto"/>
                <w:spacing w:val="-18"/>
                <w:lang w:eastAsia="zh-CN"/>
              </w:rPr>
              <w:t>保函（保险）□其他</w:t>
            </w:r>
            <w:r>
              <w:rPr>
                <w:color w:val="auto"/>
                <w:spacing w:val="-3"/>
                <w:lang w:eastAsia="zh-CN"/>
              </w:rPr>
              <w:t>形式</w:t>
            </w:r>
          </w:p>
          <w:p w14:paraId="491C69FA">
            <w:pPr>
              <w:pStyle w:val="21"/>
              <w:spacing w:before="67" w:line="222" w:lineRule="auto"/>
              <w:ind w:left="109"/>
              <w:rPr>
                <w:color w:val="auto"/>
                <w:lang w:eastAsia="zh-CN"/>
              </w:rPr>
            </w:pPr>
            <w:r>
              <w:rPr>
                <w:color w:val="auto"/>
                <w:spacing w:val="-7"/>
                <w:lang w:eastAsia="zh-CN"/>
              </w:rPr>
              <w:t>4.递交方式：</w:t>
            </w:r>
          </w:p>
          <w:p w14:paraId="40D8668F">
            <w:pPr>
              <w:pStyle w:val="21"/>
              <w:spacing w:before="68" w:line="221" w:lineRule="auto"/>
              <w:ind w:left="109"/>
              <w:rPr>
                <w:color w:val="auto"/>
                <w:lang w:eastAsia="zh-CN"/>
              </w:rPr>
            </w:pPr>
            <w:r>
              <w:rPr>
                <w:color w:val="auto"/>
                <w:spacing w:val="-3"/>
                <w:lang w:eastAsia="zh-CN"/>
              </w:rPr>
              <w:t>4.1现金</w:t>
            </w:r>
          </w:p>
          <w:p w14:paraId="6656D8CE">
            <w:pPr>
              <w:pStyle w:val="21"/>
              <w:spacing w:before="69" w:line="220" w:lineRule="auto"/>
              <w:rPr>
                <w:color w:val="auto"/>
                <w:lang w:eastAsia="zh-CN"/>
              </w:rPr>
            </w:pPr>
            <w:r>
              <w:rPr>
                <w:color w:val="auto"/>
                <w:spacing w:val="-4"/>
                <w:lang w:eastAsia="zh-CN"/>
              </w:rPr>
              <w:t>（1）收款信息</w:t>
            </w:r>
          </w:p>
          <w:p w14:paraId="6FBAB8D7">
            <w:pPr>
              <w:pStyle w:val="21"/>
              <w:spacing w:before="70" w:line="220" w:lineRule="auto"/>
              <w:ind w:firstLine="412" w:firstLineChars="200"/>
              <w:rPr>
                <w:color w:val="auto"/>
                <w:spacing w:val="-2"/>
                <w:lang w:eastAsia="zh-CN"/>
              </w:rPr>
            </w:pPr>
            <w:r>
              <w:rPr>
                <w:color w:val="auto"/>
                <w:spacing w:val="-2"/>
                <w:lang w:eastAsia="zh-CN"/>
              </w:rPr>
              <w:t>收款单位：</w:t>
            </w:r>
            <w:r>
              <w:rPr>
                <w:rFonts w:hint="eastAsia"/>
                <w:color w:val="auto"/>
                <w:spacing w:val="-2"/>
                <w:lang w:eastAsia="zh-CN"/>
              </w:rPr>
              <w:t>盖州市诚建工程招标代理有限责任公司</w:t>
            </w:r>
          </w:p>
          <w:p w14:paraId="68485F81">
            <w:pPr>
              <w:pStyle w:val="21"/>
              <w:spacing w:before="70" w:line="220" w:lineRule="auto"/>
              <w:ind w:firstLine="412" w:firstLineChars="200"/>
              <w:rPr>
                <w:color w:val="auto"/>
                <w:spacing w:val="-2"/>
                <w:lang w:eastAsia="zh-CN"/>
              </w:rPr>
            </w:pPr>
            <w:r>
              <w:rPr>
                <w:color w:val="auto"/>
                <w:spacing w:val="-2"/>
                <w:lang w:eastAsia="zh-CN"/>
              </w:rPr>
              <w:t>开户银行：</w:t>
            </w:r>
            <w:r>
              <w:rPr>
                <w:rFonts w:hint="eastAsia"/>
                <w:color w:val="auto"/>
                <w:spacing w:val="-2"/>
                <w:lang w:eastAsia="zh-CN"/>
              </w:rPr>
              <w:t>辽沈银行股份有限公司营口盖州支行</w:t>
            </w:r>
          </w:p>
          <w:p w14:paraId="579913CA">
            <w:pPr>
              <w:pStyle w:val="21"/>
              <w:spacing w:before="70" w:line="220" w:lineRule="auto"/>
              <w:ind w:firstLine="412" w:firstLineChars="200"/>
              <w:rPr>
                <w:color w:val="auto"/>
                <w:spacing w:val="-2"/>
                <w:lang w:eastAsia="zh-CN"/>
              </w:rPr>
            </w:pPr>
            <w:r>
              <w:rPr>
                <w:color w:val="auto"/>
                <w:spacing w:val="-2"/>
                <w:lang w:eastAsia="zh-CN"/>
              </w:rPr>
              <w:t>账户账号：</w:t>
            </w:r>
            <w:r>
              <w:rPr>
                <w:rFonts w:hint="eastAsia"/>
                <w:color w:val="auto"/>
                <w:spacing w:val="-2"/>
                <w:lang w:eastAsia="zh-CN"/>
              </w:rPr>
              <w:t xml:space="preserve">8804150100000000037   </w:t>
            </w:r>
          </w:p>
          <w:p w14:paraId="2261B723">
            <w:pPr>
              <w:pStyle w:val="21"/>
              <w:spacing w:before="68" w:line="220" w:lineRule="auto"/>
              <w:rPr>
                <w:color w:val="auto"/>
                <w:lang w:eastAsia="zh-CN"/>
              </w:rPr>
            </w:pPr>
            <w:r>
              <w:rPr>
                <w:color w:val="auto"/>
                <w:spacing w:val="-5"/>
                <w:lang w:eastAsia="zh-CN"/>
              </w:rPr>
              <w:t>（2）收款说明</w:t>
            </w:r>
          </w:p>
          <w:p w14:paraId="1000E242">
            <w:pPr>
              <w:pStyle w:val="21"/>
              <w:spacing w:before="70" w:line="281" w:lineRule="auto"/>
              <w:ind w:left="111" w:right="142" w:firstLine="420"/>
              <w:rPr>
                <w:color w:val="auto"/>
                <w:lang w:eastAsia="zh-CN"/>
              </w:rPr>
            </w:pPr>
            <w:r>
              <w:rPr>
                <w:color w:val="auto"/>
                <w:spacing w:val="-1"/>
                <w:lang w:eastAsia="zh-CN"/>
              </w:rPr>
              <w:t>投标人应在投标截止时间前通过企业基本账户递交</w:t>
            </w:r>
            <w:r>
              <w:rPr>
                <w:color w:val="auto"/>
                <w:spacing w:val="-2"/>
                <w:lang w:eastAsia="zh-CN"/>
              </w:rPr>
              <w:t>至4.1（1）规定的账户，否则视为无效投标保证金。</w:t>
            </w:r>
          </w:p>
          <w:p w14:paraId="7AB940DA">
            <w:pPr>
              <w:pStyle w:val="21"/>
              <w:spacing w:before="1" w:line="220" w:lineRule="auto"/>
              <w:ind w:left="109"/>
              <w:rPr>
                <w:color w:val="auto"/>
                <w:lang w:eastAsia="zh-CN"/>
              </w:rPr>
            </w:pPr>
            <w:r>
              <w:rPr>
                <w:color w:val="auto"/>
                <w:spacing w:val="-3"/>
                <w:lang w:eastAsia="zh-CN"/>
              </w:rPr>
              <w:t>4.2保函（保险）</w:t>
            </w:r>
          </w:p>
          <w:p w14:paraId="28D1DF55">
            <w:pPr>
              <w:pStyle w:val="21"/>
              <w:spacing w:before="69" w:line="269" w:lineRule="auto"/>
              <w:ind w:left="109" w:right="110" w:firstLine="426"/>
              <w:rPr>
                <w:color w:val="auto"/>
                <w:u w:val="single"/>
                <w:lang w:eastAsia="zh-CN"/>
              </w:rPr>
            </w:pPr>
            <w:r>
              <w:rPr>
                <w:color w:val="auto"/>
                <w:spacing w:val="-4"/>
                <w:lang w:eastAsia="zh-CN"/>
              </w:rPr>
              <w:t>（1）投标人可通过辽宁省建设工程领域电子保函保</w:t>
            </w:r>
            <w:r>
              <w:rPr>
                <w:color w:val="auto"/>
                <w:spacing w:val="-1"/>
                <w:lang w:eastAsia="zh-CN"/>
              </w:rPr>
              <w:t>险基础公共服务平台或辽宁省工程建设项目电子保函保险基础服务平台跨地区、跨行业自由服务试点的金融平台或金融机构任一渠道自主选择购买保函（保险</w:t>
            </w:r>
            <w:r>
              <w:rPr>
                <w:color w:val="auto"/>
                <w:spacing w:val="6"/>
                <w:lang w:eastAsia="zh-CN"/>
              </w:rPr>
              <w:t>），</w:t>
            </w:r>
            <w:r>
              <w:rPr>
                <w:color w:val="auto"/>
                <w:spacing w:val="-1"/>
                <w:lang w:eastAsia="zh-CN"/>
              </w:rPr>
              <w:t>鼓</w:t>
            </w:r>
            <w:r>
              <w:rPr>
                <w:color w:val="auto"/>
                <w:spacing w:val="-2"/>
                <w:lang w:eastAsia="zh-CN"/>
              </w:rPr>
              <w:t>励企业使用电子保函（保险）等形式提交保证金。</w:t>
            </w:r>
          </w:p>
          <w:p w14:paraId="3879E5D3">
            <w:pPr>
              <w:pStyle w:val="21"/>
              <w:spacing w:before="66" w:line="276" w:lineRule="auto"/>
              <w:ind w:left="108" w:right="66" w:firstLine="427"/>
              <w:rPr>
                <w:color w:val="auto"/>
                <w:lang w:eastAsia="zh-CN"/>
              </w:rPr>
            </w:pPr>
            <w:r>
              <w:rPr>
                <w:color w:val="auto"/>
                <w:spacing w:val="-2"/>
                <w:lang w:eastAsia="zh-CN"/>
              </w:rPr>
              <w:t>（2）投标人应在投标截止时间前购买完成并生效。</w:t>
            </w:r>
            <w:r>
              <w:rPr>
                <w:color w:val="auto"/>
                <w:spacing w:val="-1"/>
                <w:lang w:eastAsia="zh-CN"/>
              </w:rPr>
              <w:t>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w:t>
            </w:r>
            <w:r>
              <w:rPr>
                <w:color w:val="auto"/>
                <w:spacing w:val="7"/>
                <w:lang w:eastAsia="zh-CN"/>
              </w:rPr>
              <w:t>），</w:t>
            </w:r>
            <w:r>
              <w:rPr>
                <w:color w:val="auto"/>
                <w:spacing w:val="-1"/>
                <w:lang w:eastAsia="zh-CN"/>
              </w:rPr>
              <w:t>购买费用不是通过主体信息库登记的企业账户缴纳，造成无法进行验真，以及验真不通过责任由投标人自行承担。无法验真或验真不通过的保函（保险）由评标委员会进行</w:t>
            </w:r>
            <w:r>
              <w:rPr>
                <w:color w:val="auto"/>
                <w:spacing w:val="-2"/>
                <w:lang w:eastAsia="zh-CN"/>
              </w:rPr>
              <w:t>核实确定后，视为未按照要求缴纳投标保证金。</w:t>
            </w:r>
          </w:p>
          <w:p w14:paraId="2F2A02C5">
            <w:pPr>
              <w:pStyle w:val="21"/>
              <w:spacing w:before="70" w:line="221" w:lineRule="auto"/>
              <w:ind w:left="109"/>
              <w:rPr>
                <w:color w:val="auto"/>
                <w:lang w:eastAsia="zh-CN"/>
              </w:rPr>
            </w:pPr>
            <w:r>
              <w:rPr>
                <w:color w:val="auto"/>
                <w:spacing w:val="-3"/>
                <w:lang w:eastAsia="zh-CN"/>
              </w:rPr>
              <w:t>4.3其他</w:t>
            </w:r>
          </w:p>
          <w:p w14:paraId="57A9D532">
            <w:pPr>
              <w:spacing w:line="320" w:lineRule="exact"/>
              <w:rPr>
                <w:rFonts w:ascii="宋体" w:hAnsi="宋体" w:cs="宋体"/>
                <w:color w:val="auto"/>
                <w:u w:val="single"/>
                <w:lang w:eastAsia="zh-CN"/>
              </w:rPr>
            </w:pPr>
            <w:r>
              <w:rPr>
                <w:color w:val="auto"/>
                <w:spacing w:val="-1"/>
                <w:lang w:eastAsia="zh-CN"/>
              </w:rPr>
              <w:t>采用汇票等其他方式缴纳投标保证金的，也应参照现金方式缴纳要求执行。招标人要求可以不缴纳投标保</w:t>
            </w:r>
            <w:r>
              <w:rPr>
                <w:color w:val="auto"/>
                <w:spacing w:val="-6"/>
                <w:lang w:eastAsia="zh-CN"/>
              </w:rPr>
              <w:t>证金的除外。</w:t>
            </w:r>
          </w:p>
        </w:tc>
      </w:tr>
      <w:tr w14:paraId="5DFE7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61" w:type="dxa"/>
          </w:tcPr>
          <w:p w14:paraId="330C59D9">
            <w:pPr>
              <w:spacing w:line="283" w:lineRule="auto"/>
              <w:rPr>
                <w:color w:val="auto"/>
                <w:lang w:eastAsia="zh-CN"/>
              </w:rPr>
            </w:pPr>
          </w:p>
          <w:p w14:paraId="71E93FDB">
            <w:pPr>
              <w:spacing w:line="283" w:lineRule="auto"/>
              <w:rPr>
                <w:color w:val="auto"/>
                <w:lang w:eastAsia="zh-CN"/>
              </w:rPr>
            </w:pPr>
          </w:p>
          <w:p w14:paraId="5BE0FC6C">
            <w:pPr>
              <w:spacing w:line="283" w:lineRule="auto"/>
              <w:rPr>
                <w:color w:val="auto"/>
                <w:lang w:eastAsia="zh-CN"/>
              </w:rPr>
            </w:pPr>
          </w:p>
          <w:p w14:paraId="154DBEF6">
            <w:pPr>
              <w:spacing w:before="60" w:line="186" w:lineRule="auto"/>
              <w:ind w:left="222"/>
              <w:rPr>
                <w:rFonts w:ascii="Times New Roman" w:hAnsi="Times New Roman" w:eastAsia="Times New Roman" w:cs="Times New Roman"/>
                <w:color w:val="auto"/>
                <w:spacing w:val="-2"/>
              </w:rPr>
            </w:pPr>
            <w:r>
              <w:rPr>
                <w:rFonts w:ascii="Times New Roman" w:hAnsi="Times New Roman" w:eastAsia="Times New Roman" w:cs="Times New Roman"/>
                <w:color w:val="auto"/>
                <w:spacing w:val="-2"/>
              </w:rPr>
              <w:t>3.4.3</w:t>
            </w:r>
          </w:p>
        </w:tc>
        <w:tc>
          <w:tcPr>
            <w:tcW w:w="2259" w:type="dxa"/>
          </w:tcPr>
          <w:p w14:paraId="2F8638F0">
            <w:pPr>
              <w:spacing w:line="322" w:lineRule="auto"/>
              <w:rPr>
                <w:color w:val="auto"/>
                <w:lang w:eastAsia="zh-CN"/>
              </w:rPr>
            </w:pPr>
          </w:p>
          <w:p w14:paraId="354E7E45">
            <w:pPr>
              <w:spacing w:line="323" w:lineRule="auto"/>
              <w:rPr>
                <w:color w:val="auto"/>
                <w:lang w:eastAsia="zh-CN"/>
              </w:rPr>
            </w:pPr>
          </w:p>
          <w:p w14:paraId="6F2EF8BA">
            <w:pPr>
              <w:pStyle w:val="21"/>
              <w:spacing w:before="68" w:line="284" w:lineRule="auto"/>
              <w:ind w:left="814" w:right="392" w:hanging="418"/>
              <w:rPr>
                <w:color w:val="auto"/>
                <w:spacing w:val="-2"/>
                <w:lang w:eastAsia="zh-CN"/>
              </w:rPr>
            </w:pPr>
            <w:r>
              <w:rPr>
                <w:color w:val="auto"/>
                <w:spacing w:val="-2"/>
                <w:lang w:eastAsia="zh-CN"/>
              </w:rPr>
              <w:t>退还投标保证金及利息</w:t>
            </w:r>
          </w:p>
        </w:tc>
        <w:tc>
          <w:tcPr>
            <w:tcW w:w="5294" w:type="dxa"/>
          </w:tcPr>
          <w:p w14:paraId="2F8CBFC2">
            <w:pPr>
              <w:pStyle w:val="21"/>
              <w:spacing w:before="76" w:line="220" w:lineRule="auto"/>
              <w:ind w:left="110"/>
              <w:rPr>
                <w:color w:val="auto"/>
                <w:lang w:eastAsia="zh-CN"/>
              </w:rPr>
            </w:pPr>
            <w:r>
              <w:rPr>
                <w:color w:val="auto"/>
                <w:spacing w:val="-1"/>
                <w:lang w:eastAsia="zh-CN"/>
              </w:rPr>
              <w:t>计息标准：</w:t>
            </w:r>
            <w:r>
              <w:rPr>
                <w:rFonts w:hint="eastAsia"/>
                <w:color w:val="auto"/>
                <w:u w:val="single"/>
                <w:lang w:eastAsia="zh-CN"/>
              </w:rPr>
              <w:t>无</w:t>
            </w:r>
          </w:p>
          <w:p w14:paraId="6C4A2B37">
            <w:pPr>
              <w:pStyle w:val="21"/>
              <w:spacing w:before="76" w:line="220" w:lineRule="auto"/>
              <w:ind w:left="110"/>
              <w:rPr>
                <w:color w:val="auto"/>
                <w:lang w:eastAsia="zh-CN"/>
              </w:rPr>
            </w:pPr>
            <w:r>
              <w:rPr>
                <w:color w:val="auto"/>
                <w:spacing w:val="-1"/>
                <w:lang w:eastAsia="zh-CN"/>
              </w:rPr>
              <w:t>计息时间：</w:t>
            </w:r>
            <w:r>
              <w:rPr>
                <w:color w:val="auto"/>
                <w:spacing w:val="-1"/>
                <w:u w:val="single"/>
                <w:lang w:eastAsia="zh-CN"/>
              </w:rPr>
              <w:t>投标保证金到账之日至退还的前一日。</w:t>
            </w:r>
          </w:p>
          <w:p w14:paraId="0D185A75">
            <w:pPr>
              <w:pStyle w:val="21"/>
              <w:spacing w:before="68" w:line="262" w:lineRule="auto"/>
              <w:ind w:left="1160" w:right="142" w:hanging="1049"/>
              <w:rPr>
                <w:color w:val="auto"/>
                <w:spacing w:val="-1"/>
                <w:lang w:eastAsia="zh-CN"/>
              </w:rPr>
            </w:pPr>
            <w:r>
              <w:rPr>
                <w:color w:val="auto"/>
                <w:spacing w:val="-3"/>
                <w:lang w:eastAsia="zh-CN"/>
              </w:rPr>
              <w:t>退还办法：</w:t>
            </w:r>
            <w:r>
              <w:rPr>
                <w:color w:val="auto"/>
                <w:spacing w:val="-3"/>
                <w:u w:val="single"/>
                <w:lang w:eastAsia="zh-CN"/>
              </w:rPr>
              <w:t>中标结果公示后5 日内，未中标的投标人现</w:t>
            </w:r>
            <w:r>
              <w:rPr>
                <w:color w:val="auto"/>
                <w:spacing w:val="-2"/>
                <w:u w:val="single"/>
                <w:lang w:eastAsia="zh-CN"/>
              </w:rPr>
              <w:t>金保证金按原路径自动退回；合同签订后5</w:t>
            </w:r>
            <w:r>
              <w:rPr>
                <w:color w:val="auto"/>
                <w:spacing w:val="-1"/>
                <w:u w:val="single"/>
                <w:lang w:eastAsia="zh-CN"/>
              </w:rPr>
              <w:t>日内，中标人的现金投标保证金按原路径自</w:t>
            </w:r>
            <w:r>
              <w:rPr>
                <w:color w:val="auto"/>
                <w:spacing w:val="-2"/>
                <w:u w:val="single"/>
                <w:lang w:eastAsia="zh-CN"/>
              </w:rPr>
              <w:t>动退回。</w:t>
            </w:r>
          </w:p>
        </w:tc>
      </w:tr>
      <w:tr w14:paraId="0FDCB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861" w:type="dxa"/>
            <w:vAlign w:val="center"/>
          </w:tcPr>
          <w:p w14:paraId="3C791CFB">
            <w:pPr>
              <w:spacing w:before="276" w:line="186" w:lineRule="auto"/>
              <w:ind w:left="222"/>
              <w:jc w:val="both"/>
              <w:rPr>
                <w:rFonts w:ascii="Times New Roman" w:hAnsi="Times New Roman" w:eastAsia="Times New Roman" w:cs="Times New Roman"/>
                <w:color w:val="auto"/>
                <w:spacing w:val="-2"/>
              </w:rPr>
            </w:pPr>
            <w:r>
              <w:rPr>
                <w:rFonts w:ascii="Times New Roman" w:hAnsi="Times New Roman" w:eastAsia="Times New Roman" w:cs="Times New Roman"/>
                <w:color w:val="auto"/>
                <w:spacing w:val="-2"/>
              </w:rPr>
              <w:t>3.5.2</w:t>
            </w:r>
          </w:p>
        </w:tc>
        <w:tc>
          <w:tcPr>
            <w:tcW w:w="2259" w:type="dxa"/>
            <w:vAlign w:val="center"/>
          </w:tcPr>
          <w:p w14:paraId="46417F7E">
            <w:pPr>
              <w:pStyle w:val="21"/>
              <w:spacing w:before="78" w:line="242" w:lineRule="auto"/>
              <w:ind w:left="710" w:right="182" w:hanging="522"/>
              <w:jc w:val="both"/>
              <w:rPr>
                <w:color w:val="auto"/>
                <w:spacing w:val="-2"/>
                <w:lang w:eastAsia="zh-CN"/>
              </w:rPr>
            </w:pPr>
            <w:r>
              <w:rPr>
                <w:color w:val="auto"/>
                <w:spacing w:val="-2"/>
                <w:lang w:eastAsia="zh-CN"/>
              </w:rPr>
              <w:t>企业近年财务状况的年份要求</w:t>
            </w:r>
          </w:p>
        </w:tc>
        <w:tc>
          <w:tcPr>
            <w:tcW w:w="5294" w:type="dxa"/>
          </w:tcPr>
          <w:p w14:paraId="0AEDBCD8">
            <w:pPr>
              <w:pStyle w:val="21"/>
              <w:spacing w:before="207" w:line="277" w:lineRule="auto"/>
              <w:ind w:left="109"/>
              <w:rPr>
                <w:color w:val="auto"/>
                <w:spacing w:val="-3"/>
              </w:rPr>
            </w:pPr>
            <w:r>
              <w:rPr>
                <w:color w:val="auto"/>
                <w:spacing w:val="-2"/>
              </w:rPr>
              <w:t>近</w:t>
            </w:r>
            <w:r>
              <w:rPr>
                <w:rFonts w:ascii="Times New Roman" w:hAnsi="Times New Roman" w:eastAsia="Times New Roman" w:cs="Times New Roman"/>
                <w:color w:val="auto"/>
                <w:spacing w:val="-2"/>
                <w:u w:val="single"/>
              </w:rPr>
              <w:t>/</w:t>
            </w:r>
            <w:r>
              <w:rPr>
                <w:color w:val="auto"/>
                <w:spacing w:val="-2"/>
              </w:rPr>
              <w:t>年，指</w:t>
            </w:r>
            <w:r>
              <w:rPr>
                <w:rFonts w:ascii="Times New Roman" w:hAnsi="Times New Roman" w:eastAsia="Times New Roman" w:cs="Times New Roman"/>
                <w:color w:val="auto"/>
                <w:spacing w:val="-2"/>
              </w:rPr>
              <w:t>/</w:t>
            </w:r>
          </w:p>
        </w:tc>
      </w:tr>
      <w:tr w14:paraId="421AD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861" w:type="dxa"/>
            <w:vAlign w:val="center"/>
          </w:tcPr>
          <w:p w14:paraId="30F4245C">
            <w:pPr>
              <w:spacing w:before="277" w:line="186" w:lineRule="auto"/>
              <w:ind w:left="222"/>
              <w:jc w:val="both"/>
              <w:rPr>
                <w:rFonts w:ascii="Times New Roman" w:hAnsi="Times New Roman" w:eastAsia="Times New Roman" w:cs="Times New Roman"/>
                <w:color w:val="auto"/>
                <w:spacing w:val="-2"/>
              </w:rPr>
            </w:pPr>
            <w:r>
              <w:rPr>
                <w:rFonts w:ascii="Times New Roman" w:hAnsi="Times New Roman" w:eastAsia="Times New Roman" w:cs="Times New Roman"/>
                <w:color w:val="auto"/>
                <w:spacing w:val="-2"/>
              </w:rPr>
              <w:t>3.5.3</w:t>
            </w:r>
          </w:p>
        </w:tc>
        <w:tc>
          <w:tcPr>
            <w:tcW w:w="2259" w:type="dxa"/>
            <w:vAlign w:val="center"/>
          </w:tcPr>
          <w:p w14:paraId="26898510">
            <w:pPr>
              <w:pStyle w:val="21"/>
              <w:spacing w:before="78" w:line="242" w:lineRule="auto"/>
              <w:ind w:left="288" w:right="182" w:hanging="100"/>
              <w:jc w:val="both"/>
              <w:rPr>
                <w:color w:val="auto"/>
                <w:spacing w:val="-2"/>
                <w:highlight w:val="yellow"/>
                <w:lang w:eastAsia="zh-CN"/>
              </w:rPr>
            </w:pPr>
            <w:r>
              <w:rPr>
                <w:color w:val="auto"/>
                <w:spacing w:val="-2"/>
                <w:lang w:eastAsia="zh-CN"/>
              </w:rPr>
              <w:t>企业近年已完成的类</w:t>
            </w:r>
            <w:r>
              <w:rPr>
                <w:color w:val="auto"/>
                <w:spacing w:val="-1"/>
                <w:lang w:eastAsia="zh-CN"/>
              </w:rPr>
              <w:t>似项目的年份要求</w:t>
            </w:r>
          </w:p>
        </w:tc>
        <w:tc>
          <w:tcPr>
            <w:tcW w:w="5294" w:type="dxa"/>
          </w:tcPr>
          <w:p w14:paraId="0DADEBA6">
            <w:pPr>
              <w:pStyle w:val="21"/>
              <w:spacing w:before="208" w:line="277" w:lineRule="auto"/>
              <w:ind w:left="109"/>
              <w:rPr>
                <w:color w:val="auto"/>
                <w:spacing w:val="-2"/>
                <w:highlight w:val="yellow"/>
              </w:rPr>
            </w:pPr>
            <w:r>
              <w:rPr>
                <w:color w:val="auto"/>
                <w:spacing w:val="-2"/>
              </w:rPr>
              <w:t>近</w:t>
            </w:r>
            <w:r>
              <w:rPr>
                <w:rFonts w:ascii="Times New Roman" w:hAnsi="Times New Roman" w:eastAsia="Times New Roman" w:cs="Times New Roman"/>
                <w:color w:val="auto"/>
                <w:spacing w:val="-2"/>
                <w:u w:val="single"/>
              </w:rPr>
              <w:t>/</w:t>
            </w:r>
            <w:r>
              <w:rPr>
                <w:color w:val="auto"/>
                <w:spacing w:val="-2"/>
              </w:rPr>
              <w:t>年，指</w:t>
            </w:r>
            <w:r>
              <w:rPr>
                <w:rFonts w:ascii="Times New Roman" w:hAnsi="Times New Roman" w:eastAsia="Times New Roman" w:cs="Times New Roman"/>
                <w:color w:val="auto"/>
                <w:spacing w:val="-2"/>
              </w:rPr>
              <w:t>/</w:t>
            </w:r>
          </w:p>
        </w:tc>
      </w:tr>
      <w:tr w14:paraId="1B29F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0" w:hRule="atLeast"/>
          <w:jc w:val="center"/>
        </w:trPr>
        <w:tc>
          <w:tcPr>
            <w:tcW w:w="861" w:type="dxa"/>
            <w:vAlign w:val="center"/>
          </w:tcPr>
          <w:p w14:paraId="6B53D345">
            <w:pPr>
              <w:spacing w:before="277" w:line="186" w:lineRule="auto"/>
              <w:ind w:left="222"/>
              <w:jc w:val="both"/>
              <w:rPr>
                <w:rFonts w:ascii="Times New Roman" w:hAnsi="Times New Roman" w:eastAsia="Times New Roman" w:cs="Times New Roman"/>
                <w:color w:val="auto"/>
                <w:spacing w:val="-2"/>
              </w:rPr>
            </w:pPr>
            <w:r>
              <w:rPr>
                <w:rFonts w:ascii="Times New Roman" w:hAnsi="Times New Roman" w:eastAsia="Times New Roman" w:cs="Times New Roman"/>
                <w:color w:val="auto"/>
                <w:spacing w:val="-2"/>
              </w:rPr>
              <w:t>3.5.5</w:t>
            </w:r>
          </w:p>
        </w:tc>
        <w:tc>
          <w:tcPr>
            <w:tcW w:w="2259" w:type="dxa"/>
            <w:vAlign w:val="center"/>
          </w:tcPr>
          <w:p w14:paraId="3A7E6132">
            <w:pPr>
              <w:pStyle w:val="21"/>
              <w:spacing w:before="68" w:line="220" w:lineRule="auto"/>
              <w:ind w:left="188"/>
              <w:jc w:val="both"/>
              <w:rPr>
                <w:color w:val="auto"/>
                <w:lang w:eastAsia="zh-CN"/>
              </w:rPr>
            </w:pPr>
            <w:r>
              <w:rPr>
                <w:color w:val="auto"/>
                <w:spacing w:val="-2"/>
                <w:lang w:eastAsia="zh-CN"/>
              </w:rPr>
              <w:t>企业近年发生的诉讼</w:t>
            </w:r>
          </w:p>
          <w:p w14:paraId="3A83CC0B">
            <w:pPr>
              <w:pStyle w:val="21"/>
              <w:spacing w:before="69" w:line="220" w:lineRule="auto"/>
              <w:ind w:left="184"/>
              <w:jc w:val="both"/>
              <w:rPr>
                <w:color w:val="auto"/>
                <w:lang w:eastAsia="zh-CN"/>
              </w:rPr>
            </w:pPr>
            <w:r>
              <w:rPr>
                <w:color w:val="auto"/>
                <w:spacing w:val="-1"/>
                <w:lang w:eastAsia="zh-CN"/>
              </w:rPr>
              <w:t>及仲裁情况的年份要</w:t>
            </w:r>
          </w:p>
          <w:p w14:paraId="243D4FAA">
            <w:pPr>
              <w:pStyle w:val="21"/>
              <w:spacing w:before="78" w:line="242" w:lineRule="auto"/>
              <w:ind w:left="288" w:right="182" w:hanging="100"/>
              <w:jc w:val="both"/>
              <w:rPr>
                <w:color w:val="auto"/>
                <w:spacing w:val="-2"/>
              </w:rPr>
            </w:pPr>
            <w:r>
              <w:rPr>
                <w:color w:val="auto"/>
              </w:rPr>
              <w:t>求</w:t>
            </w:r>
          </w:p>
        </w:tc>
        <w:tc>
          <w:tcPr>
            <w:tcW w:w="5294" w:type="dxa"/>
          </w:tcPr>
          <w:p w14:paraId="4A14B80B">
            <w:pPr>
              <w:pStyle w:val="21"/>
              <w:spacing w:before="49" w:line="277" w:lineRule="auto"/>
              <w:ind w:left="109"/>
              <w:rPr>
                <w:rFonts w:ascii="Times New Roman" w:hAnsi="Times New Roman" w:eastAsia="Times New Roman" w:cs="Times New Roman"/>
                <w:color w:val="auto"/>
                <w:lang w:eastAsia="zh-CN"/>
              </w:rPr>
            </w:pPr>
            <w:r>
              <w:rPr>
                <w:color w:val="auto"/>
                <w:spacing w:val="-2"/>
                <w:lang w:eastAsia="zh-CN"/>
              </w:rPr>
              <w:t>近</w:t>
            </w:r>
            <w:r>
              <w:rPr>
                <w:rFonts w:ascii="Times New Roman" w:hAnsi="Times New Roman" w:eastAsia="Times New Roman" w:cs="Times New Roman"/>
                <w:color w:val="auto"/>
                <w:spacing w:val="-2"/>
                <w:u w:val="single"/>
                <w:lang w:eastAsia="zh-CN"/>
              </w:rPr>
              <w:t>/</w:t>
            </w:r>
            <w:r>
              <w:rPr>
                <w:color w:val="auto"/>
                <w:spacing w:val="-2"/>
                <w:lang w:eastAsia="zh-CN"/>
              </w:rPr>
              <w:t>年，指</w:t>
            </w:r>
            <w:r>
              <w:rPr>
                <w:rFonts w:ascii="Times New Roman" w:hAnsi="Times New Roman" w:eastAsia="Times New Roman" w:cs="Times New Roman"/>
                <w:color w:val="auto"/>
                <w:spacing w:val="-2"/>
                <w:u w:val="single"/>
                <w:lang w:eastAsia="zh-CN"/>
              </w:rPr>
              <w:t>/</w:t>
            </w:r>
          </w:p>
          <w:p w14:paraId="57B3BC44">
            <w:pPr>
              <w:pStyle w:val="21"/>
              <w:spacing w:before="208" w:line="277" w:lineRule="auto"/>
              <w:ind w:left="109"/>
              <w:rPr>
                <w:color w:val="auto"/>
                <w:spacing w:val="-2"/>
              </w:rPr>
            </w:pPr>
            <w:r>
              <w:rPr>
                <w:color w:val="auto"/>
                <w:spacing w:val="1"/>
                <w:lang w:eastAsia="zh-CN"/>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w:t>
            </w:r>
            <w:r>
              <w:rPr>
                <w:color w:val="auto"/>
                <w:spacing w:val="-5"/>
                <w:lang w:eastAsia="zh-CN"/>
              </w:rPr>
              <w:t>或以不正当手段骗取中标的行为，将依法依规予以处理。</w:t>
            </w:r>
            <w:r>
              <w:rPr>
                <w:color w:val="auto"/>
                <w:spacing w:val="-4"/>
              </w:rPr>
              <w:t>时间为判决或仲裁决定时间。</w:t>
            </w:r>
          </w:p>
        </w:tc>
      </w:tr>
      <w:tr w14:paraId="6420D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4" w:hRule="atLeast"/>
          <w:jc w:val="center"/>
        </w:trPr>
        <w:tc>
          <w:tcPr>
            <w:tcW w:w="861" w:type="dxa"/>
            <w:vAlign w:val="center"/>
          </w:tcPr>
          <w:p w14:paraId="6EAFE62D">
            <w:pPr>
              <w:spacing w:before="277" w:line="186" w:lineRule="auto"/>
              <w:ind w:left="222"/>
              <w:jc w:val="both"/>
              <w:rPr>
                <w:rFonts w:ascii="Times New Roman" w:hAnsi="Times New Roman" w:eastAsia="宋体" w:cs="Times New Roman"/>
                <w:color w:val="auto"/>
                <w:spacing w:val="-2"/>
                <w:lang w:eastAsia="zh-CN"/>
              </w:rPr>
            </w:pPr>
            <w:r>
              <w:rPr>
                <w:rFonts w:hint="eastAsia" w:ascii="Times New Roman" w:hAnsi="Times New Roman" w:eastAsia="宋体" w:cs="Times New Roman"/>
                <w:color w:val="auto"/>
                <w:spacing w:val="-2"/>
                <w:lang w:eastAsia="zh-CN"/>
              </w:rPr>
              <w:t>3.6</w:t>
            </w:r>
          </w:p>
        </w:tc>
        <w:tc>
          <w:tcPr>
            <w:tcW w:w="2259" w:type="dxa"/>
            <w:vAlign w:val="center"/>
          </w:tcPr>
          <w:p w14:paraId="530956A4">
            <w:pPr>
              <w:pStyle w:val="21"/>
              <w:spacing w:before="78" w:line="242" w:lineRule="auto"/>
              <w:ind w:left="288" w:right="182" w:hanging="100"/>
              <w:jc w:val="both"/>
              <w:rPr>
                <w:color w:val="auto"/>
                <w:lang w:eastAsia="zh-CN"/>
              </w:rPr>
            </w:pPr>
            <w:r>
              <w:rPr>
                <w:color w:val="auto"/>
                <w:spacing w:val="-2"/>
                <w:lang w:eastAsia="zh-CN"/>
              </w:rPr>
              <w:t>是否允许递交备选投</w:t>
            </w:r>
            <w:r>
              <w:rPr>
                <w:color w:val="auto"/>
                <w:spacing w:val="-3"/>
                <w:lang w:eastAsia="zh-CN"/>
              </w:rPr>
              <w:t>标方案</w:t>
            </w:r>
          </w:p>
        </w:tc>
        <w:tc>
          <w:tcPr>
            <w:tcW w:w="5294" w:type="dxa"/>
          </w:tcPr>
          <w:p w14:paraId="1F8D8A78">
            <w:pPr>
              <w:pStyle w:val="21"/>
              <w:spacing w:before="70" w:line="208" w:lineRule="auto"/>
              <w:ind w:left="119"/>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不允许</w:t>
            </w:r>
          </w:p>
          <w:p w14:paraId="7302A07E">
            <w:pPr>
              <w:pStyle w:val="21"/>
              <w:spacing w:before="69" w:line="220" w:lineRule="auto"/>
              <w:ind w:left="131"/>
              <w:rPr>
                <w:color w:val="auto"/>
                <w:lang w:eastAsia="zh-CN"/>
              </w:rPr>
            </w:pPr>
            <w:r>
              <w:rPr>
                <w:color w:val="auto"/>
                <w:spacing w:val="-7"/>
                <w:lang w:eastAsia="zh-CN"/>
              </w:rPr>
              <w:t>□允许</w:t>
            </w:r>
          </w:p>
          <w:p w14:paraId="78B2449B">
            <w:pPr>
              <w:pStyle w:val="21"/>
              <w:spacing w:before="208" w:line="277" w:lineRule="auto"/>
              <w:ind w:left="109"/>
              <w:rPr>
                <w:color w:val="auto"/>
                <w:spacing w:val="1"/>
                <w:lang w:eastAsia="zh-CN"/>
              </w:rPr>
            </w:pPr>
            <w:r>
              <w:rPr>
                <w:color w:val="auto"/>
                <w:spacing w:val="2"/>
                <w:lang w:eastAsia="zh-CN"/>
              </w:rPr>
              <w:t>备选方案递交和审核标准</w:t>
            </w:r>
            <w:r>
              <w:rPr>
                <w:rFonts w:hint="eastAsia"/>
                <w:color w:val="auto"/>
                <w:spacing w:val="2"/>
                <w:lang w:eastAsia="zh-CN"/>
              </w:rPr>
              <w:t>：</w:t>
            </w:r>
          </w:p>
        </w:tc>
      </w:tr>
    </w:tbl>
    <w:p w14:paraId="1A6158E7">
      <w:pPr>
        <w:spacing w:before="18"/>
        <w:rPr>
          <w:color w:val="auto"/>
          <w:lang w:eastAsia="zh-CN"/>
        </w:rPr>
      </w:pPr>
    </w:p>
    <w:tbl>
      <w:tblPr>
        <w:tblStyle w:val="20"/>
        <w:tblW w:w="84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59"/>
        <w:gridCol w:w="5294"/>
      </w:tblGrid>
      <w:tr w14:paraId="309DC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75" w:hRule="atLeast"/>
          <w:jc w:val="center"/>
        </w:trPr>
        <w:tc>
          <w:tcPr>
            <w:tcW w:w="861" w:type="dxa"/>
          </w:tcPr>
          <w:p w14:paraId="2084F33B">
            <w:pPr>
              <w:spacing w:line="242" w:lineRule="auto"/>
              <w:rPr>
                <w:color w:val="auto"/>
                <w:lang w:eastAsia="zh-CN"/>
              </w:rPr>
            </w:pPr>
          </w:p>
          <w:p w14:paraId="5D816C35">
            <w:pPr>
              <w:spacing w:line="242" w:lineRule="auto"/>
              <w:rPr>
                <w:color w:val="auto"/>
                <w:lang w:eastAsia="zh-CN"/>
              </w:rPr>
            </w:pPr>
          </w:p>
          <w:p w14:paraId="4ABC9DDC">
            <w:pPr>
              <w:spacing w:line="242" w:lineRule="auto"/>
              <w:rPr>
                <w:color w:val="auto"/>
                <w:lang w:eastAsia="zh-CN"/>
              </w:rPr>
            </w:pPr>
          </w:p>
          <w:p w14:paraId="291E6301">
            <w:pPr>
              <w:spacing w:line="242" w:lineRule="auto"/>
              <w:rPr>
                <w:color w:val="auto"/>
                <w:lang w:eastAsia="zh-CN"/>
              </w:rPr>
            </w:pPr>
          </w:p>
          <w:p w14:paraId="5CDF099A">
            <w:pPr>
              <w:spacing w:line="242" w:lineRule="auto"/>
              <w:rPr>
                <w:color w:val="auto"/>
                <w:lang w:eastAsia="zh-CN"/>
              </w:rPr>
            </w:pPr>
          </w:p>
          <w:p w14:paraId="1FA3A9FF">
            <w:pPr>
              <w:spacing w:line="243" w:lineRule="auto"/>
              <w:rPr>
                <w:color w:val="auto"/>
                <w:lang w:eastAsia="zh-CN"/>
              </w:rPr>
            </w:pPr>
          </w:p>
          <w:p w14:paraId="0A7D2EC1">
            <w:pPr>
              <w:spacing w:line="243" w:lineRule="auto"/>
              <w:rPr>
                <w:color w:val="auto"/>
                <w:lang w:eastAsia="zh-CN"/>
              </w:rPr>
            </w:pPr>
          </w:p>
          <w:p w14:paraId="4864D2ED">
            <w:pPr>
              <w:spacing w:line="243" w:lineRule="auto"/>
              <w:rPr>
                <w:color w:val="auto"/>
                <w:lang w:eastAsia="zh-CN"/>
              </w:rPr>
            </w:pPr>
          </w:p>
          <w:p w14:paraId="68612081">
            <w:pPr>
              <w:spacing w:line="243" w:lineRule="auto"/>
              <w:rPr>
                <w:color w:val="auto"/>
                <w:lang w:eastAsia="zh-CN"/>
              </w:rPr>
            </w:pPr>
          </w:p>
          <w:p w14:paraId="54464554">
            <w:pPr>
              <w:spacing w:line="243" w:lineRule="auto"/>
              <w:rPr>
                <w:color w:val="auto"/>
                <w:lang w:eastAsia="zh-CN"/>
              </w:rPr>
            </w:pPr>
          </w:p>
          <w:p w14:paraId="2894CA1B">
            <w:pPr>
              <w:spacing w:line="243" w:lineRule="auto"/>
              <w:rPr>
                <w:color w:val="auto"/>
                <w:lang w:eastAsia="zh-CN"/>
              </w:rPr>
            </w:pPr>
          </w:p>
          <w:p w14:paraId="56BFBE8B">
            <w:pPr>
              <w:spacing w:line="243" w:lineRule="auto"/>
              <w:rPr>
                <w:color w:val="auto"/>
                <w:lang w:eastAsia="zh-CN"/>
              </w:rPr>
            </w:pPr>
          </w:p>
          <w:p w14:paraId="4FBB8C6A">
            <w:pPr>
              <w:spacing w:before="61"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3.7.3</w:t>
            </w:r>
          </w:p>
        </w:tc>
        <w:tc>
          <w:tcPr>
            <w:tcW w:w="2259" w:type="dxa"/>
          </w:tcPr>
          <w:p w14:paraId="57A25CDA">
            <w:pPr>
              <w:spacing w:line="246" w:lineRule="auto"/>
              <w:rPr>
                <w:color w:val="auto"/>
                <w:lang w:eastAsia="zh-CN"/>
              </w:rPr>
            </w:pPr>
          </w:p>
          <w:p w14:paraId="37458F5A">
            <w:pPr>
              <w:spacing w:line="246" w:lineRule="auto"/>
              <w:rPr>
                <w:color w:val="auto"/>
                <w:lang w:eastAsia="zh-CN"/>
              </w:rPr>
            </w:pPr>
          </w:p>
          <w:p w14:paraId="63BFB907">
            <w:pPr>
              <w:spacing w:line="246" w:lineRule="auto"/>
              <w:rPr>
                <w:color w:val="auto"/>
                <w:lang w:eastAsia="zh-CN"/>
              </w:rPr>
            </w:pPr>
          </w:p>
          <w:p w14:paraId="320E7F4A">
            <w:pPr>
              <w:spacing w:line="246" w:lineRule="auto"/>
              <w:rPr>
                <w:color w:val="auto"/>
                <w:lang w:eastAsia="zh-CN"/>
              </w:rPr>
            </w:pPr>
          </w:p>
          <w:p w14:paraId="5C7D326B">
            <w:pPr>
              <w:spacing w:line="246" w:lineRule="auto"/>
              <w:rPr>
                <w:color w:val="auto"/>
                <w:lang w:eastAsia="zh-CN"/>
              </w:rPr>
            </w:pPr>
          </w:p>
          <w:p w14:paraId="6CEDCCAD">
            <w:pPr>
              <w:spacing w:line="246" w:lineRule="auto"/>
              <w:rPr>
                <w:color w:val="auto"/>
                <w:lang w:eastAsia="zh-CN"/>
              </w:rPr>
            </w:pPr>
          </w:p>
          <w:p w14:paraId="29F6ABE2">
            <w:pPr>
              <w:spacing w:line="246" w:lineRule="auto"/>
              <w:rPr>
                <w:color w:val="auto"/>
                <w:lang w:eastAsia="zh-CN"/>
              </w:rPr>
            </w:pPr>
          </w:p>
          <w:p w14:paraId="16FC1748">
            <w:pPr>
              <w:spacing w:line="246" w:lineRule="auto"/>
              <w:rPr>
                <w:color w:val="auto"/>
                <w:lang w:eastAsia="zh-CN"/>
              </w:rPr>
            </w:pPr>
          </w:p>
          <w:p w14:paraId="2CF7B5F3">
            <w:pPr>
              <w:spacing w:line="246" w:lineRule="auto"/>
              <w:rPr>
                <w:color w:val="auto"/>
                <w:lang w:eastAsia="zh-CN"/>
              </w:rPr>
            </w:pPr>
          </w:p>
          <w:p w14:paraId="14AEF974">
            <w:pPr>
              <w:spacing w:line="246" w:lineRule="auto"/>
              <w:rPr>
                <w:color w:val="auto"/>
                <w:lang w:eastAsia="zh-CN"/>
              </w:rPr>
            </w:pPr>
          </w:p>
          <w:p w14:paraId="77F4A9AE">
            <w:pPr>
              <w:spacing w:line="246" w:lineRule="auto"/>
              <w:rPr>
                <w:color w:val="auto"/>
                <w:lang w:eastAsia="zh-CN"/>
              </w:rPr>
            </w:pPr>
          </w:p>
          <w:p w14:paraId="7B061193">
            <w:pPr>
              <w:pStyle w:val="21"/>
              <w:spacing w:before="68" w:line="283" w:lineRule="auto"/>
              <w:ind w:left="710" w:right="182" w:hanging="525"/>
              <w:rPr>
                <w:color w:val="auto"/>
                <w:lang w:eastAsia="zh-CN"/>
              </w:rPr>
            </w:pPr>
            <w:r>
              <w:rPr>
                <w:color w:val="auto"/>
                <w:spacing w:val="-1"/>
                <w:lang w:eastAsia="zh-CN"/>
              </w:rPr>
              <w:t>应用于评审的佐证或</w:t>
            </w:r>
            <w:r>
              <w:rPr>
                <w:color w:val="auto"/>
                <w:spacing w:val="-2"/>
                <w:lang w:eastAsia="zh-CN"/>
              </w:rPr>
              <w:t>证明材料</w:t>
            </w:r>
          </w:p>
        </w:tc>
        <w:tc>
          <w:tcPr>
            <w:tcW w:w="5294" w:type="dxa"/>
          </w:tcPr>
          <w:p w14:paraId="7BBC39F1">
            <w:pPr>
              <w:pStyle w:val="21"/>
              <w:spacing w:before="71" w:line="220" w:lineRule="auto"/>
              <w:ind w:left="110"/>
              <w:rPr>
                <w:color w:val="auto"/>
                <w:lang w:eastAsia="zh-CN"/>
              </w:rPr>
            </w:pPr>
            <w:r>
              <w:rPr>
                <w:color w:val="auto"/>
                <w:spacing w:val="-4"/>
                <w:lang w:eastAsia="zh-CN"/>
              </w:rPr>
              <w:t>应用数字证照评审的节点和材料内容：</w:t>
            </w:r>
          </w:p>
          <w:p w14:paraId="0A955213">
            <w:pPr>
              <w:pStyle w:val="21"/>
              <w:spacing w:before="70" w:line="207" w:lineRule="auto"/>
              <w:ind w:left="119"/>
              <w:rPr>
                <w:color w:val="auto"/>
                <w:lang w:eastAsia="zh-CN"/>
              </w:rPr>
            </w:pPr>
            <w:r>
              <w:rPr>
                <w:rFonts w:ascii="Segoe UI Symbol" w:hAnsi="Segoe UI Symbol" w:eastAsia="Segoe UI Symbol" w:cs="Segoe UI Symbol"/>
                <w:color w:val="auto"/>
                <w:spacing w:val="-2"/>
                <w:lang w:eastAsia="zh-CN"/>
              </w:rPr>
              <w:t>☑</w:t>
            </w:r>
            <w:r>
              <w:rPr>
                <w:color w:val="auto"/>
                <w:spacing w:val="-2"/>
                <w:lang w:eastAsia="zh-CN"/>
              </w:rPr>
              <w:t xml:space="preserve">营业执照       </w:t>
            </w:r>
            <w:r>
              <w:rPr>
                <w:rFonts w:ascii="Segoe UI Symbol" w:hAnsi="Segoe UI Symbol" w:eastAsia="Segoe UI Symbol" w:cs="Segoe UI Symbol"/>
                <w:color w:val="auto"/>
                <w:spacing w:val="-2"/>
                <w:lang w:eastAsia="zh-CN"/>
              </w:rPr>
              <w:t>☑</w:t>
            </w:r>
            <w:r>
              <w:rPr>
                <w:color w:val="auto"/>
                <w:spacing w:val="-2"/>
                <w:lang w:eastAsia="zh-CN"/>
              </w:rPr>
              <w:t>资质等级证书</w:t>
            </w:r>
            <w:r>
              <w:rPr>
                <w:rFonts w:ascii="Segoe UI Symbol" w:hAnsi="Segoe UI Symbol" w:eastAsia="Segoe UI Symbol" w:cs="Segoe UI Symbol"/>
                <w:color w:val="auto"/>
                <w:spacing w:val="-2"/>
                <w:lang w:eastAsia="zh-CN"/>
              </w:rPr>
              <w:t>☑</w:t>
            </w:r>
            <w:r>
              <w:rPr>
                <w:color w:val="auto"/>
                <w:spacing w:val="-2"/>
                <w:lang w:eastAsia="zh-CN"/>
              </w:rPr>
              <w:t>资格许可证书</w:t>
            </w:r>
          </w:p>
          <w:p w14:paraId="79906DF3">
            <w:pPr>
              <w:pStyle w:val="21"/>
              <w:spacing w:before="70" w:line="208" w:lineRule="auto"/>
              <w:ind w:left="119"/>
              <w:rPr>
                <w:color w:val="auto"/>
                <w:lang w:eastAsia="zh-CN"/>
              </w:rPr>
            </w:pPr>
            <w:r>
              <w:rPr>
                <w:rFonts w:ascii="Segoe UI Symbol" w:hAnsi="Segoe UI Symbol" w:eastAsia="Segoe UI Symbol" w:cs="Segoe UI Symbol"/>
                <w:color w:val="auto"/>
                <w:spacing w:val="-1"/>
                <w:lang w:eastAsia="zh-CN"/>
              </w:rPr>
              <w:t>☑</w:t>
            </w:r>
            <w:r>
              <w:rPr>
                <w:color w:val="auto"/>
                <w:spacing w:val="-1"/>
                <w:lang w:eastAsia="zh-CN"/>
              </w:rPr>
              <w:t xml:space="preserve">安全生产许可证        </w:t>
            </w:r>
            <w:r>
              <w:rPr>
                <w:rFonts w:ascii="Segoe UI Symbol" w:hAnsi="Segoe UI Symbol" w:eastAsia="Segoe UI Symbol" w:cs="Segoe UI Symbol"/>
                <w:color w:val="auto"/>
                <w:spacing w:val="-1"/>
                <w:lang w:eastAsia="zh-CN"/>
              </w:rPr>
              <w:t>☑</w:t>
            </w:r>
            <w:r>
              <w:rPr>
                <w:color w:val="auto"/>
                <w:spacing w:val="-1"/>
                <w:lang w:eastAsia="zh-CN"/>
              </w:rPr>
              <w:t>存款账户证明</w:t>
            </w:r>
          </w:p>
          <w:p w14:paraId="1728EDF2">
            <w:pPr>
              <w:pStyle w:val="21"/>
              <w:spacing w:before="69" w:line="207" w:lineRule="auto"/>
              <w:ind w:left="119"/>
              <w:rPr>
                <w:color w:val="auto"/>
                <w:lang w:eastAsia="zh-CN"/>
              </w:rPr>
            </w:pPr>
            <w:r>
              <w:rPr>
                <w:rFonts w:ascii="Segoe UI Symbol" w:hAnsi="Segoe UI Symbol" w:eastAsia="Segoe UI Symbol" w:cs="Segoe UI Symbol"/>
                <w:color w:val="auto"/>
                <w:spacing w:val="-1"/>
                <w:lang w:eastAsia="zh-CN"/>
              </w:rPr>
              <w:t>☑</w:t>
            </w:r>
            <w:r>
              <w:rPr>
                <w:color w:val="auto"/>
                <w:spacing w:val="-1"/>
                <w:lang w:eastAsia="zh-CN"/>
              </w:rPr>
              <w:t xml:space="preserve">财务审计报告       </w:t>
            </w:r>
            <w:r>
              <w:rPr>
                <w:rFonts w:ascii="Segoe UI Symbol" w:hAnsi="Segoe UI Symbol" w:eastAsia="Segoe UI Symbol" w:cs="Segoe UI Symbol"/>
                <w:color w:val="auto"/>
                <w:spacing w:val="-1"/>
                <w:lang w:eastAsia="zh-CN"/>
              </w:rPr>
              <w:t>☑</w:t>
            </w:r>
            <w:r>
              <w:rPr>
                <w:color w:val="auto"/>
                <w:spacing w:val="-1"/>
                <w:lang w:eastAsia="zh-CN"/>
              </w:rPr>
              <w:t>管理体系认证证书</w:t>
            </w:r>
          </w:p>
          <w:p w14:paraId="0DF65EF0">
            <w:pPr>
              <w:pStyle w:val="21"/>
              <w:spacing w:before="70" w:line="209" w:lineRule="auto"/>
              <w:ind w:left="119"/>
              <w:rPr>
                <w:color w:val="auto"/>
                <w:lang w:eastAsia="zh-CN"/>
              </w:rPr>
            </w:pPr>
            <w:r>
              <w:rPr>
                <w:rFonts w:ascii="Segoe UI Symbol" w:hAnsi="Segoe UI Symbol" w:eastAsia="Segoe UI Symbol" w:cs="Segoe UI Symbol"/>
                <w:color w:val="auto"/>
                <w:spacing w:val="-4"/>
                <w:lang w:eastAsia="zh-CN"/>
              </w:rPr>
              <w:t>☑</w:t>
            </w:r>
            <w:r>
              <w:rPr>
                <w:color w:val="auto"/>
                <w:spacing w:val="-4"/>
                <w:lang w:eastAsia="zh-CN"/>
              </w:rPr>
              <w:t>企业业绩</w:t>
            </w:r>
            <w:r>
              <w:rPr>
                <w:rFonts w:ascii="Segoe UI Symbol" w:hAnsi="Segoe UI Symbol" w:eastAsia="Segoe UI Symbol" w:cs="Segoe UI Symbol"/>
                <w:color w:val="auto"/>
                <w:spacing w:val="-4"/>
                <w:lang w:eastAsia="zh-CN"/>
              </w:rPr>
              <w:t>☑</w:t>
            </w:r>
            <w:r>
              <w:rPr>
                <w:color w:val="auto"/>
                <w:spacing w:val="-4"/>
                <w:lang w:eastAsia="zh-CN"/>
              </w:rPr>
              <w:t>人员业绩</w:t>
            </w:r>
          </w:p>
          <w:p w14:paraId="1B1BB518">
            <w:pPr>
              <w:pStyle w:val="21"/>
              <w:spacing w:before="69" w:line="207" w:lineRule="auto"/>
              <w:ind w:left="119"/>
              <w:rPr>
                <w:color w:val="auto"/>
                <w:lang w:eastAsia="zh-CN"/>
              </w:rPr>
            </w:pPr>
            <w:r>
              <w:rPr>
                <w:rFonts w:ascii="Segoe UI Symbol" w:hAnsi="Segoe UI Symbol" w:eastAsia="Segoe UI Symbol" w:cs="Segoe UI Symbol"/>
                <w:color w:val="auto"/>
                <w:spacing w:val="-1"/>
                <w:lang w:eastAsia="zh-CN"/>
              </w:rPr>
              <w:t>☑</w:t>
            </w:r>
            <w:r>
              <w:rPr>
                <w:color w:val="auto"/>
                <w:spacing w:val="-1"/>
                <w:lang w:eastAsia="zh-CN"/>
              </w:rPr>
              <w:t xml:space="preserve">工程获奖           </w:t>
            </w:r>
            <w:r>
              <w:rPr>
                <w:rFonts w:ascii="Segoe UI Symbol" w:hAnsi="Segoe UI Symbol" w:eastAsia="Segoe UI Symbol" w:cs="Segoe UI Symbol"/>
                <w:color w:val="auto"/>
                <w:spacing w:val="-1"/>
                <w:lang w:eastAsia="zh-CN"/>
              </w:rPr>
              <w:t>☑</w:t>
            </w:r>
            <w:r>
              <w:rPr>
                <w:color w:val="auto"/>
                <w:spacing w:val="-1"/>
                <w:lang w:eastAsia="zh-CN"/>
              </w:rPr>
              <w:t>荣誉表彰（企业、</w:t>
            </w:r>
            <w:r>
              <w:rPr>
                <w:color w:val="auto"/>
                <w:spacing w:val="-2"/>
                <w:lang w:eastAsia="zh-CN"/>
              </w:rPr>
              <w:t>个人）</w:t>
            </w:r>
          </w:p>
          <w:p w14:paraId="5CCA8527">
            <w:pPr>
              <w:pStyle w:val="21"/>
              <w:spacing w:before="71" w:line="207" w:lineRule="auto"/>
              <w:ind w:left="119"/>
              <w:rPr>
                <w:color w:val="auto"/>
                <w:lang w:eastAsia="zh-CN"/>
              </w:rPr>
            </w:pPr>
            <w:r>
              <w:rPr>
                <w:rFonts w:ascii="Segoe UI Symbol" w:hAnsi="Segoe UI Symbol" w:eastAsia="Segoe UI Symbol" w:cs="Segoe UI Symbol"/>
                <w:color w:val="auto"/>
                <w:spacing w:val="-1"/>
                <w:lang w:eastAsia="zh-CN"/>
              </w:rPr>
              <w:t>☑</w:t>
            </w:r>
            <w:r>
              <w:rPr>
                <w:color w:val="auto"/>
                <w:spacing w:val="-1"/>
                <w:lang w:eastAsia="zh-CN"/>
              </w:rPr>
              <w:t xml:space="preserve">注册执业人员证书   </w:t>
            </w:r>
            <w:r>
              <w:rPr>
                <w:rFonts w:ascii="Segoe UI Symbol" w:hAnsi="Segoe UI Symbol" w:eastAsia="Segoe UI Symbol" w:cs="Segoe UI Symbol"/>
                <w:color w:val="auto"/>
                <w:spacing w:val="-1"/>
                <w:lang w:eastAsia="zh-CN"/>
              </w:rPr>
              <w:t>☑</w:t>
            </w:r>
            <w:r>
              <w:rPr>
                <w:color w:val="auto"/>
                <w:spacing w:val="-1"/>
                <w:lang w:eastAsia="zh-CN"/>
              </w:rPr>
              <w:t>专业技术职称证书</w:t>
            </w:r>
          </w:p>
          <w:p w14:paraId="0F8F472A">
            <w:pPr>
              <w:pStyle w:val="21"/>
              <w:spacing w:before="69" w:line="268" w:lineRule="auto"/>
              <w:ind w:left="119" w:right="935"/>
              <w:rPr>
                <w:color w:val="auto"/>
                <w:lang w:eastAsia="zh-CN"/>
              </w:rPr>
            </w:pPr>
            <w:r>
              <w:rPr>
                <w:rFonts w:ascii="Segoe UI Symbol" w:hAnsi="Segoe UI Symbol" w:eastAsia="Segoe UI Symbol" w:cs="Segoe UI Symbol"/>
                <w:color w:val="auto"/>
                <w:spacing w:val="-1"/>
                <w:lang w:eastAsia="zh-CN"/>
              </w:rPr>
              <w:t>☑</w:t>
            </w:r>
            <w:r>
              <w:rPr>
                <w:color w:val="auto"/>
                <w:spacing w:val="-1"/>
                <w:lang w:eastAsia="zh-CN"/>
              </w:rPr>
              <w:t xml:space="preserve">特种作业资格证书   </w:t>
            </w:r>
            <w:r>
              <w:rPr>
                <w:rFonts w:ascii="Segoe UI Symbol" w:hAnsi="Segoe UI Symbol" w:eastAsia="Segoe UI Symbol" w:cs="Segoe UI Symbol"/>
                <w:color w:val="auto"/>
                <w:spacing w:val="-1"/>
                <w:lang w:eastAsia="zh-CN"/>
              </w:rPr>
              <w:t>☑</w:t>
            </w:r>
            <w:r>
              <w:rPr>
                <w:color w:val="auto"/>
                <w:spacing w:val="-1"/>
                <w:lang w:eastAsia="zh-CN"/>
              </w:rPr>
              <w:t>安全生产考核合格证</w:t>
            </w:r>
            <w:r>
              <w:rPr>
                <w:rFonts w:ascii="Segoe UI Symbol" w:hAnsi="Segoe UI Symbol" w:eastAsia="Segoe UI Symbol" w:cs="Segoe UI Symbol"/>
                <w:color w:val="auto"/>
                <w:spacing w:val="-2"/>
                <w:lang w:eastAsia="zh-CN"/>
              </w:rPr>
              <w:t>☑</w:t>
            </w:r>
            <w:r>
              <w:rPr>
                <w:color w:val="auto"/>
                <w:spacing w:val="-2"/>
                <w:lang w:eastAsia="zh-CN"/>
              </w:rPr>
              <w:t>施工现场专业人员职业培训合格证</w:t>
            </w:r>
          </w:p>
          <w:p w14:paraId="428698B0">
            <w:pPr>
              <w:pStyle w:val="21"/>
              <w:spacing w:before="1" w:line="207" w:lineRule="auto"/>
              <w:ind w:left="119"/>
              <w:rPr>
                <w:color w:val="auto"/>
                <w:lang w:eastAsia="zh-CN"/>
              </w:rPr>
            </w:pPr>
            <w:r>
              <w:rPr>
                <w:rFonts w:ascii="Segoe UI Symbol" w:hAnsi="Segoe UI Symbol" w:eastAsia="Segoe UI Symbol" w:cs="Segoe UI Symbol"/>
                <w:color w:val="auto"/>
                <w:spacing w:val="-2"/>
                <w:lang w:eastAsia="zh-CN"/>
              </w:rPr>
              <w:t>☑</w:t>
            </w:r>
            <w:r>
              <w:rPr>
                <w:color w:val="auto"/>
                <w:spacing w:val="-2"/>
                <w:lang w:eastAsia="zh-CN"/>
              </w:rPr>
              <w:t>职工社会保险参保证明</w:t>
            </w:r>
          </w:p>
          <w:p w14:paraId="59AFCC93">
            <w:pPr>
              <w:pStyle w:val="21"/>
              <w:spacing w:before="72" w:line="281" w:lineRule="auto"/>
              <w:ind w:left="109" w:right="43"/>
              <w:jc w:val="both"/>
              <w:rPr>
                <w:color w:val="auto"/>
                <w:lang w:eastAsia="zh-CN"/>
              </w:rPr>
            </w:pPr>
            <w:r>
              <w:rPr>
                <w:color w:val="auto"/>
                <w:spacing w:val="-3"/>
                <w:lang w:eastAsia="zh-CN"/>
              </w:rPr>
              <w:t>特别说明：</w:t>
            </w:r>
            <w:r>
              <w:rPr>
                <w:rFonts w:ascii="Times New Roman" w:hAnsi="Times New Roman" w:eastAsia="Times New Roman" w:cs="Times New Roman"/>
                <w:color w:val="auto"/>
                <w:spacing w:val="-3"/>
                <w:lang w:eastAsia="zh-CN"/>
              </w:rPr>
              <w:t>1.</w:t>
            </w:r>
            <w:r>
              <w:rPr>
                <w:color w:val="auto"/>
                <w:spacing w:val="-3"/>
                <w:lang w:eastAsia="zh-CN"/>
              </w:rPr>
              <w:t>通过企业主体信息库生成的数字证照信息，</w:t>
            </w:r>
            <w:r>
              <w:rPr>
                <w:color w:val="auto"/>
                <w:spacing w:val="-1"/>
                <w:lang w:eastAsia="zh-CN"/>
              </w:rPr>
              <w:t>投标人应当自行校核和确认数字证照数据信息内容，一</w:t>
            </w:r>
            <w:r>
              <w:rPr>
                <w:color w:val="auto"/>
                <w:lang w:eastAsia="zh-CN"/>
              </w:rPr>
              <w:t>般应当对投标文件中已生成的数字证照进行电子签名，</w:t>
            </w:r>
            <w:r>
              <w:rPr>
                <w:color w:val="auto"/>
                <w:spacing w:val="-3"/>
                <w:lang w:eastAsia="zh-CN"/>
              </w:rPr>
              <w:t>否则视为已确认和认可数据信息内容。</w:t>
            </w:r>
          </w:p>
          <w:p w14:paraId="14842840">
            <w:pPr>
              <w:pStyle w:val="21"/>
              <w:spacing w:line="266" w:lineRule="auto"/>
              <w:ind w:left="108" w:right="142" w:hanging="2"/>
              <w:jc w:val="both"/>
              <w:rPr>
                <w:color w:val="auto"/>
                <w:lang w:eastAsia="zh-CN"/>
              </w:rPr>
            </w:pPr>
            <w:r>
              <w:rPr>
                <w:rFonts w:ascii="Times New Roman" w:hAnsi="Times New Roman" w:eastAsia="Times New Roman" w:cs="Times New Roman"/>
                <w:color w:val="auto"/>
                <w:lang w:eastAsia="zh-CN"/>
              </w:rPr>
              <w:t>2.</w:t>
            </w:r>
            <w:r>
              <w:rPr>
                <w:color w:val="auto"/>
                <w:lang w:eastAsia="zh-CN"/>
              </w:rPr>
              <w:t>投标人制作投标文件时按上述实际明确</w:t>
            </w:r>
            <w:r>
              <w:rPr>
                <w:color w:val="auto"/>
                <w:spacing w:val="-1"/>
                <w:lang w:eastAsia="zh-CN"/>
              </w:rPr>
              <w:t>的材料生成数字证照应用于项目评审，否则相关证明佐证材料以企业主体信息库获取的材料影印件应用于项目评审，投标人对数字证照和材料影印件内容的准确性、完整性和真实</w:t>
            </w:r>
            <w:r>
              <w:rPr>
                <w:color w:val="auto"/>
                <w:spacing w:val="-7"/>
                <w:lang w:eastAsia="zh-CN"/>
              </w:rPr>
              <w:t>性负责。</w:t>
            </w:r>
          </w:p>
        </w:tc>
      </w:tr>
      <w:tr w14:paraId="7283A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861" w:type="dxa"/>
          </w:tcPr>
          <w:p w14:paraId="360099DB">
            <w:pPr>
              <w:spacing w:before="182" w:line="186" w:lineRule="auto"/>
              <w:ind w:left="222"/>
              <w:rPr>
                <w:rFonts w:ascii="Times New Roman" w:hAnsi="Times New Roman" w:eastAsia="Times New Roman" w:cs="Times New Roman"/>
                <w:color w:val="auto"/>
              </w:rPr>
            </w:pPr>
            <w:r>
              <w:rPr>
                <w:rFonts w:ascii="Times New Roman" w:hAnsi="Times New Roman" w:eastAsia="Times New Roman" w:cs="Times New Roman"/>
                <w:color w:val="auto"/>
                <w:spacing w:val="-2"/>
              </w:rPr>
              <w:t>3.7.4</w:t>
            </w:r>
          </w:p>
        </w:tc>
        <w:tc>
          <w:tcPr>
            <w:tcW w:w="2259" w:type="dxa"/>
          </w:tcPr>
          <w:p w14:paraId="5D0C67D0">
            <w:pPr>
              <w:pStyle w:val="21"/>
              <w:spacing w:before="143" w:line="220" w:lineRule="auto"/>
              <w:ind w:left="186"/>
              <w:rPr>
                <w:color w:val="auto"/>
              </w:rPr>
            </w:pPr>
            <w:r>
              <w:rPr>
                <w:color w:val="auto"/>
                <w:spacing w:val="-1"/>
              </w:rPr>
              <w:t>技术标是否采用暗标</w:t>
            </w:r>
          </w:p>
        </w:tc>
        <w:tc>
          <w:tcPr>
            <w:tcW w:w="5294" w:type="dxa"/>
          </w:tcPr>
          <w:p w14:paraId="5ADC612A">
            <w:pPr>
              <w:pStyle w:val="21"/>
              <w:spacing w:before="143" w:line="220" w:lineRule="auto"/>
              <w:ind w:left="109"/>
              <w:rPr>
                <w:color w:val="auto"/>
              </w:rPr>
            </w:pPr>
            <w:r>
              <w:rPr>
                <w:color w:val="auto"/>
                <w:spacing w:val="-1"/>
              </w:rPr>
              <w:t>采用模块化暗标评审</w:t>
            </w:r>
          </w:p>
        </w:tc>
      </w:tr>
      <w:tr w14:paraId="4A10F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jc w:val="center"/>
        </w:trPr>
        <w:tc>
          <w:tcPr>
            <w:tcW w:w="861" w:type="dxa"/>
          </w:tcPr>
          <w:p w14:paraId="08FAFC86">
            <w:pPr>
              <w:spacing w:before="284" w:line="186" w:lineRule="auto"/>
              <w:ind w:left="216"/>
              <w:rPr>
                <w:rFonts w:ascii="Times New Roman" w:hAnsi="Times New Roman" w:eastAsia="Times New Roman" w:cs="Times New Roman"/>
                <w:color w:val="auto"/>
              </w:rPr>
            </w:pPr>
            <w:r>
              <w:rPr>
                <w:rFonts w:ascii="Times New Roman" w:hAnsi="Times New Roman" w:eastAsia="Times New Roman" w:cs="Times New Roman"/>
                <w:color w:val="auto"/>
                <w:spacing w:val="-1"/>
              </w:rPr>
              <w:t>4.2.1</w:t>
            </w:r>
          </w:p>
        </w:tc>
        <w:tc>
          <w:tcPr>
            <w:tcW w:w="2259" w:type="dxa"/>
          </w:tcPr>
          <w:p w14:paraId="2D16AB2F">
            <w:pPr>
              <w:pStyle w:val="21"/>
              <w:spacing w:before="246" w:line="221" w:lineRule="auto"/>
              <w:ind w:left="502"/>
              <w:rPr>
                <w:color w:val="auto"/>
              </w:rPr>
            </w:pPr>
            <w:r>
              <w:rPr>
                <w:color w:val="auto"/>
                <w:spacing w:val="-2"/>
              </w:rPr>
              <w:t>投标截止时间</w:t>
            </w:r>
          </w:p>
        </w:tc>
        <w:tc>
          <w:tcPr>
            <w:tcW w:w="5294" w:type="dxa"/>
          </w:tcPr>
          <w:p w14:paraId="3BBA81DF">
            <w:pPr>
              <w:pStyle w:val="21"/>
              <w:spacing w:before="246" w:line="220" w:lineRule="auto"/>
              <w:ind w:left="106"/>
              <w:rPr>
                <w:color w:val="auto"/>
                <w:lang w:eastAsia="zh-CN"/>
              </w:rPr>
            </w:pPr>
            <w:r>
              <w:rPr>
                <w:color w:val="auto"/>
                <w:spacing w:val="-6"/>
                <w:u w:val="single"/>
              </w:rPr>
              <w:t>2026年</w:t>
            </w:r>
            <w:r>
              <w:rPr>
                <w:rFonts w:hint="eastAsia"/>
                <w:color w:val="auto"/>
                <w:spacing w:val="-6"/>
                <w:u w:val="single"/>
                <w:lang w:eastAsia="zh-CN"/>
              </w:rPr>
              <w:t>**</w:t>
            </w:r>
            <w:r>
              <w:rPr>
                <w:color w:val="auto"/>
                <w:spacing w:val="-6"/>
                <w:u w:val="single"/>
              </w:rPr>
              <w:t>月</w:t>
            </w:r>
            <w:r>
              <w:rPr>
                <w:rFonts w:hint="eastAsia"/>
                <w:color w:val="auto"/>
                <w:spacing w:val="-6"/>
                <w:u w:val="single"/>
                <w:lang w:eastAsia="zh-CN"/>
              </w:rPr>
              <w:t>**</w:t>
            </w:r>
            <w:r>
              <w:rPr>
                <w:color w:val="auto"/>
                <w:spacing w:val="-6"/>
                <w:u w:val="single"/>
              </w:rPr>
              <w:t xml:space="preserve"> 日 </w:t>
            </w:r>
            <w:r>
              <w:rPr>
                <w:rFonts w:hint="eastAsia"/>
                <w:color w:val="auto"/>
                <w:spacing w:val="-6"/>
                <w:u w:val="single"/>
                <w:lang w:eastAsia="zh-CN"/>
              </w:rPr>
              <w:t>10</w:t>
            </w:r>
            <w:r>
              <w:rPr>
                <w:color w:val="auto"/>
                <w:spacing w:val="-6"/>
                <w:u w:val="single"/>
              </w:rPr>
              <w:t xml:space="preserve">时 </w:t>
            </w:r>
            <w:r>
              <w:rPr>
                <w:rFonts w:hint="eastAsia"/>
                <w:color w:val="auto"/>
                <w:spacing w:val="-6"/>
                <w:u w:val="single"/>
                <w:lang w:eastAsia="zh-CN"/>
              </w:rPr>
              <w:t>00</w:t>
            </w:r>
            <w:r>
              <w:rPr>
                <w:color w:val="auto"/>
                <w:spacing w:val="-6"/>
                <w:u w:val="single"/>
              </w:rPr>
              <w:t xml:space="preserve">分 </w:t>
            </w:r>
            <w:r>
              <w:rPr>
                <w:rFonts w:hint="eastAsia"/>
                <w:color w:val="auto"/>
                <w:spacing w:val="-6"/>
                <w:u w:val="single"/>
                <w:lang w:eastAsia="zh-CN"/>
              </w:rPr>
              <w:t>00 秒</w:t>
            </w:r>
          </w:p>
        </w:tc>
      </w:tr>
      <w:tr w14:paraId="1009F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jc w:val="center"/>
        </w:trPr>
        <w:tc>
          <w:tcPr>
            <w:tcW w:w="861" w:type="dxa"/>
          </w:tcPr>
          <w:p w14:paraId="5B7C0888">
            <w:pPr>
              <w:spacing w:line="257" w:lineRule="auto"/>
              <w:rPr>
                <w:color w:val="auto"/>
              </w:rPr>
            </w:pPr>
          </w:p>
          <w:p w14:paraId="78901B9E">
            <w:pPr>
              <w:spacing w:before="60" w:line="186" w:lineRule="auto"/>
              <w:ind w:left="216"/>
              <w:rPr>
                <w:rFonts w:ascii="Times New Roman" w:hAnsi="Times New Roman" w:eastAsia="Times New Roman" w:cs="Times New Roman"/>
                <w:color w:val="auto"/>
              </w:rPr>
            </w:pPr>
            <w:r>
              <w:rPr>
                <w:rFonts w:ascii="Times New Roman" w:hAnsi="Times New Roman" w:eastAsia="Times New Roman" w:cs="Times New Roman"/>
                <w:color w:val="auto"/>
                <w:spacing w:val="-1"/>
              </w:rPr>
              <w:t>4.2.3</w:t>
            </w:r>
          </w:p>
        </w:tc>
        <w:tc>
          <w:tcPr>
            <w:tcW w:w="2259" w:type="dxa"/>
          </w:tcPr>
          <w:p w14:paraId="763EEE42">
            <w:pPr>
              <w:pStyle w:val="21"/>
              <w:spacing w:before="280" w:line="220" w:lineRule="auto"/>
              <w:ind w:left="293"/>
              <w:rPr>
                <w:color w:val="auto"/>
              </w:rPr>
            </w:pPr>
            <w:r>
              <w:rPr>
                <w:color w:val="auto"/>
                <w:spacing w:val="-2"/>
              </w:rPr>
              <w:t>是否退还投标文件</w:t>
            </w:r>
          </w:p>
        </w:tc>
        <w:tc>
          <w:tcPr>
            <w:tcW w:w="5294" w:type="dxa"/>
          </w:tcPr>
          <w:p w14:paraId="17B4323A">
            <w:pPr>
              <w:pStyle w:val="21"/>
              <w:spacing w:before="120" w:line="209" w:lineRule="auto"/>
              <w:ind w:left="119"/>
              <w:rPr>
                <w:color w:val="auto"/>
                <w:lang w:eastAsia="zh-CN"/>
              </w:rPr>
            </w:pPr>
            <w:r>
              <w:rPr>
                <w:rFonts w:ascii="Segoe UI Symbol" w:hAnsi="Segoe UI Symbol" w:eastAsia="Segoe UI Symbol" w:cs="Segoe UI Symbol"/>
                <w:color w:val="auto"/>
                <w:spacing w:val="-9"/>
                <w:lang w:eastAsia="zh-CN"/>
              </w:rPr>
              <w:t>☑</w:t>
            </w:r>
            <w:r>
              <w:rPr>
                <w:color w:val="auto"/>
                <w:spacing w:val="-9"/>
                <w:lang w:eastAsia="zh-CN"/>
              </w:rPr>
              <w:t>否</w:t>
            </w:r>
          </w:p>
          <w:p w14:paraId="4F85F37E">
            <w:pPr>
              <w:pStyle w:val="21"/>
              <w:spacing w:before="37" w:line="306" w:lineRule="exact"/>
              <w:ind w:left="131"/>
              <w:rPr>
                <w:rFonts w:ascii="Times New Roman" w:hAnsi="Times New Roman" w:eastAsia="Times New Roman" w:cs="Times New Roman"/>
                <w:color w:val="auto"/>
                <w:lang w:eastAsia="zh-CN"/>
              </w:rPr>
            </w:pPr>
            <w:r>
              <w:rPr>
                <w:color w:val="auto"/>
                <w:spacing w:val="-3"/>
                <w:position w:val="2"/>
                <w:lang w:eastAsia="zh-CN"/>
              </w:rPr>
              <w:t>□是，退还具体安排：</w:t>
            </w:r>
            <w:r>
              <w:rPr>
                <w:rFonts w:ascii="Times New Roman" w:hAnsi="Times New Roman" w:eastAsia="Times New Roman" w:cs="Times New Roman"/>
                <w:color w:val="auto"/>
                <w:spacing w:val="-3"/>
                <w:position w:val="2"/>
                <w:lang w:eastAsia="zh-CN"/>
              </w:rPr>
              <w:t>/</w:t>
            </w:r>
          </w:p>
        </w:tc>
      </w:tr>
      <w:tr w14:paraId="4D35C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jc w:val="center"/>
        </w:trPr>
        <w:tc>
          <w:tcPr>
            <w:tcW w:w="861" w:type="dxa"/>
          </w:tcPr>
          <w:p w14:paraId="3E0DC7C5">
            <w:pPr>
              <w:spacing w:line="283" w:lineRule="auto"/>
              <w:rPr>
                <w:color w:val="auto"/>
                <w:lang w:eastAsia="zh-CN"/>
              </w:rPr>
            </w:pPr>
          </w:p>
          <w:p w14:paraId="613ACFFE">
            <w:pPr>
              <w:spacing w:line="284" w:lineRule="auto"/>
              <w:rPr>
                <w:color w:val="auto"/>
                <w:lang w:eastAsia="zh-CN"/>
              </w:rPr>
            </w:pPr>
          </w:p>
          <w:p w14:paraId="60143409">
            <w:pPr>
              <w:spacing w:line="284" w:lineRule="auto"/>
              <w:rPr>
                <w:color w:val="auto"/>
                <w:lang w:eastAsia="zh-CN"/>
              </w:rPr>
            </w:pPr>
          </w:p>
          <w:p w14:paraId="6DD0D4CE">
            <w:pPr>
              <w:spacing w:before="60" w:line="186" w:lineRule="auto"/>
              <w:ind w:left="223"/>
              <w:rPr>
                <w:rFonts w:ascii="Times New Roman" w:hAnsi="Times New Roman" w:eastAsia="Times New Roman" w:cs="Times New Roman"/>
                <w:color w:val="auto"/>
              </w:rPr>
            </w:pPr>
            <w:r>
              <w:rPr>
                <w:rFonts w:ascii="Times New Roman" w:hAnsi="Times New Roman" w:eastAsia="Times New Roman" w:cs="Times New Roman"/>
                <w:color w:val="auto"/>
                <w:spacing w:val="-2"/>
              </w:rPr>
              <w:t>5.1.1</w:t>
            </w:r>
          </w:p>
        </w:tc>
        <w:tc>
          <w:tcPr>
            <w:tcW w:w="2259" w:type="dxa"/>
          </w:tcPr>
          <w:p w14:paraId="7E8C5DEC">
            <w:pPr>
              <w:spacing w:line="268" w:lineRule="auto"/>
              <w:rPr>
                <w:color w:val="auto"/>
              </w:rPr>
            </w:pPr>
          </w:p>
          <w:p w14:paraId="45E25541">
            <w:pPr>
              <w:spacing w:line="268" w:lineRule="auto"/>
              <w:rPr>
                <w:color w:val="auto"/>
              </w:rPr>
            </w:pPr>
          </w:p>
          <w:p w14:paraId="2E5C654C">
            <w:pPr>
              <w:spacing w:line="269" w:lineRule="auto"/>
              <w:rPr>
                <w:color w:val="auto"/>
              </w:rPr>
            </w:pPr>
          </w:p>
          <w:p w14:paraId="2797B474">
            <w:pPr>
              <w:pStyle w:val="21"/>
              <w:spacing w:before="68" w:line="221" w:lineRule="auto"/>
              <w:ind w:left="501"/>
              <w:rPr>
                <w:color w:val="auto"/>
              </w:rPr>
            </w:pPr>
            <w:r>
              <w:rPr>
                <w:color w:val="auto"/>
                <w:spacing w:val="-2"/>
              </w:rPr>
              <w:t>开标组织方式</w:t>
            </w:r>
          </w:p>
        </w:tc>
        <w:tc>
          <w:tcPr>
            <w:tcW w:w="5294" w:type="dxa"/>
          </w:tcPr>
          <w:p w14:paraId="24300273">
            <w:pPr>
              <w:pStyle w:val="21"/>
              <w:spacing w:before="78" w:line="220" w:lineRule="auto"/>
              <w:ind w:left="131"/>
              <w:rPr>
                <w:color w:val="auto"/>
                <w:lang w:eastAsia="zh-CN"/>
              </w:rPr>
            </w:pPr>
            <w:r>
              <w:rPr>
                <w:color w:val="auto"/>
                <w:spacing w:val="-4"/>
                <w:lang w:eastAsia="zh-CN"/>
              </w:rPr>
              <w:t>□现场集中开标</w:t>
            </w:r>
          </w:p>
          <w:p w14:paraId="08E39147">
            <w:pPr>
              <w:pStyle w:val="21"/>
              <w:spacing w:before="69" w:line="208" w:lineRule="auto"/>
              <w:ind w:left="119"/>
              <w:rPr>
                <w:color w:val="auto"/>
                <w:lang w:eastAsia="zh-CN"/>
              </w:rPr>
            </w:pPr>
            <w:r>
              <w:rPr>
                <w:rFonts w:ascii="Segoe UI Symbol" w:hAnsi="Segoe UI Symbol" w:eastAsia="Segoe UI Symbol" w:cs="Segoe UI Symbol"/>
                <w:color w:val="auto"/>
                <w:spacing w:val="-3"/>
                <w:lang w:eastAsia="zh-CN"/>
              </w:rPr>
              <w:t>☑</w:t>
            </w:r>
            <w:r>
              <w:rPr>
                <w:color w:val="auto"/>
                <w:spacing w:val="-3"/>
                <w:lang w:eastAsia="zh-CN"/>
              </w:rPr>
              <w:t>远程不见面开标</w:t>
            </w:r>
          </w:p>
          <w:p w14:paraId="3C040A97">
            <w:pPr>
              <w:pStyle w:val="21"/>
              <w:spacing w:before="70" w:line="281" w:lineRule="auto"/>
              <w:ind w:left="111" w:right="142" w:firstLine="19"/>
              <w:rPr>
                <w:color w:val="auto"/>
                <w:lang w:eastAsia="zh-CN"/>
              </w:rPr>
            </w:pPr>
            <w:r>
              <w:rPr>
                <w:color w:val="auto"/>
                <w:spacing w:val="-2"/>
                <w:lang w:eastAsia="zh-CN"/>
              </w:rPr>
              <w:t>□现场集中和远程不见面开标同时进行。投标人自行选</w:t>
            </w:r>
            <w:r>
              <w:rPr>
                <w:color w:val="auto"/>
                <w:spacing w:val="-4"/>
                <w:lang w:eastAsia="zh-CN"/>
              </w:rPr>
              <w:t>择参与开标的方式。</w:t>
            </w:r>
          </w:p>
          <w:p w14:paraId="63B74D5D">
            <w:pPr>
              <w:pStyle w:val="21"/>
              <w:spacing w:line="220" w:lineRule="auto"/>
              <w:ind w:left="111"/>
              <w:rPr>
                <w:color w:val="auto"/>
                <w:lang w:eastAsia="zh-CN"/>
              </w:rPr>
            </w:pPr>
            <w:r>
              <w:rPr>
                <w:color w:val="auto"/>
                <w:spacing w:val="-1"/>
                <w:lang w:eastAsia="zh-CN"/>
              </w:rPr>
              <w:t>开标系统：</w:t>
            </w:r>
            <w:r>
              <w:rPr>
                <w:color w:val="auto"/>
                <w:spacing w:val="-1"/>
                <w:u w:val="single"/>
                <w:lang w:eastAsia="zh-CN"/>
              </w:rPr>
              <w:t>辽宁省工程建设项目数字化开标评标系统</w:t>
            </w:r>
          </w:p>
          <w:p w14:paraId="036E0A75">
            <w:pPr>
              <w:pStyle w:val="21"/>
              <w:tabs>
                <w:tab w:val="left" w:pos="220"/>
              </w:tabs>
              <w:spacing w:before="38" w:line="230" w:lineRule="auto"/>
              <w:ind w:left="101"/>
              <w:rPr>
                <w:color w:val="auto"/>
              </w:rPr>
            </w:pPr>
            <w:r>
              <w:rPr>
                <w:color w:val="auto"/>
                <w:u w:val="single"/>
                <w:lang w:eastAsia="zh-CN"/>
              </w:rPr>
              <w:tab/>
            </w:r>
            <w:r>
              <w:rPr>
                <w:color w:val="auto"/>
                <w:spacing w:val="-6"/>
                <w:u w:val="single"/>
              </w:rPr>
              <w:t>（</w:t>
            </w:r>
            <w:r>
              <w:fldChar w:fldCharType="begin"/>
            </w:r>
            <w:r>
              <w:instrText xml:space="preserve"> HYPERLINK "https://dts.lnzb.com:8888/zjt-bid/" </w:instrText>
            </w:r>
            <w:r>
              <w:fldChar w:fldCharType="separate"/>
            </w:r>
            <w:r>
              <w:rPr>
                <w:rFonts w:ascii="Times New Roman" w:hAnsi="Times New Roman" w:eastAsia="Times New Roman" w:cs="Times New Roman"/>
                <w:color w:val="auto"/>
                <w:spacing w:val="-6"/>
                <w:u w:val="single"/>
              </w:rPr>
              <w:t>https</w:t>
            </w:r>
            <w:r>
              <w:rPr>
                <w:rFonts w:hint="eastAsia" w:ascii="Times New Roman" w:hAnsi="Times New Roman" w:cs="Times New Roman"/>
                <w:color w:val="auto"/>
                <w:spacing w:val="-6"/>
                <w:u w:val="single"/>
                <w:lang w:eastAsia="zh-CN"/>
              </w:rPr>
              <w:t>：</w:t>
            </w:r>
            <w:r>
              <w:rPr>
                <w:rFonts w:ascii="Times New Roman" w:hAnsi="Times New Roman" w:eastAsia="Times New Roman" w:cs="Times New Roman"/>
                <w:color w:val="auto"/>
                <w:spacing w:val="-6"/>
                <w:u w:val="single"/>
              </w:rPr>
              <w:t>//dts.lnzb.com</w:t>
            </w:r>
            <w:r>
              <w:rPr>
                <w:rFonts w:hint="eastAsia" w:ascii="Times New Roman" w:hAnsi="Times New Roman" w:cs="Times New Roman"/>
                <w:color w:val="auto"/>
                <w:spacing w:val="-6"/>
                <w:u w:val="single"/>
                <w:lang w:eastAsia="zh-CN"/>
              </w:rPr>
              <w:t>：</w:t>
            </w:r>
            <w:r>
              <w:rPr>
                <w:rFonts w:ascii="Times New Roman" w:hAnsi="Times New Roman" w:eastAsia="Times New Roman" w:cs="Times New Roman"/>
                <w:color w:val="auto"/>
                <w:spacing w:val="-6"/>
                <w:u w:val="single"/>
              </w:rPr>
              <w:t>8888/zjt-bid</w:t>
            </w:r>
            <w:r>
              <w:rPr>
                <w:rFonts w:ascii="Times New Roman" w:hAnsi="Times New Roman" w:eastAsia="Times New Roman" w:cs="Times New Roman"/>
                <w:color w:val="auto"/>
                <w:spacing w:val="-7"/>
                <w:u w:val="single"/>
              </w:rPr>
              <w:t>/</w:t>
            </w:r>
            <w:r>
              <w:rPr>
                <w:rFonts w:ascii="Times New Roman" w:hAnsi="Times New Roman" w:eastAsia="Times New Roman" w:cs="Times New Roman"/>
                <w:color w:val="auto"/>
                <w:spacing w:val="-7"/>
                <w:u w:val="single"/>
              </w:rPr>
              <w:fldChar w:fldCharType="end"/>
            </w:r>
            <w:r>
              <w:rPr>
                <w:color w:val="auto"/>
                <w:spacing w:val="-7"/>
                <w:u w:val="single"/>
              </w:rPr>
              <w:t>）。</w:t>
            </w:r>
          </w:p>
        </w:tc>
      </w:tr>
      <w:tr w14:paraId="32E07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861" w:type="dxa"/>
          </w:tcPr>
          <w:p w14:paraId="56B7A935">
            <w:pPr>
              <w:spacing w:before="238" w:line="186" w:lineRule="auto"/>
              <w:ind w:left="223"/>
              <w:rPr>
                <w:rFonts w:ascii="Times New Roman" w:hAnsi="Times New Roman" w:eastAsia="Times New Roman" w:cs="Times New Roman"/>
                <w:color w:val="auto"/>
              </w:rPr>
            </w:pPr>
            <w:r>
              <w:rPr>
                <w:rFonts w:ascii="Times New Roman" w:hAnsi="Times New Roman" w:eastAsia="Times New Roman" w:cs="Times New Roman"/>
                <w:color w:val="auto"/>
                <w:spacing w:val="-2"/>
              </w:rPr>
              <w:t>5.1.2</w:t>
            </w:r>
          </w:p>
        </w:tc>
        <w:tc>
          <w:tcPr>
            <w:tcW w:w="2259" w:type="dxa"/>
          </w:tcPr>
          <w:p w14:paraId="3C51F750">
            <w:pPr>
              <w:pStyle w:val="21"/>
              <w:spacing w:before="199" w:line="221" w:lineRule="auto"/>
              <w:ind w:left="711"/>
              <w:rPr>
                <w:color w:val="auto"/>
              </w:rPr>
            </w:pPr>
            <w:r>
              <w:rPr>
                <w:color w:val="auto"/>
                <w:spacing w:val="-2"/>
              </w:rPr>
              <w:t>开标地点</w:t>
            </w:r>
          </w:p>
        </w:tc>
        <w:tc>
          <w:tcPr>
            <w:tcW w:w="5294" w:type="dxa"/>
          </w:tcPr>
          <w:p w14:paraId="59CC7CFA">
            <w:pPr>
              <w:pStyle w:val="21"/>
              <w:spacing w:before="199" w:line="222" w:lineRule="auto"/>
              <w:ind w:left="111"/>
              <w:rPr>
                <w:color w:val="auto"/>
              </w:rPr>
            </w:pPr>
            <w:r>
              <w:rPr>
                <w:rFonts w:hint="eastAsia"/>
                <w:bCs/>
                <w:color w:val="auto"/>
                <w:u w:val="single"/>
              </w:rPr>
              <w:t>辽宁省工程建设项目数字化开标评标系统（https</w:t>
            </w:r>
            <w:r>
              <w:rPr>
                <w:rFonts w:hint="eastAsia"/>
                <w:bCs/>
                <w:color w:val="auto"/>
                <w:u w:val="single"/>
                <w:lang w:eastAsia="zh-CN"/>
              </w:rPr>
              <w:t>：</w:t>
            </w:r>
            <w:r>
              <w:rPr>
                <w:rFonts w:hint="eastAsia"/>
                <w:bCs/>
                <w:color w:val="auto"/>
                <w:u w:val="single"/>
              </w:rPr>
              <w:t>//dts.lnzb.com</w:t>
            </w:r>
            <w:r>
              <w:rPr>
                <w:rFonts w:hint="eastAsia"/>
                <w:bCs/>
                <w:color w:val="auto"/>
                <w:u w:val="single"/>
                <w:lang w:eastAsia="zh-CN"/>
              </w:rPr>
              <w:t>：</w:t>
            </w:r>
            <w:r>
              <w:rPr>
                <w:rFonts w:hint="eastAsia"/>
                <w:bCs/>
                <w:color w:val="auto"/>
                <w:u w:val="single"/>
              </w:rPr>
              <w:t>8888/zjt-bid/）。</w:t>
            </w:r>
          </w:p>
        </w:tc>
      </w:tr>
      <w:tr w14:paraId="58CFE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jc w:val="center"/>
        </w:trPr>
        <w:tc>
          <w:tcPr>
            <w:tcW w:w="861" w:type="dxa"/>
          </w:tcPr>
          <w:p w14:paraId="5AAC8552">
            <w:pPr>
              <w:spacing w:before="278" w:line="186" w:lineRule="auto"/>
              <w:ind w:left="223"/>
              <w:rPr>
                <w:rFonts w:ascii="Times New Roman" w:hAnsi="Times New Roman" w:eastAsia="Times New Roman" w:cs="Times New Roman"/>
                <w:color w:val="auto"/>
              </w:rPr>
            </w:pPr>
            <w:r>
              <w:rPr>
                <w:rFonts w:ascii="Times New Roman" w:hAnsi="Times New Roman" w:eastAsia="Times New Roman" w:cs="Times New Roman"/>
                <w:color w:val="auto"/>
                <w:spacing w:val="-2"/>
              </w:rPr>
              <w:t>5.2.1</w:t>
            </w:r>
          </w:p>
          <w:p w14:paraId="13C7087F">
            <w:pPr>
              <w:pStyle w:val="21"/>
              <w:spacing w:before="93" w:line="233" w:lineRule="auto"/>
              <w:ind w:left="174"/>
              <w:rPr>
                <w:color w:val="auto"/>
              </w:rPr>
            </w:pPr>
            <w:r>
              <w:rPr>
                <w:color w:val="auto"/>
                <w:spacing w:val="-5"/>
              </w:rPr>
              <w:t>（</w:t>
            </w:r>
            <w:r>
              <w:rPr>
                <w:rFonts w:ascii="Times New Roman" w:hAnsi="Times New Roman" w:eastAsia="Times New Roman" w:cs="Times New Roman"/>
                <w:color w:val="auto"/>
                <w:spacing w:val="-5"/>
              </w:rPr>
              <w:t>5</w:t>
            </w:r>
            <w:r>
              <w:rPr>
                <w:color w:val="auto"/>
                <w:spacing w:val="-5"/>
              </w:rPr>
              <w:t>）</w:t>
            </w:r>
          </w:p>
        </w:tc>
        <w:tc>
          <w:tcPr>
            <w:tcW w:w="2259" w:type="dxa"/>
          </w:tcPr>
          <w:p w14:paraId="2059D245">
            <w:pPr>
              <w:spacing w:line="329" w:lineRule="auto"/>
              <w:rPr>
                <w:color w:val="auto"/>
              </w:rPr>
            </w:pPr>
          </w:p>
          <w:p w14:paraId="226394A4">
            <w:pPr>
              <w:pStyle w:val="21"/>
              <w:spacing w:before="68" w:line="221" w:lineRule="auto"/>
              <w:ind w:left="709"/>
              <w:rPr>
                <w:color w:val="auto"/>
              </w:rPr>
            </w:pPr>
            <w:r>
              <w:rPr>
                <w:color w:val="auto"/>
                <w:spacing w:val="-2"/>
              </w:rPr>
              <w:t>解密时间</w:t>
            </w:r>
          </w:p>
        </w:tc>
        <w:tc>
          <w:tcPr>
            <w:tcW w:w="5294" w:type="dxa"/>
          </w:tcPr>
          <w:p w14:paraId="79FEFDB8">
            <w:pPr>
              <w:pStyle w:val="21"/>
              <w:spacing w:before="80" w:line="256" w:lineRule="auto"/>
              <w:ind w:left="111" w:right="102"/>
              <w:jc w:val="both"/>
              <w:rPr>
                <w:color w:val="auto"/>
                <w:lang w:eastAsia="zh-CN"/>
              </w:rPr>
            </w:pPr>
            <w:r>
              <w:rPr>
                <w:color w:val="auto"/>
                <w:spacing w:val="-4"/>
                <w:lang w:eastAsia="zh-CN"/>
              </w:rPr>
              <w:t>招标人发出解密提示后</w:t>
            </w:r>
            <w:r>
              <w:rPr>
                <w:color w:val="auto"/>
                <w:spacing w:val="-4"/>
                <w:u w:val="single"/>
                <w:lang w:eastAsia="zh-CN"/>
              </w:rPr>
              <w:t>30</w:t>
            </w:r>
            <w:r>
              <w:rPr>
                <w:color w:val="auto"/>
                <w:spacing w:val="-4"/>
                <w:lang w:eastAsia="zh-CN"/>
              </w:rPr>
              <w:t>分钟内。如遇到投标人较多或</w:t>
            </w:r>
            <w:r>
              <w:rPr>
                <w:color w:val="auto"/>
                <w:spacing w:val="-1"/>
                <w:lang w:eastAsia="zh-CN"/>
              </w:rPr>
              <w:t>其他特殊情况在规定时间内无法完成解密的，可报项目</w:t>
            </w:r>
            <w:r>
              <w:rPr>
                <w:color w:val="auto"/>
                <w:spacing w:val="-3"/>
                <w:lang w:eastAsia="zh-CN"/>
              </w:rPr>
              <w:t>行政监督部门适当延长解密时间。</w:t>
            </w:r>
          </w:p>
        </w:tc>
      </w:tr>
      <w:tr w14:paraId="014DA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jc w:val="center"/>
        </w:trPr>
        <w:tc>
          <w:tcPr>
            <w:tcW w:w="861" w:type="dxa"/>
          </w:tcPr>
          <w:p w14:paraId="1420FD70">
            <w:pPr>
              <w:spacing w:line="317" w:lineRule="auto"/>
              <w:rPr>
                <w:color w:val="auto"/>
                <w:lang w:eastAsia="zh-CN"/>
              </w:rPr>
            </w:pPr>
          </w:p>
          <w:p w14:paraId="3766806E">
            <w:pPr>
              <w:spacing w:line="317" w:lineRule="auto"/>
              <w:rPr>
                <w:color w:val="auto"/>
                <w:lang w:eastAsia="zh-CN"/>
              </w:rPr>
            </w:pPr>
          </w:p>
          <w:p w14:paraId="21B29715">
            <w:pPr>
              <w:spacing w:before="61" w:line="186" w:lineRule="auto"/>
              <w:ind w:left="222"/>
              <w:rPr>
                <w:color w:val="auto"/>
                <w:spacing w:val="-5"/>
              </w:rPr>
            </w:pPr>
            <w:r>
              <w:rPr>
                <w:rFonts w:ascii="Times New Roman" w:hAnsi="Times New Roman" w:eastAsia="Times New Roman" w:cs="Times New Roman"/>
                <w:color w:val="auto"/>
                <w:spacing w:val="-2"/>
              </w:rPr>
              <w:t>6.1.1</w:t>
            </w:r>
          </w:p>
        </w:tc>
        <w:tc>
          <w:tcPr>
            <w:tcW w:w="2259" w:type="dxa"/>
          </w:tcPr>
          <w:p w14:paraId="68E8D196">
            <w:pPr>
              <w:spacing w:line="294" w:lineRule="auto"/>
              <w:rPr>
                <w:color w:val="auto"/>
              </w:rPr>
            </w:pPr>
          </w:p>
          <w:p w14:paraId="1633D1BE">
            <w:pPr>
              <w:spacing w:line="294" w:lineRule="auto"/>
              <w:rPr>
                <w:color w:val="auto"/>
              </w:rPr>
            </w:pPr>
          </w:p>
          <w:p w14:paraId="6DE470AE">
            <w:pPr>
              <w:pStyle w:val="21"/>
              <w:spacing w:before="68" w:line="220" w:lineRule="auto"/>
              <w:ind w:left="289"/>
              <w:rPr>
                <w:color w:val="auto"/>
                <w:spacing w:val="-2"/>
              </w:rPr>
            </w:pPr>
            <w:r>
              <w:rPr>
                <w:color w:val="auto"/>
                <w:spacing w:val="-1"/>
              </w:rPr>
              <w:t>评标委员会的组建</w:t>
            </w:r>
          </w:p>
        </w:tc>
        <w:tc>
          <w:tcPr>
            <w:tcW w:w="5294" w:type="dxa"/>
          </w:tcPr>
          <w:p w14:paraId="1D29A460">
            <w:pPr>
              <w:rPr>
                <w:color w:val="auto"/>
                <w:lang w:eastAsia="zh-CN"/>
              </w:rPr>
            </w:pPr>
          </w:p>
          <w:p w14:paraId="078717E1">
            <w:pPr>
              <w:pStyle w:val="21"/>
              <w:spacing w:before="69" w:line="288" w:lineRule="auto"/>
              <w:ind w:left="109" w:right="142"/>
              <w:rPr>
                <w:color w:val="auto"/>
                <w:spacing w:val="-1"/>
                <w:lang w:eastAsia="zh-CN"/>
              </w:rPr>
            </w:pPr>
            <w:r>
              <w:rPr>
                <w:color w:val="auto"/>
                <w:spacing w:val="-1"/>
                <w:lang w:eastAsia="zh-CN"/>
              </w:rPr>
              <w:t>评标委员会构成：</w:t>
            </w:r>
            <w:r>
              <w:rPr>
                <w:rFonts w:hint="eastAsia" w:ascii="Times New Roman" w:hAnsi="Times New Roman" w:cs="Times New Roman"/>
                <w:color w:val="auto"/>
                <w:spacing w:val="-1"/>
                <w:u w:val="single"/>
                <w:lang w:eastAsia="zh-CN"/>
              </w:rPr>
              <w:t>5</w:t>
            </w:r>
            <w:r>
              <w:rPr>
                <w:color w:val="auto"/>
                <w:spacing w:val="-1"/>
                <w:lang w:eastAsia="zh-CN"/>
              </w:rPr>
              <w:t>人，其中招标人代表</w:t>
            </w:r>
            <w:r>
              <w:rPr>
                <w:rFonts w:hint="eastAsia" w:ascii="Times New Roman" w:hAnsi="Times New Roman" w:cs="Times New Roman"/>
                <w:color w:val="auto"/>
                <w:spacing w:val="-1"/>
                <w:u w:val="single"/>
                <w:lang w:eastAsia="zh-CN"/>
              </w:rPr>
              <w:t>0</w:t>
            </w:r>
            <w:r>
              <w:rPr>
                <w:color w:val="auto"/>
                <w:spacing w:val="-1"/>
                <w:lang w:eastAsia="zh-CN"/>
              </w:rPr>
              <w:t>人，专家</w:t>
            </w:r>
            <w:r>
              <w:rPr>
                <w:rFonts w:hint="eastAsia" w:ascii="Times New Roman" w:hAnsi="Times New Roman" w:cs="Times New Roman"/>
                <w:color w:val="auto"/>
                <w:spacing w:val="-1"/>
                <w:u w:val="single"/>
                <w:lang w:eastAsia="zh-CN"/>
              </w:rPr>
              <w:t>5</w:t>
            </w:r>
            <w:r>
              <w:rPr>
                <w:color w:val="auto"/>
                <w:spacing w:val="-1"/>
                <w:lang w:eastAsia="zh-CN"/>
              </w:rPr>
              <w:t>人</w:t>
            </w:r>
          </w:p>
          <w:p w14:paraId="3FB7B5EC">
            <w:pPr>
              <w:pStyle w:val="21"/>
              <w:spacing w:before="69" w:line="288" w:lineRule="auto"/>
              <w:ind w:left="109" w:right="142"/>
              <w:rPr>
                <w:color w:val="auto"/>
                <w:spacing w:val="-4"/>
                <w:lang w:eastAsia="zh-CN"/>
              </w:rPr>
            </w:pPr>
            <w:r>
              <w:rPr>
                <w:color w:val="auto"/>
                <w:spacing w:val="-1"/>
                <w:lang w:eastAsia="zh-CN"/>
              </w:rPr>
              <w:t>评标专家确定方式：</w:t>
            </w:r>
            <w:r>
              <w:rPr>
                <w:color w:val="auto"/>
                <w:spacing w:val="-1"/>
                <w:u w:val="single"/>
                <w:lang w:eastAsia="zh-CN"/>
              </w:rPr>
              <w:t>从辽宁省综合评标专家库相应专业中随机抽取产生。</w:t>
            </w:r>
          </w:p>
        </w:tc>
      </w:tr>
    </w:tbl>
    <w:p w14:paraId="077EE896">
      <w:pPr>
        <w:spacing w:before="18"/>
        <w:rPr>
          <w:color w:val="auto"/>
          <w:lang w:eastAsia="zh-CN"/>
        </w:rPr>
      </w:pPr>
    </w:p>
    <w:tbl>
      <w:tblPr>
        <w:tblStyle w:val="20"/>
        <w:tblW w:w="84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59"/>
        <w:gridCol w:w="5294"/>
      </w:tblGrid>
      <w:tr w14:paraId="7C347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jc w:val="center"/>
        </w:trPr>
        <w:tc>
          <w:tcPr>
            <w:tcW w:w="861" w:type="dxa"/>
          </w:tcPr>
          <w:p w14:paraId="266B49AD">
            <w:pPr>
              <w:spacing w:line="281" w:lineRule="auto"/>
              <w:rPr>
                <w:color w:val="auto"/>
                <w:lang w:eastAsia="zh-CN"/>
              </w:rPr>
            </w:pPr>
          </w:p>
          <w:p w14:paraId="327A36E5">
            <w:pPr>
              <w:spacing w:line="281" w:lineRule="auto"/>
              <w:rPr>
                <w:color w:val="auto"/>
                <w:lang w:eastAsia="zh-CN"/>
              </w:rPr>
            </w:pPr>
          </w:p>
          <w:p w14:paraId="29E45370">
            <w:pPr>
              <w:spacing w:line="282" w:lineRule="auto"/>
              <w:rPr>
                <w:color w:val="auto"/>
                <w:lang w:eastAsia="zh-CN"/>
              </w:rPr>
            </w:pPr>
          </w:p>
          <w:p w14:paraId="6DE5D0E0">
            <w:pPr>
              <w:spacing w:before="60" w:line="186" w:lineRule="auto"/>
              <w:ind w:left="301"/>
              <w:rPr>
                <w:rFonts w:ascii="Times New Roman" w:hAnsi="Times New Roman" w:eastAsia="Times New Roman" w:cs="Times New Roman"/>
                <w:color w:val="auto"/>
              </w:rPr>
            </w:pPr>
            <w:r>
              <w:rPr>
                <w:rFonts w:ascii="Times New Roman" w:hAnsi="Times New Roman" w:eastAsia="Times New Roman" w:cs="Times New Roman"/>
                <w:color w:val="auto"/>
                <w:spacing w:val="-2"/>
              </w:rPr>
              <w:t>6.3</w:t>
            </w:r>
          </w:p>
        </w:tc>
        <w:tc>
          <w:tcPr>
            <w:tcW w:w="2259" w:type="dxa"/>
          </w:tcPr>
          <w:p w14:paraId="27C013B1">
            <w:pPr>
              <w:spacing w:line="265" w:lineRule="auto"/>
              <w:rPr>
                <w:color w:val="auto"/>
              </w:rPr>
            </w:pPr>
          </w:p>
          <w:p w14:paraId="7B74AD47">
            <w:pPr>
              <w:spacing w:line="266" w:lineRule="auto"/>
              <w:rPr>
                <w:color w:val="auto"/>
              </w:rPr>
            </w:pPr>
          </w:p>
          <w:p w14:paraId="5ED4ABD9">
            <w:pPr>
              <w:spacing w:line="266" w:lineRule="auto"/>
              <w:rPr>
                <w:color w:val="auto"/>
              </w:rPr>
            </w:pPr>
          </w:p>
          <w:p w14:paraId="6ABEC7EC">
            <w:pPr>
              <w:pStyle w:val="21"/>
              <w:spacing w:before="69" w:line="220" w:lineRule="auto"/>
              <w:ind w:left="499"/>
              <w:rPr>
                <w:color w:val="auto"/>
              </w:rPr>
            </w:pPr>
            <w:r>
              <w:rPr>
                <w:color w:val="auto"/>
                <w:spacing w:val="-2"/>
              </w:rPr>
              <w:t>评标采用方式</w:t>
            </w:r>
          </w:p>
        </w:tc>
        <w:tc>
          <w:tcPr>
            <w:tcW w:w="5294" w:type="dxa"/>
          </w:tcPr>
          <w:p w14:paraId="216F43DF">
            <w:pPr>
              <w:pStyle w:val="21"/>
              <w:spacing w:before="71" w:line="221" w:lineRule="auto"/>
              <w:ind w:left="109"/>
              <w:rPr>
                <w:color w:val="auto"/>
                <w:lang w:eastAsia="zh-CN"/>
              </w:rPr>
            </w:pPr>
            <w:r>
              <w:rPr>
                <w:color w:val="auto"/>
                <w:spacing w:val="-7"/>
                <w:lang w:eastAsia="zh-CN"/>
              </w:rPr>
              <w:t>评标组织形式：</w:t>
            </w:r>
          </w:p>
          <w:p w14:paraId="497282B3">
            <w:pPr>
              <w:pStyle w:val="21"/>
              <w:spacing w:before="68" w:line="220" w:lineRule="auto"/>
              <w:ind w:left="131"/>
              <w:rPr>
                <w:color w:val="auto"/>
                <w:lang w:eastAsia="zh-CN"/>
              </w:rPr>
            </w:pPr>
            <w:r>
              <w:rPr>
                <w:rFonts w:hint="eastAsia"/>
                <w:color w:val="auto"/>
                <w:spacing w:val="-3"/>
                <w:lang w:eastAsia="zh-CN"/>
              </w:rPr>
              <w:t>☑</w:t>
            </w:r>
            <w:r>
              <w:rPr>
                <w:color w:val="auto"/>
                <w:spacing w:val="-3"/>
                <w:lang w:eastAsia="zh-CN"/>
              </w:rPr>
              <w:t>本地集中评标方式</w:t>
            </w:r>
          </w:p>
          <w:p w14:paraId="5FACE21A">
            <w:pPr>
              <w:pStyle w:val="21"/>
              <w:spacing w:before="70" w:line="208" w:lineRule="auto"/>
              <w:ind w:left="119"/>
              <w:rPr>
                <w:color w:val="auto"/>
                <w:lang w:eastAsia="zh-CN"/>
              </w:rPr>
            </w:pPr>
            <w:r>
              <w:rPr>
                <w:rFonts w:hint="eastAsia" w:ascii="Segoe UI Symbol" w:hAnsi="Segoe UI Symbol" w:cs="Segoe UI Symbol"/>
                <w:color w:val="auto"/>
                <w:spacing w:val="-2"/>
                <w:lang w:eastAsia="zh-CN"/>
              </w:rPr>
              <w:t>□</w:t>
            </w:r>
            <w:r>
              <w:rPr>
                <w:color w:val="auto"/>
                <w:spacing w:val="-2"/>
                <w:lang w:eastAsia="zh-CN"/>
              </w:rPr>
              <w:t>远程异地评标方式</w:t>
            </w:r>
          </w:p>
          <w:p w14:paraId="6ECF1BB4">
            <w:pPr>
              <w:pStyle w:val="21"/>
              <w:spacing w:before="68" w:line="220" w:lineRule="auto"/>
              <w:ind w:left="109"/>
              <w:rPr>
                <w:color w:val="auto"/>
                <w:lang w:eastAsia="zh-CN"/>
              </w:rPr>
            </w:pPr>
            <w:r>
              <w:rPr>
                <w:color w:val="auto"/>
                <w:spacing w:val="-4"/>
                <w:lang w:eastAsia="zh-CN"/>
              </w:rPr>
              <w:t>评标是否采用计算机辅助智能评审：</w:t>
            </w:r>
          </w:p>
          <w:p w14:paraId="652292A5">
            <w:pPr>
              <w:pStyle w:val="21"/>
              <w:spacing w:before="70" w:line="224" w:lineRule="auto"/>
              <w:ind w:left="131"/>
              <w:rPr>
                <w:color w:val="auto"/>
              </w:rPr>
            </w:pPr>
            <w:r>
              <w:rPr>
                <w:color w:val="auto"/>
                <w:spacing w:val="-8"/>
              </w:rPr>
              <w:t>□是</w:t>
            </w:r>
          </w:p>
          <w:p w14:paraId="1040DD62">
            <w:pPr>
              <w:pStyle w:val="21"/>
              <w:spacing w:before="65" w:line="197" w:lineRule="auto"/>
              <w:ind w:left="119"/>
              <w:rPr>
                <w:color w:val="auto"/>
              </w:rPr>
            </w:pPr>
            <w:r>
              <w:rPr>
                <w:rFonts w:ascii="Segoe UI Symbol" w:hAnsi="Segoe UI Symbol" w:eastAsia="Segoe UI Symbol" w:cs="Segoe UI Symbol"/>
                <w:color w:val="auto"/>
                <w:spacing w:val="-9"/>
              </w:rPr>
              <w:t>☑</w:t>
            </w:r>
            <w:r>
              <w:rPr>
                <w:color w:val="auto"/>
                <w:spacing w:val="-9"/>
              </w:rPr>
              <w:t>否</w:t>
            </w:r>
          </w:p>
        </w:tc>
      </w:tr>
      <w:tr w14:paraId="6C63E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atLeast"/>
          <w:jc w:val="center"/>
        </w:trPr>
        <w:tc>
          <w:tcPr>
            <w:tcW w:w="861" w:type="dxa"/>
          </w:tcPr>
          <w:p w14:paraId="2C0B3567">
            <w:pPr>
              <w:spacing w:line="387" w:lineRule="auto"/>
              <w:rPr>
                <w:color w:val="auto"/>
              </w:rPr>
            </w:pPr>
          </w:p>
          <w:p w14:paraId="0F386E04">
            <w:pPr>
              <w:spacing w:before="60" w:line="186" w:lineRule="auto"/>
              <w:ind w:left="301"/>
              <w:rPr>
                <w:rFonts w:ascii="Times New Roman" w:hAnsi="Times New Roman" w:eastAsia="Times New Roman" w:cs="Times New Roman"/>
                <w:color w:val="auto"/>
              </w:rPr>
            </w:pPr>
            <w:r>
              <w:rPr>
                <w:rFonts w:ascii="Times New Roman" w:hAnsi="Times New Roman" w:eastAsia="Times New Roman" w:cs="Times New Roman"/>
                <w:color w:val="auto"/>
                <w:spacing w:val="-2"/>
              </w:rPr>
              <w:t>6.4</w:t>
            </w:r>
          </w:p>
        </w:tc>
        <w:tc>
          <w:tcPr>
            <w:tcW w:w="2259" w:type="dxa"/>
          </w:tcPr>
          <w:p w14:paraId="7FB2F8B0">
            <w:pPr>
              <w:spacing w:line="340" w:lineRule="auto"/>
              <w:rPr>
                <w:color w:val="auto"/>
              </w:rPr>
            </w:pPr>
          </w:p>
          <w:p w14:paraId="4567C4EA">
            <w:pPr>
              <w:pStyle w:val="21"/>
              <w:spacing w:before="68" w:line="220" w:lineRule="auto"/>
              <w:ind w:left="289"/>
              <w:rPr>
                <w:color w:val="auto"/>
              </w:rPr>
            </w:pPr>
            <w:r>
              <w:rPr>
                <w:color w:val="auto"/>
                <w:spacing w:val="-1"/>
              </w:rPr>
              <w:t>评标结果公示媒介</w:t>
            </w:r>
          </w:p>
        </w:tc>
        <w:tc>
          <w:tcPr>
            <w:tcW w:w="5294" w:type="dxa"/>
          </w:tcPr>
          <w:p w14:paraId="342B0318">
            <w:pPr>
              <w:spacing w:line="318" w:lineRule="auto"/>
              <w:rPr>
                <w:color w:val="auto"/>
                <w:lang w:eastAsia="zh-CN"/>
              </w:rPr>
            </w:pPr>
          </w:p>
          <w:p w14:paraId="7D314FF6">
            <w:pPr>
              <w:spacing w:before="60" w:line="276" w:lineRule="exact"/>
              <w:ind w:left="102"/>
              <w:rPr>
                <w:rFonts w:ascii="Times New Roman" w:hAnsi="Times New Roman" w:eastAsia="Times New Roman" w:cs="Times New Roman"/>
                <w:color w:val="auto"/>
                <w:lang w:eastAsia="zh-CN"/>
              </w:rPr>
            </w:pPr>
            <w:r>
              <w:rPr>
                <w:rFonts w:hint="eastAsia"/>
                <w:color w:val="auto"/>
                <w:lang w:eastAsia="zh-CN"/>
              </w:rPr>
              <w:t>辽宁省招标投标监管网、辽宁建设工程信息网</w:t>
            </w:r>
          </w:p>
        </w:tc>
      </w:tr>
      <w:tr w14:paraId="25B61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jc w:val="center"/>
        </w:trPr>
        <w:tc>
          <w:tcPr>
            <w:tcW w:w="861" w:type="dxa"/>
          </w:tcPr>
          <w:p w14:paraId="1470604E">
            <w:pPr>
              <w:spacing w:line="343" w:lineRule="auto"/>
              <w:rPr>
                <w:color w:val="auto"/>
                <w:lang w:eastAsia="zh-CN"/>
              </w:rPr>
            </w:pPr>
          </w:p>
          <w:p w14:paraId="67B6F5E2">
            <w:pPr>
              <w:spacing w:line="344" w:lineRule="auto"/>
              <w:rPr>
                <w:color w:val="auto"/>
                <w:lang w:eastAsia="zh-CN"/>
              </w:rPr>
            </w:pPr>
          </w:p>
          <w:p w14:paraId="6E51D046">
            <w:pPr>
              <w:spacing w:before="60" w:line="186" w:lineRule="auto"/>
              <w:ind w:left="300"/>
              <w:rPr>
                <w:rFonts w:ascii="Times New Roman" w:hAnsi="Times New Roman" w:eastAsia="Times New Roman" w:cs="Times New Roman"/>
                <w:color w:val="auto"/>
              </w:rPr>
            </w:pPr>
            <w:r>
              <w:rPr>
                <w:rFonts w:ascii="Times New Roman" w:hAnsi="Times New Roman" w:eastAsia="Times New Roman" w:cs="Times New Roman"/>
                <w:color w:val="auto"/>
                <w:spacing w:val="-2"/>
              </w:rPr>
              <w:t>7.1</w:t>
            </w:r>
          </w:p>
        </w:tc>
        <w:tc>
          <w:tcPr>
            <w:tcW w:w="2259" w:type="dxa"/>
          </w:tcPr>
          <w:p w14:paraId="34651760">
            <w:pPr>
              <w:spacing w:line="320" w:lineRule="auto"/>
              <w:rPr>
                <w:color w:val="auto"/>
              </w:rPr>
            </w:pPr>
          </w:p>
          <w:p w14:paraId="4DE92588">
            <w:pPr>
              <w:spacing w:line="321" w:lineRule="auto"/>
              <w:rPr>
                <w:color w:val="auto"/>
              </w:rPr>
            </w:pPr>
          </w:p>
          <w:p w14:paraId="22CC2D2B">
            <w:pPr>
              <w:pStyle w:val="21"/>
              <w:spacing w:before="68" w:line="221" w:lineRule="auto"/>
              <w:ind w:left="715"/>
              <w:rPr>
                <w:color w:val="auto"/>
              </w:rPr>
            </w:pPr>
            <w:r>
              <w:rPr>
                <w:color w:val="auto"/>
                <w:spacing w:val="-3"/>
              </w:rPr>
              <w:t>定标方式</w:t>
            </w:r>
          </w:p>
        </w:tc>
        <w:tc>
          <w:tcPr>
            <w:tcW w:w="5294" w:type="dxa"/>
          </w:tcPr>
          <w:p w14:paraId="6D36A0F8">
            <w:pPr>
              <w:pStyle w:val="21"/>
              <w:spacing w:before="73" w:line="220" w:lineRule="auto"/>
              <w:ind w:left="110"/>
              <w:rPr>
                <w:color w:val="auto"/>
                <w:lang w:eastAsia="zh-CN"/>
              </w:rPr>
            </w:pPr>
            <w:r>
              <w:rPr>
                <w:color w:val="auto"/>
                <w:spacing w:val="-1"/>
                <w:lang w:eastAsia="zh-CN"/>
              </w:rPr>
              <w:t>推荐的中标候选人数：不超过</w:t>
            </w:r>
            <w:r>
              <w:rPr>
                <w:rFonts w:ascii="Times New Roman" w:hAnsi="Times New Roman" w:eastAsia="Times New Roman" w:cs="Times New Roman"/>
                <w:color w:val="auto"/>
                <w:spacing w:val="-1"/>
                <w:lang w:eastAsia="zh-CN"/>
              </w:rPr>
              <w:t xml:space="preserve">3 </w:t>
            </w:r>
            <w:r>
              <w:rPr>
                <w:color w:val="auto"/>
                <w:spacing w:val="-1"/>
                <w:lang w:eastAsia="zh-CN"/>
              </w:rPr>
              <w:t>名</w:t>
            </w:r>
          </w:p>
          <w:p w14:paraId="501C9D5B">
            <w:pPr>
              <w:pStyle w:val="21"/>
              <w:spacing w:before="69" w:line="220" w:lineRule="auto"/>
              <w:ind w:left="131"/>
              <w:rPr>
                <w:color w:val="auto"/>
                <w:lang w:eastAsia="zh-CN"/>
              </w:rPr>
            </w:pPr>
            <w:r>
              <w:rPr>
                <w:rFonts w:hint="eastAsia"/>
                <w:color w:val="auto"/>
                <w:spacing w:val="-2"/>
                <w:lang w:eastAsia="zh-CN"/>
              </w:rPr>
              <w:t>□</w:t>
            </w:r>
            <w:r>
              <w:rPr>
                <w:color w:val="auto"/>
                <w:spacing w:val="-2"/>
                <w:lang w:eastAsia="zh-CN"/>
              </w:rPr>
              <w:t>招标人授权评标委员会直接确定中标人</w:t>
            </w:r>
          </w:p>
          <w:p w14:paraId="112A77F2">
            <w:pPr>
              <w:pStyle w:val="21"/>
              <w:spacing w:before="70" w:line="252" w:lineRule="auto"/>
              <w:ind w:left="120" w:right="103" w:hanging="1"/>
              <w:rPr>
                <w:color w:val="auto"/>
                <w:lang w:eastAsia="zh-CN"/>
              </w:rPr>
            </w:pPr>
            <w:r>
              <w:rPr>
                <w:rFonts w:hint="eastAsia" w:ascii="Segoe UI Symbol" w:hAnsi="Segoe UI Symbol" w:cs="Segoe UI Symbol"/>
                <w:color w:val="auto"/>
                <w:spacing w:val="-1"/>
                <w:lang w:eastAsia="zh-CN"/>
              </w:rPr>
              <w:t>☑</w:t>
            </w:r>
            <w:r>
              <w:rPr>
                <w:color w:val="auto"/>
                <w:spacing w:val="-1"/>
                <w:lang w:eastAsia="zh-CN"/>
              </w:rPr>
              <w:t>招标人依据评标委员会推荐的中标候选人确定中标人</w:t>
            </w:r>
            <w:r>
              <w:rPr>
                <w:color w:val="auto"/>
                <w:spacing w:val="1"/>
                <w:lang w:eastAsia="zh-CN"/>
              </w:rPr>
              <w:t>□招标人从评标委员会推荐的中标候选人范</w:t>
            </w:r>
            <w:r>
              <w:rPr>
                <w:color w:val="auto"/>
                <w:lang w:eastAsia="zh-CN"/>
              </w:rPr>
              <w:t>围内自主研</w:t>
            </w:r>
            <w:r>
              <w:rPr>
                <w:color w:val="auto"/>
                <w:spacing w:val="-6"/>
                <w:lang w:eastAsia="zh-CN"/>
              </w:rPr>
              <w:t>究确定中标人。</w:t>
            </w:r>
          </w:p>
        </w:tc>
      </w:tr>
      <w:tr w14:paraId="7E8C6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jc w:val="center"/>
        </w:trPr>
        <w:tc>
          <w:tcPr>
            <w:tcW w:w="861" w:type="dxa"/>
          </w:tcPr>
          <w:p w14:paraId="00605935">
            <w:pPr>
              <w:spacing w:line="293" w:lineRule="auto"/>
              <w:rPr>
                <w:color w:val="auto"/>
                <w:lang w:eastAsia="zh-CN"/>
              </w:rPr>
            </w:pPr>
          </w:p>
          <w:p w14:paraId="069B6A12">
            <w:pPr>
              <w:spacing w:line="293" w:lineRule="auto"/>
              <w:rPr>
                <w:color w:val="auto"/>
                <w:lang w:eastAsia="zh-CN"/>
              </w:rPr>
            </w:pPr>
          </w:p>
          <w:p w14:paraId="4C18AD4B">
            <w:pPr>
              <w:spacing w:before="60" w:line="186" w:lineRule="auto"/>
              <w:ind w:left="221"/>
              <w:rPr>
                <w:rFonts w:ascii="Times New Roman" w:hAnsi="Times New Roman" w:eastAsia="Times New Roman" w:cs="Times New Roman"/>
                <w:color w:val="auto"/>
              </w:rPr>
            </w:pPr>
            <w:r>
              <w:rPr>
                <w:rFonts w:ascii="Times New Roman" w:hAnsi="Times New Roman" w:eastAsia="Times New Roman" w:cs="Times New Roman"/>
                <w:color w:val="auto"/>
                <w:spacing w:val="-2"/>
              </w:rPr>
              <w:t>7.3.1</w:t>
            </w:r>
          </w:p>
        </w:tc>
        <w:tc>
          <w:tcPr>
            <w:tcW w:w="2259" w:type="dxa"/>
          </w:tcPr>
          <w:p w14:paraId="20A81ACE">
            <w:pPr>
              <w:spacing w:line="270" w:lineRule="auto"/>
              <w:rPr>
                <w:color w:val="auto"/>
              </w:rPr>
            </w:pPr>
          </w:p>
          <w:p w14:paraId="2C1B01F3">
            <w:pPr>
              <w:spacing w:line="270" w:lineRule="auto"/>
              <w:rPr>
                <w:color w:val="auto"/>
              </w:rPr>
            </w:pPr>
          </w:p>
          <w:p w14:paraId="048867EA">
            <w:pPr>
              <w:pStyle w:val="21"/>
              <w:spacing w:before="68" w:line="221" w:lineRule="auto"/>
              <w:ind w:left="608"/>
              <w:rPr>
                <w:color w:val="auto"/>
              </w:rPr>
            </w:pPr>
            <w:r>
              <w:rPr>
                <w:color w:val="auto"/>
                <w:spacing w:val="-2"/>
              </w:rPr>
              <w:t>履约保证金</w:t>
            </w:r>
          </w:p>
        </w:tc>
        <w:tc>
          <w:tcPr>
            <w:tcW w:w="5294" w:type="dxa"/>
          </w:tcPr>
          <w:p w14:paraId="62A6174D">
            <w:pPr>
              <w:pStyle w:val="21"/>
              <w:spacing w:before="131" w:line="221" w:lineRule="auto"/>
              <w:ind w:left="131"/>
              <w:rPr>
                <w:color w:val="auto"/>
                <w:lang w:eastAsia="zh-CN"/>
              </w:rPr>
            </w:pPr>
            <w:r>
              <w:rPr>
                <w:color w:val="auto"/>
                <w:spacing w:val="-6"/>
                <w:lang w:eastAsia="zh-CN"/>
              </w:rPr>
              <w:t>□不提交</w:t>
            </w:r>
          </w:p>
          <w:p w14:paraId="4EB53344">
            <w:pPr>
              <w:pStyle w:val="21"/>
              <w:spacing w:before="68" w:line="209" w:lineRule="auto"/>
              <w:ind w:firstLine="200" w:firstLineChars="100"/>
              <w:rPr>
                <w:color w:val="auto"/>
                <w:lang w:eastAsia="zh-CN"/>
              </w:rPr>
            </w:pPr>
            <w:r>
              <w:rPr>
                <w:rFonts w:ascii="Segoe UI Symbol" w:hAnsi="Segoe UI Symbol" w:eastAsia="Segoe UI Symbol" w:cs="Segoe UI Symbol"/>
                <w:color w:val="auto"/>
                <w:spacing w:val="-5"/>
                <w:lang w:eastAsia="zh-CN"/>
              </w:rPr>
              <w:t>☑</w:t>
            </w:r>
            <w:r>
              <w:rPr>
                <w:color w:val="auto"/>
                <w:spacing w:val="-5"/>
                <w:lang w:eastAsia="zh-CN"/>
              </w:rPr>
              <w:t>提交，履约保证金的形式：</w:t>
            </w:r>
          </w:p>
          <w:p w14:paraId="367A0FE5">
            <w:pPr>
              <w:pStyle w:val="21"/>
              <w:spacing w:before="37" w:line="265" w:lineRule="auto"/>
              <w:ind w:left="539"/>
              <w:rPr>
                <w:color w:val="auto"/>
                <w:lang w:eastAsia="zh-CN"/>
              </w:rPr>
            </w:pPr>
            <w:r>
              <w:rPr>
                <w:rFonts w:hint="eastAsia" w:ascii="Segoe UI Symbol" w:hAnsi="Segoe UI Symbol" w:cs="Segoe UI Symbol"/>
                <w:color w:val="auto"/>
                <w:spacing w:val="-3"/>
                <w:lang w:eastAsia="zh-CN"/>
              </w:rPr>
              <w:t>□</w:t>
            </w:r>
            <w:r>
              <w:rPr>
                <w:rFonts w:hint="eastAsia"/>
                <w:color w:val="auto"/>
                <w:spacing w:val="-3"/>
                <w:lang w:eastAsia="zh-CN"/>
              </w:rPr>
              <w:t>现金</w:t>
            </w:r>
            <w:r>
              <w:rPr>
                <w:rFonts w:ascii="Segoe UI Symbol" w:hAnsi="Segoe UI Symbol" w:eastAsia="Segoe UI Symbol" w:cs="Segoe UI Symbol"/>
                <w:color w:val="auto"/>
                <w:spacing w:val="-3"/>
                <w:lang w:eastAsia="zh-CN"/>
              </w:rPr>
              <w:t>☑</w:t>
            </w:r>
            <w:r>
              <w:rPr>
                <w:color w:val="auto"/>
                <w:spacing w:val="-3"/>
                <w:lang w:eastAsia="zh-CN"/>
              </w:rPr>
              <w:t>保函（保险）</w:t>
            </w:r>
            <w:r>
              <w:rPr>
                <w:rFonts w:hint="eastAsia"/>
                <w:color w:val="auto"/>
                <w:spacing w:val="-3"/>
                <w:lang w:eastAsia="zh-CN"/>
              </w:rPr>
              <w:t>☑</w:t>
            </w:r>
            <w:r>
              <w:rPr>
                <w:color w:val="auto"/>
                <w:spacing w:val="-3"/>
                <w:lang w:eastAsia="zh-CN"/>
              </w:rPr>
              <w:t>其他形式（</w:t>
            </w:r>
            <w:r>
              <w:rPr>
                <w:rFonts w:hint="eastAsia" w:ascii="Times New Roman" w:hAnsi="Times New Roman" w:cs="Times New Roman"/>
                <w:color w:val="auto"/>
                <w:spacing w:val="-3"/>
                <w:u w:val="single"/>
                <w:lang w:eastAsia="zh-CN"/>
              </w:rPr>
              <w:t>网银、转账</w:t>
            </w:r>
            <w:r>
              <w:rPr>
                <w:color w:val="auto"/>
                <w:spacing w:val="-3"/>
                <w:lang w:eastAsia="zh-CN"/>
              </w:rPr>
              <w:t>）</w:t>
            </w:r>
          </w:p>
          <w:p w14:paraId="5943A52B">
            <w:pPr>
              <w:pStyle w:val="21"/>
              <w:spacing w:before="3" w:line="290" w:lineRule="exact"/>
              <w:ind w:left="113"/>
              <w:rPr>
                <w:rFonts w:ascii="Times New Roman" w:hAnsi="Times New Roman" w:eastAsia="Times New Roman" w:cs="Times New Roman"/>
                <w:color w:val="auto"/>
                <w:lang w:eastAsia="zh-CN"/>
              </w:rPr>
            </w:pPr>
            <w:r>
              <w:rPr>
                <w:color w:val="auto"/>
                <w:spacing w:val="-1"/>
                <w:position w:val="1"/>
                <w:lang w:eastAsia="zh-CN"/>
              </w:rPr>
              <w:t>履约保证金的金额：合同总价的</w:t>
            </w:r>
            <w:r>
              <w:rPr>
                <w:rFonts w:hint="eastAsia" w:ascii="Times New Roman" w:hAnsi="Times New Roman" w:cs="Times New Roman"/>
                <w:color w:val="auto"/>
                <w:spacing w:val="-1"/>
                <w:position w:val="1"/>
                <w:u w:val="single"/>
                <w:lang w:eastAsia="zh-CN"/>
              </w:rPr>
              <w:t>5</w:t>
            </w:r>
            <w:r>
              <w:rPr>
                <w:rFonts w:ascii="Times New Roman" w:hAnsi="Times New Roman" w:eastAsia="Times New Roman" w:cs="Times New Roman"/>
                <w:color w:val="auto"/>
                <w:spacing w:val="-1"/>
                <w:position w:val="1"/>
                <w:lang w:eastAsia="zh-CN"/>
              </w:rPr>
              <w:t>%</w:t>
            </w:r>
          </w:p>
        </w:tc>
      </w:tr>
      <w:tr w14:paraId="06401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861" w:type="dxa"/>
          </w:tcPr>
          <w:p w14:paraId="6815CDFC">
            <w:pPr>
              <w:spacing w:line="260" w:lineRule="auto"/>
              <w:rPr>
                <w:color w:val="auto"/>
                <w:lang w:eastAsia="zh-CN"/>
              </w:rPr>
            </w:pPr>
          </w:p>
          <w:p w14:paraId="12E12566">
            <w:pPr>
              <w:spacing w:line="260" w:lineRule="auto"/>
              <w:rPr>
                <w:color w:val="auto"/>
                <w:lang w:eastAsia="zh-CN"/>
              </w:rPr>
            </w:pPr>
          </w:p>
          <w:p w14:paraId="18ED5214">
            <w:pPr>
              <w:spacing w:line="260" w:lineRule="auto"/>
              <w:rPr>
                <w:color w:val="auto"/>
                <w:lang w:eastAsia="zh-CN"/>
              </w:rPr>
            </w:pPr>
          </w:p>
          <w:p w14:paraId="5C8B3850">
            <w:pPr>
              <w:spacing w:line="260" w:lineRule="auto"/>
              <w:rPr>
                <w:color w:val="auto"/>
                <w:lang w:eastAsia="zh-CN"/>
              </w:rPr>
            </w:pPr>
          </w:p>
          <w:p w14:paraId="46C9FBF8">
            <w:pPr>
              <w:spacing w:before="60" w:line="186" w:lineRule="auto"/>
              <w:ind w:left="300"/>
              <w:rPr>
                <w:rFonts w:ascii="Times New Roman" w:hAnsi="Times New Roman" w:eastAsia="Times New Roman" w:cs="Times New Roman"/>
                <w:color w:val="auto"/>
              </w:rPr>
            </w:pPr>
            <w:r>
              <w:rPr>
                <w:rFonts w:ascii="Times New Roman" w:hAnsi="Times New Roman" w:eastAsia="Times New Roman" w:cs="Times New Roman"/>
                <w:color w:val="auto"/>
                <w:spacing w:val="-2"/>
              </w:rPr>
              <w:t>9.5</w:t>
            </w:r>
          </w:p>
        </w:tc>
        <w:tc>
          <w:tcPr>
            <w:tcW w:w="2259" w:type="dxa"/>
          </w:tcPr>
          <w:p w14:paraId="63A8BF29">
            <w:pPr>
              <w:spacing w:line="248" w:lineRule="auto"/>
              <w:rPr>
                <w:color w:val="auto"/>
              </w:rPr>
            </w:pPr>
          </w:p>
          <w:p w14:paraId="1EAB369A">
            <w:pPr>
              <w:spacing w:line="248" w:lineRule="auto"/>
              <w:rPr>
                <w:color w:val="auto"/>
              </w:rPr>
            </w:pPr>
          </w:p>
          <w:p w14:paraId="2C675A19">
            <w:pPr>
              <w:spacing w:line="249" w:lineRule="auto"/>
              <w:rPr>
                <w:color w:val="auto"/>
              </w:rPr>
            </w:pPr>
          </w:p>
          <w:p w14:paraId="6CF6DAEB">
            <w:pPr>
              <w:spacing w:line="249" w:lineRule="auto"/>
              <w:rPr>
                <w:color w:val="auto"/>
              </w:rPr>
            </w:pPr>
          </w:p>
          <w:p w14:paraId="1E2ED66E">
            <w:pPr>
              <w:pStyle w:val="21"/>
              <w:spacing w:before="68" w:line="220" w:lineRule="auto"/>
              <w:ind w:left="503"/>
              <w:rPr>
                <w:color w:val="auto"/>
              </w:rPr>
            </w:pPr>
            <w:r>
              <w:rPr>
                <w:color w:val="auto"/>
                <w:spacing w:val="-2"/>
              </w:rPr>
              <w:t>行政监督部门</w:t>
            </w:r>
          </w:p>
        </w:tc>
        <w:tc>
          <w:tcPr>
            <w:tcW w:w="5294" w:type="dxa"/>
          </w:tcPr>
          <w:p w14:paraId="260431A1">
            <w:pPr>
              <w:pStyle w:val="21"/>
              <w:spacing w:before="108" w:line="220" w:lineRule="auto"/>
              <w:ind w:left="112"/>
              <w:rPr>
                <w:color w:val="auto"/>
                <w:lang w:eastAsia="zh-CN"/>
              </w:rPr>
            </w:pPr>
            <w:r>
              <w:rPr>
                <w:color w:val="auto"/>
                <w:spacing w:val="-1"/>
                <w:lang w:eastAsia="zh-CN"/>
              </w:rPr>
              <w:t>名    称：</w:t>
            </w:r>
            <w:r>
              <w:rPr>
                <w:rFonts w:hint="eastAsia"/>
                <w:color w:val="auto"/>
                <w:u w:val="single"/>
                <w:lang w:eastAsia="zh-CN"/>
              </w:rPr>
              <w:t>盖州市住房和城乡建设局</w:t>
            </w:r>
          </w:p>
          <w:p w14:paraId="7EDA4301">
            <w:pPr>
              <w:pStyle w:val="21"/>
              <w:spacing w:before="39" w:line="281" w:lineRule="auto"/>
              <w:ind w:left="110"/>
              <w:rPr>
                <w:rFonts w:ascii="Times New Roman" w:hAnsi="Times New Roman" w:eastAsia="Times New Roman" w:cs="Times New Roman"/>
                <w:color w:val="auto"/>
                <w:lang w:eastAsia="zh-CN"/>
              </w:rPr>
            </w:pPr>
            <w:r>
              <w:rPr>
                <w:color w:val="auto"/>
                <w:spacing w:val="-5"/>
                <w:lang w:eastAsia="zh-CN"/>
              </w:rPr>
              <w:t>地址：</w:t>
            </w:r>
            <w:r>
              <w:rPr>
                <w:rFonts w:hint="eastAsia"/>
                <w:color w:val="auto"/>
                <w:u w:val="single"/>
                <w:lang w:eastAsia="zh-CN"/>
              </w:rPr>
              <w:t>辽宁省营口市盖州市</w:t>
            </w:r>
          </w:p>
          <w:p w14:paraId="10E7BA84">
            <w:pPr>
              <w:pStyle w:val="21"/>
              <w:spacing w:line="279" w:lineRule="auto"/>
              <w:ind w:left="134"/>
              <w:rPr>
                <w:rFonts w:ascii="Times New Roman" w:hAnsi="Times New Roman" w:eastAsia="Times New Roman" w:cs="Times New Roman"/>
                <w:color w:val="auto"/>
                <w:lang w:eastAsia="zh-CN"/>
              </w:rPr>
            </w:pPr>
            <w:r>
              <w:rPr>
                <w:color w:val="auto"/>
                <w:spacing w:val="-11"/>
                <w:lang w:eastAsia="zh-CN"/>
              </w:rPr>
              <w:t>电话：</w:t>
            </w:r>
            <w:r>
              <w:rPr>
                <w:rFonts w:hint="eastAsia"/>
                <w:color w:val="auto"/>
                <w:u w:val="single"/>
                <w:lang w:eastAsia="zh-CN"/>
              </w:rPr>
              <w:t>0417-7813284</w:t>
            </w:r>
          </w:p>
          <w:p w14:paraId="08D52FED">
            <w:pPr>
              <w:pStyle w:val="21"/>
              <w:spacing w:before="1" w:line="277" w:lineRule="auto"/>
              <w:ind w:left="108"/>
              <w:rPr>
                <w:rFonts w:ascii="Times New Roman" w:hAnsi="Times New Roman" w:eastAsia="Times New Roman" w:cs="Times New Roman"/>
                <w:color w:val="auto"/>
                <w:lang w:eastAsia="zh-CN"/>
              </w:rPr>
            </w:pPr>
            <w:r>
              <w:rPr>
                <w:color w:val="auto"/>
                <w:spacing w:val="-5"/>
                <w:lang w:eastAsia="zh-CN"/>
              </w:rPr>
              <w:t>传真：</w:t>
            </w:r>
            <w:r>
              <w:rPr>
                <w:rFonts w:ascii="Times New Roman" w:hAnsi="Times New Roman" w:eastAsia="Times New Roman" w:cs="Times New Roman"/>
                <w:color w:val="auto"/>
                <w:spacing w:val="-5"/>
                <w:u w:val="single"/>
                <w:lang w:eastAsia="zh-CN"/>
              </w:rPr>
              <w:t>/</w:t>
            </w:r>
          </w:p>
          <w:p w14:paraId="50D2C46C">
            <w:pPr>
              <w:pStyle w:val="21"/>
              <w:spacing w:before="5" w:line="277" w:lineRule="auto"/>
              <w:ind w:left="125"/>
              <w:rPr>
                <w:rFonts w:ascii="Times New Roman" w:hAnsi="Times New Roman" w:eastAsia="Times New Roman" w:cs="Times New Roman"/>
                <w:color w:val="auto"/>
                <w:lang w:eastAsia="zh-CN"/>
              </w:rPr>
            </w:pPr>
            <w:r>
              <w:rPr>
                <w:color w:val="auto"/>
                <w:spacing w:val="-4"/>
                <w:lang w:eastAsia="zh-CN"/>
              </w:rPr>
              <w:t>邮政编码：</w:t>
            </w:r>
            <w:r>
              <w:rPr>
                <w:rFonts w:hint="eastAsia"/>
                <w:color w:val="auto"/>
                <w:u w:val="single"/>
                <w:lang w:eastAsia="zh-CN"/>
              </w:rPr>
              <w:t>115200</w:t>
            </w:r>
          </w:p>
          <w:p w14:paraId="2D984C38">
            <w:pPr>
              <w:pStyle w:val="21"/>
              <w:spacing w:before="35" w:line="243" w:lineRule="auto"/>
              <w:ind w:left="113" w:right="142" w:hanging="1"/>
              <w:rPr>
                <w:color w:val="auto"/>
                <w:lang w:eastAsia="zh-CN"/>
              </w:rPr>
            </w:pPr>
            <w:r>
              <w:rPr>
                <w:color w:val="auto"/>
                <w:spacing w:val="-1"/>
                <w:lang w:eastAsia="zh-CN"/>
              </w:rPr>
              <w:t>异议投诉渠道：辽宁省工程建设项目招标投标异议投诉</w:t>
            </w:r>
            <w:r>
              <w:rPr>
                <w:color w:val="auto"/>
                <w:spacing w:val="-3"/>
                <w:lang w:eastAsia="zh-CN"/>
              </w:rPr>
              <w:t>处理系统</w:t>
            </w:r>
          </w:p>
        </w:tc>
      </w:tr>
      <w:tr w14:paraId="27F2F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861" w:type="dxa"/>
          </w:tcPr>
          <w:p w14:paraId="3AA13CDE">
            <w:pPr>
              <w:spacing w:before="269" w:line="186" w:lineRule="auto"/>
              <w:ind w:left="343"/>
              <w:rPr>
                <w:rFonts w:ascii="Times New Roman" w:hAnsi="Times New Roman" w:eastAsia="Times New Roman" w:cs="Times New Roman"/>
                <w:color w:val="auto"/>
              </w:rPr>
            </w:pPr>
            <w:r>
              <w:rPr>
                <w:rFonts w:ascii="Times New Roman" w:hAnsi="Times New Roman" w:eastAsia="Times New Roman" w:cs="Times New Roman"/>
                <w:color w:val="auto"/>
                <w:spacing w:val="-7"/>
              </w:rPr>
              <w:t>10</w:t>
            </w:r>
          </w:p>
        </w:tc>
        <w:tc>
          <w:tcPr>
            <w:tcW w:w="7553" w:type="dxa"/>
            <w:gridSpan w:val="2"/>
          </w:tcPr>
          <w:p w14:paraId="37580888">
            <w:pPr>
              <w:pStyle w:val="21"/>
              <w:spacing w:before="230" w:line="220" w:lineRule="auto"/>
              <w:ind w:left="117"/>
              <w:rPr>
                <w:color w:val="auto"/>
              </w:rPr>
            </w:pPr>
            <w:r>
              <w:rPr>
                <w:b/>
                <w:bCs/>
                <w:color w:val="auto"/>
                <w:spacing w:val="-4"/>
              </w:rPr>
              <w:t>需要补充的其他内容</w:t>
            </w:r>
          </w:p>
        </w:tc>
      </w:tr>
      <w:tr w14:paraId="33796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861" w:type="dxa"/>
          </w:tcPr>
          <w:p w14:paraId="4E2AE657">
            <w:pPr>
              <w:spacing w:before="232" w:line="186" w:lineRule="auto"/>
              <w:ind w:left="264"/>
              <w:rPr>
                <w:rFonts w:ascii="Times New Roman" w:hAnsi="Times New Roman" w:eastAsia="Times New Roman" w:cs="Times New Roman"/>
                <w:color w:val="auto"/>
              </w:rPr>
            </w:pPr>
            <w:r>
              <w:rPr>
                <w:rFonts w:ascii="Times New Roman" w:hAnsi="Times New Roman" w:eastAsia="Times New Roman" w:cs="Times New Roman"/>
                <w:color w:val="auto"/>
                <w:spacing w:val="-5"/>
              </w:rPr>
              <w:t>10.1</w:t>
            </w:r>
          </w:p>
        </w:tc>
        <w:tc>
          <w:tcPr>
            <w:tcW w:w="7553" w:type="dxa"/>
            <w:gridSpan w:val="2"/>
          </w:tcPr>
          <w:p w14:paraId="53DAF6BF">
            <w:pPr>
              <w:pStyle w:val="21"/>
              <w:spacing w:before="193" w:line="221" w:lineRule="auto"/>
              <w:ind w:left="108"/>
              <w:rPr>
                <w:color w:val="auto"/>
              </w:rPr>
            </w:pPr>
            <w:r>
              <w:rPr>
                <w:b/>
                <w:bCs/>
                <w:color w:val="auto"/>
                <w:spacing w:val="-5"/>
              </w:rPr>
              <w:t>词语定义</w:t>
            </w:r>
          </w:p>
        </w:tc>
      </w:tr>
      <w:tr w14:paraId="126C9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9" w:hRule="atLeast"/>
          <w:jc w:val="center"/>
        </w:trPr>
        <w:tc>
          <w:tcPr>
            <w:tcW w:w="861" w:type="dxa"/>
          </w:tcPr>
          <w:p w14:paraId="156E15F3">
            <w:pPr>
              <w:spacing w:line="284" w:lineRule="auto"/>
              <w:rPr>
                <w:color w:val="auto"/>
              </w:rPr>
            </w:pPr>
          </w:p>
          <w:p w14:paraId="094C5ABC">
            <w:pPr>
              <w:spacing w:line="284" w:lineRule="auto"/>
              <w:rPr>
                <w:color w:val="auto"/>
              </w:rPr>
            </w:pPr>
          </w:p>
          <w:p w14:paraId="7A1663C3">
            <w:pPr>
              <w:spacing w:line="284" w:lineRule="auto"/>
              <w:rPr>
                <w:color w:val="auto"/>
              </w:rPr>
            </w:pPr>
          </w:p>
          <w:p w14:paraId="4F26E6E2">
            <w:pPr>
              <w:spacing w:before="60" w:line="186" w:lineRule="auto"/>
              <w:ind w:left="185"/>
              <w:rPr>
                <w:rFonts w:ascii="Times New Roman" w:hAnsi="Times New Roman" w:eastAsia="Times New Roman" w:cs="Times New Roman"/>
                <w:color w:val="auto"/>
              </w:rPr>
            </w:pPr>
            <w:r>
              <w:rPr>
                <w:rFonts w:ascii="Times New Roman" w:hAnsi="Times New Roman" w:eastAsia="Times New Roman" w:cs="Times New Roman"/>
                <w:color w:val="auto"/>
                <w:spacing w:val="-4"/>
              </w:rPr>
              <w:t>10.1.1</w:t>
            </w:r>
          </w:p>
        </w:tc>
        <w:tc>
          <w:tcPr>
            <w:tcW w:w="2259" w:type="dxa"/>
          </w:tcPr>
          <w:p w14:paraId="49A7FB7E">
            <w:pPr>
              <w:spacing w:line="268" w:lineRule="auto"/>
              <w:rPr>
                <w:color w:val="auto"/>
              </w:rPr>
            </w:pPr>
          </w:p>
          <w:p w14:paraId="38A26D74">
            <w:pPr>
              <w:spacing w:line="269" w:lineRule="auto"/>
              <w:rPr>
                <w:color w:val="auto"/>
              </w:rPr>
            </w:pPr>
          </w:p>
          <w:p w14:paraId="0C1D40AA">
            <w:pPr>
              <w:spacing w:line="269" w:lineRule="auto"/>
              <w:rPr>
                <w:color w:val="auto"/>
              </w:rPr>
            </w:pPr>
          </w:p>
          <w:p w14:paraId="08B53DD7">
            <w:pPr>
              <w:pStyle w:val="21"/>
              <w:spacing w:before="68" w:line="220" w:lineRule="auto"/>
              <w:ind w:left="710"/>
              <w:rPr>
                <w:color w:val="auto"/>
              </w:rPr>
            </w:pPr>
            <w:r>
              <w:rPr>
                <w:color w:val="auto"/>
                <w:spacing w:val="-2"/>
              </w:rPr>
              <w:t>类似项目</w:t>
            </w:r>
          </w:p>
        </w:tc>
        <w:tc>
          <w:tcPr>
            <w:tcW w:w="5294" w:type="dxa"/>
          </w:tcPr>
          <w:p w14:paraId="0C66A787">
            <w:pPr>
              <w:pStyle w:val="21"/>
              <w:spacing w:before="79" w:line="251" w:lineRule="auto"/>
              <w:ind w:left="111" w:right="102" w:firstLine="3"/>
              <w:rPr>
                <w:color w:val="auto"/>
                <w:lang w:eastAsia="zh-CN"/>
              </w:rPr>
            </w:pPr>
            <w:r>
              <w:rPr>
                <w:color w:val="auto"/>
                <w:spacing w:val="-3"/>
                <w:lang w:eastAsia="zh-CN"/>
              </w:rPr>
              <w:t>（1）类似项目指合同金额大于</w:t>
            </w:r>
            <w:r>
              <w:rPr>
                <w:rFonts w:hint="eastAsia"/>
                <w:color w:val="auto"/>
                <w:spacing w:val="-3"/>
                <w:u w:val="single"/>
                <w:lang w:eastAsia="zh-CN"/>
              </w:rPr>
              <w:t>1000</w:t>
            </w:r>
            <w:r>
              <w:rPr>
                <w:color w:val="auto"/>
                <w:spacing w:val="-3"/>
                <w:lang w:eastAsia="zh-CN"/>
              </w:rPr>
              <w:t>万元</w:t>
            </w:r>
            <w:r>
              <w:rPr>
                <w:rFonts w:hint="eastAsia"/>
                <w:color w:val="auto"/>
                <w:spacing w:val="-3"/>
                <w:u w:val="single"/>
                <w:lang w:eastAsia="zh-CN"/>
              </w:rPr>
              <w:t>类似</w:t>
            </w:r>
            <w:r>
              <w:rPr>
                <w:color w:val="auto"/>
                <w:spacing w:val="-3"/>
                <w:lang w:eastAsia="zh-CN"/>
              </w:rPr>
              <w:t>项目，且项</w:t>
            </w:r>
            <w:r>
              <w:rPr>
                <w:color w:val="auto"/>
                <w:spacing w:val="-4"/>
                <w:lang w:eastAsia="zh-CN"/>
              </w:rPr>
              <w:t>目已完</w:t>
            </w:r>
            <w:r>
              <w:rPr>
                <w:color w:val="auto"/>
                <w:spacing w:val="-8"/>
                <w:lang w:eastAsia="zh-CN"/>
              </w:rPr>
              <w:t>成验收。</w:t>
            </w:r>
          </w:p>
          <w:p w14:paraId="6F113C2F">
            <w:pPr>
              <w:pStyle w:val="21"/>
              <w:spacing w:before="69" w:line="220" w:lineRule="auto"/>
              <w:ind w:left="115"/>
              <w:rPr>
                <w:color w:val="auto"/>
                <w:lang w:eastAsia="zh-CN"/>
              </w:rPr>
            </w:pPr>
            <w:r>
              <w:rPr>
                <w:color w:val="auto"/>
                <w:spacing w:val="-6"/>
                <w:lang w:eastAsia="zh-CN"/>
              </w:rPr>
              <w:t>（2）类似项目时间：</w:t>
            </w:r>
          </w:p>
          <w:p w14:paraId="4FB1474B">
            <w:pPr>
              <w:pStyle w:val="21"/>
              <w:spacing w:before="69" w:line="222" w:lineRule="auto"/>
              <w:ind w:left="551"/>
              <w:rPr>
                <w:color w:val="auto"/>
                <w:lang w:eastAsia="zh-CN"/>
              </w:rPr>
            </w:pPr>
            <w:r>
              <w:rPr>
                <w:rFonts w:hint="eastAsia"/>
                <w:color w:val="auto"/>
                <w:spacing w:val="-3"/>
                <w:lang w:eastAsia="zh-CN"/>
              </w:rPr>
              <w:t>□</w:t>
            </w:r>
            <w:r>
              <w:rPr>
                <w:color w:val="auto"/>
                <w:spacing w:val="-3"/>
                <w:lang w:eastAsia="zh-CN"/>
              </w:rPr>
              <w:t>合同签订时间为准</w:t>
            </w:r>
          </w:p>
          <w:p w14:paraId="3E6011D3">
            <w:pPr>
              <w:pStyle w:val="21"/>
              <w:spacing w:before="68" w:line="220" w:lineRule="auto"/>
              <w:ind w:left="551"/>
              <w:rPr>
                <w:color w:val="auto"/>
                <w:lang w:eastAsia="zh-CN"/>
              </w:rPr>
            </w:pPr>
            <w:r>
              <w:rPr>
                <w:rFonts w:hint="eastAsia"/>
                <w:color w:val="auto"/>
                <w:spacing w:val="-4"/>
                <w:lang w:eastAsia="zh-CN"/>
              </w:rPr>
              <w:t>☑</w:t>
            </w:r>
            <w:r>
              <w:rPr>
                <w:color w:val="auto"/>
                <w:spacing w:val="-4"/>
                <w:lang w:eastAsia="zh-CN"/>
              </w:rPr>
              <w:t>验收时间为准</w:t>
            </w:r>
          </w:p>
          <w:p w14:paraId="23A07EF9">
            <w:pPr>
              <w:pStyle w:val="21"/>
              <w:spacing w:before="69" w:line="202" w:lineRule="auto"/>
              <w:ind w:left="115"/>
              <w:rPr>
                <w:color w:val="auto"/>
                <w:lang w:eastAsia="zh-CN"/>
              </w:rPr>
            </w:pPr>
            <w:r>
              <w:rPr>
                <w:color w:val="auto"/>
                <w:spacing w:val="-1"/>
                <w:lang w:eastAsia="zh-CN"/>
              </w:rPr>
              <w:t>（3）其他：</w:t>
            </w:r>
            <w:r>
              <w:rPr>
                <w:color w:val="auto"/>
                <w:spacing w:val="-1"/>
                <w:u w:val="single"/>
                <w:lang w:eastAsia="zh-CN"/>
              </w:rPr>
              <w:t>/</w:t>
            </w:r>
          </w:p>
        </w:tc>
      </w:tr>
      <w:tr w14:paraId="7E174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jc w:val="center"/>
        </w:trPr>
        <w:tc>
          <w:tcPr>
            <w:tcW w:w="861" w:type="dxa"/>
          </w:tcPr>
          <w:p w14:paraId="42B0782B">
            <w:pPr>
              <w:spacing w:line="376" w:lineRule="auto"/>
              <w:rPr>
                <w:color w:val="auto"/>
                <w:lang w:eastAsia="zh-CN"/>
              </w:rPr>
            </w:pPr>
          </w:p>
          <w:p w14:paraId="6CE0B038">
            <w:pPr>
              <w:spacing w:before="60" w:line="186" w:lineRule="auto"/>
              <w:ind w:left="185"/>
              <w:rPr>
                <w:rFonts w:ascii="Times New Roman" w:hAnsi="Times New Roman" w:eastAsia="Times New Roman" w:cs="Times New Roman"/>
                <w:color w:val="auto"/>
              </w:rPr>
            </w:pPr>
            <w:r>
              <w:rPr>
                <w:rFonts w:ascii="Times New Roman" w:hAnsi="Times New Roman" w:eastAsia="Times New Roman" w:cs="Times New Roman"/>
                <w:color w:val="auto"/>
                <w:spacing w:val="-4"/>
              </w:rPr>
              <w:t>10.1.2</w:t>
            </w:r>
          </w:p>
        </w:tc>
        <w:tc>
          <w:tcPr>
            <w:tcW w:w="2259" w:type="dxa"/>
          </w:tcPr>
          <w:p w14:paraId="63DEB65F">
            <w:pPr>
              <w:spacing w:line="329" w:lineRule="auto"/>
              <w:rPr>
                <w:color w:val="auto"/>
              </w:rPr>
            </w:pPr>
          </w:p>
          <w:p w14:paraId="0E479A08">
            <w:pPr>
              <w:pStyle w:val="21"/>
              <w:spacing w:before="69" w:line="220" w:lineRule="auto"/>
              <w:ind w:left="921"/>
              <w:rPr>
                <w:color w:val="auto"/>
              </w:rPr>
            </w:pPr>
            <w:r>
              <w:rPr>
                <w:color w:val="auto"/>
                <w:spacing w:val="-3"/>
              </w:rPr>
              <w:t>盖章</w:t>
            </w:r>
          </w:p>
        </w:tc>
        <w:tc>
          <w:tcPr>
            <w:tcW w:w="5294" w:type="dxa"/>
          </w:tcPr>
          <w:p w14:paraId="0C4DCC97">
            <w:pPr>
              <w:pStyle w:val="21"/>
              <w:spacing w:before="80" w:line="256" w:lineRule="auto"/>
              <w:ind w:left="110" w:right="103"/>
              <w:jc w:val="both"/>
              <w:rPr>
                <w:color w:val="auto"/>
                <w:lang w:eastAsia="zh-CN"/>
              </w:rPr>
            </w:pPr>
            <w:r>
              <w:rPr>
                <w:color w:val="auto"/>
                <w:spacing w:val="1"/>
                <w:lang w:eastAsia="zh-CN"/>
              </w:rPr>
              <w:t>盖单位章及签章（个人）均为电子签名法所指的电子签名，即表示数据电文中以电子形式所含、所附用于识别签名单位和签名人身份并表明签名单位和签名人认可其</w:t>
            </w:r>
            <w:r>
              <w:rPr>
                <w:color w:val="auto"/>
                <w:spacing w:val="-8"/>
                <w:lang w:eastAsia="zh-CN"/>
              </w:rPr>
              <w:t>中内容的数据。</w:t>
            </w:r>
          </w:p>
        </w:tc>
      </w:tr>
      <w:tr w14:paraId="360DD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861" w:type="dxa"/>
          </w:tcPr>
          <w:p w14:paraId="1BA9F1EB">
            <w:pPr>
              <w:spacing w:before="179" w:line="186" w:lineRule="auto"/>
              <w:ind w:left="185"/>
              <w:rPr>
                <w:rFonts w:ascii="Times New Roman" w:hAnsi="Times New Roman" w:eastAsia="Times New Roman" w:cs="Times New Roman"/>
                <w:color w:val="auto"/>
                <w:spacing w:val="-4"/>
              </w:rPr>
            </w:pPr>
            <w:r>
              <w:rPr>
                <w:rFonts w:ascii="Times New Roman" w:hAnsi="Times New Roman" w:eastAsia="Times New Roman" w:cs="Times New Roman"/>
                <w:color w:val="auto"/>
                <w:spacing w:val="-4"/>
              </w:rPr>
              <w:t>10.1.3</w:t>
            </w:r>
          </w:p>
        </w:tc>
        <w:tc>
          <w:tcPr>
            <w:tcW w:w="2259" w:type="dxa"/>
          </w:tcPr>
          <w:p w14:paraId="201F171F">
            <w:pPr>
              <w:pStyle w:val="21"/>
              <w:spacing w:before="141" w:line="220" w:lineRule="auto"/>
              <w:ind w:left="503"/>
              <w:rPr>
                <w:color w:val="auto"/>
                <w:spacing w:val="-3"/>
              </w:rPr>
            </w:pPr>
            <w:r>
              <w:rPr>
                <w:color w:val="auto"/>
                <w:spacing w:val="-2"/>
              </w:rPr>
              <w:t>获奖表彰时间</w:t>
            </w:r>
          </w:p>
        </w:tc>
        <w:tc>
          <w:tcPr>
            <w:tcW w:w="5294" w:type="dxa"/>
          </w:tcPr>
          <w:p w14:paraId="14179D26">
            <w:pPr>
              <w:pStyle w:val="21"/>
              <w:spacing w:before="140" w:line="220" w:lineRule="auto"/>
              <w:ind w:left="133"/>
              <w:rPr>
                <w:color w:val="auto"/>
                <w:spacing w:val="1"/>
                <w:lang w:eastAsia="zh-CN"/>
              </w:rPr>
            </w:pPr>
            <w:r>
              <w:rPr>
                <w:color w:val="auto"/>
                <w:spacing w:val="-4"/>
                <w:lang w:eastAsia="zh-CN"/>
              </w:rPr>
              <w:t>以表彰文件、获奖证书的颁发时间为准。</w:t>
            </w:r>
          </w:p>
        </w:tc>
      </w:tr>
    </w:tbl>
    <w:p w14:paraId="03EFBC28">
      <w:pPr>
        <w:spacing w:before="18"/>
        <w:rPr>
          <w:color w:val="auto"/>
          <w:lang w:eastAsia="zh-CN"/>
        </w:rPr>
      </w:pPr>
    </w:p>
    <w:tbl>
      <w:tblPr>
        <w:tblStyle w:val="20"/>
        <w:tblW w:w="84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59"/>
        <w:gridCol w:w="5294"/>
      </w:tblGrid>
      <w:tr w14:paraId="36E07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5" w:hRule="atLeast"/>
          <w:jc w:val="center"/>
        </w:trPr>
        <w:tc>
          <w:tcPr>
            <w:tcW w:w="861" w:type="dxa"/>
          </w:tcPr>
          <w:p w14:paraId="42A85A13">
            <w:pPr>
              <w:spacing w:line="290" w:lineRule="auto"/>
              <w:rPr>
                <w:color w:val="auto"/>
                <w:lang w:eastAsia="zh-CN"/>
              </w:rPr>
            </w:pPr>
          </w:p>
          <w:p w14:paraId="18FBC9AF">
            <w:pPr>
              <w:spacing w:line="291" w:lineRule="auto"/>
              <w:rPr>
                <w:color w:val="auto"/>
                <w:lang w:eastAsia="zh-CN"/>
              </w:rPr>
            </w:pPr>
          </w:p>
          <w:p w14:paraId="0177F7F7">
            <w:pPr>
              <w:spacing w:line="291" w:lineRule="auto"/>
              <w:rPr>
                <w:color w:val="auto"/>
                <w:lang w:eastAsia="zh-CN"/>
              </w:rPr>
            </w:pPr>
          </w:p>
          <w:p w14:paraId="13206F07">
            <w:pPr>
              <w:spacing w:line="291" w:lineRule="auto"/>
              <w:rPr>
                <w:color w:val="auto"/>
                <w:lang w:eastAsia="zh-CN"/>
              </w:rPr>
            </w:pPr>
          </w:p>
          <w:p w14:paraId="71F7DC90">
            <w:pPr>
              <w:spacing w:before="60" w:line="186" w:lineRule="auto"/>
              <w:ind w:left="185"/>
              <w:rPr>
                <w:rFonts w:ascii="Times New Roman" w:hAnsi="Times New Roman" w:eastAsia="Times New Roman" w:cs="Times New Roman"/>
                <w:color w:val="auto"/>
              </w:rPr>
            </w:pPr>
            <w:r>
              <w:rPr>
                <w:rFonts w:ascii="Times New Roman" w:hAnsi="Times New Roman" w:eastAsia="Times New Roman" w:cs="Times New Roman"/>
                <w:color w:val="auto"/>
                <w:spacing w:val="-4"/>
              </w:rPr>
              <w:t>10.1.4</w:t>
            </w:r>
          </w:p>
        </w:tc>
        <w:tc>
          <w:tcPr>
            <w:tcW w:w="2259" w:type="dxa"/>
          </w:tcPr>
          <w:p w14:paraId="2D75897A">
            <w:pPr>
              <w:spacing w:line="279" w:lineRule="auto"/>
              <w:rPr>
                <w:color w:val="auto"/>
              </w:rPr>
            </w:pPr>
          </w:p>
          <w:p w14:paraId="0EABE356">
            <w:pPr>
              <w:spacing w:line="279" w:lineRule="auto"/>
              <w:rPr>
                <w:color w:val="auto"/>
              </w:rPr>
            </w:pPr>
          </w:p>
          <w:p w14:paraId="31B99B3E">
            <w:pPr>
              <w:spacing w:line="279" w:lineRule="auto"/>
              <w:rPr>
                <w:color w:val="auto"/>
              </w:rPr>
            </w:pPr>
          </w:p>
          <w:p w14:paraId="620AA492">
            <w:pPr>
              <w:spacing w:line="280" w:lineRule="auto"/>
              <w:rPr>
                <w:color w:val="auto"/>
              </w:rPr>
            </w:pPr>
          </w:p>
          <w:p w14:paraId="0337E496">
            <w:pPr>
              <w:pStyle w:val="21"/>
              <w:spacing w:before="68" w:line="221" w:lineRule="auto"/>
              <w:ind w:left="713"/>
              <w:rPr>
                <w:color w:val="auto"/>
              </w:rPr>
            </w:pPr>
            <w:r>
              <w:rPr>
                <w:color w:val="auto"/>
                <w:spacing w:val="-3"/>
              </w:rPr>
              <w:t>不良行为</w:t>
            </w:r>
          </w:p>
        </w:tc>
        <w:tc>
          <w:tcPr>
            <w:tcW w:w="5294" w:type="dxa"/>
          </w:tcPr>
          <w:p w14:paraId="445CD87C">
            <w:pPr>
              <w:pStyle w:val="21"/>
              <w:spacing w:before="72" w:line="251" w:lineRule="auto"/>
              <w:ind w:left="108" w:right="119" w:firstLine="7"/>
              <w:rPr>
                <w:color w:val="auto"/>
                <w:lang w:eastAsia="zh-CN"/>
              </w:rPr>
            </w:pPr>
            <w:r>
              <w:rPr>
                <w:color w:val="auto"/>
                <w:spacing w:val="1"/>
                <w:lang w:eastAsia="zh-CN"/>
              </w:rPr>
              <w:t>（</w:t>
            </w:r>
            <w:r>
              <w:rPr>
                <w:rFonts w:ascii="Times New Roman" w:hAnsi="Times New Roman" w:eastAsia="Times New Roman" w:cs="Times New Roman"/>
                <w:color w:val="auto"/>
                <w:spacing w:val="1"/>
                <w:lang w:eastAsia="zh-CN"/>
              </w:rPr>
              <w:t>1</w:t>
            </w:r>
            <w:r>
              <w:rPr>
                <w:color w:val="auto"/>
                <w:spacing w:val="1"/>
                <w:lang w:eastAsia="zh-CN"/>
              </w:rPr>
              <w:t>）指投标人须知第</w:t>
            </w:r>
            <w:r>
              <w:rPr>
                <w:rFonts w:ascii="Times New Roman" w:hAnsi="Times New Roman" w:eastAsia="Times New Roman" w:cs="Times New Roman"/>
                <w:color w:val="auto"/>
                <w:spacing w:val="1"/>
                <w:lang w:eastAsia="zh-CN"/>
              </w:rPr>
              <w:t>1.4.3</w:t>
            </w:r>
            <w:r>
              <w:rPr>
                <w:color w:val="auto"/>
                <w:spacing w:val="1"/>
                <w:lang w:eastAsia="zh-CN"/>
              </w:rPr>
              <w:t>（</w:t>
            </w:r>
            <w:r>
              <w:rPr>
                <w:rFonts w:ascii="Times New Roman" w:hAnsi="Times New Roman" w:eastAsia="Times New Roman" w:cs="Times New Roman"/>
                <w:color w:val="auto"/>
                <w:spacing w:val="1"/>
                <w:lang w:eastAsia="zh-CN"/>
              </w:rPr>
              <w:t>12</w:t>
            </w:r>
            <w:r>
              <w:rPr>
                <w:color w:val="auto"/>
                <w:spacing w:val="1"/>
                <w:lang w:eastAsia="zh-CN"/>
              </w:rPr>
              <w:t>）至（</w:t>
            </w:r>
            <w:r>
              <w:rPr>
                <w:rFonts w:ascii="Times New Roman" w:hAnsi="Times New Roman" w:eastAsia="Times New Roman" w:cs="Times New Roman"/>
                <w:color w:val="auto"/>
                <w:spacing w:val="1"/>
                <w:lang w:eastAsia="zh-CN"/>
              </w:rPr>
              <w:t>19</w:t>
            </w:r>
            <w:r>
              <w:rPr>
                <w:color w:val="auto"/>
                <w:spacing w:val="1"/>
                <w:lang w:eastAsia="zh-CN"/>
              </w:rPr>
              <w:t>）条目规定的</w:t>
            </w:r>
            <w:r>
              <w:rPr>
                <w:color w:val="auto"/>
                <w:spacing w:val="-9"/>
                <w:lang w:eastAsia="zh-CN"/>
              </w:rPr>
              <w:t>情形。</w:t>
            </w:r>
          </w:p>
          <w:p w14:paraId="32CFFDD8">
            <w:pPr>
              <w:pStyle w:val="21"/>
              <w:spacing w:before="68" w:line="266" w:lineRule="auto"/>
              <w:ind w:left="110" w:right="103" w:firstLine="5"/>
              <w:rPr>
                <w:color w:val="auto"/>
                <w:lang w:eastAsia="zh-CN"/>
              </w:rPr>
            </w:pPr>
            <w:r>
              <w:rPr>
                <w:color w:val="auto"/>
                <w:spacing w:val="2"/>
                <w:lang w:eastAsia="zh-CN"/>
              </w:rPr>
              <w:t>（</w:t>
            </w:r>
            <w:r>
              <w:rPr>
                <w:rFonts w:ascii="Times New Roman" w:hAnsi="Times New Roman" w:eastAsia="Times New Roman" w:cs="Times New Roman"/>
                <w:color w:val="auto"/>
                <w:spacing w:val="2"/>
                <w:lang w:eastAsia="zh-CN"/>
              </w:rPr>
              <w:t>2</w:t>
            </w:r>
            <w:r>
              <w:rPr>
                <w:color w:val="auto"/>
                <w:spacing w:val="2"/>
                <w:lang w:eastAsia="zh-CN"/>
              </w:rPr>
              <w:t>）投标人须知第</w:t>
            </w:r>
            <w:r>
              <w:rPr>
                <w:rFonts w:ascii="Times New Roman" w:hAnsi="Times New Roman" w:eastAsia="Times New Roman" w:cs="Times New Roman"/>
                <w:color w:val="auto"/>
                <w:spacing w:val="2"/>
                <w:lang w:eastAsia="zh-CN"/>
              </w:rPr>
              <w:t>1.4.3</w:t>
            </w:r>
            <w:r>
              <w:rPr>
                <w:color w:val="auto"/>
                <w:spacing w:val="2"/>
                <w:lang w:eastAsia="zh-CN"/>
              </w:rPr>
              <w:t>（</w:t>
            </w:r>
            <w:r>
              <w:rPr>
                <w:rFonts w:ascii="Times New Roman" w:hAnsi="Times New Roman" w:eastAsia="Times New Roman" w:cs="Times New Roman"/>
                <w:color w:val="auto"/>
                <w:spacing w:val="2"/>
                <w:lang w:eastAsia="zh-CN"/>
              </w:rPr>
              <w:t>15</w:t>
            </w:r>
            <w:r>
              <w:rPr>
                <w:color w:val="auto"/>
                <w:spacing w:val="2"/>
                <w:lang w:eastAsia="zh-CN"/>
              </w:rPr>
              <w:t>）条</w:t>
            </w:r>
            <w:r>
              <w:rPr>
                <w:color w:val="auto"/>
                <w:spacing w:val="1"/>
                <w:lang w:eastAsia="zh-CN"/>
              </w:rPr>
              <w:t>目规定的在最近三年内有骗取中标或严重违约或重大工程质量问题的时间以相关行业主管部门行政处罚决定时间或司法机关出具的</w:t>
            </w:r>
            <w:r>
              <w:rPr>
                <w:color w:val="auto"/>
                <w:spacing w:val="-4"/>
                <w:lang w:eastAsia="zh-CN"/>
              </w:rPr>
              <w:t>法律文书时间为准。</w:t>
            </w:r>
          </w:p>
          <w:p w14:paraId="772E5CE5">
            <w:pPr>
              <w:pStyle w:val="21"/>
              <w:spacing w:before="69" w:line="243" w:lineRule="auto"/>
              <w:ind w:left="119" w:right="142" w:hanging="9"/>
              <w:rPr>
                <w:color w:val="auto"/>
                <w:lang w:eastAsia="zh-CN"/>
              </w:rPr>
            </w:pPr>
            <w:r>
              <w:rPr>
                <w:color w:val="auto"/>
                <w:spacing w:val="-1"/>
                <w:lang w:eastAsia="zh-CN"/>
              </w:rPr>
              <w:t>特别说明：同一标段项目出现两个（含）以上不同处罚</w:t>
            </w:r>
            <w:r>
              <w:rPr>
                <w:color w:val="auto"/>
                <w:spacing w:val="-3"/>
                <w:lang w:eastAsia="zh-CN"/>
              </w:rPr>
              <w:t>时间（或法律文书时间）均应满足时间要求。</w:t>
            </w:r>
          </w:p>
        </w:tc>
      </w:tr>
      <w:tr w14:paraId="26FB0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861" w:type="dxa"/>
          </w:tcPr>
          <w:p w14:paraId="1589988E">
            <w:pPr>
              <w:spacing w:before="276" w:line="186" w:lineRule="auto"/>
              <w:ind w:left="185"/>
              <w:rPr>
                <w:rFonts w:ascii="Times New Roman" w:hAnsi="Times New Roman" w:eastAsia="Times New Roman" w:cs="Times New Roman"/>
                <w:color w:val="auto"/>
              </w:rPr>
            </w:pPr>
            <w:r>
              <w:rPr>
                <w:rFonts w:ascii="Times New Roman" w:hAnsi="Times New Roman" w:eastAsia="Times New Roman" w:cs="Times New Roman"/>
                <w:color w:val="auto"/>
                <w:spacing w:val="-4"/>
              </w:rPr>
              <w:t>10.1.5</w:t>
            </w:r>
          </w:p>
        </w:tc>
        <w:tc>
          <w:tcPr>
            <w:tcW w:w="2259" w:type="dxa"/>
          </w:tcPr>
          <w:p w14:paraId="4A4AE7D0">
            <w:pPr>
              <w:pStyle w:val="21"/>
              <w:spacing w:before="237" w:line="221" w:lineRule="auto"/>
              <w:ind w:left="921"/>
              <w:rPr>
                <w:color w:val="auto"/>
              </w:rPr>
            </w:pPr>
            <w:r>
              <w:rPr>
                <w:color w:val="auto"/>
                <w:spacing w:val="-3"/>
              </w:rPr>
              <w:t>现金</w:t>
            </w:r>
          </w:p>
        </w:tc>
        <w:tc>
          <w:tcPr>
            <w:tcW w:w="5294" w:type="dxa"/>
          </w:tcPr>
          <w:p w14:paraId="2C464E3A">
            <w:pPr>
              <w:pStyle w:val="21"/>
              <w:spacing w:before="78" w:line="242" w:lineRule="auto"/>
              <w:ind w:left="111" w:right="142"/>
              <w:rPr>
                <w:color w:val="auto"/>
                <w:lang w:eastAsia="zh-CN"/>
              </w:rPr>
            </w:pPr>
            <w:r>
              <w:rPr>
                <w:color w:val="auto"/>
                <w:spacing w:val="-1"/>
                <w:lang w:eastAsia="zh-CN"/>
              </w:rPr>
              <w:t>投标保证金、履约保证金现金缴纳方式指通过电汇、支</w:t>
            </w:r>
            <w:r>
              <w:rPr>
                <w:color w:val="auto"/>
                <w:spacing w:val="-3"/>
                <w:lang w:eastAsia="zh-CN"/>
              </w:rPr>
              <w:t>票等广义现金方式缴纳而非现金钞票。</w:t>
            </w:r>
          </w:p>
        </w:tc>
      </w:tr>
      <w:tr w14:paraId="42498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861" w:type="dxa"/>
          </w:tcPr>
          <w:p w14:paraId="54A04F2B">
            <w:pPr>
              <w:spacing w:before="277" w:line="186" w:lineRule="auto"/>
              <w:ind w:left="264"/>
              <w:rPr>
                <w:rFonts w:ascii="Times New Roman" w:hAnsi="Times New Roman" w:eastAsia="Times New Roman" w:cs="Times New Roman"/>
                <w:color w:val="auto"/>
              </w:rPr>
            </w:pPr>
            <w:r>
              <w:rPr>
                <w:rFonts w:ascii="Times New Roman" w:hAnsi="Times New Roman" w:eastAsia="Times New Roman" w:cs="Times New Roman"/>
                <w:color w:val="auto"/>
                <w:spacing w:val="-5"/>
              </w:rPr>
              <w:t>10.2</w:t>
            </w:r>
          </w:p>
        </w:tc>
        <w:tc>
          <w:tcPr>
            <w:tcW w:w="2259" w:type="dxa"/>
          </w:tcPr>
          <w:p w14:paraId="63345E14">
            <w:pPr>
              <w:pStyle w:val="21"/>
              <w:spacing w:before="78" w:line="242" w:lineRule="auto"/>
              <w:ind w:left="500" w:right="392" w:hanging="86"/>
              <w:rPr>
                <w:color w:val="auto"/>
                <w:lang w:eastAsia="zh-CN"/>
              </w:rPr>
            </w:pPr>
            <w:r>
              <w:rPr>
                <w:color w:val="auto"/>
                <w:spacing w:val="-4"/>
                <w:lang w:eastAsia="zh-CN"/>
              </w:rPr>
              <w:t>中标后须提交的</w:t>
            </w:r>
            <w:r>
              <w:rPr>
                <w:color w:val="auto"/>
                <w:spacing w:val="-2"/>
                <w:lang w:eastAsia="zh-CN"/>
              </w:rPr>
              <w:t>纸质投标文件</w:t>
            </w:r>
          </w:p>
        </w:tc>
        <w:tc>
          <w:tcPr>
            <w:tcW w:w="5294" w:type="dxa"/>
          </w:tcPr>
          <w:p w14:paraId="0A72574F">
            <w:pPr>
              <w:pStyle w:val="21"/>
              <w:spacing w:before="78" w:line="242" w:lineRule="auto"/>
              <w:ind w:left="134" w:right="102" w:hanging="24"/>
              <w:rPr>
                <w:color w:val="auto"/>
                <w:lang w:eastAsia="zh-CN"/>
              </w:rPr>
            </w:pPr>
            <w:r>
              <w:rPr>
                <w:color w:val="auto"/>
                <w:spacing w:val="-3"/>
                <w:lang w:eastAsia="zh-CN"/>
              </w:rPr>
              <w:t>份数：</w:t>
            </w:r>
            <w:r>
              <w:rPr>
                <w:rFonts w:hint="eastAsia"/>
                <w:color w:val="auto"/>
                <w:spacing w:val="-3"/>
                <w:u w:val="single"/>
                <w:lang w:eastAsia="zh-CN"/>
              </w:rPr>
              <w:t>4</w:t>
            </w:r>
            <w:r>
              <w:rPr>
                <w:color w:val="auto"/>
                <w:spacing w:val="-3"/>
                <w:lang w:eastAsia="zh-CN"/>
              </w:rPr>
              <w:t>份，中标人提交的纸质投标文件应当与投标时的</w:t>
            </w:r>
            <w:r>
              <w:rPr>
                <w:color w:val="auto"/>
                <w:spacing w:val="-5"/>
                <w:lang w:eastAsia="zh-CN"/>
              </w:rPr>
              <w:t>电子投标文件内容一致。</w:t>
            </w:r>
          </w:p>
        </w:tc>
      </w:tr>
      <w:tr w14:paraId="42F21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jc w:val="center"/>
        </w:trPr>
        <w:tc>
          <w:tcPr>
            <w:tcW w:w="861" w:type="dxa"/>
          </w:tcPr>
          <w:p w14:paraId="2288C344">
            <w:pPr>
              <w:spacing w:line="467" w:lineRule="auto"/>
              <w:rPr>
                <w:color w:val="auto"/>
                <w:lang w:eastAsia="zh-CN"/>
              </w:rPr>
            </w:pPr>
          </w:p>
          <w:p w14:paraId="5D15F7F7">
            <w:pPr>
              <w:spacing w:before="61" w:line="186" w:lineRule="auto"/>
              <w:ind w:left="264"/>
              <w:rPr>
                <w:rFonts w:ascii="Times New Roman" w:hAnsi="Times New Roman" w:eastAsia="Times New Roman" w:cs="Times New Roman"/>
                <w:color w:val="auto"/>
              </w:rPr>
            </w:pPr>
            <w:r>
              <w:rPr>
                <w:rFonts w:ascii="Times New Roman" w:hAnsi="Times New Roman" w:eastAsia="Times New Roman" w:cs="Times New Roman"/>
                <w:color w:val="auto"/>
                <w:spacing w:val="-5"/>
              </w:rPr>
              <w:t>10.6</w:t>
            </w:r>
          </w:p>
        </w:tc>
        <w:tc>
          <w:tcPr>
            <w:tcW w:w="2259" w:type="dxa"/>
          </w:tcPr>
          <w:p w14:paraId="0C840AA7">
            <w:pPr>
              <w:spacing w:line="263" w:lineRule="auto"/>
              <w:rPr>
                <w:color w:val="auto"/>
                <w:lang w:eastAsia="zh-CN"/>
              </w:rPr>
            </w:pPr>
          </w:p>
          <w:p w14:paraId="24CFD1F5">
            <w:pPr>
              <w:pStyle w:val="21"/>
              <w:spacing w:before="68" w:line="283" w:lineRule="auto"/>
              <w:ind w:left="945" w:right="287" w:hanging="654"/>
              <w:rPr>
                <w:color w:val="auto"/>
                <w:lang w:eastAsia="zh-CN"/>
              </w:rPr>
            </w:pPr>
            <w:r>
              <w:rPr>
                <w:color w:val="auto"/>
                <w:spacing w:val="-2"/>
                <w:lang w:eastAsia="zh-CN"/>
              </w:rPr>
              <w:t>招标人补充的其他</w:t>
            </w:r>
            <w:r>
              <w:rPr>
                <w:color w:val="auto"/>
                <w:spacing w:val="-9"/>
                <w:lang w:eastAsia="zh-CN"/>
              </w:rPr>
              <w:t>内容</w:t>
            </w:r>
          </w:p>
        </w:tc>
        <w:tc>
          <w:tcPr>
            <w:tcW w:w="5294" w:type="dxa"/>
          </w:tcPr>
          <w:p w14:paraId="5449C053">
            <w:pPr>
              <w:spacing w:before="61" w:line="276" w:lineRule="exact"/>
              <w:rPr>
                <w:color w:val="auto"/>
                <w:lang w:eastAsia="zh-CN"/>
              </w:rPr>
            </w:pPr>
            <w:r>
              <w:rPr>
                <w:rFonts w:hint="eastAsia"/>
                <w:color w:val="auto"/>
                <w:lang w:eastAsia="zh-CN"/>
              </w:rPr>
              <w:t>1.招标代理服务费：按国家发改委“发改办价格【2003】857号”文有关规定及“计价格【2002】1980号”文件规定收取，由中标人支付。</w:t>
            </w:r>
          </w:p>
        </w:tc>
      </w:tr>
    </w:tbl>
    <w:p w14:paraId="62AEEC3B">
      <w:pPr>
        <w:pStyle w:val="8"/>
        <w:spacing w:line="247" w:lineRule="auto"/>
        <w:rPr>
          <w:lang w:eastAsia="zh-CN"/>
        </w:rPr>
      </w:pPr>
    </w:p>
    <w:p w14:paraId="4BC60AE6">
      <w:pPr>
        <w:pStyle w:val="8"/>
        <w:spacing w:line="247" w:lineRule="auto"/>
        <w:rPr>
          <w:lang w:eastAsia="zh-CN"/>
        </w:rPr>
      </w:pPr>
    </w:p>
    <w:p w14:paraId="2FFA3404">
      <w:pPr>
        <w:pStyle w:val="8"/>
        <w:spacing w:line="247" w:lineRule="auto"/>
        <w:rPr>
          <w:lang w:eastAsia="zh-CN"/>
        </w:rPr>
      </w:pPr>
    </w:p>
    <w:p w14:paraId="46A1EF7B">
      <w:pPr>
        <w:pStyle w:val="8"/>
        <w:spacing w:line="247" w:lineRule="auto"/>
        <w:rPr>
          <w:lang w:eastAsia="zh-CN"/>
        </w:rPr>
      </w:pPr>
    </w:p>
    <w:p w14:paraId="3408F1CE">
      <w:pPr>
        <w:spacing w:line="220" w:lineRule="auto"/>
        <w:rPr>
          <w:rFonts w:ascii="宋体" w:hAnsi="宋体" w:eastAsia="宋体" w:cs="宋体"/>
          <w:color w:val="auto"/>
          <w:lang w:eastAsia="zh-CN"/>
        </w:rPr>
        <w:sectPr>
          <w:headerReference r:id="rId10" w:type="default"/>
          <w:footerReference r:id="rId11" w:type="default"/>
          <w:pgSz w:w="11906" w:h="16839"/>
          <w:pgMar w:top="1440" w:right="1803" w:bottom="1440" w:left="1803" w:header="0" w:footer="846" w:gutter="0"/>
          <w:cols w:space="720" w:num="1"/>
        </w:sectPr>
      </w:pPr>
      <w:bookmarkStart w:id="66" w:name="bookmark6"/>
      <w:bookmarkEnd w:id="66"/>
    </w:p>
    <w:p w14:paraId="6535087A">
      <w:pPr>
        <w:pStyle w:val="8"/>
        <w:spacing w:line="268" w:lineRule="auto"/>
        <w:rPr>
          <w:lang w:eastAsia="zh-CN"/>
        </w:rPr>
      </w:pPr>
    </w:p>
    <w:p w14:paraId="7E48FA3D">
      <w:pPr>
        <w:pStyle w:val="8"/>
        <w:spacing w:line="268" w:lineRule="auto"/>
        <w:rPr>
          <w:lang w:eastAsia="zh-CN"/>
        </w:rPr>
      </w:pPr>
    </w:p>
    <w:p w14:paraId="38F9B396">
      <w:pPr>
        <w:pStyle w:val="8"/>
        <w:spacing w:line="268" w:lineRule="auto"/>
        <w:rPr>
          <w:lang w:eastAsia="zh-CN"/>
        </w:rPr>
      </w:pPr>
    </w:p>
    <w:p w14:paraId="49326700">
      <w:pPr>
        <w:pStyle w:val="8"/>
        <w:spacing w:line="269" w:lineRule="auto"/>
        <w:rPr>
          <w:lang w:eastAsia="zh-CN"/>
        </w:rPr>
      </w:pPr>
    </w:p>
    <w:p w14:paraId="2C3BF317">
      <w:pPr>
        <w:spacing w:before="91" w:line="221" w:lineRule="auto"/>
        <w:ind w:left="1699"/>
        <w:outlineLvl w:val="1"/>
        <w:rPr>
          <w:rFonts w:ascii="黑体" w:hAnsi="黑体" w:eastAsia="黑体" w:cs="黑体"/>
          <w:color w:val="auto"/>
          <w:sz w:val="28"/>
          <w:szCs w:val="28"/>
          <w:lang w:eastAsia="zh-CN"/>
        </w:rPr>
      </w:pPr>
      <w:bookmarkStart w:id="67" w:name="_Toc15990"/>
      <w:bookmarkStart w:id="68" w:name="_Toc9852"/>
      <w:bookmarkStart w:id="69" w:name="_Toc32160"/>
      <w:bookmarkStart w:id="70" w:name="_Toc8031"/>
      <w:r>
        <w:rPr>
          <w:rFonts w:ascii="黑体" w:hAnsi="黑体" w:eastAsia="黑体" w:cs="黑体"/>
          <w:color w:val="auto"/>
          <w:spacing w:val="-1"/>
          <w:sz w:val="28"/>
          <w:szCs w:val="28"/>
          <w:lang w:eastAsia="zh-CN"/>
        </w:rPr>
        <w:t>投标人须知正文部分</w:t>
      </w:r>
      <w:bookmarkEnd w:id="67"/>
      <w:bookmarkEnd w:id="68"/>
      <w:bookmarkEnd w:id="69"/>
      <w:bookmarkEnd w:id="70"/>
    </w:p>
    <w:p w14:paraId="69822561">
      <w:pPr>
        <w:spacing w:before="124" w:line="222" w:lineRule="auto"/>
        <w:ind w:left="1723"/>
        <w:outlineLvl w:val="1"/>
        <w:rPr>
          <w:rFonts w:ascii="黑体" w:hAnsi="黑体" w:eastAsia="黑体" w:cs="黑体"/>
          <w:color w:val="auto"/>
          <w:sz w:val="28"/>
          <w:szCs w:val="28"/>
          <w:lang w:eastAsia="zh-CN"/>
        </w:rPr>
      </w:pPr>
      <w:bookmarkStart w:id="71" w:name="bookmark8"/>
      <w:bookmarkEnd w:id="71"/>
      <w:bookmarkStart w:id="72" w:name="bookmark7"/>
      <w:bookmarkEnd w:id="72"/>
      <w:bookmarkStart w:id="73" w:name="_Toc14603"/>
      <w:bookmarkStart w:id="74" w:name="_Toc18403"/>
      <w:bookmarkStart w:id="75" w:name="_Toc7975"/>
      <w:bookmarkStart w:id="76" w:name="_Toc732"/>
      <w:r>
        <w:rPr>
          <w:rFonts w:ascii="Times New Roman" w:hAnsi="Times New Roman" w:eastAsia="Times New Roman" w:cs="Times New Roman"/>
          <w:color w:val="auto"/>
          <w:spacing w:val="-9"/>
          <w:sz w:val="28"/>
          <w:szCs w:val="28"/>
          <w:lang w:eastAsia="zh-CN"/>
        </w:rPr>
        <w:t>1.</w:t>
      </w:r>
      <w:r>
        <w:rPr>
          <w:rFonts w:ascii="黑体" w:hAnsi="黑体" w:eastAsia="黑体" w:cs="黑体"/>
          <w:color w:val="auto"/>
          <w:spacing w:val="-9"/>
          <w:sz w:val="28"/>
          <w:szCs w:val="28"/>
          <w:lang w:eastAsia="zh-CN"/>
        </w:rPr>
        <w:t>总则</w:t>
      </w:r>
      <w:bookmarkEnd w:id="73"/>
      <w:bookmarkEnd w:id="74"/>
      <w:bookmarkEnd w:id="75"/>
      <w:bookmarkEnd w:id="76"/>
    </w:p>
    <w:p w14:paraId="707827F5">
      <w:pPr>
        <w:spacing w:before="58" w:line="221" w:lineRule="auto"/>
        <w:ind w:left="1719"/>
        <w:outlineLvl w:val="2"/>
        <w:rPr>
          <w:rFonts w:ascii="黑体" w:hAnsi="黑体" w:eastAsia="黑体" w:cs="黑体"/>
          <w:color w:val="auto"/>
          <w:sz w:val="24"/>
          <w:szCs w:val="24"/>
          <w:lang w:eastAsia="zh-CN"/>
        </w:rPr>
      </w:pPr>
      <w:bookmarkStart w:id="77" w:name="bookmark209"/>
      <w:bookmarkEnd w:id="77"/>
      <w:r>
        <w:rPr>
          <w:rFonts w:ascii="Times New Roman" w:hAnsi="Times New Roman" w:eastAsia="Times New Roman" w:cs="Times New Roman"/>
          <w:color w:val="auto"/>
          <w:spacing w:val="-6"/>
          <w:sz w:val="24"/>
          <w:szCs w:val="24"/>
          <w:lang w:eastAsia="zh-CN"/>
        </w:rPr>
        <w:t>1.1</w:t>
      </w:r>
      <w:r>
        <w:rPr>
          <w:rFonts w:ascii="黑体" w:hAnsi="黑体" w:eastAsia="黑体" w:cs="黑体"/>
          <w:color w:val="auto"/>
          <w:spacing w:val="-6"/>
          <w:sz w:val="24"/>
          <w:szCs w:val="24"/>
          <w:lang w:eastAsia="zh-CN"/>
        </w:rPr>
        <w:t>项目概况</w:t>
      </w:r>
    </w:p>
    <w:p w14:paraId="746A1DA3">
      <w:pPr>
        <w:spacing w:before="99" w:line="316" w:lineRule="auto"/>
        <w:ind w:left="1739" w:right="1797" w:firstLine="396"/>
        <w:rPr>
          <w:rFonts w:ascii="宋体" w:hAnsi="宋体" w:eastAsia="宋体" w:cs="宋体"/>
          <w:color w:val="auto"/>
          <w:lang w:eastAsia="zh-CN"/>
        </w:rPr>
      </w:pPr>
      <w:r>
        <w:rPr>
          <w:rFonts w:ascii="Times New Roman" w:hAnsi="Times New Roman" w:eastAsia="Times New Roman" w:cs="Times New Roman"/>
          <w:color w:val="auto"/>
          <w:lang w:eastAsia="zh-CN"/>
        </w:rPr>
        <w:t xml:space="preserve">1.1.1  </w:t>
      </w:r>
      <w:r>
        <w:rPr>
          <w:rFonts w:ascii="宋体" w:hAnsi="宋体" w:eastAsia="宋体" w:cs="宋体"/>
          <w:color w:val="auto"/>
          <w:lang w:eastAsia="zh-CN"/>
        </w:rPr>
        <w:t>根据《中华人民共和国招标投标法》等有关法律、法规和规</w:t>
      </w:r>
      <w:r>
        <w:rPr>
          <w:rFonts w:ascii="宋体" w:hAnsi="宋体" w:eastAsia="宋体" w:cs="宋体"/>
          <w:color w:val="auto"/>
          <w:spacing w:val="-1"/>
          <w:lang w:eastAsia="zh-CN"/>
        </w:rPr>
        <w:t>章的规定，本招标项</w:t>
      </w:r>
      <w:r>
        <w:rPr>
          <w:rFonts w:ascii="宋体" w:hAnsi="宋体" w:eastAsia="宋体" w:cs="宋体"/>
          <w:color w:val="auto"/>
          <w:spacing w:val="-4"/>
          <w:lang w:eastAsia="zh-CN"/>
        </w:rPr>
        <w:t>目已具备招标条件，现对本标段设备采购进行招标。</w:t>
      </w:r>
    </w:p>
    <w:p w14:paraId="6F40F9C6">
      <w:pPr>
        <w:spacing w:line="219"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1.1.2  </w:t>
      </w:r>
      <w:r>
        <w:rPr>
          <w:rFonts w:ascii="宋体" w:hAnsi="宋体" w:eastAsia="宋体" w:cs="宋体"/>
          <w:color w:val="auto"/>
          <w:spacing w:val="-2"/>
          <w:lang w:eastAsia="zh-CN"/>
        </w:rPr>
        <w:t>本招标项目招标人：见投标人须知前附</w:t>
      </w:r>
      <w:r>
        <w:rPr>
          <w:rFonts w:ascii="宋体" w:hAnsi="宋体" w:eastAsia="宋体" w:cs="宋体"/>
          <w:color w:val="auto"/>
          <w:spacing w:val="-3"/>
          <w:lang w:eastAsia="zh-CN"/>
        </w:rPr>
        <w:t>表。</w:t>
      </w:r>
    </w:p>
    <w:p w14:paraId="7018509F">
      <w:pPr>
        <w:spacing w:before="109"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1.1.3  </w:t>
      </w:r>
      <w:r>
        <w:rPr>
          <w:rFonts w:ascii="宋体" w:hAnsi="宋体" w:eastAsia="宋体" w:cs="宋体"/>
          <w:color w:val="auto"/>
          <w:spacing w:val="-2"/>
          <w:lang w:eastAsia="zh-CN"/>
        </w:rPr>
        <w:t>本标段招标代理机构：见投标人须知前附表。</w:t>
      </w:r>
    </w:p>
    <w:p w14:paraId="0AE0BB41">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1.1.4  </w:t>
      </w:r>
      <w:r>
        <w:rPr>
          <w:rFonts w:ascii="宋体" w:hAnsi="宋体" w:eastAsia="宋体" w:cs="宋体"/>
          <w:color w:val="auto"/>
          <w:spacing w:val="-2"/>
          <w:lang w:eastAsia="zh-CN"/>
        </w:rPr>
        <w:t>本招标项目名称：见投标人须知</w:t>
      </w:r>
      <w:r>
        <w:rPr>
          <w:rFonts w:ascii="宋体" w:hAnsi="宋体" w:eastAsia="宋体" w:cs="宋体"/>
          <w:color w:val="auto"/>
          <w:spacing w:val="-3"/>
          <w:lang w:eastAsia="zh-CN"/>
        </w:rPr>
        <w:t>前附表。</w:t>
      </w:r>
    </w:p>
    <w:p w14:paraId="613CC141">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1.1.5  </w:t>
      </w:r>
      <w:r>
        <w:rPr>
          <w:rFonts w:ascii="宋体" w:hAnsi="宋体" w:eastAsia="宋体" w:cs="宋体"/>
          <w:color w:val="auto"/>
          <w:spacing w:val="-2"/>
          <w:lang w:eastAsia="zh-CN"/>
        </w:rPr>
        <w:t>本标段项目名称：见投标人须知</w:t>
      </w:r>
      <w:r>
        <w:rPr>
          <w:rFonts w:ascii="宋体" w:hAnsi="宋体" w:eastAsia="宋体" w:cs="宋体"/>
          <w:color w:val="auto"/>
          <w:spacing w:val="-3"/>
          <w:lang w:eastAsia="zh-CN"/>
        </w:rPr>
        <w:t>前附表。</w:t>
      </w:r>
    </w:p>
    <w:p w14:paraId="505572FA">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1.1.6  </w:t>
      </w:r>
      <w:r>
        <w:rPr>
          <w:rFonts w:ascii="宋体" w:hAnsi="宋体" w:eastAsia="宋体" w:cs="宋体"/>
          <w:color w:val="auto"/>
          <w:spacing w:val="-2"/>
          <w:lang w:eastAsia="zh-CN"/>
        </w:rPr>
        <w:t>本标段建设地点：见投标人须知</w:t>
      </w:r>
      <w:r>
        <w:rPr>
          <w:rFonts w:ascii="宋体" w:hAnsi="宋体" w:eastAsia="宋体" w:cs="宋体"/>
          <w:color w:val="auto"/>
          <w:spacing w:val="-3"/>
          <w:lang w:eastAsia="zh-CN"/>
        </w:rPr>
        <w:t>前附表。</w:t>
      </w:r>
    </w:p>
    <w:p w14:paraId="5995A329">
      <w:pPr>
        <w:spacing w:before="110" w:line="219"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1.1.7  </w:t>
      </w:r>
      <w:r>
        <w:rPr>
          <w:rFonts w:ascii="宋体" w:hAnsi="宋体" w:eastAsia="宋体" w:cs="宋体"/>
          <w:color w:val="auto"/>
          <w:spacing w:val="-2"/>
          <w:lang w:eastAsia="zh-CN"/>
        </w:rPr>
        <w:t>本招标项目投资估算：见投标人须知前附表。</w:t>
      </w:r>
    </w:p>
    <w:p w14:paraId="22800D8B">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1.1.8  </w:t>
      </w:r>
      <w:r>
        <w:rPr>
          <w:rFonts w:ascii="宋体" w:hAnsi="宋体" w:eastAsia="宋体" w:cs="宋体"/>
          <w:color w:val="auto"/>
          <w:spacing w:val="-2"/>
          <w:lang w:eastAsia="zh-CN"/>
        </w:rPr>
        <w:t>本标段采用的电子交易系统名称：见投标人须知前附表。</w:t>
      </w:r>
    </w:p>
    <w:p w14:paraId="78F6993B">
      <w:pPr>
        <w:spacing w:before="84" w:line="221" w:lineRule="auto"/>
        <w:ind w:left="1719"/>
        <w:outlineLvl w:val="2"/>
        <w:rPr>
          <w:rFonts w:ascii="黑体" w:hAnsi="黑体" w:eastAsia="黑体" w:cs="黑体"/>
          <w:color w:val="auto"/>
          <w:sz w:val="24"/>
          <w:szCs w:val="24"/>
          <w:lang w:eastAsia="zh-CN"/>
        </w:rPr>
      </w:pPr>
      <w:bookmarkStart w:id="78" w:name="bookmark9"/>
      <w:bookmarkEnd w:id="78"/>
      <w:r>
        <w:rPr>
          <w:rFonts w:ascii="Times New Roman" w:hAnsi="Times New Roman" w:eastAsia="Times New Roman" w:cs="Times New Roman"/>
          <w:color w:val="auto"/>
          <w:spacing w:val="-2"/>
          <w:sz w:val="24"/>
          <w:szCs w:val="24"/>
          <w:lang w:eastAsia="zh-CN"/>
        </w:rPr>
        <w:t xml:space="preserve">1.2  </w:t>
      </w:r>
      <w:r>
        <w:rPr>
          <w:rFonts w:ascii="黑体" w:hAnsi="黑体" w:eastAsia="黑体" w:cs="黑体"/>
          <w:color w:val="auto"/>
          <w:spacing w:val="-2"/>
          <w:sz w:val="24"/>
          <w:szCs w:val="24"/>
          <w:lang w:eastAsia="zh-CN"/>
        </w:rPr>
        <w:t>项目的资金来源和落实情况</w:t>
      </w:r>
    </w:p>
    <w:p w14:paraId="2A0BCA3B">
      <w:pPr>
        <w:spacing w:before="99"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1.2.1  </w:t>
      </w:r>
      <w:r>
        <w:rPr>
          <w:rFonts w:ascii="宋体" w:hAnsi="宋体" w:eastAsia="宋体" w:cs="宋体"/>
          <w:color w:val="auto"/>
          <w:spacing w:val="-2"/>
          <w:lang w:eastAsia="zh-CN"/>
        </w:rPr>
        <w:t>本招标项目的资金来源：见投标人须知前附表。</w:t>
      </w:r>
    </w:p>
    <w:p w14:paraId="79C1C44F">
      <w:pPr>
        <w:spacing w:before="109"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1.2.2  </w:t>
      </w:r>
      <w:r>
        <w:rPr>
          <w:rFonts w:ascii="宋体" w:hAnsi="宋体" w:eastAsia="宋体" w:cs="宋体"/>
          <w:color w:val="auto"/>
          <w:spacing w:val="-2"/>
          <w:lang w:eastAsia="zh-CN"/>
        </w:rPr>
        <w:t>本招标项目的出资比例：见投标人须知前附表。</w:t>
      </w:r>
    </w:p>
    <w:p w14:paraId="48A954F9">
      <w:pPr>
        <w:spacing w:before="110" w:line="219"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1.2.3  </w:t>
      </w:r>
      <w:r>
        <w:rPr>
          <w:rFonts w:ascii="宋体" w:hAnsi="宋体" w:eastAsia="宋体" w:cs="宋体"/>
          <w:color w:val="auto"/>
          <w:spacing w:val="-2"/>
          <w:lang w:eastAsia="zh-CN"/>
        </w:rPr>
        <w:t>本标段合同估算价：见投标人须知前附</w:t>
      </w:r>
      <w:r>
        <w:rPr>
          <w:rFonts w:ascii="宋体" w:hAnsi="宋体" w:eastAsia="宋体" w:cs="宋体"/>
          <w:color w:val="auto"/>
          <w:spacing w:val="-3"/>
          <w:lang w:eastAsia="zh-CN"/>
        </w:rPr>
        <w:t>表。</w:t>
      </w:r>
    </w:p>
    <w:p w14:paraId="33718E7E">
      <w:pPr>
        <w:spacing w:before="111"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1.2.4  </w:t>
      </w:r>
      <w:r>
        <w:rPr>
          <w:rFonts w:ascii="宋体" w:hAnsi="宋体" w:eastAsia="宋体" w:cs="宋体"/>
          <w:color w:val="auto"/>
          <w:spacing w:val="-2"/>
          <w:lang w:eastAsia="zh-CN"/>
        </w:rPr>
        <w:t>本标段资金落实情况：见投标人须知前附表。</w:t>
      </w:r>
    </w:p>
    <w:p w14:paraId="6272C0C1">
      <w:pPr>
        <w:spacing w:before="84" w:line="222" w:lineRule="auto"/>
        <w:ind w:left="1719"/>
        <w:outlineLvl w:val="2"/>
        <w:rPr>
          <w:rFonts w:ascii="黑体" w:hAnsi="黑体" w:eastAsia="黑体" w:cs="黑体"/>
          <w:color w:val="auto"/>
          <w:sz w:val="24"/>
          <w:szCs w:val="24"/>
          <w:lang w:eastAsia="zh-CN"/>
        </w:rPr>
      </w:pPr>
      <w:bookmarkStart w:id="79" w:name="bookmark10"/>
      <w:bookmarkEnd w:id="79"/>
      <w:r>
        <w:rPr>
          <w:rFonts w:ascii="Times New Roman" w:hAnsi="Times New Roman" w:eastAsia="Times New Roman" w:cs="Times New Roman"/>
          <w:color w:val="auto"/>
          <w:spacing w:val="-1"/>
          <w:sz w:val="24"/>
          <w:szCs w:val="24"/>
          <w:lang w:eastAsia="zh-CN"/>
        </w:rPr>
        <w:t xml:space="preserve">1.3  </w:t>
      </w:r>
      <w:r>
        <w:rPr>
          <w:rFonts w:ascii="黑体" w:hAnsi="黑体" w:eastAsia="黑体" w:cs="黑体"/>
          <w:color w:val="auto"/>
          <w:spacing w:val="-1"/>
          <w:sz w:val="24"/>
          <w:szCs w:val="24"/>
          <w:lang w:eastAsia="zh-CN"/>
        </w:rPr>
        <w:t>招标范围、交货期、交货地点和技术性能</w:t>
      </w:r>
      <w:r>
        <w:rPr>
          <w:rFonts w:ascii="黑体" w:hAnsi="黑体" w:eastAsia="黑体" w:cs="黑体"/>
          <w:color w:val="auto"/>
          <w:spacing w:val="-2"/>
          <w:sz w:val="24"/>
          <w:szCs w:val="24"/>
          <w:lang w:eastAsia="zh-CN"/>
        </w:rPr>
        <w:t>指标等</w:t>
      </w:r>
    </w:p>
    <w:p w14:paraId="4982A8E0">
      <w:pPr>
        <w:spacing w:before="97"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1.3.1  </w:t>
      </w:r>
      <w:r>
        <w:rPr>
          <w:rFonts w:ascii="宋体" w:hAnsi="宋体" w:eastAsia="宋体" w:cs="宋体"/>
          <w:color w:val="auto"/>
          <w:spacing w:val="-3"/>
          <w:lang w:eastAsia="zh-CN"/>
        </w:rPr>
        <w:t>招标范围：见投标人须知前附表。</w:t>
      </w:r>
    </w:p>
    <w:p w14:paraId="32AFF956">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1.3.2  </w:t>
      </w:r>
      <w:r>
        <w:rPr>
          <w:rFonts w:ascii="宋体" w:hAnsi="宋体" w:eastAsia="宋体" w:cs="宋体"/>
          <w:color w:val="auto"/>
          <w:spacing w:val="-3"/>
          <w:lang w:eastAsia="zh-CN"/>
        </w:rPr>
        <w:t>交货期：见投标人须知前附表。</w:t>
      </w:r>
    </w:p>
    <w:p w14:paraId="7E3334F7">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1.3.3  </w:t>
      </w:r>
      <w:r>
        <w:rPr>
          <w:rFonts w:ascii="宋体" w:hAnsi="宋体" w:eastAsia="宋体" w:cs="宋体"/>
          <w:color w:val="auto"/>
          <w:spacing w:val="-3"/>
          <w:lang w:eastAsia="zh-CN"/>
        </w:rPr>
        <w:t>交货地点：见投标人须知前附表。</w:t>
      </w:r>
    </w:p>
    <w:p w14:paraId="237D4933">
      <w:pPr>
        <w:spacing w:before="109"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1.3.4  </w:t>
      </w:r>
      <w:r>
        <w:rPr>
          <w:rFonts w:ascii="宋体" w:hAnsi="宋体" w:eastAsia="宋体" w:cs="宋体"/>
          <w:color w:val="auto"/>
          <w:spacing w:val="-2"/>
          <w:lang w:eastAsia="zh-CN"/>
        </w:rPr>
        <w:t>技术性能指标：见投标人须</w:t>
      </w:r>
      <w:r>
        <w:rPr>
          <w:rFonts w:ascii="宋体" w:hAnsi="宋体" w:eastAsia="宋体" w:cs="宋体"/>
          <w:color w:val="auto"/>
          <w:spacing w:val="-3"/>
          <w:lang w:eastAsia="zh-CN"/>
        </w:rPr>
        <w:t>知前附表。</w:t>
      </w:r>
    </w:p>
    <w:p w14:paraId="662B8DBC">
      <w:pPr>
        <w:spacing w:before="110"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1.3.5  </w:t>
      </w:r>
      <w:r>
        <w:rPr>
          <w:rFonts w:ascii="宋体" w:hAnsi="宋体" w:eastAsia="宋体" w:cs="宋体"/>
          <w:color w:val="auto"/>
          <w:spacing w:val="-3"/>
          <w:lang w:eastAsia="zh-CN"/>
        </w:rPr>
        <w:t>质量标准：见投标人须知前附表。</w:t>
      </w:r>
    </w:p>
    <w:p w14:paraId="27406DDA">
      <w:pPr>
        <w:spacing w:before="84" w:line="222" w:lineRule="auto"/>
        <w:ind w:left="1719"/>
        <w:outlineLvl w:val="2"/>
        <w:rPr>
          <w:rFonts w:ascii="黑体" w:hAnsi="黑体" w:eastAsia="黑体" w:cs="黑体"/>
          <w:color w:val="auto"/>
          <w:sz w:val="24"/>
          <w:szCs w:val="24"/>
          <w:lang w:eastAsia="zh-CN"/>
        </w:rPr>
      </w:pPr>
      <w:bookmarkStart w:id="80" w:name="bookmark11"/>
      <w:bookmarkEnd w:id="80"/>
      <w:r>
        <w:rPr>
          <w:rFonts w:ascii="Times New Roman" w:hAnsi="Times New Roman" w:eastAsia="Times New Roman" w:cs="Times New Roman"/>
          <w:color w:val="auto"/>
          <w:spacing w:val="-3"/>
          <w:sz w:val="24"/>
          <w:szCs w:val="24"/>
          <w:lang w:eastAsia="zh-CN"/>
        </w:rPr>
        <w:t xml:space="preserve">1.4  </w:t>
      </w:r>
      <w:r>
        <w:rPr>
          <w:rFonts w:ascii="黑体" w:hAnsi="黑体" w:eastAsia="黑体" w:cs="黑体"/>
          <w:color w:val="auto"/>
          <w:spacing w:val="-3"/>
          <w:sz w:val="24"/>
          <w:szCs w:val="24"/>
          <w:lang w:eastAsia="zh-CN"/>
        </w:rPr>
        <w:t>投标人资格要求</w:t>
      </w:r>
    </w:p>
    <w:p w14:paraId="0A2D1074">
      <w:pPr>
        <w:spacing w:before="14"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1.4.1  </w:t>
      </w:r>
      <w:r>
        <w:rPr>
          <w:rFonts w:ascii="宋体" w:hAnsi="宋体" w:eastAsia="宋体" w:cs="宋体"/>
          <w:color w:val="auto"/>
          <w:spacing w:val="-2"/>
          <w:lang w:eastAsia="zh-CN"/>
        </w:rPr>
        <w:t>投标人应具备承担本招标项目资</w:t>
      </w:r>
      <w:r>
        <w:rPr>
          <w:rFonts w:ascii="宋体" w:hAnsi="宋体" w:eastAsia="宋体" w:cs="宋体"/>
          <w:color w:val="auto"/>
          <w:spacing w:val="-3"/>
          <w:lang w:eastAsia="zh-CN"/>
        </w:rPr>
        <w:t>质条件、能力和信誉：</w:t>
      </w:r>
    </w:p>
    <w:p w14:paraId="77914DF0">
      <w:pPr>
        <w:spacing w:before="8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w:t>
      </w:r>
      <w:r>
        <w:rPr>
          <w:rFonts w:ascii="宋体" w:hAnsi="宋体" w:eastAsia="宋体" w:cs="宋体"/>
          <w:color w:val="auto"/>
          <w:spacing w:val="-4"/>
          <w:lang w:eastAsia="zh-CN"/>
        </w:rPr>
        <w:t>）资质要求：见投标人须知前附表；</w:t>
      </w:r>
    </w:p>
    <w:p w14:paraId="34723BBB">
      <w:pPr>
        <w:spacing w:before="110"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2</w:t>
      </w:r>
      <w:r>
        <w:rPr>
          <w:rFonts w:ascii="宋体" w:hAnsi="宋体" w:eastAsia="宋体" w:cs="宋体"/>
          <w:color w:val="auto"/>
          <w:spacing w:val="-7"/>
          <w:lang w:eastAsia="zh-CN"/>
        </w:rPr>
        <w:t>）财务要求：见投标人须知前附表（如有</w:t>
      </w:r>
      <w:r>
        <w:rPr>
          <w:rFonts w:ascii="宋体" w:hAnsi="宋体" w:eastAsia="宋体" w:cs="宋体"/>
          <w:color w:val="auto"/>
          <w:spacing w:val="3"/>
          <w:lang w:eastAsia="zh-CN"/>
        </w:rPr>
        <w:t>）；</w:t>
      </w:r>
    </w:p>
    <w:p w14:paraId="437262D1">
      <w:pPr>
        <w:spacing w:before="110"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）业绩要求：见投标人须知前附表（如有</w:t>
      </w:r>
      <w:r>
        <w:rPr>
          <w:rFonts w:ascii="宋体" w:hAnsi="宋体" w:eastAsia="宋体" w:cs="宋体"/>
          <w:color w:val="auto"/>
          <w:spacing w:val="3"/>
          <w:lang w:eastAsia="zh-CN"/>
        </w:rPr>
        <w:t>）；</w:t>
      </w:r>
    </w:p>
    <w:p w14:paraId="6D75C087">
      <w:pPr>
        <w:spacing w:before="10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4</w:t>
      </w:r>
      <w:r>
        <w:rPr>
          <w:rFonts w:ascii="宋体" w:hAnsi="宋体" w:eastAsia="宋体" w:cs="宋体"/>
          <w:color w:val="auto"/>
          <w:spacing w:val="-4"/>
          <w:lang w:eastAsia="zh-CN"/>
        </w:rPr>
        <w:t>）信誉要求：见投标人须知前附表；</w:t>
      </w:r>
    </w:p>
    <w:p w14:paraId="0002B916">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5</w:t>
      </w:r>
      <w:r>
        <w:rPr>
          <w:rFonts w:ascii="宋体" w:hAnsi="宋体" w:eastAsia="宋体" w:cs="宋体"/>
          <w:color w:val="auto"/>
          <w:spacing w:val="-3"/>
          <w:lang w:eastAsia="zh-CN"/>
        </w:rPr>
        <w:t>）其他要求：见投标人须知前附表。</w:t>
      </w:r>
    </w:p>
    <w:p w14:paraId="326CBA44">
      <w:pPr>
        <w:spacing w:before="111" w:line="316" w:lineRule="auto"/>
        <w:ind w:left="1702" w:right="1796" w:firstLine="419"/>
        <w:rPr>
          <w:rFonts w:ascii="宋体" w:hAnsi="宋体" w:eastAsia="宋体" w:cs="宋体"/>
          <w:color w:val="auto"/>
          <w:lang w:eastAsia="zh-CN"/>
        </w:rPr>
      </w:pPr>
      <w:r>
        <w:rPr>
          <w:rFonts w:ascii="宋体" w:hAnsi="宋体" w:eastAsia="宋体" w:cs="宋体"/>
          <w:color w:val="auto"/>
          <w:spacing w:val="-3"/>
          <w:lang w:eastAsia="zh-CN"/>
        </w:rPr>
        <w:t>投标人为代理经销商的，对投标人的资质要求包含对制造商的资质要求，对投标人的业</w:t>
      </w:r>
      <w:r>
        <w:rPr>
          <w:rFonts w:ascii="宋体" w:hAnsi="宋体" w:eastAsia="宋体" w:cs="宋体"/>
          <w:color w:val="auto"/>
          <w:spacing w:val="-1"/>
          <w:lang w:eastAsia="zh-CN"/>
        </w:rPr>
        <w:t xml:space="preserve">绩要求包含对投标设备的业绩要求。需要提交的相关证明材料见本章第 </w:t>
      </w:r>
      <w:r>
        <w:rPr>
          <w:rFonts w:ascii="Times New Roman" w:hAnsi="Times New Roman" w:eastAsia="Times New Roman" w:cs="Times New Roman"/>
          <w:color w:val="auto"/>
          <w:spacing w:val="-1"/>
          <w:lang w:eastAsia="zh-CN"/>
        </w:rPr>
        <w:t xml:space="preserve">3.5  </w:t>
      </w:r>
      <w:r>
        <w:rPr>
          <w:rFonts w:ascii="宋体" w:hAnsi="宋体" w:eastAsia="宋体" w:cs="宋体"/>
          <w:color w:val="auto"/>
          <w:spacing w:val="-1"/>
          <w:lang w:eastAsia="zh-CN"/>
        </w:rPr>
        <w:t>款的规定。</w:t>
      </w:r>
    </w:p>
    <w:p w14:paraId="462FC2F3">
      <w:pPr>
        <w:spacing w:before="2" w:line="316" w:lineRule="auto"/>
        <w:ind w:left="1700" w:right="1747" w:firstLine="434"/>
        <w:rPr>
          <w:rFonts w:ascii="宋体" w:hAnsi="宋体" w:eastAsia="宋体" w:cs="宋体"/>
          <w:color w:val="auto"/>
          <w:lang w:eastAsia="zh-CN"/>
        </w:rPr>
      </w:pPr>
      <w:r>
        <w:rPr>
          <w:rFonts w:ascii="Times New Roman" w:hAnsi="Times New Roman" w:eastAsia="Times New Roman" w:cs="Times New Roman"/>
          <w:color w:val="auto"/>
          <w:spacing w:val="-3"/>
          <w:lang w:eastAsia="zh-CN"/>
        </w:rPr>
        <w:t>1.4.2</w:t>
      </w:r>
      <w:r>
        <w:rPr>
          <w:rFonts w:ascii="宋体" w:hAnsi="宋体" w:eastAsia="宋体" w:cs="宋体"/>
          <w:color w:val="auto"/>
          <w:spacing w:val="-3"/>
          <w:lang w:eastAsia="zh-CN"/>
        </w:rPr>
        <w:t>投标人须知前附表规定接受联合体投标的，联合</w:t>
      </w:r>
      <w:r>
        <w:rPr>
          <w:rFonts w:ascii="宋体" w:hAnsi="宋体" w:eastAsia="宋体" w:cs="宋体"/>
          <w:color w:val="auto"/>
          <w:spacing w:val="-4"/>
          <w:lang w:eastAsia="zh-CN"/>
        </w:rPr>
        <w:t xml:space="preserve">体除应符合本章第 </w:t>
      </w:r>
      <w:r>
        <w:rPr>
          <w:rFonts w:ascii="Times New Roman" w:hAnsi="Times New Roman" w:eastAsia="Times New Roman" w:cs="Times New Roman"/>
          <w:color w:val="auto"/>
          <w:spacing w:val="-4"/>
          <w:lang w:eastAsia="zh-CN"/>
        </w:rPr>
        <w:t>1.4.1</w:t>
      </w:r>
      <w:r>
        <w:rPr>
          <w:rFonts w:ascii="宋体" w:hAnsi="宋体" w:eastAsia="宋体" w:cs="宋体"/>
          <w:color w:val="auto"/>
          <w:spacing w:val="-4"/>
          <w:lang w:eastAsia="zh-CN"/>
        </w:rPr>
        <w:t>项和投标</w:t>
      </w:r>
      <w:r>
        <w:rPr>
          <w:rFonts w:ascii="宋体" w:hAnsi="宋体" w:eastAsia="宋体" w:cs="宋体"/>
          <w:color w:val="auto"/>
          <w:spacing w:val="-3"/>
          <w:lang w:eastAsia="zh-CN"/>
        </w:rPr>
        <w:t>人须知前附表的要求外，还应遵守以下规定：</w:t>
      </w:r>
    </w:p>
    <w:p w14:paraId="7512469B">
      <w:pPr>
        <w:spacing w:line="268" w:lineRule="auto"/>
        <w:ind w:left="1700" w:right="1807" w:firstLine="424"/>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1</w:t>
      </w:r>
      <w:r>
        <w:rPr>
          <w:rFonts w:ascii="宋体" w:hAnsi="宋体" w:eastAsia="宋体" w:cs="宋体"/>
          <w:color w:val="auto"/>
          <w:lang w:eastAsia="zh-CN"/>
        </w:rPr>
        <w:t>）联合体各方应按招标文件提供的格式签订联合体协议书，明</w:t>
      </w:r>
      <w:r>
        <w:rPr>
          <w:rFonts w:ascii="宋体" w:hAnsi="宋体" w:eastAsia="宋体" w:cs="宋体"/>
          <w:color w:val="auto"/>
          <w:spacing w:val="-1"/>
          <w:lang w:eastAsia="zh-CN"/>
        </w:rPr>
        <w:t>确联合体牵头人和各</w:t>
      </w:r>
      <w:r>
        <w:rPr>
          <w:rFonts w:ascii="宋体" w:hAnsi="宋体" w:eastAsia="宋体" w:cs="宋体"/>
          <w:color w:val="auto"/>
          <w:spacing w:val="-8"/>
          <w:lang w:eastAsia="zh-CN"/>
        </w:rPr>
        <w:t>方权利义务；</w:t>
      </w:r>
    </w:p>
    <w:p w14:paraId="5780EE83">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）由同一专业的单位组成的联合体，按照资质等级较低的单位确定资质等级；</w:t>
      </w:r>
    </w:p>
    <w:p w14:paraId="6E047E2B">
      <w:pPr>
        <w:spacing w:before="110"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）联合体各方不得再以自己名义单独或参加其他联合体在同一标</w:t>
      </w:r>
      <w:r>
        <w:rPr>
          <w:rFonts w:ascii="宋体" w:hAnsi="宋体" w:eastAsia="宋体" w:cs="宋体"/>
          <w:color w:val="auto"/>
          <w:spacing w:val="-2"/>
          <w:lang w:eastAsia="zh-CN"/>
        </w:rPr>
        <w:t>段中投标。</w:t>
      </w:r>
    </w:p>
    <w:p w14:paraId="241B8D54">
      <w:pPr>
        <w:spacing w:before="68" w:line="220" w:lineRule="auto"/>
        <w:ind w:left="213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1.4.3  </w:t>
      </w:r>
      <w:r>
        <w:rPr>
          <w:rFonts w:ascii="宋体" w:hAnsi="宋体" w:eastAsia="宋体" w:cs="宋体"/>
          <w:color w:val="auto"/>
          <w:spacing w:val="-2"/>
          <w:lang w:eastAsia="zh-CN"/>
        </w:rPr>
        <w:t>投标人不得存在下列情形之一：</w:t>
      </w:r>
    </w:p>
    <w:p w14:paraId="7193F4BD">
      <w:pPr>
        <w:spacing w:before="108" w:line="220" w:lineRule="auto"/>
        <w:ind w:left="2124"/>
        <w:rPr>
          <w:rFonts w:ascii="宋体" w:hAnsi="宋体" w:eastAsia="宋体" w:cs="宋体"/>
          <w:color w:val="auto"/>
          <w:spacing w:val="-6"/>
          <w:lang w:eastAsia="zh-CN"/>
        </w:rPr>
      </w:pPr>
    </w:p>
    <w:p w14:paraId="6EEF8B03">
      <w:pPr>
        <w:spacing w:before="108" w:line="220" w:lineRule="auto"/>
        <w:ind w:left="2124"/>
        <w:rPr>
          <w:rFonts w:ascii="宋体" w:hAnsi="宋体" w:eastAsia="宋体" w:cs="宋体"/>
          <w:color w:val="auto"/>
          <w:spacing w:val="-6"/>
          <w:lang w:eastAsia="zh-CN"/>
        </w:rPr>
      </w:pPr>
    </w:p>
    <w:p w14:paraId="7A64504E">
      <w:pPr>
        <w:spacing w:before="108" w:line="220" w:lineRule="auto"/>
        <w:ind w:left="2124"/>
        <w:rPr>
          <w:rFonts w:ascii="宋体" w:hAnsi="宋体" w:eastAsia="宋体" w:cs="宋体"/>
          <w:color w:val="auto"/>
          <w:spacing w:val="-6"/>
          <w:lang w:eastAsia="zh-CN"/>
        </w:rPr>
      </w:pPr>
    </w:p>
    <w:p w14:paraId="24AF9256">
      <w:pPr>
        <w:spacing w:before="108"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1</w:t>
      </w:r>
      <w:r>
        <w:rPr>
          <w:rFonts w:ascii="宋体" w:hAnsi="宋体" w:eastAsia="宋体" w:cs="宋体"/>
          <w:color w:val="auto"/>
          <w:spacing w:val="-6"/>
          <w:lang w:eastAsia="zh-CN"/>
        </w:rPr>
        <w:t>）为招标人不具有独立法人资格的附属机构（单位</w:t>
      </w:r>
      <w:r>
        <w:rPr>
          <w:rFonts w:ascii="宋体" w:hAnsi="宋体" w:eastAsia="宋体" w:cs="宋体"/>
          <w:color w:val="auto"/>
          <w:spacing w:val="5"/>
          <w:lang w:eastAsia="zh-CN"/>
        </w:rPr>
        <w:t>）；</w:t>
      </w:r>
    </w:p>
    <w:p w14:paraId="603E8A47">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）与本招标项目的其他投标人为同一个单位负责人；</w:t>
      </w:r>
    </w:p>
    <w:p w14:paraId="569B3BFB">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）与本招标项目的其他投标人存在控股、管理关系；</w:t>
      </w:r>
    </w:p>
    <w:p w14:paraId="44C16FAE">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）与本招标项目其他投标人代理同一个制造商同一品牌同一型号的设备投标；</w:t>
      </w:r>
    </w:p>
    <w:p w14:paraId="6D85A110">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）为本招标项目提供过设计、编制技术规范和其他文件的咨询服务；</w:t>
      </w:r>
    </w:p>
    <w:p w14:paraId="6BC4A833">
      <w:pPr>
        <w:spacing w:before="109" w:line="269" w:lineRule="auto"/>
        <w:ind w:left="1700" w:right="1807" w:firstLine="424"/>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6</w:t>
      </w:r>
      <w:r>
        <w:rPr>
          <w:rFonts w:ascii="宋体" w:hAnsi="宋体" w:eastAsia="宋体" w:cs="宋体"/>
          <w:color w:val="auto"/>
          <w:lang w:eastAsia="zh-CN"/>
        </w:rPr>
        <w:t>）为本招标项目的相关监理人，或者与本工程项目的相关监理</w:t>
      </w:r>
      <w:r>
        <w:rPr>
          <w:rFonts w:ascii="宋体" w:hAnsi="宋体" w:eastAsia="宋体" w:cs="宋体"/>
          <w:color w:val="auto"/>
          <w:spacing w:val="-1"/>
          <w:lang w:eastAsia="zh-CN"/>
        </w:rPr>
        <w:t>人存在隶属关系或者</w:t>
      </w:r>
      <w:r>
        <w:rPr>
          <w:rFonts w:ascii="宋体" w:hAnsi="宋体" w:eastAsia="宋体" w:cs="宋体"/>
          <w:color w:val="auto"/>
          <w:spacing w:val="-8"/>
          <w:lang w:eastAsia="zh-CN"/>
        </w:rPr>
        <w:t>其他利害关系；</w:t>
      </w:r>
    </w:p>
    <w:p w14:paraId="5324F21F">
      <w:pPr>
        <w:spacing w:before="108"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7</w:t>
      </w:r>
      <w:r>
        <w:rPr>
          <w:rFonts w:ascii="宋体" w:hAnsi="宋体" w:eastAsia="宋体" w:cs="宋体"/>
          <w:color w:val="auto"/>
          <w:spacing w:val="-5"/>
          <w:lang w:eastAsia="zh-CN"/>
        </w:rPr>
        <w:t>）为本招标项目的代建人；</w:t>
      </w:r>
    </w:p>
    <w:p w14:paraId="66DA72EC">
      <w:pPr>
        <w:spacing w:before="110"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8</w:t>
      </w:r>
      <w:r>
        <w:rPr>
          <w:rFonts w:ascii="宋体" w:hAnsi="宋体" w:eastAsia="宋体" w:cs="宋体"/>
          <w:color w:val="auto"/>
          <w:spacing w:val="-4"/>
          <w:lang w:eastAsia="zh-CN"/>
        </w:rPr>
        <w:t>）为本招标项目的招标代理机构；</w:t>
      </w:r>
    </w:p>
    <w:p w14:paraId="3D0AD572">
      <w:pPr>
        <w:spacing w:before="112" w:line="269" w:lineRule="auto"/>
        <w:ind w:left="1700" w:right="1797" w:firstLine="423"/>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9</w:t>
      </w:r>
      <w:r>
        <w:rPr>
          <w:rFonts w:ascii="宋体" w:hAnsi="宋体" w:eastAsia="宋体" w:cs="宋体"/>
          <w:color w:val="auto"/>
          <w:lang w:eastAsia="zh-CN"/>
        </w:rPr>
        <w:t>）与本招标项目的监理人或代建人或招标代理机构同为一个法定代表人或单位负责</w:t>
      </w:r>
      <w:r>
        <w:rPr>
          <w:rFonts w:ascii="宋体" w:hAnsi="宋体" w:eastAsia="宋体" w:cs="宋体"/>
          <w:color w:val="auto"/>
          <w:spacing w:val="-15"/>
          <w:lang w:eastAsia="zh-CN"/>
        </w:rPr>
        <w:t>人；</w:t>
      </w:r>
    </w:p>
    <w:p w14:paraId="77A57A94">
      <w:pPr>
        <w:spacing w:before="106"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10</w:t>
      </w:r>
      <w:r>
        <w:rPr>
          <w:rFonts w:ascii="宋体" w:hAnsi="宋体" w:eastAsia="宋体" w:cs="宋体"/>
          <w:color w:val="auto"/>
          <w:spacing w:val="-2"/>
          <w:lang w:eastAsia="zh-CN"/>
        </w:rPr>
        <w:t>）与本招标项目的监理人或代建人或招标代理机构相互控股或参股关系；</w:t>
      </w:r>
    </w:p>
    <w:p w14:paraId="125B6497">
      <w:pPr>
        <w:spacing w:before="111" w:line="269" w:lineRule="auto"/>
        <w:ind w:left="1716" w:right="1796" w:firstLine="408"/>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11</w:t>
      </w:r>
      <w:r>
        <w:rPr>
          <w:rFonts w:ascii="宋体" w:hAnsi="宋体" w:eastAsia="宋体" w:cs="宋体"/>
          <w:color w:val="auto"/>
          <w:spacing w:val="-5"/>
          <w:lang w:eastAsia="zh-CN"/>
        </w:rPr>
        <w:t>）单位负责人为同一人或者存在控股、管理关系的不同单位， 同</w:t>
      </w:r>
      <w:r>
        <w:rPr>
          <w:rFonts w:ascii="宋体" w:hAnsi="宋体" w:eastAsia="宋体" w:cs="宋体"/>
          <w:color w:val="auto"/>
          <w:spacing w:val="-6"/>
          <w:lang w:eastAsia="zh-CN"/>
        </w:rPr>
        <w:t>时参加本标段投标</w:t>
      </w:r>
      <w:r>
        <w:rPr>
          <w:rFonts w:ascii="宋体" w:hAnsi="宋体" w:eastAsia="宋体" w:cs="宋体"/>
          <w:color w:val="auto"/>
          <w:spacing w:val="-19"/>
          <w:lang w:eastAsia="zh-CN"/>
        </w:rPr>
        <w:t>的；</w:t>
      </w:r>
    </w:p>
    <w:p w14:paraId="228B7134">
      <w:pPr>
        <w:spacing w:before="109" w:line="284" w:lineRule="auto"/>
        <w:ind w:left="1703" w:right="1797" w:firstLine="421"/>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12</w:t>
      </w:r>
      <w:r>
        <w:rPr>
          <w:rFonts w:ascii="宋体" w:hAnsi="宋体" w:eastAsia="宋体" w:cs="宋体"/>
          <w:color w:val="auto"/>
          <w:spacing w:val="-3"/>
          <w:lang w:eastAsia="zh-CN"/>
        </w:rPr>
        <w:t>）被依法暂停或取消投标资格（指被本招标项目所在地县级及以上住房城乡建设主</w:t>
      </w:r>
      <w:r>
        <w:rPr>
          <w:rFonts w:ascii="宋体" w:hAnsi="宋体" w:eastAsia="宋体" w:cs="宋体"/>
          <w:color w:val="auto"/>
          <w:spacing w:val="3"/>
          <w:lang w:eastAsia="zh-CN"/>
        </w:rPr>
        <w:t>管部门或其他行政主管部门暂停或取消投标资格或禁止进入该区域建</w:t>
      </w:r>
      <w:r>
        <w:rPr>
          <w:rFonts w:ascii="宋体" w:hAnsi="宋体" w:eastAsia="宋体" w:cs="宋体"/>
          <w:color w:val="auto"/>
          <w:spacing w:val="2"/>
          <w:lang w:eastAsia="zh-CN"/>
        </w:rPr>
        <w:t>设市场且处于有效期</w:t>
      </w:r>
      <w:r>
        <w:rPr>
          <w:rFonts w:ascii="宋体" w:hAnsi="宋体" w:eastAsia="宋体" w:cs="宋体"/>
          <w:color w:val="auto"/>
          <w:spacing w:val="-53"/>
          <w:w w:val="93"/>
          <w:lang w:eastAsia="zh-CN"/>
        </w:rPr>
        <w:t>内</w:t>
      </w:r>
      <w:r>
        <w:rPr>
          <w:rFonts w:ascii="宋体" w:hAnsi="宋体" w:eastAsia="宋体" w:cs="宋体"/>
          <w:color w:val="auto"/>
          <w:spacing w:val="-33"/>
          <w:lang w:eastAsia="zh-CN"/>
        </w:rPr>
        <w:t>）；</w:t>
      </w:r>
    </w:p>
    <w:p w14:paraId="3BC607D3">
      <w:pPr>
        <w:spacing w:before="10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13</w:t>
      </w:r>
      <w:r>
        <w:rPr>
          <w:rFonts w:ascii="宋体" w:hAnsi="宋体" w:eastAsia="宋体" w:cs="宋体"/>
          <w:color w:val="auto"/>
          <w:spacing w:val="-2"/>
          <w:lang w:eastAsia="zh-CN"/>
        </w:rPr>
        <w:t>）被责令停产停业、暂扣或者吊销许可证、暂扣或者吊销执照；</w:t>
      </w:r>
    </w:p>
    <w:p w14:paraId="72D1447F">
      <w:pPr>
        <w:spacing w:before="110"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14</w:t>
      </w:r>
      <w:r>
        <w:rPr>
          <w:rFonts w:ascii="宋体" w:hAnsi="宋体" w:eastAsia="宋体" w:cs="宋体"/>
          <w:color w:val="auto"/>
          <w:spacing w:val="-2"/>
          <w:lang w:eastAsia="zh-CN"/>
        </w:rPr>
        <w:t>）进入清算程序，或被宣告破产，或其他丧失履约能力的情形；</w:t>
      </w:r>
    </w:p>
    <w:p w14:paraId="05CEBBFF">
      <w:pPr>
        <w:spacing w:before="111" w:line="268" w:lineRule="auto"/>
        <w:ind w:left="1723" w:right="1808" w:firstLine="401"/>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15</w:t>
      </w:r>
      <w:r>
        <w:rPr>
          <w:rFonts w:ascii="宋体" w:hAnsi="宋体" w:eastAsia="宋体" w:cs="宋体"/>
          <w:color w:val="auto"/>
          <w:spacing w:val="-3"/>
          <w:lang w:eastAsia="zh-CN"/>
        </w:rPr>
        <w:t>）在最近三年内有骗取中标或严重违约或重大工程质量问题的（以相关行业主管部</w:t>
      </w:r>
      <w:r>
        <w:rPr>
          <w:rFonts w:ascii="宋体" w:hAnsi="宋体" w:eastAsia="宋体" w:cs="宋体"/>
          <w:color w:val="auto"/>
          <w:spacing w:val="-6"/>
          <w:lang w:eastAsia="zh-CN"/>
        </w:rPr>
        <w:t>门的行政处罚决定或司法机关出具的有关法律文书</w:t>
      </w:r>
      <w:r>
        <w:rPr>
          <w:rFonts w:ascii="宋体" w:hAnsi="宋体" w:eastAsia="宋体" w:cs="宋体"/>
          <w:color w:val="auto"/>
          <w:spacing w:val="-7"/>
          <w:lang w:eastAsia="zh-CN"/>
        </w:rPr>
        <w:t>为准</w:t>
      </w:r>
      <w:r>
        <w:rPr>
          <w:rFonts w:ascii="宋体" w:hAnsi="宋体" w:eastAsia="宋体" w:cs="宋体"/>
          <w:color w:val="auto"/>
          <w:spacing w:val="-3"/>
          <w:lang w:eastAsia="zh-CN"/>
        </w:rPr>
        <w:t>）；</w:t>
      </w:r>
    </w:p>
    <w:p w14:paraId="156C319D">
      <w:pPr>
        <w:spacing w:before="109" w:line="269" w:lineRule="auto"/>
        <w:ind w:left="1701" w:right="1804" w:firstLine="423"/>
        <w:rPr>
          <w:rFonts w:ascii="宋体" w:hAnsi="宋体" w:eastAsia="宋体" w:cs="宋体"/>
          <w:color w:val="auto"/>
        </w:rPr>
      </w:pPr>
      <w:r>
        <w:rPr>
          <w:rFonts w:ascii="宋体" w:hAnsi="宋体" w:eastAsia="宋体" w:cs="宋体"/>
          <w:color w:val="auto"/>
          <w:spacing w:val="-2"/>
        </w:rPr>
        <w:t>（</w:t>
      </w:r>
      <w:r>
        <w:rPr>
          <w:rFonts w:ascii="Times New Roman" w:hAnsi="Times New Roman" w:eastAsia="Times New Roman" w:cs="Times New Roman"/>
          <w:color w:val="auto"/>
          <w:spacing w:val="-2"/>
        </w:rPr>
        <w:t>16</w:t>
      </w:r>
      <w:r>
        <w:rPr>
          <w:rFonts w:ascii="宋体" w:hAnsi="宋体" w:eastAsia="宋体" w:cs="宋体"/>
          <w:color w:val="auto"/>
          <w:spacing w:val="-2"/>
        </w:rPr>
        <w:t>）在</w:t>
      </w:r>
      <w:r>
        <w:rPr>
          <w:rFonts w:ascii="Times New Roman" w:hAnsi="Times New Roman" w:eastAsia="Times New Roman" w:cs="Times New Roman"/>
          <w:color w:val="auto"/>
          <w:spacing w:val="-2"/>
        </w:rPr>
        <w:t>“</w:t>
      </w:r>
      <w:r>
        <w:rPr>
          <w:rFonts w:ascii="宋体" w:hAnsi="宋体" w:eastAsia="宋体" w:cs="宋体"/>
          <w:color w:val="auto"/>
          <w:spacing w:val="-2"/>
        </w:rPr>
        <w:t>国家企业信用信息公示系统</w:t>
      </w:r>
      <w:r>
        <w:rPr>
          <w:rFonts w:ascii="Times New Roman" w:hAnsi="Times New Roman" w:eastAsia="Times New Roman" w:cs="Times New Roman"/>
          <w:color w:val="auto"/>
          <w:spacing w:val="-2"/>
        </w:rPr>
        <w:t>”</w:t>
      </w:r>
      <w:r>
        <w:rPr>
          <w:rFonts w:ascii="宋体" w:hAnsi="宋体" w:eastAsia="宋体" w:cs="宋体"/>
          <w:color w:val="auto"/>
          <w:spacing w:val="-2"/>
        </w:rPr>
        <w:t>（</w:t>
      </w:r>
      <w:r>
        <w:fldChar w:fldCharType="begin"/>
      </w:r>
      <w:r>
        <w:instrText xml:space="preserve"> HYPERLINK "https://www.gsxt.gov.cn" </w:instrText>
      </w:r>
      <w:r>
        <w:fldChar w:fldCharType="separate"/>
      </w:r>
      <w:r>
        <w:rPr>
          <w:rFonts w:ascii="Times New Roman" w:hAnsi="Times New Roman" w:eastAsia="Times New Roman" w:cs="Times New Roman"/>
          <w:color w:val="auto"/>
          <w:spacing w:val="-2"/>
        </w:rPr>
        <w:t>w</w:t>
      </w:r>
      <w:r>
        <w:rPr>
          <w:rFonts w:ascii="Times New Roman" w:hAnsi="Times New Roman" w:eastAsia="Times New Roman" w:cs="Times New Roman"/>
          <w:color w:val="auto"/>
          <w:spacing w:val="-3"/>
        </w:rPr>
        <w:t>ww.gsxt.gov.cn</w:t>
      </w:r>
      <w:r>
        <w:rPr>
          <w:rFonts w:ascii="Times New Roman" w:hAnsi="Times New Roman" w:eastAsia="Times New Roman" w:cs="Times New Roman"/>
          <w:color w:val="auto"/>
          <w:spacing w:val="-3"/>
        </w:rPr>
        <w:fldChar w:fldCharType="end"/>
      </w:r>
      <w:r>
        <w:rPr>
          <w:rFonts w:ascii="宋体" w:hAnsi="宋体" w:eastAsia="宋体" w:cs="宋体"/>
          <w:color w:val="auto"/>
          <w:spacing w:val="-3"/>
        </w:rPr>
        <w:t>）中被列入严重违法失信企业</w:t>
      </w:r>
      <w:r>
        <w:rPr>
          <w:rFonts w:ascii="宋体" w:hAnsi="宋体" w:eastAsia="宋体" w:cs="宋体"/>
          <w:color w:val="auto"/>
          <w:spacing w:val="-14"/>
        </w:rPr>
        <w:t>名单；</w:t>
      </w:r>
    </w:p>
    <w:p w14:paraId="6B28FDE4">
      <w:pPr>
        <w:spacing w:before="79" w:line="286" w:lineRule="auto"/>
        <w:ind w:left="1704" w:right="1750" w:firstLine="420"/>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 xml:space="preserve">17 </w:t>
      </w:r>
      <w:r>
        <w:rPr>
          <w:rFonts w:ascii="宋体" w:hAnsi="宋体" w:eastAsia="宋体" w:cs="宋体"/>
          <w:color w:val="auto"/>
          <w:spacing w:val="-1"/>
          <w:lang w:eastAsia="zh-CN"/>
        </w:rPr>
        <w:t>）在</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信用中国</w:t>
      </w:r>
      <w:r>
        <w:rPr>
          <w:rFonts w:ascii="Times New Roman" w:hAnsi="Times New Roman" w:eastAsia="Times New Roman" w:cs="Times New Roman"/>
          <w:color w:val="auto"/>
          <w:spacing w:val="-1"/>
          <w:lang w:eastAsia="zh-CN"/>
        </w:rPr>
        <w:t xml:space="preserve">” </w:t>
      </w:r>
      <w:r>
        <w:rPr>
          <w:rFonts w:ascii="宋体" w:hAnsi="宋体" w:eastAsia="宋体" w:cs="宋体"/>
          <w:color w:val="auto"/>
          <w:spacing w:val="-1"/>
          <w:lang w:eastAsia="zh-CN"/>
        </w:rPr>
        <w:t>网站（</w:t>
      </w:r>
      <w:r>
        <w:fldChar w:fldCharType="begin"/>
      </w:r>
      <w:r>
        <w:instrText xml:space="preserve"> HYPERLINK "https://www.creditchina.gov.cn" </w:instrText>
      </w:r>
      <w:r>
        <w:fldChar w:fldCharType="separate"/>
      </w:r>
      <w:r>
        <w:rPr>
          <w:rFonts w:ascii="Times New Roman" w:hAnsi="Times New Roman" w:eastAsia="Times New Roman" w:cs="Times New Roman"/>
          <w:color w:val="auto"/>
          <w:spacing w:val="-1"/>
          <w:lang w:eastAsia="zh-CN"/>
        </w:rPr>
        <w:t>www.creditchina.gov.cn</w:t>
      </w:r>
      <w:r>
        <w:rPr>
          <w:rFonts w:ascii="Times New Roman" w:hAnsi="Times New Roman" w:eastAsia="Times New Roman" w:cs="Times New Roman"/>
          <w:color w:val="auto"/>
          <w:spacing w:val="-1"/>
          <w:lang w:eastAsia="zh-CN"/>
        </w:rPr>
        <w:fldChar w:fldCharType="end"/>
      </w:r>
      <w:r>
        <w:rPr>
          <w:rFonts w:ascii="宋体" w:hAnsi="宋体" w:eastAsia="宋体" w:cs="宋体"/>
          <w:color w:val="auto"/>
          <w:spacing w:val="-1"/>
          <w:lang w:eastAsia="zh-CN"/>
        </w:rPr>
        <w:t>）或</w:t>
      </w:r>
      <w:r>
        <w:rPr>
          <w:rFonts w:ascii="Times New Roman" w:hAnsi="Times New Roman" w:eastAsia="Times New Roman" w:cs="Times New Roman"/>
          <w:color w:val="auto"/>
          <w:spacing w:val="-1"/>
          <w:lang w:eastAsia="zh-CN"/>
        </w:rPr>
        <w:t xml:space="preserve">“ </w:t>
      </w:r>
      <w:r>
        <w:rPr>
          <w:rFonts w:ascii="宋体" w:hAnsi="宋体" w:eastAsia="宋体" w:cs="宋体"/>
          <w:color w:val="auto"/>
          <w:spacing w:val="-1"/>
          <w:lang w:eastAsia="zh-CN"/>
        </w:rPr>
        <w:t>中国执行信息公开网</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w:t>
      </w:r>
      <w:r>
        <w:fldChar w:fldCharType="begin"/>
      </w:r>
      <w:r>
        <w:instrText xml:space="preserve"> HYPERLINK "http://zxgk.court.gov.cn/shixin/" </w:instrText>
      </w:r>
      <w:r>
        <w:fldChar w:fldCharType="separate"/>
      </w:r>
      <w:r>
        <w:rPr>
          <w:rFonts w:ascii="Times New Roman" w:hAnsi="Times New Roman" w:eastAsia="Times New Roman" w:cs="Times New Roman"/>
          <w:color w:val="auto"/>
          <w:spacing w:val="-1"/>
          <w:lang w:eastAsia="zh-CN"/>
        </w:rPr>
        <w:t>http</w:t>
      </w:r>
      <w:r>
        <w:rPr>
          <w:rFonts w:hint="eastAsia" w:ascii="Times New Roman" w:hAnsi="Times New Roman" w:eastAsia="宋体" w:cs="Times New Roman"/>
          <w:color w:val="auto"/>
          <w:spacing w:val="-1"/>
          <w:lang w:eastAsia="zh-CN"/>
        </w:rPr>
        <w:t>：</w:t>
      </w:r>
      <w:r>
        <w:rPr>
          <w:rFonts w:ascii="Times New Roman" w:hAnsi="Times New Roman" w:eastAsia="Times New Roman" w:cs="Times New Roman"/>
          <w:color w:val="auto"/>
          <w:spacing w:val="-1"/>
          <w:lang w:eastAsia="zh-CN"/>
        </w:rPr>
        <w:t>//zxgk.court.gov.cn/shixin</w:t>
      </w:r>
      <w:r>
        <w:rPr>
          <w:rFonts w:ascii="Times New Roman" w:hAnsi="Times New Roman" w:eastAsia="Times New Roman" w:cs="Times New Roman"/>
          <w:color w:val="auto"/>
          <w:spacing w:val="-2"/>
          <w:lang w:eastAsia="zh-CN"/>
        </w:rPr>
        <w:t>/</w:t>
      </w:r>
      <w:r>
        <w:rPr>
          <w:rFonts w:ascii="Times New Roman" w:hAnsi="Times New Roman" w:eastAsia="Times New Roman" w:cs="Times New Roman"/>
          <w:color w:val="auto"/>
          <w:spacing w:val="-2"/>
          <w:lang w:eastAsia="zh-CN"/>
        </w:rPr>
        <w:fldChar w:fldCharType="end"/>
      </w:r>
      <w:r>
        <w:rPr>
          <w:rFonts w:ascii="宋体" w:hAnsi="宋体" w:eastAsia="宋体" w:cs="宋体"/>
          <w:color w:val="auto"/>
          <w:spacing w:val="-2"/>
          <w:lang w:eastAsia="zh-CN"/>
        </w:rPr>
        <w:t>）被列入失信被执行人名单；</w:t>
      </w:r>
    </w:p>
    <w:p w14:paraId="443432AF">
      <w:pPr>
        <w:spacing w:before="100" w:line="268" w:lineRule="auto"/>
        <w:ind w:left="1699" w:right="1797" w:firstLine="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18</w:t>
      </w:r>
      <w:r>
        <w:rPr>
          <w:rFonts w:ascii="宋体" w:hAnsi="宋体" w:eastAsia="宋体" w:cs="宋体"/>
          <w:color w:val="auto"/>
          <w:spacing w:val="1"/>
          <w:lang w:eastAsia="zh-CN"/>
        </w:rPr>
        <w:t>）在辽宁省建设工程招投标监督平台</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辽宁建设工程信息网上被列入不良行为</w:t>
      </w:r>
      <w:r>
        <w:rPr>
          <w:rFonts w:ascii="宋体" w:hAnsi="宋体" w:eastAsia="宋体" w:cs="宋体"/>
          <w:color w:val="auto"/>
          <w:lang w:eastAsia="zh-CN"/>
        </w:rPr>
        <w:t>记录</w:t>
      </w:r>
      <w:r>
        <w:rPr>
          <w:rFonts w:ascii="宋体" w:hAnsi="宋体" w:eastAsia="宋体" w:cs="宋体"/>
          <w:color w:val="auto"/>
          <w:spacing w:val="-7"/>
          <w:lang w:eastAsia="zh-CN"/>
        </w:rPr>
        <w:t>且在公布期内的；</w:t>
      </w:r>
    </w:p>
    <w:p w14:paraId="067766A8">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19</w:t>
      </w:r>
      <w:r>
        <w:rPr>
          <w:rFonts w:ascii="宋体" w:hAnsi="宋体" w:eastAsia="宋体" w:cs="宋体"/>
          <w:color w:val="auto"/>
          <w:spacing w:val="-3"/>
          <w:lang w:eastAsia="zh-CN"/>
        </w:rPr>
        <w:t>）法律法规规定的其他情形。</w:t>
      </w:r>
    </w:p>
    <w:p w14:paraId="0B574EA9">
      <w:pPr>
        <w:spacing w:before="85" w:line="222" w:lineRule="auto"/>
        <w:ind w:left="1719"/>
        <w:outlineLvl w:val="2"/>
        <w:rPr>
          <w:rFonts w:ascii="黑体" w:hAnsi="黑体" w:eastAsia="黑体" w:cs="黑体"/>
          <w:color w:val="auto"/>
          <w:sz w:val="24"/>
          <w:szCs w:val="24"/>
          <w:lang w:eastAsia="zh-CN"/>
        </w:rPr>
      </w:pPr>
      <w:bookmarkStart w:id="81" w:name="bookmark12"/>
      <w:bookmarkEnd w:id="81"/>
      <w:r>
        <w:rPr>
          <w:rFonts w:ascii="Times New Roman" w:hAnsi="Times New Roman" w:eastAsia="Times New Roman" w:cs="Times New Roman"/>
          <w:color w:val="auto"/>
          <w:spacing w:val="-6"/>
          <w:sz w:val="24"/>
          <w:szCs w:val="24"/>
          <w:lang w:eastAsia="zh-CN"/>
        </w:rPr>
        <w:t>1.5</w:t>
      </w:r>
      <w:r>
        <w:rPr>
          <w:rFonts w:ascii="黑体" w:hAnsi="黑体" w:eastAsia="黑体" w:cs="黑体"/>
          <w:color w:val="auto"/>
          <w:spacing w:val="-6"/>
          <w:sz w:val="24"/>
          <w:szCs w:val="24"/>
          <w:lang w:eastAsia="zh-CN"/>
        </w:rPr>
        <w:t>费用承担</w:t>
      </w:r>
    </w:p>
    <w:p w14:paraId="7CB3A4FD">
      <w:pPr>
        <w:spacing w:before="97" w:line="221" w:lineRule="auto"/>
        <w:ind w:left="2121"/>
        <w:rPr>
          <w:rFonts w:ascii="宋体" w:hAnsi="宋体" w:eastAsia="宋体" w:cs="宋体"/>
          <w:color w:val="auto"/>
          <w:lang w:eastAsia="zh-CN"/>
        </w:rPr>
      </w:pPr>
      <w:r>
        <w:rPr>
          <w:rFonts w:ascii="宋体" w:hAnsi="宋体" w:eastAsia="宋体" w:cs="宋体"/>
          <w:color w:val="auto"/>
          <w:spacing w:val="-2"/>
          <w:lang w:eastAsia="zh-CN"/>
        </w:rPr>
        <w:t>投标人准备和参加投标活动发生的费用自理。</w:t>
      </w:r>
    </w:p>
    <w:p w14:paraId="695940A0">
      <w:pPr>
        <w:spacing w:before="83" w:line="221" w:lineRule="auto"/>
        <w:ind w:left="1719"/>
        <w:outlineLvl w:val="2"/>
        <w:rPr>
          <w:rFonts w:ascii="黑体" w:hAnsi="黑体" w:eastAsia="黑体" w:cs="黑体"/>
          <w:color w:val="auto"/>
          <w:sz w:val="24"/>
          <w:szCs w:val="24"/>
          <w:lang w:eastAsia="zh-CN"/>
        </w:rPr>
      </w:pPr>
      <w:bookmarkStart w:id="82" w:name="bookmark13"/>
      <w:bookmarkEnd w:id="82"/>
      <w:r>
        <w:rPr>
          <w:rFonts w:ascii="Times New Roman" w:hAnsi="Times New Roman" w:eastAsia="Times New Roman" w:cs="Times New Roman"/>
          <w:color w:val="auto"/>
          <w:spacing w:val="-7"/>
          <w:sz w:val="24"/>
          <w:szCs w:val="24"/>
          <w:lang w:eastAsia="zh-CN"/>
        </w:rPr>
        <w:t>1.6</w:t>
      </w:r>
      <w:r>
        <w:rPr>
          <w:rFonts w:ascii="黑体" w:hAnsi="黑体" w:eastAsia="黑体" w:cs="黑体"/>
          <w:color w:val="auto"/>
          <w:spacing w:val="-7"/>
          <w:sz w:val="24"/>
          <w:szCs w:val="24"/>
          <w:lang w:eastAsia="zh-CN"/>
        </w:rPr>
        <w:t>保密</w:t>
      </w:r>
    </w:p>
    <w:p w14:paraId="3AC6E4D2">
      <w:pPr>
        <w:spacing w:before="98" w:line="305" w:lineRule="auto"/>
        <w:ind w:left="1698" w:right="1796" w:firstLine="422"/>
        <w:rPr>
          <w:rFonts w:ascii="宋体" w:hAnsi="宋体" w:eastAsia="宋体" w:cs="宋体"/>
          <w:color w:val="auto"/>
          <w:lang w:eastAsia="zh-CN"/>
        </w:rPr>
      </w:pPr>
      <w:r>
        <w:rPr>
          <w:rFonts w:ascii="宋体" w:hAnsi="宋体" w:eastAsia="宋体" w:cs="宋体"/>
          <w:color w:val="auto"/>
          <w:spacing w:val="-3"/>
          <w:lang w:eastAsia="zh-CN"/>
        </w:rPr>
        <w:t>参与招标投标活动的各方应对招标文件和投标文件中的商业和技术等秘密保密，违者应对由此造成的后果承担法律责任。</w:t>
      </w:r>
    </w:p>
    <w:p w14:paraId="7367C3CE">
      <w:pPr>
        <w:spacing w:before="1" w:line="221" w:lineRule="auto"/>
        <w:ind w:left="1719"/>
        <w:outlineLvl w:val="2"/>
        <w:rPr>
          <w:rFonts w:ascii="黑体" w:hAnsi="黑体" w:eastAsia="黑体" w:cs="黑体"/>
          <w:color w:val="auto"/>
          <w:sz w:val="24"/>
          <w:szCs w:val="24"/>
          <w:lang w:eastAsia="zh-CN"/>
        </w:rPr>
      </w:pPr>
      <w:bookmarkStart w:id="83" w:name="bookmark14"/>
      <w:bookmarkEnd w:id="83"/>
      <w:r>
        <w:rPr>
          <w:rFonts w:ascii="Times New Roman" w:hAnsi="Times New Roman" w:eastAsia="Times New Roman" w:cs="Times New Roman"/>
          <w:color w:val="auto"/>
          <w:spacing w:val="-3"/>
          <w:sz w:val="24"/>
          <w:szCs w:val="24"/>
          <w:lang w:eastAsia="zh-CN"/>
        </w:rPr>
        <w:t xml:space="preserve">1.7  </w:t>
      </w:r>
      <w:r>
        <w:rPr>
          <w:rFonts w:ascii="黑体" w:hAnsi="黑体" w:eastAsia="黑体" w:cs="黑体"/>
          <w:color w:val="auto"/>
          <w:spacing w:val="-3"/>
          <w:sz w:val="24"/>
          <w:szCs w:val="24"/>
          <w:lang w:eastAsia="zh-CN"/>
        </w:rPr>
        <w:t>语言文字</w:t>
      </w:r>
    </w:p>
    <w:p w14:paraId="62EDB5AE">
      <w:pPr>
        <w:spacing w:before="98" w:line="220" w:lineRule="auto"/>
        <w:ind w:left="2131"/>
        <w:rPr>
          <w:rFonts w:ascii="宋体" w:hAnsi="宋体" w:eastAsia="宋体" w:cs="宋体"/>
          <w:color w:val="auto"/>
          <w:lang w:eastAsia="zh-CN"/>
        </w:rPr>
      </w:pPr>
      <w:r>
        <w:rPr>
          <w:rFonts w:ascii="宋体" w:hAnsi="宋体" w:eastAsia="宋体" w:cs="宋体"/>
          <w:color w:val="auto"/>
          <w:spacing w:val="-1"/>
          <w:lang w:eastAsia="zh-CN"/>
        </w:rPr>
        <w:t>除专用术语外，与招标投标有关的语言均使用中文。必要时</w:t>
      </w:r>
      <w:r>
        <w:rPr>
          <w:rFonts w:ascii="宋体" w:hAnsi="宋体" w:eastAsia="宋体" w:cs="宋体"/>
          <w:color w:val="auto"/>
          <w:spacing w:val="-2"/>
          <w:lang w:eastAsia="zh-CN"/>
        </w:rPr>
        <w:t>专用术语应附有中文注释。</w:t>
      </w:r>
    </w:p>
    <w:p w14:paraId="143FABB8">
      <w:pPr>
        <w:spacing w:before="84" w:line="222" w:lineRule="auto"/>
        <w:ind w:left="1719"/>
        <w:outlineLvl w:val="2"/>
        <w:rPr>
          <w:rFonts w:ascii="黑体" w:hAnsi="黑体" w:eastAsia="黑体" w:cs="黑体"/>
          <w:color w:val="auto"/>
          <w:sz w:val="24"/>
          <w:szCs w:val="24"/>
          <w:lang w:eastAsia="zh-CN"/>
        </w:rPr>
      </w:pPr>
      <w:bookmarkStart w:id="84" w:name="bookmark15"/>
      <w:bookmarkEnd w:id="84"/>
      <w:r>
        <w:rPr>
          <w:rFonts w:ascii="Times New Roman" w:hAnsi="Times New Roman" w:eastAsia="Times New Roman" w:cs="Times New Roman"/>
          <w:color w:val="auto"/>
          <w:spacing w:val="-6"/>
          <w:sz w:val="24"/>
          <w:szCs w:val="24"/>
          <w:lang w:eastAsia="zh-CN"/>
        </w:rPr>
        <w:t>1.8</w:t>
      </w:r>
      <w:r>
        <w:rPr>
          <w:rFonts w:ascii="黑体" w:hAnsi="黑体" w:eastAsia="黑体" w:cs="黑体"/>
          <w:color w:val="auto"/>
          <w:spacing w:val="-6"/>
          <w:sz w:val="24"/>
          <w:szCs w:val="24"/>
          <w:lang w:eastAsia="zh-CN"/>
        </w:rPr>
        <w:t>计量单位</w:t>
      </w:r>
    </w:p>
    <w:p w14:paraId="36C15ED2">
      <w:pPr>
        <w:spacing w:before="97" w:line="220" w:lineRule="auto"/>
        <w:ind w:left="2119"/>
        <w:rPr>
          <w:rFonts w:ascii="宋体" w:hAnsi="宋体" w:eastAsia="宋体" w:cs="宋体"/>
          <w:color w:val="auto"/>
          <w:lang w:eastAsia="zh-CN"/>
        </w:rPr>
      </w:pPr>
      <w:r>
        <w:rPr>
          <w:rFonts w:ascii="宋体" w:hAnsi="宋体" w:eastAsia="宋体" w:cs="宋体"/>
          <w:color w:val="auto"/>
          <w:spacing w:val="-2"/>
          <w:lang w:eastAsia="zh-CN"/>
        </w:rPr>
        <w:t>所有计量均采用中华人民共和国法定计量单位。</w:t>
      </w:r>
    </w:p>
    <w:p w14:paraId="14DEA559">
      <w:pPr>
        <w:spacing w:line="220" w:lineRule="auto"/>
        <w:rPr>
          <w:rFonts w:ascii="宋体" w:hAnsi="宋体" w:eastAsia="宋体" w:cs="宋体"/>
          <w:color w:val="auto"/>
          <w:lang w:eastAsia="zh-CN"/>
        </w:rPr>
        <w:sectPr>
          <w:headerReference r:id="rId12" w:type="default"/>
          <w:footerReference r:id="rId13" w:type="default"/>
          <w:pgSz w:w="11906" w:h="16839"/>
          <w:pgMar w:top="400" w:right="0" w:bottom="1006" w:left="105" w:header="0" w:footer="846" w:gutter="0"/>
          <w:cols w:space="720" w:num="1"/>
        </w:sectPr>
      </w:pPr>
    </w:p>
    <w:p w14:paraId="15985298">
      <w:pPr>
        <w:pStyle w:val="8"/>
        <w:spacing w:line="259" w:lineRule="auto"/>
        <w:rPr>
          <w:lang w:eastAsia="zh-CN"/>
        </w:rPr>
      </w:pPr>
    </w:p>
    <w:p w14:paraId="48772F20">
      <w:pPr>
        <w:pStyle w:val="8"/>
        <w:spacing w:line="259" w:lineRule="auto"/>
        <w:rPr>
          <w:lang w:eastAsia="zh-CN"/>
        </w:rPr>
      </w:pPr>
    </w:p>
    <w:p w14:paraId="6677A97D">
      <w:pPr>
        <w:pStyle w:val="8"/>
        <w:spacing w:line="259" w:lineRule="auto"/>
        <w:rPr>
          <w:lang w:eastAsia="zh-CN"/>
        </w:rPr>
      </w:pPr>
    </w:p>
    <w:p w14:paraId="5828070D">
      <w:pPr>
        <w:pStyle w:val="8"/>
        <w:spacing w:line="259" w:lineRule="auto"/>
        <w:rPr>
          <w:lang w:eastAsia="zh-CN"/>
        </w:rPr>
      </w:pPr>
    </w:p>
    <w:p w14:paraId="2986189C">
      <w:pPr>
        <w:spacing w:before="78" w:line="222" w:lineRule="auto"/>
        <w:ind w:left="1719"/>
        <w:outlineLvl w:val="2"/>
        <w:rPr>
          <w:rFonts w:ascii="黑体" w:hAnsi="黑体" w:eastAsia="黑体" w:cs="黑体"/>
          <w:color w:val="auto"/>
          <w:sz w:val="24"/>
          <w:szCs w:val="24"/>
          <w:lang w:eastAsia="zh-CN"/>
        </w:rPr>
      </w:pPr>
      <w:bookmarkStart w:id="85" w:name="bookmark16"/>
      <w:bookmarkEnd w:id="85"/>
      <w:r>
        <w:rPr>
          <w:rFonts w:ascii="Times New Roman" w:hAnsi="Times New Roman" w:eastAsia="Times New Roman" w:cs="Times New Roman"/>
          <w:color w:val="auto"/>
          <w:spacing w:val="-3"/>
          <w:sz w:val="24"/>
          <w:szCs w:val="24"/>
          <w:lang w:eastAsia="zh-CN"/>
        </w:rPr>
        <w:t xml:space="preserve">1.9  </w:t>
      </w:r>
      <w:r>
        <w:rPr>
          <w:rFonts w:ascii="黑体" w:hAnsi="黑体" w:eastAsia="黑体" w:cs="黑体"/>
          <w:color w:val="auto"/>
          <w:spacing w:val="-3"/>
          <w:sz w:val="24"/>
          <w:szCs w:val="24"/>
          <w:lang w:eastAsia="zh-CN"/>
        </w:rPr>
        <w:t>投标预备会</w:t>
      </w:r>
    </w:p>
    <w:p w14:paraId="22EBC83B">
      <w:pPr>
        <w:spacing w:before="97" w:line="268" w:lineRule="auto"/>
        <w:ind w:left="1715" w:right="1797" w:firstLine="420"/>
        <w:rPr>
          <w:rFonts w:ascii="宋体" w:hAnsi="宋体" w:eastAsia="宋体" w:cs="宋体"/>
          <w:color w:val="auto"/>
          <w:lang w:eastAsia="zh-CN"/>
        </w:rPr>
      </w:pPr>
      <w:r>
        <w:rPr>
          <w:rFonts w:ascii="Times New Roman" w:hAnsi="Times New Roman" w:eastAsia="Times New Roman" w:cs="Times New Roman"/>
          <w:color w:val="auto"/>
          <w:lang w:eastAsia="zh-CN"/>
        </w:rPr>
        <w:t xml:space="preserve">1.9.1  </w:t>
      </w:r>
      <w:r>
        <w:rPr>
          <w:rFonts w:ascii="宋体" w:hAnsi="宋体" w:eastAsia="宋体" w:cs="宋体"/>
          <w:color w:val="auto"/>
          <w:lang w:eastAsia="zh-CN"/>
        </w:rPr>
        <w:t>投标人须知前附表规定召开投标预备会的，招标人按投标人</w:t>
      </w:r>
      <w:r>
        <w:rPr>
          <w:rFonts w:ascii="宋体" w:hAnsi="宋体" w:eastAsia="宋体" w:cs="宋体"/>
          <w:color w:val="auto"/>
          <w:spacing w:val="-1"/>
          <w:lang w:eastAsia="zh-CN"/>
        </w:rPr>
        <w:t>须知前附表规定的时</w:t>
      </w:r>
      <w:r>
        <w:rPr>
          <w:rFonts w:ascii="宋体" w:hAnsi="宋体" w:eastAsia="宋体" w:cs="宋体"/>
          <w:color w:val="auto"/>
          <w:spacing w:val="-3"/>
          <w:lang w:eastAsia="zh-CN"/>
        </w:rPr>
        <w:t>间和地点召开投标预备会，澄清投标人提出的问题。</w:t>
      </w:r>
    </w:p>
    <w:p w14:paraId="06E5E2F4">
      <w:pPr>
        <w:spacing w:before="110" w:line="268" w:lineRule="auto"/>
        <w:ind w:left="1717" w:right="1797" w:firstLine="418"/>
        <w:rPr>
          <w:rFonts w:ascii="宋体" w:hAnsi="宋体" w:eastAsia="宋体" w:cs="宋体"/>
          <w:color w:val="auto"/>
          <w:lang w:eastAsia="zh-CN"/>
        </w:rPr>
      </w:pPr>
      <w:r>
        <w:rPr>
          <w:rFonts w:ascii="Times New Roman" w:hAnsi="Times New Roman" w:eastAsia="Times New Roman" w:cs="Times New Roman"/>
          <w:color w:val="auto"/>
          <w:lang w:eastAsia="zh-CN"/>
        </w:rPr>
        <w:t xml:space="preserve">1.9.2  </w:t>
      </w:r>
      <w:r>
        <w:rPr>
          <w:rFonts w:ascii="宋体" w:hAnsi="宋体" w:eastAsia="宋体" w:cs="宋体"/>
          <w:color w:val="auto"/>
          <w:lang w:eastAsia="zh-CN"/>
        </w:rPr>
        <w:t>在投标人须知前附表规定的时间前，投标人应通过电子交易</w:t>
      </w:r>
      <w:r>
        <w:rPr>
          <w:rFonts w:ascii="宋体" w:hAnsi="宋体" w:eastAsia="宋体" w:cs="宋体"/>
          <w:color w:val="auto"/>
          <w:spacing w:val="-1"/>
          <w:lang w:eastAsia="zh-CN"/>
        </w:rPr>
        <w:t>系统以书面形式将提</w:t>
      </w:r>
      <w:r>
        <w:rPr>
          <w:rFonts w:ascii="宋体" w:hAnsi="宋体" w:eastAsia="宋体" w:cs="宋体"/>
          <w:color w:val="auto"/>
          <w:spacing w:val="-3"/>
          <w:lang w:eastAsia="zh-CN"/>
        </w:rPr>
        <w:t>出的问题送达招标人，以便招标人在会议期间澄清。</w:t>
      </w:r>
    </w:p>
    <w:p w14:paraId="35952FA4">
      <w:pPr>
        <w:spacing w:before="111" w:line="284" w:lineRule="auto"/>
        <w:ind w:left="1699" w:right="1796" w:firstLine="436"/>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1.9.3  </w:t>
      </w:r>
      <w:r>
        <w:rPr>
          <w:rFonts w:ascii="宋体" w:hAnsi="宋体" w:eastAsia="宋体" w:cs="宋体"/>
          <w:color w:val="auto"/>
          <w:spacing w:val="-2"/>
          <w:lang w:eastAsia="zh-CN"/>
        </w:rPr>
        <w:t>投标预备会后，招标人在本章</w:t>
      </w:r>
      <w:r>
        <w:rPr>
          <w:rFonts w:ascii="宋体" w:hAnsi="宋体" w:eastAsia="宋体" w:cs="宋体"/>
          <w:color w:val="auto"/>
          <w:spacing w:val="-3"/>
          <w:lang w:eastAsia="zh-CN"/>
        </w:rPr>
        <w:t>第</w:t>
      </w:r>
      <w:r>
        <w:rPr>
          <w:rFonts w:ascii="Times New Roman" w:hAnsi="Times New Roman" w:eastAsia="Times New Roman" w:cs="Times New Roman"/>
          <w:color w:val="auto"/>
          <w:spacing w:val="-3"/>
          <w:lang w:eastAsia="zh-CN"/>
        </w:rPr>
        <w:t xml:space="preserve">2.2.2 </w:t>
      </w:r>
      <w:r>
        <w:rPr>
          <w:rFonts w:ascii="宋体" w:hAnsi="宋体" w:eastAsia="宋体" w:cs="宋体"/>
          <w:color w:val="auto"/>
          <w:spacing w:val="-3"/>
          <w:lang w:eastAsia="zh-CN"/>
        </w:rPr>
        <w:t>项规定的时间内，将对投标人所提问题的澄</w:t>
      </w:r>
      <w:r>
        <w:rPr>
          <w:rFonts w:ascii="宋体" w:hAnsi="宋体" w:eastAsia="宋体" w:cs="宋体"/>
          <w:color w:val="auto"/>
          <w:spacing w:val="-2"/>
          <w:lang w:eastAsia="zh-CN"/>
        </w:rPr>
        <w:t>清，以书面形式通过法定公告公示信息发布媒介、</w:t>
      </w:r>
      <w:r>
        <w:rPr>
          <w:rFonts w:ascii="宋体" w:hAnsi="宋体" w:eastAsia="宋体" w:cs="宋体"/>
          <w:color w:val="auto"/>
          <w:spacing w:val="-3"/>
          <w:lang w:eastAsia="zh-CN"/>
        </w:rPr>
        <w:t>电子交易系统（投标盲盒工具）等渠道通</w:t>
      </w:r>
      <w:r>
        <w:rPr>
          <w:rFonts w:ascii="宋体" w:hAnsi="宋体" w:eastAsia="宋体" w:cs="宋体"/>
          <w:color w:val="auto"/>
          <w:spacing w:val="-1"/>
          <w:lang w:eastAsia="zh-CN"/>
        </w:rPr>
        <w:t>知所有下载招标文件的投标人。该澄清内容为招标</w:t>
      </w:r>
      <w:r>
        <w:rPr>
          <w:rFonts w:ascii="宋体" w:hAnsi="宋体" w:eastAsia="宋体" w:cs="宋体"/>
          <w:color w:val="auto"/>
          <w:spacing w:val="-2"/>
          <w:lang w:eastAsia="zh-CN"/>
        </w:rPr>
        <w:t>文件的组成部分。</w:t>
      </w:r>
    </w:p>
    <w:p w14:paraId="1A3E3F1F">
      <w:pPr>
        <w:spacing w:before="84" w:line="222" w:lineRule="auto"/>
        <w:ind w:left="1719"/>
        <w:outlineLvl w:val="2"/>
        <w:rPr>
          <w:rFonts w:ascii="黑体" w:hAnsi="黑体" w:eastAsia="黑体" w:cs="黑体"/>
          <w:color w:val="auto"/>
          <w:sz w:val="24"/>
          <w:szCs w:val="24"/>
          <w:lang w:eastAsia="zh-CN"/>
        </w:rPr>
      </w:pPr>
      <w:bookmarkStart w:id="86" w:name="bookmark17"/>
      <w:bookmarkEnd w:id="86"/>
      <w:r>
        <w:rPr>
          <w:rFonts w:ascii="Times New Roman" w:hAnsi="Times New Roman" w:eastAsia="Times New Roman" w:cs="Times New Roman"/>
          <w:color w:val="auto"/>
          <w:spacing w:val="-6"/>
          <w:sz w:val="24"/>
          <w:szCs w:val="24"/>
          <w:lang w:eastAsia="zh-CN"/>
        </w:rPr>
        <w:t>1.10</w:t>
      </w:r>
      <w:r>
        <w:rPr>
          <w:rFonts w:ascii="黑体" w:hAnsi="黑体" w:eastAsia="黑体" w:cs="黑体"/>
          <w:color w:val="auto"/>
          <w:spacing w:val="-6"/>
          <w:sz w:val="24"/>
          <w:szCs w:val="24"/>
          <w:lang w:eastAsia="zh-CN"/>
        </w:rPr>
        <w:t>分包</w:t>
      </w:r>
    </w:p>
    <w:p w14:paraId="5A90D579">
      <w:pPr>
        <w:spacing w:before="98" w:line="284" w:lineRule="auto"/>
        <w:ind w:left="1698" w:right="1796" w:firstLine="437"/>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1.10.1  </w:t>
      </w:r>
      <w:r>
        <w:rPr>
          <w:rFonts w:ascii="宋体" w:hAnsi="宋体" w:eastAsia="宋体" w:cs="宋体"/>
          <w:color w:val="auto"/>
          <w:spacing w:val="-3"/>
          <w:lang w:eastAsia="zh-CN"/>
        </w:rPr>
        <w:t>投标人拟在中标后将中标项目的非主体设备进行分包的，应符合投标人须知前附</w:t>
      </w:r>
      <w:r>
        <w:rPr>
          <w:rFonts w:ascii="宋体" w:hAnsi="宋体" w:eastAsia="宋体" w:cs="宋体"/>
          <w:color w:val="auto"/>
          <w:spacing w:val="-4"/>
          <w:lang w:eastAsia="zh-CN"/>
        </w:rPr>
        <w:t>表规定的分包内容、分包金额和资质要求等限制性条件，除投标人须知前附表规</w:t>
      </w:r>
      <w:r>
        <w:rPr>
          <w:rFonts w:ascii="宋体" w:hAnsi="宋体" w:eastAsia="宋体" w:cs="宋体"/>
          <w:color w:val="auto"/>
          <w:spacing w:val="-5"/>
          <w:lang w:eastAsia="zh-CN"/>
        </w:rPr>
        <w:t>定的非主体</w:t>
      </w:r>
      <w:r>
        <w:rPr>
          <w:rFonts w:ascii="宋体" w:hAnsi="宋体" w:eastAsia="宋体" w:cs="宋体"/>
          <w:color w:val="auto"/>
          <w:spacing w:val="-3"/>
          <w:lang w:eastAsia="zh-CN"/>
        </w:rPr>
        <w:t>设备外，其他工作不得分包。</w:t>
      </w:r>
    </w:p>
    <w:p w14:paraId="67F77108">
      <w:pPr>
        <w:spacing w:before="111" w:line="268" w:lineRule="auto"/>
        <w:ind w:left="1699" w:right="1796" w:firstLine="436"/>
        <w:rPr>
          <w:rFonts w:ascii="宋体" w:hAnsi="宋体" w:eastAsia="宋体" w:cs="宋体"/>
          <w:color w:val="auto"/>
          <w:lang w:eastAsia="zh-CN"/>
        </w:rPr>
      </w:pPr>
      <w:r>
        <w:rPr>
          <w:rFonts w:ascii="Times New Roman" w:hAnsi="Times New Roman" w:eastAsia="Times New Roman" w:cs="Times New Roman"/>
          <w:color w:val="auto"/>
          <w:spacing w:val="-3"/>
          <w:lang w:eastAsia="zh-CN"/>
        </w:rPr>
        <w:t>1.10.2</w:t>
      </w:r>
      <w:r>
        <w:rPr>
          <w:rFonts w:ascii="宋体" w:hAnsi="宋体" w:eastAsia="宋体" w:cs="宋体"/>
          <w:color w:val="auto"/>
          <w:spacing w:val="-3"/>
          <w:lang w:eastAsia="zh-CN"/>
        </w:rPr>
        <w:t>中标人不得向他人转让中标项目，接</w:t>
      </w:r>
      <w:r>
        <w:rPr>
          <w:rFonts w:ascii="宋体" w:hAnsi="宋体" w:eastAsia="宋体" w:cs="宋体"/>
          <w:color w:val="auto"/>
          <w:spacing w:val="-4"/>
          <w:lang w:eastAsia="zh-CN"/>
        </w:rPr>
        <w:t>受分包的人不得再次分包。中标人应当就分</w:t>
      </w:r>
      <w:r>
        <w:rPr>
          <w:rFonts w:ascii="宋体" w:hAnsi="宋体" w:eastAsia="宋体" w:cs="宋体"/>
          <w:color w:val="auto"/>
          <w:spacing w:val="-2"/>
          <w:lang w:eastAsia="zh-CN"/>
        </w:rPr>
        <w:t>包项目向招标人负责，接受分包的人就分包项目承担连带责任。</w:t>
      </w:r>
    </w:p>
    <w:p w14:paraId="4D9C41D1">
      <w:pPr>
        <w:spacing w:before="84" w:line="222" w:lineRule="auto"/>
        <w:ind w:left="1719"/>
        <w:outlineLvl w:val="2"/>
        <w:rPr>
          <w:rFonts w:ascii="黑体" w:hAnsi="黑体" w:eastAsia="黑体" w:cs="黑体"/>
          <w:color w:val="auto"/>
          <w:sz w:val="24"/>
          <w:szCs w:val="24"/>
          <w:lang w:eastAsia="zh-CN"/>
        </w:rPr>
      </w:pPr>
      <w:bookmarkStart w:id="87" w:name="bookmark18"/>
      <w:bookmarkEnd w:id="87"/>
      <w:r>
        <w:rPr>
          <w:rFonts w:ascii="Times New Roman" w:hAnsi="Times New Roman" w:eastAsia="Times New Roman" w:cs="Times New Roman"/>
          <w:color w:val="auto"/>
          <w:spacing w:val="-6"/>
          <w:sz w:val="24"/>
          <w:szCs w:val="24"/>
          <w:lang w:eastAsia="zh-CN"/>
        </w:rPr>
        <w:t>1.11</w:t>
      </w:r>
      <w:r>
        <w:rPr>
          <w:rFonts w:ascii="黑体" w:hAnsi="黑体" w:eastAsia="黑体" w:cs="黑体"/>
          <w:color w:val="auto"/>
          <w:spacing w:val="-6"/>
          <w:sz w:val="24"/>
          <w:szCs w:val="24"/>
          <w:lang w:eastAsia="zh-CN"/>
        </w:rPr>
        <w:t>偏离</w:t>
      </w:r>
    </w:p>
    <w:p w14:paraId="5BCE0417">
      <w:pPr>
        <w:spacing w:before="97" w:line="268" w:lineRule="auto"/>
        <w:ind w:left="1710" w:right="1797" w:firstLine="42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1.11.1  </w:t>
      </w:r>
      <w:r>
        <w:rPr>
          <w:rFonts w:ascii="宋体" w:hAnsi="宋体" w:eastAsia="宋体" w:cs="宋体"/>
          <w:color w:val="auto"/>
          <w:spacing w:val="2"/>
          <w:lang w:eastAsia="zh-CN"/>
        </w:rPr>
        <w:t>投标文件应当对招标文件的实质性要求和条件作出满足性或更有利于招标人的</w:t>
      </w:r>
      <w:r>
        <w:rPr>
          <w:rFonts w:ascii="宋体" w:hAnsi="宋体" w:eastAsia="宋体" w:cs="宋体"/>
          <w:color w:val="auto"/>
          <w:spacing w:val="-1"/>
          <w:lang w:eastAsia="zh-CN"/>
        </w:rPr>
        <w:t>响应，否则，投标人的投标将被否决。实质性要</w:t>
      </w:r>
      <w:r>
        <w:rPr>
          <w:rFonts w:ascii="宋体" w:hAnsi="宋体" w:eastAsia="宋体" w:cs="宋体"/>
          <w:color w:val="auto"/>
          <w:spacing w:val="-2"/>
          <w:lang w:eastAsia="zh-CN"/>
        </w:rPr>
        <w:t>求和条件见投标人须知前附表。</w:t>
      </w:r>
    </w:p>
    <w:p w14:paraId="557F154A">
      <w:pPr>
        <w:spacing w:before="111" w:line="268" w:lineRule="auto"/>
        <w:ind w:left="1708" w:right="1796" w:firstLine="427"/>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1.11.2  </w:t>
      </w:r>
      <w:r>
        <w:rPr>
          <w:rFonts w:ascii="宋体" w:hAnsi="宋体" w:eastAsia="宋体" w:cs="宋体"/>
          <w:color w:val="auto"/>
          <w:spacing w:val="-3"/>
          <w:lang w:eastAsia="zh-CN"/>
        </w:rPr>
        <w:t>投标人应根据招标文件的要求提供投标设备技术性能指标的详细描述、技术支持</w:t>
      </w:r>
      <w:r>
        <w:rPr>
          <w:rFonts w:ascii="宋体" w:hAnsi="宋体" w:eastAsia="宋体" w:cs="宋体"/>
          <w:color w:val="auto"/>
          <w:spacing w:val="-2"/>
          <w:lang w:eastAsia="zh-CN"/>
        </w:rPr>
        <w:t>资料及技术服务和质保期服务计划等内容以对招标文件作出响应。</w:t>
      </w:r>
    </w:p>
    <w:p w14:paraId="69CFF50E">
      <w:pPr>
        <w:spacing w:before="111" w:line="284" w:lineRule="auto"/>
        <w:ind w:left="1700" w:right="1796" w:firstLine="435"/>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1.11.3  </w:t>
      </w:r>
      <w:r>
        <w:rPr>
          <w:rFonts w:ascii="宋体" w:hAnsi="宋体" w:eastAsia="宋体" w:cs="宋体"/>
          <w:color w:val="auto"/>
          <w:spacing w:val="-3"/>
          <w:lang w:eastAsia="zh-CN"/>
        </w:rPr>
        <w:t>投标文件中应针对实质性要求和条件中列明的技术要求提供技术支持资料。技术</w:t>
      </w:r>
      <w:r>
        <w:rPr>
          <w:rFonts w:ascii="宋体" w:hAnsi="宋体" w:eastAsia="宋体" w:cs="宋体"/>
          <w:color w:val="auto"/>
          <w:spacing w:val="-2"/>
          <w:lang w:eastAsia="zh-CN"/>
        </w:rPr>
        <w:t>支持资料以制造商公开发布的印刷资料，或检测</w:t>
      </w:r>
      <w:r>
        <w:rPr>
          <w:rFonts w:ascii="宋体" w:hAnsi="宋体" w:eastAsia="宋体" w:cs="宋体"/>
          <w:color w:val="auto"/>
          <w:spacing w:val="-3"/>
          <w:lang w:eastAsia="zh-CN"/>
        </w:rPr>
        <w:t>机构出具的检测报告或投标人须知前附表允</w:t>
      </w:r>
      <w:r>
        <w:rPr>
          <w:rFonts w:ascii="宋体" w:hAnsi="宋体" w:eastAsia="宋体" w:cs="宋体"/>
          <w:color w:val="auto"/>
          <w:spacing w:val="-1"/>
          <w:lang w:eastAsia="zh-CN"/>
        </w:rPr>
        <w:t>许的其他形式为准，不符合前述要求的，视为无技术支持资料，其投标将被</w:t>
      </w:r>
      <w:r>
        <w:rPr>
          <w:rFonts w:ascii="宋体" w:hAnsi="宋体" w:eastAsia="宋体" w:cs="宋体"/>
          <w:color w:val="auto"/>
          <w:spacing w:val="-2"/>
          <w:lang w:eastAsia="zh-CN"/>
        </w:rPr>
        <w:t>否决。</w:t>
      </w:r>
    </w:p>
    <w:p w14:paraId="4F8E7C92">
      <w:pPr>
        <w:spacing w:before="109" w:line="268" w:lineRule="auto"/>
        <w:ind w:left="1700" w:right="1738" w:firstLine="434"/>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1.11.4  </w:t>
      </w:r>
      <w:r>
        <w:rPr>
          <w:rFonts w:ascii="宋体" w:hAnsi="宋体" w:eastAsia="宋体" w:cs="宋体"/>
          <w:color w:val="auto"/>
          <w:spacing w:val="-3"/>
          <w:lang w:eastAsia="zh-CN"/>
        </w:rPr>
        <w:t>投标人须知前附表规定了可以偏差的范围和最高偏差项数的，偏差应当符合投标</w:t>
      </w:r>
      <w:r>
        <w:rPr>
          <w:rFonts w:ascii="宋体" w:hAnsi="宋体" w:eastAsia="宋体" w:cs="宋体"/>
          <w:color w:val="auto"/>
          <w:spacing w:val="-1"/>
          <w:lang w:eastAsia="zh-CN"/>
        </w:rPr>
        <w:t>人须知前附表规定的偏差范围和最高项数，超出偏差范围和最高偏差项数的投标将被否决。</w:t>
      </w:r>
    </w:p>
    <w:p w14:paraId="2C24A81F">
      <w:pPr>
        <w:spacing w:before="111" w:line="268" w:lineRule="auto"/>
        <w:ind w:left="1711" w:right="1632" w:firstLine="423"/>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1.11.5  </w:t>
      </w:r>
      <w:r>
        <w:rPr>
          <w:rFonts w:ascii="宋体" w:hAnsi="宋体" w:eastAsia="宋体" w:cs="宋体"/>
          <w:color w:val="auto"/>
          <w:spacing w:val="1"/>
          <w:lang w:eastAsia="zh-CN"/>
        </w:rPr>
        <w:t>投标文件对招标文件的全部偏差，均应在投标文件的商务和技术偏差表中列明，</w:t>
      </w:r>
      <w:r>
        <w:rPr>
          <w:rFonts w:ascii="宋体" w:hAnsi="宋体" w:eastAsia="宋体" w:cs="宋体"/>
          <w:color w:val="auto"/>
          <w:spacing w:val="-2"/>
          <w:lang w:eastAsia="zh-CN"/>
        </w:rPr>
        <w:t>除列明的内容外，视为投标人响应招标文件的全部要求。</w:t>
      </w:r>
    </w:p>
    <w:p w14:paraId="04D5D62D">
      <w:pPr>
        <w:spacing w:before="149" w:line="222" w:lineRule="auto"/>
        <w:ind w:left="1696"/>
        <w:outlineLvl w:val="1"/>
        <w:rPr>
          <w:rFonts w:ascii="黑体" w:hAnsi="黑体" w:eastAsia="黑体" w:cs="黑体"/>
          <w:color w:val="auto"/>
          <w:sz w:val="28"/>
          <w:szCs w:val="28"/>
          <w:lang w:eastAsia="zh-CN"/>
        </w:rPr>
      </w:pPr>
      <w:bookmarkStart w:id="88" w:name="bookmark20"/>
      <w:bookmarkEnd w:id="88"/>
      <w:bookmarkStart w:id="89" w:name="bookmark19"/>
      <w:bookmarkEnd w:id="89"/>
      <w:bookmarkStart w:id="90" w:name="_Toc14842"/>
      <w:bookmarkStart w:id="91" w:name="_Toc29270"/>
      <w:bookmarkStart w:id="92" w:name="_Toc9510"/>
      <w:bookmarkStart w:id="93" w:name="_Toc15897"/>
      <w:bookmarkStart w:id="94" w:name="_Toc16005"/>
      <w:bookmarkStart w:id="95" w:name="_Toc3612"/>
      <w:r>
        <w:rPr>
          <w:rFonts w:ascii="Times New Roman" w:hAnsi="Times New Roman" w:eastAsia="Times New Roman" w:cs="Times New Roman"/>
          <w:color w:val="auto"/>
          <w:spacing w:val="-1"/>
          <w:sz w:val="28"/>
          <w:szCs w:val="28"/>
          <w:lang w:eastAsia="zh-CN"/>
        </w:rPr>
        <w:t>2.</w:t>
      </w:r>
      <w:r>
        <w:rPr>
          <w:rFonts w:ascii="黑体" w:hAnsi="黑体" w:eastAsia="黑体" w:cs="黑体"/>
          <w:color w:val="auto"/>
          <w:spacing w:val="-1"/>
          <w:sz w:val="28"/>
          <w:szCs w:val="28"/>
          <w:lang w:eastAsia="zh-CN"/>
        </w:rPr>
        <w:t>招标文件</w:t>
      </w:r>
      <w:bookmarkEnd w:id="90"/>
      <w:bookmarkEnd w:id="91"/>
      <w:bookmarkEnd w:id="92"/>
      <w:bookmarkEnd w:id="93"/>
      <w:bookmarkEnd w:id="94"/>
      <w:bookmarkEnd w:id="95"/>
    </w:p>
    <w:p w14:paraId="06C772D9">
      <w:pPr>
        <w:spacing w:before="58" w:line="222" w:lineRule="auto"/>
        <w:ind w:left="1696"/>
        <w:outlineLvl w:val="2"/>
        <w:rPr>
          <w:rFonts w:ascii="黑体" w:hAnsi="黑体" w:eastAsia="黑体" w:cs="黑体"/>
          <w:color w:val="auto"/>
          <w:sz w:val="24"/>
          <w:szCs w:val="24"/>
          <w:lang w:eastAsia="zh-CN"/>
        </w:rPr>
      </w:pPr>
      <w:bookmarkStart w:id="96" w:name="bookmark210"/>
      <w:bookmarkEnd w:id="96"/>
      <w:r>
        <w:rPr>
          <w:rFonts w:ascii="Times New Roman" w:hAnsi="Times New Roman" w:eastAsia="Times New Roman" w:cs="Times New Roman"/>
          <w:color w:val="auto"/>
          <w:spacing w:val="-1"/>
          <w:sz w:val="24"/>
          <w:szCs w:val="24"/>
          <w:lang w:eastAsia="zh-CN"/>
        </w:rPr>
        <w:t xml:space="preserve">2.1  </w:t>
      </w:r>
      <w:r>
        <w:rPr>
          <w:rFonts w:ascii="黑体" w:hAnsi="黑体" w:eastAsia="黑体" w:cs="黑体"/>
          <w:color w:val="auto"/>
          <w:spacing w:val="-1"/>
          <w:sz w:val="24"/>
          <w:szCs w:val="24"/>
          <w:lang w:eastAsia="zh-CN"/>
        </w:rPr>
        <w:t>招标文件的组成</w:t>
      </w:r>
    </w:p>
    <w:p w14:paraId="3BD87D20">
      <w:pPr>
        <w:spacing w:before="97" w:line="219" w:lineRule="auto"/>
        <w:ind w:left="2124"/>
        <w:rPr>
          <w:rFonts w:ascii="宋体" w:hAnsi="宋体" w:eastAsia="宋体" w:cs="宋体"/>
          <w:color w:val="auto"/>
          <w:lang w:eastAsia="zh-CN"/>
        </w:rPr>
      </w:pPr>
      <w:r>
        <w:rPr>
          <w:rFonts w:ascii="宋体" w:hAnsi="宋体" w:eastAsia="宋体" w:cs="宋体"/>
          <w:color w:val="auto"/>
          <w:spacing w:val="-9"/>
          <w:lang w:eastAsia="zh-CN"/>
        </w:rPr>
        <w:t>（</w:t>
      </w:r>
      <w:r>
        <w:rPr>
          <w:rFonts w:ascii="Times New Roman" w:hAnsi="Times New Roman" w:eastAsia="Times New Roman" w:cs="Times New Roman"/>
          <w:color w:val="auto"/>
          <w:spacing w:val="-9"/>
          <w:lang w:eastAsia="zh-CN"/>
        </w:rPr>
        <w:t>1</w:t>
      </w:r>
      <w:r>
        <w:rPr>
          <w:rFonts w:ascii="宋体" w:hAnsi="宋体" w:eastAsia="宋体" w:cs="宋体"/>
          <w:color w:val="auto"/>
          <w:spacing w:val="-9"/>
          <w:lang w:eastAsia="zh-CN"/>
        </w:rPr>
        <w:t>）招标公告（或投标邀请书</w:t>
      </w:r>
      <w:r>
        <w:rPr>
          <w:rFonts w:ascii="宋体" w:hAnsi="宋体" w:eastAsia="宋体" w:cs="宋体"/>
          <w:color w:val="auto"/>
          <w:spacing w:val="-4"/>
          <w:lang w:eastAsia="zh-CN"/>
        </w:rPr>
        <w:t>）；</w:t>
      </w:r>
    </w:p>
    <w:p w14:paraId="59C82939">
      <w:pPr>
        <w:spacing w:before="111" w:line="221"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2</w:t>
      </w:r>
      <w:r>
        <w:rPr>
          <w:rFonts w:ascii="宋体" w:hAnsi="宋体" w:eastAsia="宋体" w:cs="宋体"/>
          <w:color w:val="auto"/>
          <w:spacing w:val="-7"/>
          <w:lang w:eastAsia="zh-CN"/>
        </w:rPr>
        <w:t>）投标人须知；</w:t>
      </w:r>
    </w:p>
    <w:p w14:paraId="60DCD650">
      <w:pPr>
        <w:spacing w:before="109"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）评标办法；</w:t>
      </w:r>
    </w:p>
    <w:p w14:paraId="5FA257B2">
      <w:pPr>
        <w:spacing w:before="110"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4</w:t>
      </w:r>
      <w:r>
        <w:rPr>
          <w:rFonts w:ascii="宋体" w:hAnsi="宋体" w:eastAsia="宋体" w:cs="宋体"/>
          <w:color w:val="auto"/>
          <w:spacing w:val="-6"/>
          <w:lang w:eastAsia="zh-CN"/>
        </w:rPr>
        <w:t>）合同条款及格式；</w:t>
      </w:r>
    </w:p>
    <w:p w14:paraId="7FAD5B8F">
      <w:pPr>
        <w:spacing w:before="109"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5</w:t>
      </w:r>
      <w:r>
        <w:rPr>
          <w:rFonts w:ascii="宋体" w:hAnsi="宋体" w:eastAsia="宋体" w:cs="宋体"/>
          <w:color w:val="auto"/>
          <w:spacing w:val="-7"/>
          <w:lang w:eastAsia="zh-CN"/>
        </w:rPr>
        <w:t>）供货要求；</w:t>
      </w:r>
    </w:p>
    <w:p w14:paraId="7F7786F6">
      <w:pPr>
        <w:spacing w:before="110"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6</w:t>
      </w:r>
      <w:r>
        <w:rPr>
          <w:rFonts w:ascii="宋体" w:hAnsi="宋体" w:eastAsia="宋体" w:cs="宋体"/>
          <w:color w:val="auto"/>
          <w:spacing w:val="-6"/>
          <w:lang w:eastAsia="zh-CN"/>
        </w:rPr>
        <w:t>）投标文件格式；</w:t>
      </w:r>
    </w:p>
    <w:p w14:paraId="3C1325DE">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7</w:t>
      </w:r>
      <w:r>
        <w:rPr>
          <w:rFonts w:ascii="宋体" w:hAnsi="宋体" w:eastAsia="宋体" w:cs="宋体"/>
          <w:color w:val="auto"/>
          <w:spacing w:val="-3"/>
          <w:lang w:eastAsia="zh-CN"/>
        </w:rPr>
        <w:t>）投标人须知前附表规定的其他资料。</w:t>
      </w:r>
    </w:p>
    <w:p w14:paraId="7D1D617A">
      <w:pPr>
        <w:spacing w:before="112" w:line="318" w:lineRule="auto"/>
        <w:ind w:left="1698" w:right="1796" w:firstLine="420"/>
        <w:rPr>
          <w:rFonts w:ascii="宋体" w:hAnsi="宋体" w:eastAsia="宋体" w:cs="宋体"/>
          <w:color w:val="auto"/>
          <w:lang w:eastAsia="zh-CN"/>
        </w:rPr>
      </w:pPr>
      <w:r>
        <w:rPr>
          <w:rFonts w:ascii="宋体" w:hAnsi="宋体" w:eastAsia="宋体" w:cs="宋体"/>
          <w:color w:val="auto"/>
          <w:spacing w:val="-5"/>
          <w:lang w:eastAsia="zh-CN"/>
        </w:rPr>
        <w:t>根据本章第</w:t>
      </w:r>
      <w:r>
        <w:rPr>
          <w:rFonts w:ascii="Times New Roman" w:hAnsi="Times New Roman" w:eastAsia="Times New Roman" w:cs="Times New Roman"/>
          <w:color w:val="auto"/>
          <w:spacing w:val="-5"/>
          <w:lang w:eastAsia="zh-CN"/>
        </w:rPr>
        <w:t xml:space="preserve">1.9  </w:t>
      </w:r>
      <w:r>
        <w:rPr>
          <w:rFonts w:ascii="宋体" w:hAnsi="宋体" w:eastAsia="宋体" w:cs="宋体"/>
          <w:color w:val="auto"/>
          <w:spacing w:val="-5"/>
          <w:lang w:eastAsia="zh-CN"/>
        </w:rPr>
        <w:t xml:space="preserve">款、第 </w:t>
      </w:r>
      <w:r>
        <w:rPr>
          <w:rFonts w:ascii="Times New Roman" w:hAnsi="Times New Roman" w:eastAsia="Times New Roman" w:cs="Times New Roman"/>
          <w:color w:val="auto"/>
          <w:spacing w:val="-5"/>
          <w:lang w:eastAsia="zh-CN"/>
        </w:rPr>
        <w:t xml:space="preserve">2.2  </w:t>
      </w:r>
      <w:r>
        <w:rPr>
          <w:rFonts w:ascii="宋体" w:hAnsi="宋体" w:eastAsia="宋体" w:cs="宋体"/>
          <w:color w:val="auto"/>
          <w:spacing w:val="-5"/>
          <w:lang w:eastAsia="zh-CN"/>
        </w:rPr>
        <w:t xml:space="preserve">款和第 </w:t>
      </w:r>
      <w:r>
        <w:rPr>
          <w:rFonts w:ascii="Times New Roman" w:hAnsi="Times New Roman" w:eastAsia="Times New Roman" w:cs="Times New Roman"/>
          <w:color w:val="auto"/>
          <w:spacing w:val="-5"/>
          <w:lang w:eastAsia="zh-CN"/>
        </w:rPr>
        <w:t>2.3</w:t>
      </w:r>
      <w:r>
        <w:rPr>
          <w:rFonts w:ascii="宋体" w:hAnsi="宋体" w:eastAsia="宋体" w:cs="宋体"/>
          <w:color w:val="auto"/>
          <w:spacing w:val="-5"/>
          <w:lang w:eastAsia="zh-CN"/>
        </w:rPr>
        <w:t>款对招标文件所作的澄清、修改，构成招标文</w:t>
      </w:r>
      <w:r>
        <w:rPr>
          <w:rFonts w:ascii="宋体" w:hAnsi="宋体" w:eastAsia="宋体" w:cs="宋体"/>
          <w:color w:val="auto"/>
          <w:spacing w:val="-6"/>
          <w:lang w:eastAsia="zh-CN"/>
        </w:rPr>
        <w:t>件组成部分。</w:t>
      </w:r>
    </w:p>
    <w:p w14:paraId="6FDF6846">
      <w:pPr>
        <w:spacing w:line="318" w:lineRule="auto"/>
        <w:rPr>
          <w:rFonts w:ascii="宋体" w:hAnsi="宋体" w:eastAsia="宋体" w:cs="宋体"/>
          <w:color w:val="auto"/>
          <w:lang w:eastAsia="zh-CN"/>
        </w:rPr>
        <w:sectPr>
          <w:headerReference r:id="rId14" w:type="default"/>
          <w:footerReference r:id="rId15" w:type="default"/>
          <w:pgSz w:w="11906" w:h="16839"/>
          <w:pgMar w:top="400" w:right="0" w:bottom="1006" w:left="105" w:header="0" w:footer="846" w:gutter="0"/>
          <w:cols w:space="720" w:num="1"/>
        </w:sectPr>
      </w:pPr>
    </w:p>
    <w:p w14:paraId="43D5803E">
      <w:pPr>
        <w:pStyle w:val="8"/>
        <w:spacing w:line="259" w:lineRule="auto"/>
        <w:rPr>
          <w:lang w:eastAsia="zh-CN"/>
        </w:rPr>
      </w:pPr>
    </w:p>
    <w:p w14:paraId="22666A7C">
      <w:pPr>
        <w:pStyle w:val="8"/>
        <w:spacing w:line="259" w:lineRule="auto"/>
        <w:rPr>
          <w:lang w:eastAsia="zh-CN"/>
        </w:rPr>
      </w:pPr>
    </w:p>
    <w:p w14:paraId="15246B32">
      <w:pPr>
        <w:pStyle w:val="8"/>
        <w:spacing w:line="259" w:lineRule="auto"/>
        <w:rPr>
          <w:lang w:eastAsia="zh-CN"/>
        </w:rPr>
      </w:pPr>
    </w:p>
    <w:p w14:paraId="63AC9DF5">
      <w:pPr>
        <w:pStyle w:val="8"/>
        <w:spacing w:line="259" w:lineRule="auto"/>
        <w:rPr>
          <w:lang w:eastAsia="zh-CN"/>
        </w:rPr>
      </w:pPr>
    </w:p>
    <w:p w14:paraId="41B2642D">
      <w:pPr>
        <w:spacing w:before="78" w:line="222" w:lineRule="auto"/>
        <w:ind w:left="1696"/>
        <w:outlineLvl w:val="2"/>
        <w:rPr>
          <w:rFonts w:ascii="黑体" w:hAnsi="黑体" w:eastAsia="黑体" w:cs="黑体"/>
          <w:color w:val="auto"/>
          <w:sz w:val="24"/>
          <w:szCs w:val="24"/>
          <w:lang w:eastAsia="zh-CN"/>
        </w:rPr>
      </w:pPr>
      <w:bookmarkStart w:id="97" w:name="bookmark21"/>
      <w:bookmarkEnd w:id="97"/>
      <w:r>
        <w:rPr>
          <w:rFonts w:ascii="Times New Roman" w:hAnsi="Times New Roman" w:eastAsia="Times New Roman" w:cs="Times New Roman"/>
          <w:color w:val="auto"/>
          <w:spacing w:val="-1"/>
          <w:sz w:val="24"/>
          <w:szCs w:val="24"/>
          <w:lang w:eastAsia="zh-CN"/>
        </w:rPr>
        <w:t xml:space="preserve">2.2  </w:t>
      </w:r>
      <w:r>
        <w:rPr>
          <w:rFonts w:ascii="黑体" w:hAnsi="黑体" w:eastAsia="黑体" w:cs="黑体"/>
          <w:color w:val="auto"/>
          <w:spacing w:val="-1"/>
          <w:sz w:val="24"/>
          <w:szCs w:val="24"/>
          <w:lang w:eastAsia="zh-CN"/>
        </w:rPr>
        <w:t>招标文件的澄清</w:t>
      </w:r>
    </w:p>
    <w:p w14:paraId="384B4A8B">
      <w:pPr>
        <w:spacing w:before="99" w:line="292" w:lineRule="auto"/>
        <w:ind w:left="1698" w:right="1708" w:firstLine="417"/>
        <w:rPr>
          <w:rFonts w:ascii="宋体" w:hAnsi="宋体" w:eastAsia="宋体" w:cs="宋体"/>
          <w:color w:val="auto"/>
          <w:lang w:eastAsia="zh-CN"/>
        </w:rPr>
      </w:pPr>
      <w:r>
        <w:rPr>
          <w:rFonts w:ascii="Times New Roman" w:hAnsi="Times New Roman" w:eastAsia="Times New Roman" w:cs="Times New Roman"/>
          <w:color w:val="auto"/>
          <w:lang w:eastAsia="zh-CN"/>
        </w:rPr>
        <w:t xml:space="preserve">2.2.1  </w:t>
      </w:r>
      <w:r>
        <w:rPr>
          <w:rFonts w:ascii="宋体" w:hAnsi="宋体" w:eastAsia="宋体" w:cs="宋体"/>
          <w:color w:val="auto"/>
          <w:lang w:eastAsia="zh-CN"/>
        </w:rPr>
        <w:t>投标人应仔细阅读和检查招标文件的全部内容。如发现缺页或附件不全，应及时</w:t>
      </w:r>
      <w:r>
        <w:rPr>
          <w:rFonts w:ascii="宋体" w:hAnsi="宋体" w:eastAsia="宋体" w:cs="宋体"/>
          <w:color w:val="auto"/>
          <w:spacing w:val="-5"/>
          <w:lang w:eastAsia="zh-CN"/>
        </w:rPr>
        <w:t>向招标人提出，以便补齐。如有疑问， 应在投标人须知前附表规定的时间前，通过法定公告</w:t>
      </w:r>
      <w:r>
        <w:rPr>
          <w:rFonts w:ascii="宋体" w:hAnsi="宋体" w:eastAsia="宋体" w:cs="宋体"/>
          <w:color w:val="auto"/>
          <w:lang w:eastAsia="zh-CN"/>
        </w:rPr>
        <w:t>公示信息发布媒介、电子交易系统（投标盲盒工具）等渠道以书面形式</w:t>
      </w:r>
      <w:r>
        <w:rPr>
          <w:rFonts w:ascii="宋体" w:hAnsi="宋体" w:eastAsia="宋体" w:cs="宋体"/>
          <w:color w:val="auto"/>
          <w:spacing w:val="-1"/>
          <w:lang w:eastAsia="zh-CN"/>
        </w:rPr>
        <w:t>要求招标人对招标文</w:t>
      </w:r>
      <w:r>
        <w:rPr>
          <w:rFonts w:ascii="宋体" w:hAnsi="宋体" w:eastAsia="宋体" w:cs="宋体"/>
          <w:color w:val="auto"/>
          <w:spacing w:val="-6"/>
          <w:lang w:eastAsia="zh-CN"/>
        </w:rPr>
        <w:t>件予以澄清。</w:t>
      </w:r>
    </w:p>
    <w:p w14:paraId="5C70E78C">
      <w:pPr>
        <w:spacing w:before="111" w:line="292" w:lineRule="auto"/>
        <w:ind w:left="1699" w:right="1617" w:firstLine="416"/>
        <w:rPr>
          <w:rFonts w:ascii="宋体" w:hAnsi="宋体" w:eastAsia="宋体" w:cs="宋体"/>
          <w:color w:val="auto"/>
          <w:lang w:eastAsia="zh-CN"/>
        </w:rPr>
      </w:pPr>
      <w:r>
        <w:rPr>
          <w:rFonts w:ascii="Times New Roman" w:hAnsi="Times New Roman" w:eastAsia="Times New Roman" w:cs="Times New Roman"/>
          <w:color w:val="auto"/>
          <w:lang w:eastAsia="zh-CN"/>
        </w:rPr>
        <w:t xml:space="preserve">2.2.2  </w:t>
      </w:r>
      <w:r>
        <w:rPr>
          <w:rFonts w:ascii="宋体" w:hAnsi="宋体" w:eastAsia="宋体" w:cs="宋体"/>
          <w:color w:val="auto"/>
          <w:lang w:eastAsia="zh-CN"/>
        </w:rPr>
        <w:t>招标人对招标文件的澄清通过法定公告公示信息发布媒介、电子交易系统（投标</w:t>
      </w:r>
      <w:r>
        <w:rPr>
          <w:rFonts w:ascii="宋体" w:hAnsi="宋体" w:eastAsia="宋体" w:cs="宋体"/>
          <w:color w:val="auto"/>
          <w:spacing w:val="2"/>
          <w:lang w:eastAsia="zh-CN"/>
        </w:rPr>
        <w:t>盲盒工具）等渠道以书面形式发给所有下载招标文件的投标人，但不指明澄清问题的来源。</w:t>
      </w:r>
      <w:r>
        <w:rPr>
          <w:rFonts w:ascii="宋体" w:hAnsi="宋体" w:eastAsia="宋体" w:cs="宋体"/>
          <w:color w:val="auto"/>
          <w:spacing w:val="-4"/>
          <w:lang w:eastAsia="zh-CN"/>
        </w:rPr>
        <w:t>如果澄清通知发出的时间距投标人须知前附表第</w:t>
      </w:r>
      <w:r>
        <w:rPr>
          <w:rFonts w:ascii="Times New Roman" w:hAnsi="Times New Roman" w:eastAsia="Times New Roman" w:cs="Times New Roman"/>
          <w:color w:val="auto"/>
          <w:spacing w:val="-4"/>
          <w:lang w:eastAsia="zh-CN"/>
        </w:rPr>
        <w:t xml:space="preserve">4.2.1 </w:t>
      </w:r>
      <w:r>
        <w:rPr>
          <w:rFonts w:ascii="宋体" w:hAnsi="宋体" w:eastAsia="宋体" w:cs="宋体"/>
          <w:color w:val="auto"/>
          <w:spacing w:val="-4"/>
          <w:lang w:eastAsia="zh-CN"/>
        </w:rPr>
        <w:t>项规定的投标截止时间不足</w:t>
      </w:r>
      <w:r>
        <w:rPr>
          <w:rFonts w:ascii="Times New Roman" w:hAnsi="Times New Roman" w:eastAsia="Times New Roman" w:cs="Times New Roman"/>
          <w:color w:val="auto"/>
          <w:spacing w:val="-4"/>
          <w:lang w:eastAsia="zh-CN"/>
        </w:rPr>
        <w:t xml:space="preserve">15  </w:t>
      </w:r>
      <w:r>
        <w:rPr>
          <w:rFonts w:ascii="宋体" w:hAnsi="宋体" w:eastAsia="宋体" w:cs="宋体"/>
          <w:color w:val="auto"/>
          <w:spacing w:val="-4"/>
          <w:lang w:eastAsia="zh-CN"/>
        </w:rPr>
        <w:t>日，并</w:t>
      </w:r>
      <w:r>
        <w:rPr>
          <w:rFonts w:ascii="宋体" w:hAnsi="宋体" w:eastAsia="宋体" w:cs="宋体"/>
          <w:color w:val="auto"/>
          <w:spacing w:val="-1"/>
          <w:lang w:eastAsia="zh-CN"/>
        </w:rPr>
        <w:t>且澄清的内容确实影响投标文件编制的，应当相应延长</w:t>
      </w:r>
      <w:r>
        <w:rPr>
          <w:rFonts w:ascii="宋体" w:hAnsi="宋体" w:eastAsia="宋体" w:cs="宋体"/>
          <w:color w:val="auto"/>
          <w:spacing w:val="-2"/>
          <w:lang w:eastAsia="zh-CN"/>
        </w:rPr>
        <w:t>投标截止时间。</w:t>
      </w:r>
    </w:p>
    <w:p w14:paraId="5A28C143">
      <w:pPr>
        <w:spacing w:before="110" w:line="284" w:lineRule="auto"/>
        <w:ind w:left="1703" w:right="1796" w:firstLine="412"/>
        <w:rPr>
          <w:rFonts w:ascii="宋体" w:hAnsi="宋体" w:eastAsia="宋体" w:cs="宋体"/>
          <w:color w:val="auto"/>
          <w:lang w:eastAsia="zh-CN"/>
        </w:rPr>
      </w:pPr>
      <w:r>
        <w:rPr>
          <w:rFonts w:ascii="Times New Roman" w:hAnsi="Times New Roman" w:eastAsia="Times New Roman" w:cs="Times New Roman"/>
          <w:color w:val="auto"/>
          <w:lang w:eastAsia="zh-CN"/>
        </w:rPr>
        <w:t xml:space="preserve">2.2.3  </w:t>
      </w:r>
      <w:r>
        <w:rPr>
          <w:rFonts w:ascii="宋体" w:hAnsi="宋体" w:eastAsia="宋体" w:cs="宋体"/>
          <w:color w:val="auto"/>
          <w:lang w:eastAsia="zh-CN"/>
        </w:rPr>
        <w:t>投标人应实时自行关注法定公告公示信息发布媒介、电子交易系统（投标盲盒工</w:t>
      </w:r>
      <w:r>
        <w:rPr>
          <w:rFonts w:ascii="宋体" w:hAnsi="宋体" w:eastAsia="宋体" w:cs="宋体"/>
          <w:color w:val="auto"/>
          <w:spacing w:val="-3"/>
          <w:lang w:eastAsia="zh-CN"/>
        </w:rPr>
        <w:t>具）等渠道上发出的澄清通知，因投标人自身原因未及时获知澄清内容而导致的任何后果将</w:t>
      </w:r>
      <w:bookmarkStart w:id="98" w:name="bookmark22"/>
      <w:bookmarkEnd w:id="98"/>
      <w:r>
        <w:rPr>
          <w:rFonts w:ascii="宋体" w:hAnsi="宋体" w:eastAsia="宋体" w:cs="宋体"/>
          <w:color w:val="auto"/>
          <w:spacing w:val="-5"/>
          <w:lang w:eastAsia="zh-CN"/>
        </w:rPr>
        <w:t>由投标人自行承担。</w:t>
      </w:r>
    </w:p>
    <w:p w14:paraId="73D13D79">
      <w:pPr>
        <w:spacing w:before="83" w:line="222" w:lineRule="auto"/>
        <w:ind w:left="1696"/>
        <w:outlineLvl w:val="2"/>
        <w:rPr>
          <w:rFonts w:ascii="黑体" w:hAnsi="黑体" w:eastAsia="黑体" w:cs="黑体"/>
          <w:color w:val="auto"/>
          <w:sz w:val="24"/>
          <w:szCs w:val="24"/>
          <w:lang w:eastAsia="zh-CN"/>
        </w:rPr>
      </w:pPr>
      <w:bookmarkStart w:id="99" w:name="bookmark211"/>
      <w:bookmarkEnd w:id="99"/>
      <w:r>
        <w:rPr>
          <w:rFonts w:ascii="Times New Roman" w:hAnsi="Times New Roman" w:eastAsia="Times New Roman" w:cs="Times New Roman"/>
          <w:color w:val="auto"/>
          <w:spacing w:val="-1"/>
          <w:sz w:val="24"/>
          <w:szCs w:val="24"/>
          <w:lang w:eastAsia="zh-CN"/>
        </w:rPr>
        <w:t xml:space="preserve">2.3  </w:t>
      </w:r>
      <w:r>
        <w:rPr>
          <w:rFonts w:ascii="黑体" w:hAnsi="黑体" w:eastAsia="黑体" w:cs="黑体"/>
          <w:color w:val="auto"/>
          <w:spacing w:val="-1"/>
          <w:sz w:val="24"/>
          <w:szCs w:val="24"/>
          <w:lang w:eastAsia="zh-CN"/>
        </w:rPr>
        <w:t>招标文件的修改</w:t>
      </w:r>
    </w:p>
    <w:p w14:paraId="5282ABF2">
      <w:pPr>
        <w:spacing w:before="100" w:line="292" w:lineRule="auto"/>
        <w:ind w:left="1701" w:right="1796" w:firstLine="413"/>
        <w:rPr>
          <w:rFonts w:ascii="宋体" w:hAnsi="宋体" w:eastAsia="宋体" w:cs="宋体"/>
          <w:color w:val="auto"/>
          <w:lang w:eastAsia="zh-CN"/>
        </w:rPr>
      </w:pPr>
      <w:r>
        <w:rPr>
          <w:rFonts w:ascii="Times New Roman" w:hAnsi="Times New Roman" w:eastAsia="Times New Roman" w:cs="Times New Roman"/>
          <w:color w:val="auto"/>
          <w:lang w:eastAsia="zh-CN"/>
        </w:rPr>
        <w:t xml:space="preserve">2.3.1  </w:t>
      </w:r>
      <w:r>
        <w:rPr>
          <w:rFonts w:ascii="宋体" w:hAnsi="宋体" w:eastAsia="宋体" w:cs="宋体"/>
          <w:color w:val="auto"/>
          <w:lang w:eastAsia="zh-CN"/>
        </w:rPr>
        <w:t>招标人可以书面形式修改招标文件，并通过法定公告公示信息发布媒介、电子交</w:t>
      </w:r>
      <w:r>
        <w:rPr>
          <w:rFonts w:ascii="宋体" w:hAnsi="宋体" w:eastAsia="宋体" w:cs="宋体"/>
          <w:color w:val="auto"/>
          <w:spacing w:val="-2"/>
          <w:lang w:eastAsia="zh-CN"/>
        </w:rPr>
        <w:t>易系统（投标盲盒工具）等渠道通知所有已下</w:t>
      </w:r>
      <w:r>
        <w:rPr>
          <w:rFonts w:ascii="宋体" w:hAnsi="宋体" w:eastAsia="宋体" w:cs="宋体"/>
          <w:color w:val="auto"/>
          <w:spacing w:val="-3"/>
          <w:lang w:eastAsia="zh-CN"/>
        </w:rPr>
        <w:t>载招标文件的投标人。如果修改通知发出的时</w:t>
      </w:r>
      <w:r>
        <w:rPr>
          <w:rFonts w:ascii="宋体" w:hAnsi="宋体" w:eastAsia="宋体" w:cs="宋体"/>
          <w:color w:val="auto"/>
          <w:spacing w:val="-4"/>
          <w:lang w:eastAsia="zh-CN"/>
        </w:rPr>
        <w:t>间距投标人须知前附表第</w:t>
      </w:r>
      <w:r>
        <w:rPr>
          <w:rFonts w:ascii="Times New Roman" w:hAnsi="Times New Roman" w:eastAsia="Times New Roman" w:cs="Times New Roman"/>
          <w:color w:val="auto"/>
          <w:spacing w:val="-4"/>
          <w:lang w:eastAsia="zh-CN"/>
        </w:rPr>
        <w:t xml:space="preserve">4.2.1 </w:t>
      </w:r>
      <w:r>
        <w:rPr>
          <w:rFonts w:ascii="宋体" w:hAnsi="宋体" w:eastAsia="宋体" w:cs="宋体"/>
          <w:color w:val="auto"/>
          <w:spacing w:val="-4"/>
          <w:lang w:eastAsia="zh-CN"/>
        </w:rPr>
        <w:t>项规定的投标截止时间不足</w:t>
      </w:r>
      <w:r>
        <w:rPr>
          <w:rFonts w:ascii="Times New Roman" w:hAnsi="Times New Roman" w:eastAsia="Times New Roman" w:cs="Times New Roman"/>
          <w:color w:val="auto"/>
          <w:spacing w:val="-4"/>
          <w:lang w:eastAsia="zh-CN"/>
        </w:rPr>
        <w:t xml:space="preserve">15  </w:t>
      </w:r>
      <w:r>
        <w:rPr>
          <w:rFonts w:ascii="宋体" w:hAnsi="宋体" w:eastAsia="宋体" w:cs="宋体"/>
          <w:color w:val="auto"/>
          <w:spacing w:val="-4"/>
          <w:lang w:eastAsia="zh-CN"/>
        </w:rPr>
        <w:t>日，并且修改的内容确实影响</w:t>
      </w:r>
      <w:r>
        <w:rPr>
          <w:rFonts w:ascii="宋体" w:hAnsi="宋体" w:eastAsia="宋体" w:cs="宋体"/>
          <w:color w:val="auto"/>
          <w:spacing w:val="-2"/>
          <w:lang w:eastAsia="zh-CN"/>
        </w:rPr>
        <w:t>投标文件编制的，应当相应延长投标截止时间。</w:t>
      </w:r>
    </w:p>
    <w:p w14:paraId="2AFB21D4">
      <w:pPr>
        <w:spacing w:before="111" w:line="284" w:lineRule="auto"/>
        <w:ind w:left="1703" w:right="1796" w:firstLine="412"/>
        <w:rPr>
          <w:rFonts w:ascii="宋体" w:hAnsi="宋体" w:eastAsia="宋体" w:cs="宋体"/>
          <w:color w:val="auto"/>
          <w:lang w:eastAsia="zh-CN"/>
        </w:rPr>
      </w:pPr>
      <w:r>
        <w:rPr>
          <w:rFonts w:ascii="Times New Roman" w:hAnsi="Times New Roman" w:eastAsia="Times New Roman" w:cs="Times New Roman"/>
          <w:color w:val="auto"/>
          <w:lang w:eastAsia="zh-CN"/>
        </w:rPr>
        <w:t xml:space="preserve">2.3.2  </w:t>
      </w:r>
      <w:r>
        <w:rPr>
          <w:rFonts w:ascii="宋体" w:hAnsi="宋体" w:eastAsia="宋体" w:cs="宋体"/>
          <w:color w:val="auto"/>
          <w:lang w:eastAsia="zh-CN"/>
        </w:rPr>
        <w:t>投标人应实时自行关注法定公告公示信息发布媒介、电子交易系统（投标盲盒工</w:t>
      </w:r>
      <w:r>
        <w:rPr>
          <w:rFonts w:ascii="宋体" w:hAnsi="宋体" w:eastAsia="宋体" w:cs="宋体"/>
          <w:color w:val="auto"/>
          <w:spacing w:val="-3"/>
          <w:lang w:eastAsia="zh-CN"/>
        </w:rPr>
        <w:t>具）等渠道上发出的修改通知，因投标人自身原因未及时获知修改内容而导致的任何后果将</w:t>
      </w:r>
      <w:r>
        <w:rPr>
          <w:rFonts w:ascii="宋体" w:hAnsi="宋体" w:eastAsia="宋体" w:cs="宋体"/>
          <w:color w:val="auto"/>
          <w:spacing w:val="-5"/>
          <w:lang w:eastAsia="zh-CN"/>
        </w:rPr>
        <w:t>由投标人自行承担。</w:t>
      </w:r>
    </w:p>
    <w:p w14:paraId="72B4D976">
      <w:pPr>
        <w:spacing w:before="83" w:line="222" w:lineRule="auto"/>
        <w:ind w:left="1696"/>
        <w:outlineLvl w:val="2"/>
        <w:rPr>
          <w:rFonts w:ascii="黑体" w:hAnsi="黑体" w:eastAsia="黑体" w:cs="黑体"/>
          <w:color w:val="auto"/>
          <w:sz w:val="24"/>
          <w:szCs w:val="24"/>
          <w:lang w:eastAsia="zh-CN"/>
        </w:rPr>
      </w:pPr>
      <w:bookmarkStart w:id="100" w:name="bookmark23"/>
      <w:bookmarkEnd w:id="100"/>
      <w:r>
        <w:rPr>
          <w:rFonts w:ascii="Times New Roman" w:hAnsi="Times New Roman" w:eastAsia="Times New Roman" w:cs="Times New Roman"/>
          <w:color w:val="auto"/>
          <w:spacing w:val="-1"/>
          <w:sz w:val="24"/>
          <w:szCs w:val="24"/>
          <w:lang w:eastAsia="zh-CN"/>
        </w:rPr>
        <w:t xml:space="preserve">2.4  </w:t>
      </w:r>
      <w:r>
        <w:rPr>
          <w:rFonts w:ascii="黑体" w:hAnsi="黑体" w:eastAsia="黑体" w:cs="黑体"/>
          <w:color w:val="auto"/>
          <w:spacing w:val="-1"/>
          <w:sz w:val="24"/>
          <w:szCs w:val="24"/>
          <w:lang w:eastAsia="zh-CN"/>
        </w:rPr>
        <w:t>招标文件的异议</w:t>
      </w:r>
    </w:p>
    <w:p w14:paraId="4546A2E0">
      <w:pPr>
        <w:spacing w:before="101" w:line="316" w:lineRule="auto"/>
        <w:ind w:left="1700" w:right="1796" w:firstLine="415"/>
        <w:jc w:val="both"/>
        <w:rPr>
          <w:rFonts w:ascii="宋体" w:hAnsi="宋体" w:eastAsia="宋体" w:cs="宋体"/>
          <w:color w:val="auto"/>
          <w:lang w:eastAsia="zh-CN"/>
        </w:rPr>
      </w:pPr>
      <w:r>
        <w:rPr>
          <w:rFonts w:ascii="Times New Roman" w:hAnsi="Times New Roman" w:eastAsia="Times New Roman" w:cs="Times New Roman"/>
          <w:color w:val="auto"/>
          <w:lang w:eastAsia="zh-CN"/>
        </w:rPr>
        <w:t xml:space="preserve">2.4.1  </w:t>
      </w:r>
      <w:r>
        <w:rPr>
          <w:rFonts w:ascii="宋体" w:hAnsi="宋体" w:eastAsia="宋体" w:cs="宋体"/>
          <w:color w:val="auto"/>
          <w:lang w:eastAsia="zh-CN"/>
        </w:rPr>
        <w:t>投标人或者其他利害关系人对招标文件（包括对招标文件澄清和修改的内容）有</w:t>
      </w:r>
      <w:r>
        <w:rPr>
          <w:rFonts w:ascii="宋体" w:hAnsi="宋体" w:eastAsia="宋体" w:cs="宋体"/>
          <w:color w:val="auto"/>
          <w:spacing w:val="-4"/>
          <w:lang w:eastAsia="zh-CN"/>
        </w:rPr>
        <w:t>异议的，应当在投标人须知前附表第</w:t>
      </w:r>
      <w:r>
        <w:rPr>
          <w:rFonts w:ascii="Times New Roman" w:hAnsi="Times New Roman" w:eastAsia="Times New Roman" w:cs="Times New Roman"/>
          <w:color w:val="auto"/>
          <w:spacing w:val="-4"/>
          <w:lang w:eastAsia="zh-CN"/>
        </w:rPr>
        <w:t xml:space="preserve">4.2.1 </w:t>
      </w:r>
      <w:r>
        <w:rPr>
          <w:rFonts w:ascii="宋体" w:hAnsi="宋体" w:eastAsia="宋体" w:cs="宋体"/>
          <w:color w:val="auto"/>
          <w:spacing w:val="-4"/>
          <w:lang w:eastAsia="zh-CN"/>
        </w:rPr>
        <w:t>项规定的投标截止时间</w:t>
      </w:r>
      <w:r>
        <w:rPr>
          <w:rFonts w:ascii="Times New Roman" w:hAnsi="Times New Roman" w:eastAsia="Times New Roman" w:cs="Times New Roman"/>
          <w:color w:val="auto"/>
          <w:spacing w:val="-4"/>
          <w:lang w:eastAsia="zh-CN"/>
        </w:rPr>
        <w:t xml:space="preserve">10  </w:t>
      </w:r>
      <w:r>
        <w:rPr>
          <w:rFonts w:ascii="宋体" w:hAnsi="宋体" w:eastAsia="宋体" w:cs="宋体"/>
          <w:color w:val="auto"/>
          <w:spacing w:val="-4"/>
          <w:lang w:eastAsia="zh-CN"/>
        </w:rPr>
        <w:t>日前提出。招标人自收</w:t>
      </w:r>
      <w:r>
        <w:rPr>
          <w:rFonts w:ascii="宋体" w:hAnsi="宋体" w:eastAsia="宋体" w:cs="宋体"/>
          <w:color w:val="auto"/>
          <w:spacing w:val="-6"/>
          <w:lang w:eastAsia="zh-CN"/>
        </w:rPr>
        <w:t>到异议之日起</w:t>
      </w:r>
      <w:r>
        <w:rPr>
          <w:rFonts w:ascii="Times New Roman" w:hAnsi="Times New Roman" w:eastAsia="Times New Roman" w:cs="Times New Roman"/>
          <w:color w:val="auto"/>
          <w:spacing w:val="-6"/>
          <w:lang w:eastAsia="zh-CN"/>
        </w:rPr>
        <w:t>3</w:t>
      </w:r>
      <w:r>
        <w:rPr>
          <w:rFonts w:ascii="宋体" w:hAnsi="宋体" w:eastAsia="宋体" w:cs="宋体"/>
          <w:color w:val="auto"/>
          <w:spacing w:val="-6"/>
          <w:lang w:eastAsia="zh-CN"/>
        </w:rPr>
        <w:t>日内作出答复；作出答复前，招标人将暂停招标投标活</w:t>
      </w:r>
      <w:r>
        <w:rPr>
          <w:rFonts w:ascii="宋体" w:hAnsi="宋体" w:eastAsia="宋体" w:cs="宋体"/>
          <w:color w:val="auto"/>
          <w:spacing w:val="-7"/>
          <w:lang w:eastAsia="zh-CN"/>
        </w:rPr>
        <w:t>动。逾期提出的， 招</w:t>
      </w:r>
      <w:r>
        <w:rPr>
          <w:rFonts w:ascii="宋体" w:hAnsi="宋体" w:eastAsia="宋体" w:cs="宋体"/>
          <w:color w:val="auto"/>
          <w:spacing w:val="-3"/>
          <w:lang w:eastAsia="zh-CN"/>
        </w:rPr>
        <w:t>标人可不予受理。异议与答复应通过电子招标投标系统（辽宁省工程建设项目招标投标异议投诉处理系统）以书面形式进行。</w:t>
      </w:r>
    </w:p>
    <w:p w14:paraId="4E4B972B">
      <w:pPr>
        <w:spacing w:before="1" w:line="316" w:lineRule="auto"/>
        <w:ind w:left="1706" w:right="1796" w:firstLine="413"/>
        <w:jc w:val="both"/>
        <w:rPr>
          <w:rFonts w:ascii="宋体" w:hAnsi="宋体" w:eastAsia="宋体" w:cs="宋体"/>
          <w:color w:val="auto"/>
          <w:lang w:eastAsia="zh-CN"/>
        </w:rPr>
      </w:pPr>
      <w:r>
        <w:rPr>
          <w:rFonts w:ascii="宋体" w:hAnsi="宋体" w:eastAsia="宋体" w:cs="宋体"/>
          <w:color w:val="auto"/>
          <w:spacing w:val="-3"/>
          <w:lang w:eastAsia="zh-CN"/>
        </w:rPr>
        <w:t>本条所称异议是指投标人或者其他利害关系人认为招标文件的内容违反法律、法规、规章的强制性规定，违反公平竞争原则，影响投标人投标而向招标人提出的质疑。未在法定期限内提出异议视为投标人权利灭失。</w:t>
      </w:r>
    </w:p>
    <w:p w14:paraId="78E74F2B">
      <w:pPr>
        <w:spacing w:before="1" w:line="219" w:lineRule="auto"/>
        <w:ind w:left="2120"/>
        <w:rPr>
          <w:rFonts w:ascii="宋体" w:hAnsi="宋体" w:eastAsia="宋体" w:cs="宋体"/>
          <w:color w:val="auto"/>
          <w:lang w:eastAsia="zh-CN"/>
        </w:rPr>
      </w:pPr>
      <w:r>
        <w:rPr>
          <w:rFonts w:ascii="宋体" w:hAnsi="宋体" w:eastAsia="宋体" w:cs="宋体"/>
          <w:color w:val="auto"/>
          <w:spacing w:val="-2"/>
          <w:lang w:eastAsia="zh-CN"/>
        </w:rPr>
        <w:t>有关异议受理部门及联系方式见投标人须知前附表。</w:t>
      </w:r>
    </w:p>
    <w:p w14:paraId="26C3BF3D">
      <w:pPr>
        <w:spacing w:before="111" w:line="318" w:lineRule="auto"/>
        <w:ind w:left="1700" w:right="1849" w:firstLine="4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2.4.2  </w:t>
      </w:r>
      <w:r>
        <w:rPr>
          <w:rFonts w:ascii="宋体" w:hAnsi="宋体" w:eastAsia="宋体" w:cs="宋体"/>
          <w:color w:val="auto"/>
          <w:spacing w:val="1"/>
          <w:lang w:eastAsia="zh-CN"/>
        </w:rPr>
        <w:t>招标人对异议的答复构成对招标文件澄清或者修改的，招标人将按照本章第</w:t>
      </w:r>
      <w:r>
        <w:rPr>
          <w:rFonts w:ascii="Times New Roman" w:hAnsi="Times New Roman" w:eastAsia="Times New Roman" w:cs="Times New Roman"/>
          <w:color w:val="auto"/>
          <w:spacing w:val="1"/>
          <w:lang w:eastAsia="zh-CN"/>
        </w:rPr>
        <w:t>2.2</w:t>
      </w:r>
      <w:r>
        <w:rPr>
          <w:rFonts w:ascii="宋体" w:hAnsi="宋体" w:eastAsia="宋体" w:cs="宋体"/>
          <w:color w:val="auto"/>
          <w:spacing w:val="-3"/>
          <w:lang w:eastAsia="zh-CN"/>
        </w:rPr>
        <w:t>款、第</w:t>
      </w:r>
      <w:r>
        <w:rPr>
          <w:rFonts w:ascii="Times New Roman" w:hAnsi="Times New Roman" w:eastAsia="Times New Roman" w:cs="Times New Roman"/>
          <w:color w:val="auto"/>
          <w:spacing w:val="-3"/>
          <w:lang w:eastAsia="zh-CN"/>
        </w:rPr>
        <w:t xml:space="preserve">2.3 </w:t>
      </w:r>
      <w:r>
        <w:rPr>
          <w:rFonts w:ascii="宋体" w:hAnsi="宋体" w:eastAsia="宋体" w:cs="宋体"/>
          <w:color w:val="auto"/>
          <w:spacing w:val="-3"/>
          <w:lang w:eastAsia="zh-CN"/>
        </w:rPr>
        <w:t>款规定办理。</w:t>
      </w:r>
    </w:p>
    <w:p w14:paraId="50EDD022">
      <w:pPr>
        <w:spacing w:before="35" w:line="222" w:lineRule="auto"/>
        <w:ind w:left="1702"/>
        <w:outlineLvl w:val="1"/>
        <w:rPr>
          <w:rFonts w:ascii="黑体" w:hAnsi="黑体" w:eastAsia="黑体" w:cs="黑体"/>
          <w:color w:val="auto"/>
          <w:sz w:val="28"/>
          <w:szCs w:val="28"/>
          <w:lang w:eastAsia="zh-CN"/>
        </w:rPr>
      </w:pPr>
      <w:bookmarkStart w:id="101" w:name="bookmark24"/>
      <w:bookmarkEnd w:id="101"/>
      <w:bookmarkStart w:id="102" w:name="bookmark25"/>
      <w:bookmarkEnd w:id="102"/>
      <w:bookmarkStart w:id="103" w:name="_Toc4074"/>
      <w:bookmarkStart w:id="104" w:name="_Toc21483"/>
      <w:bookmarkStart w:id="105" w:name="_Toc22786"/>
      <w:bookmarkStart w:id="106" w:name="_Toc15671"/>
      <w:bookmarkStart w:id="107" w:name="_Toc12010"/>
      <w:bookmarkStart w:id="108" w:name="_Toc1133"/>
      <w:r>
        <w:rPr>
          <w:rFonts w:ascii="Times New Roman" w:hAnsi="Times New Roman" w:eastAsia="Times New Roman" w:cs="Times New Roman"/>
          <w:color w:val="auto"/>
          <w:spacing w:val="-2"/>
          <w:sz w:val="28"/>
          <w:szCs w:val="28"/>
          <w:lang w:eastAsia="zh-CN"/>
        </w:rPr>
        <w:t>3.</w:t>
      </w:r>
      <w:r>
        <w:rPr>
          <w:rFonts w:ascii="黑体" w:hAnsi="黑体" w:eastAsia="黑体" w:cs="黑体"/>
          <w:color w:val="auto"/>
          <w:spacing w:val="-2"/>
          <w:sz w:val="28"/>
          <w:szCs w:val="28"/>
          <w:lang w:eastAsia="zh-CN"/>
        </w:rPr>
        <w:t>投标文件</w:t>
      </w:r>
      <w:bookmarkEnd w:id="103"/>
      <w:bookmarkEnd w:id="104"/>
      <w:bookmarkEnd w:id="105"/>
      <w:bookmarkEnd w:id="106"/>
      <w:bookmarkEnd w:id="107"/>
      <w:bookmarkEnd w:id="108"/>
    </w:p>
    <w:p w14:paraId="249CD3FE">
      <w:pPr>
        <w:spacing w:before="58" w:line="222" w:lineRule="auto"/>
        <w:ind w:left="1700"/>
        <w:outlineLvl w:val="2"/>
        <w:rPr>
          <w:rFonts w:ascii="黑体" w:hAnsi="黑体" w:eastAsia="黑体" w:cs="黑体"/>
          <w:color w:val="auto"/>
          <w:sz w:val="24"/>
          <w:szCs w:val="24"/>
          <w:lang w:eastAsia="zh-CN"/>
        </w:rPr>
      </w:pPr>
      <w:bookmarkStart w:id="109" w:name="bookmark212"/>
      <w:bookmarkEnd w:id="109"/>
      <w:r>
        <w:rPr>
          <w:rFonts w:ascii="Times New Roman" w:hAnsi="Times New Roman" w:eastAsia="Times New Roman" w:cs="Times New Roman"/>
          <w:color w:val="auto"/>
          <w:spacing w:val="-1"/>
          <w:sz w:val="24"/>
          <w:szCs w:val="24"/>
          <w:lang w:eastAsia="zh-CN"/>
        </w:rPr>
        <w:t xml:space="preserve">3.1  </w:t>
      </w:r>
      <w:r>
        <w:rPr>
          <w:rFonts w:ascii="黑体" w:hAnsi="黑体" w:eastAsia="黑体" w:cs="黑体"/>
          <w:color w:val="auto"/>
          <w:spacing w:val="-1"/>
          <w:sz w:val="24"/>
          <w:szCs w:val="24"/>
          <w:lang w:eastAsia="zh-CN"/>
        </w:rPr>
        <w:t>投标文件的组成</w:t>
      </w:r>
    </w:p>
    <w:p w14:paraId="3C0BCC58">
      <w:pPr>
        <w:spacing w:before="98"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4"/>
          <w:lang w:eastAsia="zh-CN"/>
        </w:rPr>
        <w:t>3.1.1</w:t>
      </w:r>
      <w:r>
        <w:rPr>
          <w:rFonts w:ascii="宋体" w:hAnsi="宋体" w:eastAsia="宋体" w:cs="宋体"/>
          <w:color w:val="auto"/>
          <w:spacing w:val="-4"/>
          <w:lang w:eastAsia="zh-CN"/>
        </w:rPr>
        <w:t>投标文件应包括下列内容：</w:t>
      </w:r>
    </w:p>
    <w:p w14:paraId="22831596">
      <w:pPr>
        <w:spacing w:before="109" w:line="221" w:lineRule="auto"/>
        <w:ind w:left="2124"/>
        <w:rPr>
          <w:rFonts w:ascii="宋体" w:hAnsi="宋体" w:eastAsia="宋体" w:cs="宋体"/>
          <w:color w:val="auto"/>
          <w:lang w:eastAsia="zh-CN"/>
        </w:rPr>
      </w:pPr>
      <w:r>
        <w:rPr>
          <w:rFonts w:ascii="宋体" w:hAnsi="宋体" w:eastAsia="宋体" w:cs="宋体"/>
          <w:color w:val="auto"/>
          <w:spacing w:val="-8"/>
          <w:lang w:eastAsia="zh-CN"/>
        </w:rPr>
        <w:t>（</w:t>
      </w:r>
      <w:r>
        <w:rPr>
          <w:rFonts w:ascii="Times New Roman" w:hAnsi="Times New Roman" w:eastAsia="Times New Roman" w:cs="Times New Roman"/>
          <w:color w:val="auto"/>
          <w:spacing w:val="-8"/>
          <w:lang w:eastAsia="zh-CN"/>
        </w:rPr>
        <w:t>1</w:t>
      </w:r>
      <w:r>
        <w:rPr>
          <w:rFonts w:ascii="宋体" w:hAnsi="宋体" w:eastAsia="宋体" w:cs="宋体"/>
          <w:color w:val="auto"/>
          <w:spacing w:val="-8"/>
          <w:lang w:eastAsia="zh-CN"/>
        </w:rPr>
        <w:t>）投标函；</w:t>
      </w:r>
    </w:p>
    <w:p w14:paraId="4FC19132">
      <w:pPr>
        <w:spacing w:before="108"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2</w:t>
      </w:r>
      <w:r>
        <w:rPr>
          <w:rFonts w:ascii="宋体" w:hAnsi="宋体" w:eastAsia="宋体" w:cs="宋体"/>
          <w:color w:val="auto"/>
          <w:spacing w:val="-4"/>
          <w:lang w:eastAsia="zh-CN"/>
        </w:rPr>
        <w:t>）法定代表人身份证明或授权委托书；</w:t>
      </w:r>
    </w:p>
    <w:p w14:paraId="49913E13">
      <w:pPr>
        <w:spacing w:before="110" w:line="221"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）投标保证金；</w:t>
      </w:r>
    </w:p>
    <w:p w14:paraId="06B661CB">
      <w:pPr>
        <w:spacing w:line="221" w:lineRule="auto"/>
        <w:rPr>
          <w:rFonts w:ascii="宋体" w:hAnsi="宋体" w:eastAsia="宋体" w:cs="宋体"/>
          <w:color w:val="auto"/>
          <w:lang w:eastAsia="zh-CN"/>
        </w:rPr>
        <w:sectPr>
          <w:footerReference r:id="rId16" w:type="default"/>
          <w:pgSz w:w="11906" w:h="16839"/>
          <w:pgMar w:top="400" w:right="0" w:bottom="1006" w:left="105" w:header="0" w:footer="846" w:gutter="0"/>
          <w:cols w:space="720" w:num="1"/>
        </w:sectPr>
      </w:pPr>
    </w:p>
    <w:p w14:paraId="4A85096D">
      <w:pPr>
        <w:pStyle w:val="8"/>
        <w:spacing w:line="268" w:lineRule="auto"/>
        <w:rPr>
          <w:lang w:eastAsia="zh-CN"/>
        </w:rPr>
      </w:pPr>
    </w:p>
    <w:p w14:paraId="200F3524">
      <w:pPr>
        <w:pStyle w:val="8"/>
        <w:spacing w:line="268" w:lineRule="auto"/>
        <w:rPr>
          <w:lang w:eastAsia="zh-CN"/>
        </w:rPr>
      </w:pPr>
    </w:p>
    <w:p w14:paraId="146E6E16">
      <w:pPr>
        <w:pStyle w:val="8"/>
        <w:spacing w:line="268" w:lineRule="auto"/>
        <w:rPr>
          <w:lang w:eastAsia="zh-CN"/>
        </w:rPr>
      </w:pPr>
    </w:p>
    <w:p w14:paraId="0FCA0A98">
      <w:pPr>
        <w:pStyle w:val="8"/>
        <w:spacing w:line="268" w:lineRule="auto"/>
        <w:rPr>
          <w:lang w:eastAsia="zh-CN"/>
        </w:rPr>
      </w:pPr>
    </w:p>
    <w:p w14:paraId="28B7BD73">
      <w:pPr>
        <w:spacing w:before="68"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4</w:t>
      </w:r>
      <w:r>
        <w:rPr>
          <w:rFonts w:ascii="宋体" w:hAnsi="宋体" w:eastAsia="宋体" w:cs="宋体"/>
          <w:color w:val="auto"/>
          <w:spacing w:val="-6"/>
          <w:lang w:eastAsia="zh-CN"/>
        </w:rPr>
        <w:t>）联合体协议书；</w:t>
      </w:r>
    </w:p>
    <w:p w14:paraId="1B367F3F">
      <w:pPr>
        <w:spacing w:before="110"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5</w:t>
      </w:r>
      <w:r>
        <w:rPr>
          <w:rFonts w:ascii="宋体" w:hAnsi="宋体" w:eastAsia="宋体" w:cs="宋体"/>
          <w:color w:val="auto"/>
          <w:spacing w:val="-5"/>
          <w:lang w:eastAsia="zh-CN"/>
        </w:rPr>
        <w:t>）商务和技术偏差表；</w:t>
      </w:r>
    </w:p>
    <w:p w14:paraId="5C451502">
      <w:pPr>
        <w:spacing w:before="109" w:line="219"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6</w:t>
      </w:r>
      <w:r>
        <w:rPr>
          <w:rFonts w:ascii="宋体" w:hAnsi="宋体" w:eastAsia="宋体" w:cs="宋体"/>
          <w:color w:val="auto"/>
          <w:spacing w:val="-7"/>
          <w:lang w:eastAsia="zh-CN"/>
        </w:rPr>
        <w:t>）分项报价表；</w:t>
      </w:r>
    </w:p>
    <w:p w14:paraId="4C637CF1">
      <w:pPr>
        <w:spacing w:before="111"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7</w:t>
      </w:r>
      <w:r>
        <w:rPr>
          <w:rFonts w:ascii="宋体" w:hAnsi="宋体" w:eastAsia="宋体" w:cs="宋体"/>
          <w:color w:val="auto"/>
          <w:spacing w:val="-6"/>
          <w:lang w:eastAsia="zh-CN"/>
        </w:rPr>
        <w:t>）资格审查资料；</w:t>
      </w:r>
    </w:p>
    <w:p w14:paraId="5695B6D3">
      <w:pPr>
        <w:spacing w:before="10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8</w:t>
      </w:r>
      <w:r>
        <w:rPr>
          <w:rFonts w:ascii="宋体" w:hAnsi="宋体" w:eastAsia="宋体" w:cs="宋体"/>
          <w:color w:val="auto"/>
          <w:spacing w:val="-4"/>
          <w:lang w:eastAsia="zh-CN"/>
        </w:rPr>
        <w:t>）投标设备技术性能指标的详细描述；</w:t>
      </w:r>
    </w:p>
    <w:p w14:paraId="212D0FD8">
      <w:pPr>
        <w:spacing w:before="110"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9</w:t>
      </w:r>
      <w:r>
        <w:rPr>
          <w:rFonts w:ascii="宋体" w:hAnsi="宋体" w:eastAsia="宋体" w:cs="宋体"/>
          <w:color w:val="auto"/>
          <w:spacing w:val="-6"/>
          <w:lang w:eastAsia="zh-CN"/>
        </w:rPr>
        <w:t>）技术支持资料；</w:t>
      </w:r>
    </w:p>
    <w:p w14:paraId="60D0C99F">
      <w:pPr>
        <w:spacing w:before="10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10</w:t>
      </w:r>
      <w:r>
        <w:rPr>
          <w:rFonts w:ascii="宋体" w:hAnsi="宋体" w:eastAsia="宋体" w:cs="宋体"/>
          <w:color w:val="auto"/>
          <w:spacing w:val="-4"/>
          <w:lang w:eastAsia="zh-CN"/>
        </w:rPr>
        <w:t>）技术服务和质保期服务计划；</w:t>
      </w:r>
    </w:p>
    <w:p w14:paraId="34DFFE4B">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11</w:t>
      </w:r>
      <w:r>
        <w:rPr>
          <w:rFonts w:ascii="宋体" w:hAnsi="宋体" w:eastAsia="宋体" w:cs="宋体"/>
          <w:color w:val="auto"/>
          <w:spacing w:val="-3"/>
          <w:lang w:eastAsia="zh-CN"/>
        </w:rPr>
        <w:t>）投标人须知前附表规定的其他资料。</w:t>
      </w:r>
    </w:p>
    <w:p w14:paraId="322AF2F7">
      <w:pPr>
        <w:spacing w:before="112" w:line="316" w:lineRule="auto"/>
        <w:ind w:left="1701" w:right="1796" w:firstLine="420"/>
        <w:rPr>
          <w:rFonts w:ascii="宋体" w:hAnsi="宋体" w:eastAsia="宋体" w:cs="宋体"/>
          <w:color w:val="auto"/>
          <w:lang w:eastAsia="zh-CN"/>
        </w:rPr>
      </w:pPr>
      <w:r>
        <w:rPr>
          <w:rFonts w:ascii="宋体" w:hAnsi="宋体" w:eastAsia="宋体" w:cs="宋体"/>
          <w:color w:val="auto"/>
          <w:spacing w:val="-3"/>
          <w:lang w:eastAsia="zh-CN"/>
        </w:rPr>
        <w:t>投标人在评标过程中作出的符合法律法规和招标文件规定的澄清确认，构成投标文件的</w:t>
      </w:r>
      <w:r>
        <w:rPr>
          <w:rFonts w:ascii="宋体" w:hAnsi="宋体" w:eastAsia="宋体" w:cs="宋体"/>
          <w:color w:val="auto"/>
          <w:spacing w:val="-7"/>
          <w:lang w:eastAsia="zh-CN"/>
        </w:rPr>
        <w:t>组成部分。</w:t>
      </w:r>
    </w:p>
    <w:p w14:paraId="38C8DAB6">
      <w:pPr>
        <w:spacing w:line="268" w:lineRule="auto"/>
        <w:ind w:left="1700" w:right="1797" w:firstLine="418"/>
        <w:rPr>
          <w:rFonts w:ascii="宋体" w:hAnsi="宋体" w:eastAsia="宋体" w:cs="宋体"/>
          <w:color w:val="auto"/>
          <w:lang w:eastAsia="zh-CN"/>
        </w:rPr>
      </w:pPr>
      <w:r>
        <w:rPr>
          <w:rFonts w:ascii="Times New Roman" w:hAnsi="Times New Roman" w:eastAsia="Times New Roman" w:cs="Times New Roman"/>
          <w:color w:val="auto"/>
          <w:lang w:eastAsia="zh-CN"/>
        </w:rPr>
        <w:t xml:space="preserve">3.1.2  </w:t>
      </w:r>
      <w:r>
        <w:rPr>
          <w:rFonts w:ascii="宋体" w:hAnsi="宋体" w:eastAsia="宋体" w:cs="宋体"/>
          <w:color w:val="auto"/>
          <w:lang w:eastAsia="zh-CN"/>
        </w:rPr>
        <w:t>投标人须知前附表规定不接受联合体投标的，或投标人没有组成联合体的，投标</w:t>
      </w:r>
      <w:r>
        <w:rPr>
          <w:rFonts w:ascii="宋体" w:hAnsi="宋体" w:eastAsia="宋体" w:cs="宋体"/>
          <w:color w:val="auto"/>
          <w:spacing w:val="-2"/>
          <w:lang w:eastAsia="zh-CN"/>
        </w:rPr>
        <w:t xml:space="preserve">文件不包括本章第 </w:t>
      </w:r>
      <w:r>
        <w:rPr>
          <w:rFonts w:ascii="Times New Roman" w:hAnsi="Times New Roman" w:eastAsia="Times New Roman" w:cs="Times New Roman"/>
          <w:color w:val="auto"/>
          <w:spacing w:val="-2"/>
          <w:lang w:eastAsia="zh-CN"/>
        </w:rPr>
        <w:t>3.1.1</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）目所指的联合体协议书。</w:t>
      </w:r>
    </w:p>
    <w:p w14:paraId="46139A9A">
      <w:pPr>
        <w:spacing w:before="109" w:line="269" w:lineRule="auto"/>
        <w:ind w:left="1739" w:right="1811" w:firstLine="380"/>
        <w:rPr>
          <w:rFonts w:ascii="宋体" w:hAnsi="宋体" w:eastAsia="宋体" w:cs="宋体"/>
          <w:color w:val="auto"/>
          <w:lang w:eastAsia="zh-CN"/>
        </w:rPr>
      </w:pPr>
      <w:r>
        <w:rPr>
          <w:rFonts w:ascii="Times New Roman" w:hAnsi="Times New Roman" w:eastAsia="Times New Roman" w:cs="Times New Roman"/>
          <w:color w:val="auto"/>
          <w:lang w:eastAsia="zh-CN"/>
        </w:rPr>
        <w:t xml:space="preserve">3.1.3  </w:t>
      </w:r>
      <w:r>
        <w:rPr>
          <w:rFonts w:ascii="宋体" w:hAnsi="宋体" w:eastAsia="宋体" w:cs="宋体"/>
          <w:color w:val="auto"/>
          <w:lang w:eastAsia="zh-CN"/>
        </w:rPr>
        <w:t xml:space="preserve">投标人须知前附表未要求提交投标保证金的，投标文件不包括本章第 </w:t>
      </w:r>
      <w:r>
        <w:rPr>
          <w:rFonts w:ascii="Times New Roman" w:hAnsi="Times New Roman" w:eastAsia="Times New Roman" w:cs="Times New Roman"/>
          <w:color w:val="auto"/>
          <w:lang w:eastAsia="zh-CN"/>
        </w:rPr>
        <w:t>3</w:t>
      </w:r>
      <w:r>
        <w:rPr>
          <w:rFonts w:ascii="Times New Roman" w:hAnsi="Times New Roman" w:eastAsia="Times New Roman" w:cs="Times New Roman"/>
          <w:color w:val="auto"/>
          <w:spacing w:val="-1"/>
          <w:lang w:eastAsia="zh-CN"/>
        </w:rPr>
        <w:t>.1.1</w:t>
      </w: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w:t>
      </w:r>
      <w:r>
        <w:rPr>
          <w:rFonts w:ascii="宋体" w:hAnsi="宋体" w:eastAsia="宋体" w:cs="宋体"/>
          <w:color w:val="auto"/>
          <w:spacing w:val="-8"/>
          <w:lang w:eastAsia="zh-CN"/>
        </w:rPr>
        <w:t>目所指的投标保证金。</w:t>
      </w:r>
    </w:p>
    <w:p w14:paraId="45DD7C6F">
      <w:pPr>
        <w:spacing w:before="83" w:line="222" w:lineRule="auto"/>
        <w:ind w:left="1700"/>
        <w:outlineLvl w:val="2"/>
        <w:rPr>
          <w:rFonts w:ascii="黑体" w:hAnsi="黑体" w:eastAsia="黑体" w:cs="黑体"/>
          <w:color w:val="auto"/>
          <w:sz w:val="24"/>
          <w:szCs w:val="24"/>
          <w:lang w:eastAsia="zh-CN"/>
        </w:rPr>
      </w:pPr>
      <w:bookmarkStart w:id="110" w:name="bookmark26"/>
      <w:bookmarkEnd w:id="110"/>
      <w:r>
        <w:rPr>
          <w:rFonts w:ascii="Times New Roman" w:hAnsi="Times New Roman" w:eastAsia="Times New Roman" w:cs="Times New Roman"/>
          <w:color w:val="auto"/>
          <w:spacing w:val="-1"/>
          <w:sz w:val="24"/>
          <w:szCs w:val="24"/>
          <w:lang w:eastAsia="zh-CN"/>
        </w:rPr>
        <w:t xml:space="preserve">3.2  </w:t>
      </w:r>
      <w:r>
        <w:rPr>
          <w:rFonts w:ascii="黑体" w:hAnsi="黑体" w:eastAsia="黑体" w:cs="黑体"/>
          <w:color w:val="auto"/>
          <w:spacing w:val="-1"/>
          <w:sz w:val="24"/>
          <w:szCs w:val="24"/>
          <w:lang w:eastAsia="zh-CN"/>
        </w:rPr>
        <w:t>投标报价</w:t>
      </w:r>
    </w:p>
    <w:p w14:paraId="1BB5C214">
      <w:pPr>
        <w:spacing w:before="97" w:line="284" w:lineRule="auto"/>
        <w:ind w:left="1698" w:right="1796" w:firstLine="421"/>
        <w:rPr>
          <w:rFonts w:ascii="宋体" w:hAnsi="宋体" w:eastAsia="宋体" w:cs="宋体"/>
          <w:color w:val="auto"/>
          <w:lang w:eastAsia="zh-CN"/>
        </w:rPr>
      </w:pPr>
      <w:r>
        <w:rPr>
          <w:rFonts w:ascii="Times New Roman" w:hAnsi="Times New Roman" w:eastAsia="Times New Roman" w:cs="Times New Roman"/>
          <w:color w:val="auto"/>
          <w:lang w:eastAsia="zh-CN"/>
        </w:rPr>
        <w:t xml:space="preserve">3.2.1  </w:t>
      </w:r>
      <w:r>
        <w:rPr>
          <w:rFonts w:ascii="宋体" w:hAnsi="宋体" w:eastAsia="宋体" w:cs="宋体"/>
          <w:color w:val="auto"/>
          <w:lang w:eastAsia="zh-CN"/>
        </w:rPr>
        <w:t>投标报价应包括国家规定的增值税税金，除投标人须知前附表另有规定外，增值</w:t>
      </w:r>
      <w:r>
        <w:rPr>
          <w:rFonts w:ascii="宋体" w:hAnsi="宋体" w:eastAsia="宋体" w:cs="宋体"/>
          <w:color w:val="auto"/>
          <w:spacing w:val="-2"/>
          <w:lang w:eastAsia="zh-CN"/>
        </w:rPr>
        <w:t>税税金按一般计税方法计算。投标人应按第六章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投标文件格式</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的要求在投标函中进行报价</w:t>
      </w:r>
      <w:r>
        <w:rPr>
          <w:rFonts w:ascii="宋体" w:hAnsi="宋体" w:eastAsia="宋体" w:cs="宋体"/>
          <w:color w:val="auto"/>
          <w:spacing w:val="-4"/>
          <w:lang w:eastAsia="zh-CN"/>
        </w:rPr>
        <w:t>并填写分项报价表。</w:t>
      </w:r>
    </w:p>
    <w:p w14:paraId="25EF0A9D">
      <w:pPr>
        <w:spacing w:before="111" w:line="219"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3.2.2  </w:t>
      </w:r>
      <w:r>
        <w:rPr>
          <w:rFonts w:ascii="宋体" w:hAnsi="宋体" w:eastAsia="宋体" w:cs="宋体"/>
          <w:color w:val="auto"/>
          <w:spacing w:val="-1"/>
          <w:lang w:eastAsia="zh-CN"/>
        </w:rPr>
        <w:t>投标人应充分了解该项目的总体情况以及影响投标报价的其他要素。</w:t>
      </w:r>
    </w:p>
    <w:p w14:paraId="576BE649">
      <w:pPr>
        <w:spacing w:before="112" w:line="292" w:lineRule="auto"/>
        <w:ind w:left="1698" w:right="1796" w:firstLine="421"/>
        <w:rPr>
          <w:rFonts w:ascii="宋体" w:hAnsi="宋体" w:eastAsia="宋体" w:cs="宋体"/>
          <w:color w:val="auto"/>
          <w:lang w:eastAsia="zh-CN"/>
        </w:rPr>
      </w:pPr>
      <w:r>
        <w:rPr>
          <w:rFonts w:ascii="Times New Roman" w:hAnsi="Times New Roman" w:eastAsia="Times New Roman" w:cs="Times New Roman"/>
          <w:color w:val="auto"/>
          <w:lang w:eastAsia="zh-CN"/>
        </w:rPr>
        <w:t xml:space="preserve">3.2.3  </w:t>
      </w:r>
      <w:r>
        <w:rPr>
          <w:rFonts w:ascii="宋体" w:hAnsi="宋体" w:eastAsia="宋体" w:cs="宋体"/>
          <w:color w:val="auto"/>
          <w:lang w:eastAsia="zh-CN"/>
        </w:rPr>
        <w:t>投标报价为各分项报价金额之和，投标报价与分项报价的合价不一致的，应以各</w:t>
      </w:r>
      <w:r>
        <w:rPr>
          <w:rFonts w:ascii="宋体" w:hAnsi="宋体" w:eastAsia="宋体" w:cs="宋体"/>
          <w:color w:val="auto"/>
          <w:spacing w:val="-2"/>
          <w:lang w:eastAsia="zh-CN"/>
        </w:rPr>
        <w:t>分项合价累计数为准，修正投标报价；如分项报价中</w:t>
      </w:r>
      <w:r>
        <w:rPr>
          <w:rFonts w:ascii="宋体" w:hAnsi="宋体" w:eastAsia="宋体" w:cs="宋体"/>
          <w:color w:val="auto"/>
          <w:spacing w:val="-3"/>
          <w:lang w:eastAsia="zh-CN"/>
        </w:rPr>
        <w:t>存在缺漏项，则视为缺漏项价格已包含</w:t>
      </w:r>
      <w:r>
        <w:rPr>
          <w:rFonts w:ascii="宋体" w:hAnsi="宋体" w:eastAsia="宋体" w:cs="宋体"/>
          <w:color w:val="auto"/>
          <w:spacing w:val="-4"/>
          <w:lang w:eastAsia="zh-CN"/>
        </w:rPr>
        <w:t>在其他分项报价之中。投标人在投标截止时间前修改投标函中的投标报价总额，应同时修改</w:t>
      </w:r>
      <w:r>
        <w:rPr>
          <w:rFonts w:ascii="宋体" w:hAnsi="宋体" w:eastAsia="宋体" w:cs="宋体"/>
          <w:color w:val="auto"/>
          <w:spacing w:val="-1"/>
          <w:lang w:eastAsia="zh-CN"/>
        </w:rPr>
        <w:t>投标文件</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分项报价表</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 xml:space="preserve">中的相应报价。此修改须符合本章第 </w:t>
      </w:r>
      <w:r>
        <w:rPr>
          <w:rFonts w:ascii="Times New Roman" w:hAnsi="Times New Roman" w:eastAsia="Times New Roman" w:cs="Times New Roman"/>
          <w:color w:val="auto"/>
          <w:spacing w:val="-1"/>
          <w:lang w:eastAsia="zh-CN"/>
        </w:rPr>
        <w:t xml:space="preserve">4.3  </w:t>
      </w:r>
      <w:r>
        <w:rPr>
          <w:rFonts w:ascii="宋体" w:hAnsi="宋体" w:eastAsia="宋体" w:cs="宋体"/>
          <w:color w:val="auto"/>
          <w:spacing w:val="-1"/>
          <w:lang w:eastAsia="zh-CN"/>
        </w:rPr>
        <w:t>款的有关要求。</w:t>
      </w:r>
    </w:p>
    <w:p w14:paraId="628E7EDD">
      <w:pPr>
        <w:spacing w:before="110" w:line="268" w:lineRule="auto"/>
        <w:ind w:left="1700" w:right="1797" w:firstLine="419"/>
        <w:rPr>
          <w:rFonts w:ascii="宋体" w:hAnsi="宋体" w:eastAsia="宋体" w:cs="宋体"/>
          <w:color w:val="auto"/>
          <w:lang w:eastAsia="zh-CN"/>
        </w:rPr>
      </w:pPr>
      <w:r>
        <w:rPr>
          <w:rFonts w:ascii="Times New Roman" w:hAnsi="Times New Roman" w:eastAsia="Times New Roman" w:cs="Times New Roman"/>
          <w:color w:val="auto"/>
          <w:lang w:eastAsia="zh-CN"/>
        </w:rPr>
        <w:t xml:space="preserve">3.2.4  </w:t>
      </w:r>
      <w:r>
        <w:rPr>
          <w:rFonts w:ascii="宋体" w:hAnsi="宋体" w:eastAsia="宋体" w:cs="宋体"/>
          <w:color w:val="auto"/>
          <w:lang w:eastAsia="zh-CN"/>
        </w:rPr>
        <w:t>招标人设有最高投标限价的，投标人的投标报价不得超过最高投标限价，最高投</w:t>
      </w:r>
      <w:r>
        <w:rPr>
          <w:rFonts w:ascii="宋体" w:hAnsi="宋体" w:eastAsia="宋体" w:cs="宋体"/>
          <w:color w:val="auto"/>
          <w:spacing w:val="-3"/>
          <w:lang w:eastAsia="zh-CN"/>
        </w:rPr>
        <w:t>标限价在投标人须知前附表中载明。</w:t>
      </w:r>
    </w:p>
    <w:p w14:paraId="7EE6B6AF">
      <w:pPr>
        <w:spacing w:before="111" w:line="219" w:lineRule="auto"/>
        <w:ind w:left="2119"/>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3.2.5  </w:t>
      </w:r>
      <w:r>
        <w:rPr>
          <w:rFonts w:ascii="宋体" w:hAnsi="宋体" w:eastAsia="宋体" w:cs="宋体"/>
          <w:color w:val="auto"/>
          <w:spacing w:val="-2"/>
          <w:lang w:eastAsia="zh-CN"/>
        </w:rPr>
        <w:t>投标报价的其他要求见投标人须知前附表。</w:t>
      </w:r>
    </w:p>
    <w:p w14:paraId="67BC6E11">
      <w:pPr>
        <w:spacing w:before="85" w:line="221" w:lineRule="auto"/>
        <w:ind w:left="1700"/>
        <w:outlineLvl w:val="2"/>
        <w:rPr>
          <w:rFonts w:ascii="黑体" w:hAnsi="黑体" w:eastAsia="黑体" w:cs="黑体"/>
          <w:color w:val="auto"/>
          <w:sz w:val="24"/>
          <w:szCs w:val="24"/>
          <w:lang w:eastAsia="zh-CN"/>
        </w:rPr>
      </w:pPr>
      <w:bookmarkStart w:id="111" w:name="bookmark27"/>
      <w:bookmarkEnd w:id="111"/>
      <w:r>
        <w:rPr>
          <w:rFonts w:ascii="Times New Roman" w:hAnsi="Times New Roman" w:eastAsia="Times New Roman" w:cs="Times New Roman"/>
          <w:color w:val="auto"/>
          <w:spacing w:val="-1"/>
          <w:sz w:val="24"/>
          <w:szCs w:val="24"/>
          <w:lang w:eastAsia="zh-CN"/>
        </w:rPr>
        <w:t xml:space="preserve">3.3  </w:t>
      </w:r>
      <w:r>
        <w:rPr>
          <w:rFonts w:ascii="黑体" w:hAnsi="黑体" w:eastAsia="黑体" w:cs="黑体"/>
          <w:color w:val="auto"/>
          <w:spacing w:val="-1"/>
          <w:sz w:val="24"/>
          <w:szCs w:val="24"/>
          <w:lang w:eastAsia="zh-CN"/>
        </w:rPr>
        <w:t>投标有效期</w:t>
      </w:r>
    </w:p>
    <w:p w14:paraId="7DC99338">
      <w:pPr>
        <w:spacing w:before="99" w:line="268" w:lineRule="auto"/>
        <w:ind w:left="1698" w:right="1797" w:firstLine="421"/>
        <w:rPr>
          <w:rFonts w:ascii="宋体" w:hAnsi="宋体" w:eastAsia="宋体" w:cs="宋体"/>
          <w:color w:val="auto"/>
          <w:lang w:eastAsia="zh-CN"/>
        </w:rPr>
      </w:pPr>
      <w:r>
        <w:rPr>
          <w:rFonts w:ascii="Times New Roman" w:hAnsi="Times New Roman" w:eastAsia="Times New Roman" w:cs="Times New Roman"/>
          <w:color w:val="auto"/>
          <w:lang w:eastAsia="zh-CN"/>
        </w:rPr>
        <w:t xml:space="preserve">3.3.1  </w:t>
      </w:r>
      <w:r>
        <w:rPr>
          <w:rFonts w:ascii="宋体" w:hAnsi="宋体" w:eastAsia="宋体" w:cs="宋体"/>
          <w:color w:val="auto"/>
          <w:lang w:eastAsia="zh-CN"/>
        </w:rPr>
        <w:t>在投标人须知前附表规定的投标有效期内，投标人不得要求撤销或修改其投标文</w:t>
      </w:r>
      <w:r>
        <w:rPr>
          <w:rFonts w:ascii="宋体" w:hAnsi="宋体" w:eastAsia="宋体" w:cs="宋体"/>
          <w:color w:val="auto"/>
          <w:spacing w:val="-10"/>
          <w:lang w:eastAsia="zh-CN"/>
        </w:rPr>
        <w:t>件。</w:t>
      </w:r>
    </w:p>
    <w:p w14:paraId="0ACCC74D">
      <w:pPr>
        <w:spacing w:before="111" w:line="284" w:lineRule="auto"/>
        <w:ind w:left="1700" w:right="1738" w:firstLine="419"/>
        <w:rPr>
          <w:rFonts w:ascii="宋体" w:hAnsi="宋体" w:eastAsia="宋体" w:cs="宋体"/>
          <w:color w:val="auto"/>
          <w:lang w:eastAsia="zh-CN"/>
        </w:rPr>
      </w:pPr>
      <w:r>
        <w:rPr>
          <w:rFonts w:ascii="Times New Roman" w:hAnsi="Times New Roman" w:eastAsia="Times New Roman" w:cs="Times New Roman"/>
          <w:color w:val="auto"/>
          <w:lang w:eastAsia="zh-CN"/>
        </w:rPr>
        <w:t>3.3.2</w:t>
      </w:r>
      <w:r>
        <w:rPr>
          <w:rFonts w:ascii="宋体" w:hAnsi="宋体" w:eastAsia="宋体" w:cs="宋体"/>
          <w:color w:val="auto"/>
          <w:lang w:eastAsia="zh-CN"/>
        </w:rPr>
        <w:t>出现特殊情况需要延长投标有效期</w:t>
      </w:r>
      <w:r>
        <w:rPr>
          <w:rFonts w:ascii="宋体" w:hAnsi="宋体" w:eastAsia="宋体" w:cs="宋体"/>
          <w:color w:val="auto"/>
          <w:spacing w:val="-1"/>
          <w:lang w:eastAsia="zh-CN"/>
        </w:rPr>
        <w:t>的，招标人以书面形式通知所有投标人延长投</w:t>
      </w:r>
      <w:r>
        <w:rPr>
          <w:rFonts w:ascii="宋体" w:hAnsi="宋体" w:eastAsia="宋体" w:cs="宋体"/>
          <w:color w:val="auto"/>
          <w:spacing w:val="-5"/>
          <w:lang w:eastAsia="zh-CN"/>
        </w:rPr>
        <w:t>标有效期。投标人同意延长的，应相应延长其投标保证金的有效期，但不得要求或被允许修</w:t>
      </w:r>
      <w:r>
        <w:rPr>
          <w:rFonts w:ascii="宋体" w:hAnsi="宋体" w:eastAsia="宋体" w:cs="宋体"/>
          <w:color w:val="auto"/>
          <w:spacing w:val="-1"/>
          <w:lang w:eastAsia="zh-CN"/>
        </w:rPr>
        <w:t>改或撤销其投标文件；投标人拒绝延长的，其投标失效，但投标人有权收回其投标保证金。</w:t>
      </w:r>
    </w:p>
    <w:p w14:paraId="0C48A405">
      <w:pPr>
        <w:spacing w:before="84" w:line="222" w:lineRule="auto"/>
        <w:ind w:left="1700"/>
        <w:outlineLvl w:val="2"/>
        <w:rPr>
          <w:rFonts w:ascii="黑体" w:hAnsi="黑体" w:eastAsia="黑体" w:cs="黑体"/>
          <w:color w:val="auto"/>
          <w:sz w:val="24"/>
          <w:szCs w:val="24"/>
          <w:lang w:eastAsia="zh-CN"/>
        </w:rPr>
      </w:pPr>
      <w:bookmarkStart w:id="112" w:name="bookmark28"/>
      <w:bookmarkEnd w:id="112"/>
      <w:r>
        <w:rPr>
          <w:rFonts w:ascii="Times New Roman" w:hAnsi="Times New Roman" w:eastAsia="Times New Roman" w:cs="Times New Roman"/>
          <w:color w:val="auto"/>
          <w:spacing w:val="-1"/>
          <w:sz w:val="24"/>
          <w:szCs w:val="24"/>
          <w:lang w:eastAsia="zh-CN"/>
        </w:rPr>
        <w:t xml:space="preserve">3.4  </w:t>
      </w:r>
      <w:r>
        <w:rPr>
          <w:rFonts w:ascii="黑体" w:hAnsi="黑体" w:eastAsia="黑体" w:cs="黑体"/>
          <w:color w:val="auto"/>
          <w:spacing w:val="-1"/>
          <w:sz w:val="24"/>
          <w:szCs w:val="24"/>
          <w:lang w:eastAsia="zh-CN"/>
        </w:rPr>
        <w:t>投标保证金</w:t>
      </w:r>
    </w:p>
    <w:p w14:paraId="5AA4202C">
      <w:pPr>
        <w:spacing w:before="98" w:line="292" w:lineRule="auto"/>
        <w:ind w:left="1701" w:right="1796" w:firstLine="417"/>
        <w:rPr>
          <w:rFonts w:ascii="宋体" w:hAnsi="宋体" w:eastAsia="宋体" w:cs="宋体"/>
          <w:color w:val="auto"/>
          <w:lang w:eastAsia="zh-CN"/>
        </w:rPr>
      </w:pPr>
      <w:r>
        <w:rPr>
          <w:rFonts w:ascii="Times New Roman" w:hAnsi="Times New Roman" w:eastAsia="Times New Roman" w:cs="Times New Roman"/>
          <w:color w:val="auto"/>
          <w:lang w:eastAsia="zh-CN"/>
        </w:rPr>
        <w:t xml:space="preserve">3.4.1  </w:t>
      </w:r>
      <w:r>
        <w:rPr>
          <w:rFonts w:ascii="宋体" w:hAnsi="宋体" w:eastAsia="宋体" w:cs="宋体"/>
          <w:color w:val="auto"/>
          <w:lang w:eastAsia="zh-CN"/>
        </w:rPr>
        <w:t>投标人须知前附表规定提交投标保证金的，投标人在递交投标文件的同时，应按</w:t>
      </w:r>
      <w:r>
        <w:rPr>
          <w:rFonts w:ascii="宋体" w:hAnsi="宋体" w:eastAsia="宋体" w:cs="宋体"/>
          <w:color w:val="auto"/>
          <w:spacing w:val="-5"/>
          <w:lang w:eastAsia="zh-CN"/>
        </w:rPr>
        <w:t>投标人须知前附表规定的形式、金额、递交截止时间、递交方式提交投标保证金， 并作为其投标文件的组成部分。联合体投标的， 其投标保证金由牵头人递交，并应符合投标人须知前</w:t>
      </w:r>
      <w:r>
        <w:rPr>
          <w:rFonts w:ascii="宋体" w:hAnsi="宋体" w:eastAsia="宋体" w:cs="宋体"/>
          <w:color w:val="auto"/>
          <w:spacing w:val="-6"/>
          <w:lang w:eastAsia="zh-CN"/>
        </w:rPr>
        <w:t>附表的规定。</w:t>
      </w:r>
    </w:p>
    <w:p w14:paraId="1CC59C83">
      <w:pPr>
        <w:spacing w:before="110"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3.4.2  </w:t>
      </w:r>
      <w:r>
        <w:rPr>
          <w:rFonts w:ascii="宋体" w:hAnsi="宋体" w:eastAsia="宋体" w:cs="宋体"/>
          <w:color w:val="auto"/>
          <w:spacing w:val="-1"/>
          <w:lang w:eastAsia="zh-CN"/>
        </w:rPr>
        <w:t>投标人不按本章第</w:t>
      </w:r>
      <w:r>
        <w:rPr>
          <w:rFonts w:ascii="Times New Roman" w:hAnsi="Times New Roman" w:eastAsia="Times New Roman" w:cs="Times New Roman"/>
          <w:color w:val="auto"/>
          <w:spacing w:val="-1"/>
          <w:lang w:eastAsia="zh-CN"/>
        </w:rPr>
        <w:t xml:space="preserve">3.4.1 </w:t>
      </w:r>
      <w:r>
        <w:rPr>
          <w:rFonts w:ascii="宋体" w:hAnsi="宋体" w:eastAsia="宋体" w:cs="宋体"/>
          <w:color w:val="auto"/>
          <w:spacing w:val="-1"/>
          <w:lang w:eastAsia="zh-CN"/>
        </w:rPr>
        <w:t>项要求提交投标保证金的，其投标</w:t>
      </w:r>
      <w:r>
        <w:rPr>
          <w:rFonts w:ascii="宋体" w:hAnsi="宋体" w:eastAsia="宋体" w:cs="宋体"/>
          <w:color w:val="auto"/>
          <w:spacing w:val="-2"/>
          <w:lang w:eastAsia="zh-CN"/>
        </w:rPr>
        <w:t>将被否决。</w:t>
      </w:r>
    </w:p>
    <w:p w14:paraId="44DAAA22">
      <w:pPr>
        <w:spacing w:line="220" w:lineRule="auto"/>
        <w:rPr>
          <w:rFonts w:ascii="宋体" w:hAnsi="宋体" w:eastAsia="宋体" w:cs="宋体"/>
          <w:color w:val="auto"/>
          <w:lang w:eastAsia="zh-CN"/>
        </w:rPr>
        <w:sectPr>
          <w:headerReference r:id="rId17" w:type="default"/>
          <w:footerReference r:id="rId18" w:type="default"/>
          <w:pgSz w:w="11906" w:h="16839"/>
          <w:pgMar w:top="400" w:right="0" w:bottom="1006" w:left="105" w:header="0" w:footer="846" w:gutter="0"/>
          <w:cols w:space="720" w:num="1"/>
        </w:sectPr>
      </w:pPr>
    </w:p>
    <w:p w14:paraId="6D39A832">
      <w:pPr>
        <w:pStyle w:val="8"/>
        <w:spacing w:line="268" w:lineRule="auto"/>
        <w:rPr>
          <w:lang w:eastAsia="zh-CN"/>
        </w:rPr>
      </w:pPr>
    </w:p>
    <w:p w14:paraId="60015BB4">
      <w:pPr>
        <w:pStyle w:val="8"/>
        <w:spacing w:line="268" w:lineRule="auto"/>
        <w:rPr>
          <w:lang w:eastAsia="zh-CN"/>
        </w:rPr>
      </w:pPr>
    </w:p>
    <w:p w14:paraId="7CB0B7B4">
      <w:pPr>
        <w:pStyle w:val="8"/>
        <w:spacing w:line="268" w:lineRule="auto"/>
        <w:rPr>
          <w:lang w:eastAsia="zh-CN"/>
        </w:rPr>
      </w:pPr>
    </w:p>
    <w:p w14:paraId="7972A573">
      <w:pPr>
        <w:pStyle w:val="8"/>
        <w:spacing w:line="269" w:lineRule="auto"/>
        <w:rPr>
          <w:lang w:eastAsia="zh-CN"/>
        </w:rPr>
      </w:pPr>
    </w:p>
    <w:p w14:paraId="3149CDA3">
      <w:pPr>
        <w:spacing w:before="110" w:line="268" w:lineRule="auto"/>
        <w:ind w:left="1700" w:right="1796" w:firstLine="419"/>
        <w:rPr>
          <w:rFonts w:ascii="宋体" w:hAnsi="宋体" w:eastAsia="宋体" w:cs="宋体"/>
          <w:color w:val="auto"/>
          <w:spacing w:val="-2"/>
          <w:lang w:eastAsia="zh-CN"/>
        </w:rPr>
      </w:pPr>
      <w:r>
        <w:rPr>
          <w:rFonts w:ascii="宋体" w:hAnsi="宋体" w:eastAsia="宋体" w:cs="宋体"/>
          <w:color w:val="auto"/>
          <w:spacing w:val="-2"/>
          <w:lang w:eastAsia="zh-CN"/>
        </w:rPr>
        <w:t>3.4.3  招标人最迟在与中标人签订合同后 5  日内，向未中标的投标人和中标人退还投标保证金。招标人同时退还投标保证金的银行同期存款利息。投标保证金及利息的计息标准和退还方式见投标人须知前附表。</w:t>
      </w:r>
    </w:p>
    <w:p w14:paraId="6B225BAA">
      <w:pPr>
        <w:spacing w:before="110"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3.4.4  </w:t>
      </w:r>
      <w:r>
        <w:rPr>
          <w:rFonts w:ascii="宋体" w:hAnsi="宋体" w:eastAsia="宋体" w:cs="宋体"/>
          <w:color w:val="auto"/>
          <w:spacing w:val="-2"/>
          <w:lang w:eastAsia="zh-CN"/>
        </w:rPr>
        <w:t>有下列情形之一的，投标保证金将不予退还：</w:t>
      </w:r>
    </w:p>
    <w:p w14:paraId="31225193">
      <w:pPr>
        <w:spacing w:before="10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）投标人在规定的投标有效期内撤销或</w:t>
      </w:r>
      <w:r>
        <w:rPr>
          <w:rFonts w:ascii="宋体" w:hAnsi="宋体" w:eastAsia="宋体" w:cs="宋体"/>
          <w:color w:val="auto"/>
          <w:spacing w:val="-3"/>
          <w:lang w:eastAsia="zh-CN"/>
        </w:rPr>
        <w:t>修改其投标文件；</w:t>
      </w:r>
    </w:p>
    <w:p w14:paraId="63678280">
      <w:pPr>
        <w:spacing w:before="109" w:line="268" w:lineRule="auto"/>
        <w:ind w:left="1715" w:right="1823" w:firstLine="409"/>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）中标人在收到中标通知书后，无正当理由拒签合同、在签订合同时向招标人提出</w:t>
      </w:r>
      <w:r>
        <w:rPr>
          <w:rFonts w:ascii="宋体" w:hAnsi="宋体" w:eastAsia="宋体" w:cs="宋体"/>
          <w:color w:val="auto"/>
          <w:spacing w:val="-3"/>
          <w:lang w:eastAsia="zh-CN"/>
        </w:rPr>
        <w:t>附加条件或未按招标文件规定提交履约保证金。</w:t>
      </w:r>
    </w:p>
    <w:p w14:paraId="01E20D38">
      <w:pPr>
        <w:spacing w:before="84" w:line="222" w:lineRule="auto"/>
        <w:ind w:left="1700"/>
        <w:outlineLvl w:val="2"/>
        <w:rPr>
          <w:rFonts w:ascii="黑体" w:hAnsi="黑体" w:eastAsia="黑体" w:cs="黑体"/>
          <w:color w:val="auto"/>
          <w:sz w:val="24"/>
          <w:szCs w:val="24"/>
          <w:lang w:eastAsia="zh-CN"/>
        </w:rPr>
      </w:pPr>
      <w:bookmarkStart w:id="113" w:name="bookmark29"/>
      <w:bookmarkEnd w:id="113"/>
      <w:r>
        <w:rPr>
          <w:rFonts w:ascii="Times New Roman" w:hAnsi="Times New Roman" w:eastAsia="Times New Roman" w:cs="Times New Roman"/>
          <w:color w:val="auto"/>
          <w:spacing w:val="-3"/>
          <w:sz w:val="24"/>
          <w:szCs w:val="24"/>
          <w:lang w:eastAsia="zh-CN"/>
        </w:rPr>
        <w:t>3.5</w:t>
      </w:r>
      <w:r>
        <w:rPr>
          <w:rFonts w:ascii="黑体" w:hAnsi="黑体" w:eastAsia="黑体" w:cs="黑体"/>
          <w:color w:val="auto"/>
          <w:spacing w:val="-3"/>
          <w:sz w:val="24"/>
          <w:szCs w:val="24"/>
          <w:lang w:eastAsia="zh-CN"/>
        </w:rPr>
        <w:t>资格审查资料</w:t>
      </w:r>
    </w:p>
    <w:p w14:paraId="43A1538F">
      <w:pPr>
        <w:spacing w:before="98" w:line="268" w:lineRule="auto"/>
        <w:ind w:left="1699" w:right="1796" w:firstLine="420"/>
        <w:rPr>
          <w:rFonts w:ascii="宋体" w:hAnsi="宋体" w:eastAsia="宋体" w:cs="宋体"/>
          <w:color w:val="auto"/>
          <w:lang w:eastAsia="zh-CN"/>
        </w:rPr>
      </w:pPr>
      <w:r>
        <w:rPr>
          <w:rFonts w:ascii="Times New Roman" w:hAnsi="Times New Roman" w:eastAsia="Times New Roman" w:cs="Times New Roman"/>
          <w:color w:val="auto"/>
          <w:spacing w:val="-2"/>
          <w:lang w:eastAsia="zh-CN"/>
        </w:rPr>
        <w:t>3.5.1“</w:t>
      </w:r>
      <w:r>
        <w:rPr>
          <w:rFonts w:ascii="宋体" w:hAnsi="宋体" w:eastAsia="宋体" w:cs="宋体"/>
          <w:color w:val="auto"/>
          <w:spacing w:val="-2"/>
          <w:lang w:eastAsia="zh-CN"/>
        </w:rPr>
        <w:t>投标人基本情况表</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应附投标人及其制造商（适用于代理经销商投标的情形）营业</w:t>
      </w:r>
      <w:r>
        <w:rPr>
          <w:rFonts w:ascii="宋体" w:hAnsi="宋体" w:eastAsia="宋体" w:cs="宋体"/>
          <w:color w:val="auto"/>
          <w:spacing w:val="-1"/>
          <w:lang w:eastAsia="zh-CN"/>
        </w:rPr>
        <w:t>执照、资格或者资质证书和投标设备检验或认证等材料，具体要求见投标人须知前附表。</w:t>
      </w:r>
    </w:p>
    <w:p w14:paraId="4E55EAE3">
      <w:pPr>
        <w:spacing w:before="110" w:line="268" w:lineRule="auto"/>
        <w:ind w:left="1700" w:right="1796" w:firstLine="419"/>
        <w:rPr>
          <w:rFonts w:ascii="宋体" w:hAnsi="宋体" w:eastAsia="宋体" w:cs="宋体"/>
          <w:color w:val="auto"/>
          <w:lang w:eastAsia="zh-CN"/>
        </w:rPr>
      </w:pPr>
      <w:r>
        <w:rPr>
          <w:rFonts w:ascii="Times New Roman" w:hAnsi="Times New Roman" w:eastAsia="Times New Roman" w:cs="Times New Roman"/>
          <w:color w:val="auto"/>
          <w:spacing w:val="-2"/>
          <w:lang w:eastAsia="zh-CN"/>
        </w:rPr>
        <w:t>3.5.2“</w:t>
      </w:r>
      <w:r>
        <w:rPr>
          <w:rFonts w:ascii="宋体" w:hAnsi="宋体" w:eastAsia="宋体" w:cs="宋体"/>
          <w:color w:val="auto"/>
          <w:spacing w:val="-2"/>
          <w:lang w:eastAsia="zh-CN"/>
        </w:rPr>
        <w:t>近年财务状况表</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应附经会计师事务所或审计机构审计的财务会计报表，具体年份</w:t>
      </w:r>
      <w:r>
        <w:rPr>
          <w:rFonts w:ascii="宋体" w:hAnsi="宋体" w:eastAsia="宋体" w:cs="宋体"/>
          <w:color w:val="auto"/>
          <w:spacing w:val="-3"/>
          <w:lang w:eastAsia="zh-CN"/>
        </w:rPr>
        <w:t>要求见投标人须知前附表。</w:t>
      </w:r>
    </w:p>
    <w:p w14:paraId="6E6DA7A5">
      <w:pPr>
        <w:spacing w:before="110" w:line="268" w:lineRule="auto"/>
        <w:ind w:left="1700" w:right="1796" w:firstLine="419"/>
        <w:rPr>
          <w:rFonts w:ascii="宋体" w:hAnsi="宋体" w:eastAsia="宋体" w:cs="宋体"/>
          <w:color w:val="auto"/>
          <w:lang w:eastAsia="zh-CN"/>
        </w:rPr>
      </w:pPr>
      <w:r>
        <w:rPr>
          <w:rFonts w:ascii="Times New Roman" w:hAnsi="Times New Roman" w:eastAsia="Times New Roman" w:cs="Times New Roman"/>
          <w:color w:val="auto"/>
          <w:spacing w:val="-4"/>
          <w:lang w:eastAsia="zh-CN"/>
        </w:rPr>
        <w:t>3.5.3“</w:t>
      </w:r>
      <w:r>
        <w:rPr>
          <w:rFonts w:ascii="宋体" w:hAnsi="宋体" w:eastAsia="宋体" w:cs="宋体"/>
          <w:color w:val="auto"/>
          <w:spacing w:val="-4"/>
          <w:lang w:eastAsia="zh-CN"/>
        </w:rPr>
        <w:t>近年完成的类似项目情况表</w:t>
      </w:r>
      <w:r>
        <w:rPr>
          <w:rFonts w:ascii="Times New Roman" w:hAnsi="Times New Roman" w:eastAsia="Times New Roman" w:cs="Times New Roman"/>
          <w:color w:val="auto"/>
          <w:spacing w:val="-4"/>
          <w:lang w:eastAsia="zh-CN"/>
        </w:rPr>
        <w:t>”</w:t>
      </w:r>
      <w:r>
        <w:rPr>
          <w:rFonts w:ascii="宋体" w:hAnsi="宋体" w:eastAsia="宋体" w:cs="宋体"/>
          <w:color w:val="auto"/>
          <w:spacing w:val="-4"/>
          <w:lang w:eastAsia="zh-CN"/>
        </w:rPr>
        <w:t>应附中标通知书、合同、验收证书等</w:t>
      </w:r>
      <w:r>
        <w:rPr>
          <w:rFonts w:ascii="宋体" w:hAnsi="宋体" w:eastAsia="宋体" w:cs="宋体"/>
          <w:color w:val="auto"/>
          <w:spacing w:val="-5"/>
          <w:lang w:eastAsia="zh-CN"/>
        </w:rPr>
        <w:t>材料， 具体年份</w:t>
      </w:r>
      <w:r>
        <w:rPr>
          <w:rFonts w:ascii="宋体" w:hAnsi="宋体" w:eastAsia="宋体" w:cs="宋体"/>
          <w:color w:val="auto"/>
          <w:spacing w:val="-1"/>
          <w:lang w:eastAsia="zh-CN"/>
        </w:rPr>
        <w:t>要求见投标人须知前附表。每张表格只填写一个项目</w:t>
      </w:r>
      <w:r>
        <w:rPr>
          <w:rFonts w:ascii="宋体" w:hAnsi="宋体" w:eastAsia="宋体" w:cs="宋体"/>
          <w:color w:val="auto"/>
          <w:spacing w:val="-2"/>
          <w:lang w:eastAsia="zh-CN"/>
        </w:rPr>
        <w:t>，并标明序号。</w:t>
      </w:r>
    </w:p>
    <w:p w14:paraId="16E13440">
      <w:pPr>
        <w:spacing w:before="111" w:line="268" w:lineRule="auto"/>
        <w:ind w:left="1711" w:right="1796" w:firstLine="408"/>
        <w:rPr>
          <w:rFonts w:ascii="宋体" w:hAnsi="宋体" w:eastAsia="宋体" w:cs="宋体"/>
          <w:color w:val="auto"/>
          <w:lang w:eastAsia="zh-CN"/>
        </w:rPr>
      </w:pPr>
      <w:r>
        <w:rPr>
          <w:rFonts w:ascii="Times New Roman" w:hAnsi="Times New Roman" w:eastAsia="Times New Roman" w:cs="Times New Roman"/>
          <w:color w:val="auto"/>
          <w:spacing w:val="-2"/>
          <w:lang w:eastAsia="zh-CN"/>
        </w:rPr>
        <w:t>3.5.4“</w:t>
      </w:r>
      <w:r>
        <w:rPr>
          <w:rFonts w:ascii="宋体" w:hAnsi="宋体" w:eastAsia="宋体" w:cs="宋体"/>
          <w:color w:val="auto"/>
          <w:spacing w:val="-2"/>
          <w:lang w:eastAsia="zh-CN"/>
        </w:rPr>
        <w:t>正在供货和新承接的项目情况表</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应附中标通知书、合同协议书等材料。每张表格</w:t>
      </w:r>
      <w:r>
        <w:rPr>
          <w:rFonts w:ascii="宋体" w:hAnsi="宋体" w:eastAsia="宋体" w:cs="宋体"/>
          <w:color w:val="auto"/>
          <w:spacing w:val="-4"/>
          <w:lang w:eastAsia="zh-CN"/>
        </w:rPr>
        <w:t>只填写一个项目，并标明序号。</w:t>
      </w:r>
    </w:p>
    <w:p w14:paraId="29959F78">
      <w:pPr>
        <w:spacing w:before="110" w:line="268" w:lineRule="auto"/>
        <w:ind w:left="1700" w:right="1617" w:firstLine="419"/>
        <w:rPr>
          <w:rFonts w:ascii="宋体" w:hAnsi="宋体" w:eastAsia="宋体" w:cs="宋体"/>
          <w:color w:val="auto"/>
          <w:lang w:eastAsia="zh-CN"/>
        </w:rPr>
      </w:pPr>
      <w:r>
        <w:rPr>
          <w:rFonts w:ascii="Times New Roman" w:hAnsi="Times New Roman" w:eastAsia="Times New Roman" w:cs="Times New Roman"/>
          <w:color w:val="auto"/>
          <w:spacing w:val="3"/>
          <w:lang w:eastAsia="zh-CN"/>
        </w:rPr>
        <w:t>3.5.5“</w:t>
      </w:r>
      <w:r>
        <w:rPr>
          <w:rFonts w:ascii="宋体" w:hAnsi="宋体" w:eastAsia="宋体" w:cs="宋体"/>
          <w:color w:val="auto"/>
          <w:spacing w:val="3"/>
          <w:lang w:eastAsia="zh-CN"/>
        </w:rPr>
        <w:t>近年发生的诉讼及仲裁情况</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应说</w:t>
      </w:r>
      <w:r>
        <w:rPr>
          <w:rFonts w:ascii="宋体" w:hAnsi="宋体" w:eastAsia="宋体" w:cs="宋体"/>
          <w:color w:val="auto"/>
          <w:spacing w:val="2"/>
          <w:lang w:eastAsia="zh-CN"/>
        </w:rPr>
        <w:t>明相关情况，并附法院或仲裁机构作出的判决、</w:t>
      </w:r>
      <w:r>
        <w:rPr>
          <w:rFonts w:ascii="宋体" w:hAnsi="宋体" w:eastAsia="宋体" w:cs="宋体"/>
          <w:color w:val="auto"/>
          <w:spacing w:val="-2"/>
          <w:lang w:eastAsia="zh-CN"/>
        </w:rPr>
        <w:t>裁决等有关法律文书，具体年份要求见投标人须知前附表。</w:t>
      </w:r>
    </w:p>
    <w:p w14:paraId="4EEFDDC6">
      <w:pPr>
        <w:spacing w:before="109" w:line="269" w:lineRule="auto"/>
        <w:ind w:left="1700" w:right="1797" w:firstLine="419"/>
        <w:rPr>
          <w:rFonts w:ascii="宋体" w:hAnsi="宋体" w:eastAsia="宋体" w:cs="宋体"/>
          <w:color w:val="auto"/>
          <w:lang w:eastAsia="zh-CN"/>
        </w:rPr>
      </w:pPr>
      <w:r>
        <w:rPr>
          <w:rFonts w:ascii="Times New Roman" w:hAnsi="Times New Roman" w:eastAsia="Times New Roman" w:cs="Times New Roman"/>
          <w:color w:val="auto"/>
          <w:lang w:eastAsia="zh-CN"/>
        </w:rPr>
        <w:t xml:space="preserve">3.5.6 </w:t>
      </w:r>
      <w:r>
        <w:rPr>
          <w:rFonts w:ascii="宋体" w:hAnsi="宋体" w:eastAsia="宋体" w:cs="宋体"/>
          <w:color w:val="auto"/>
          <w:lang w:eastAsia="zh-CN"/>
        </w:rPr>
        <w:t>投标人须知前附表第</w:t>
      </w:r>
      <w:r>
        <w:rPr>
          <w:rFonts w:ascii="Times New Roman" w:hAnsi="Times New Roman" w:eastAsia="Times New Roman" w:cs="Times New Roman"/>
          <w:color w:val="auto"/>
          <w:lang w:eastAsia="zh-CN"/>
        </w:rPr>
        <w:t>1.4.2</w:t>
      </w:r>
      <w:r>
        <w:rPr>
          <w:rFonts w:ascii="宋体" w:hAnsi="宋体" w:eastAsia="宋体" w:cs="宋体"/>
          <w:color w:val="auto"/>
          <w:lang w:eastAsia="zh-CN"/>
        </w:rPr>
        <w:t>项规定接受联合体投标的，本章第</w:t>
      </w:r>
      <w:r>
        <w:rPr>
          <w:rFonts w:ascii="Times New Roman" w:hAnsi="Times New Roman" w:eastAsia="Times New Roman" w:cs="Times New Roman"/>
          <w:color w:val="auto"/>
          <w:lang w:eastAsia="zh-CN"/>
        </w:rPr>
        <w:t>3.5.1</w:t>
      </w:r>
      <w:r>
        <w:rPr>
          <w:rFonts w:ascii="宋体" w:hAnsi="宋体" w:eastAsia="宋体" w:cs="宋体"/>
          <w:color w:val="auto"/>
          <w:spacing w:val="-1"/>
          <w:lang w:eastAsia="zh-CN"/>
        </w:rPr>
        <w:t>项规定的表格</w:t>
      </w:r>
      <w:r>
        <w:rPr>
          <w:rFonts w:ascii="宋体" w:hAnsi="宋体" w:eastAsia="宋体" w:cs="宋体"/>
          <w:color w:val="auto"/>
          <w:spacing w:val="-3"/>
          <w:lang w:eastAsia="zh-CN"/>
        </w:rPr>
        <w:t>和资料应包括联合体各方相关情况。</w:t>
      </w:r>
    </w:p>
    <w:p w14:paraId="6104AE56">
      <w:pPr>
        <w:spacing w:before="109" w:line="268" w:lineRule="auto"/>
        <w:ind w:left="1704" w:right="1842" w:firstLine="4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3.5.7 </w:t>
      </w:r>
      <w:r>
        <w:rPr>
          <w:rFonts w:ascii="宋体" w:hAnsi="宋体" w:eastAsia="宋体" w:cs="宋体"/>
          <w:color w:val="auto"/>
          <w:spacing w:val="1"/>
          <w:lang w:eastAsia="zh-CN"/>
        </w:rPr>
        <w:t>投标人应按招标文件第六章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投标文件格式</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中规定的表格内容填写资格</w:t>
      </w:r>
      <w:r>
        <w:rPr>
          <w:rFonts w:ascii="宋体" w:hAnsi="宋体" w:eastAsia="宋体" w:cs="宋体"/>
          <w:color w:val="auto"/>
          <w:lang w:eastAsia="zh-CN"/>
        </w:rPr>
        <w:t>审查表，</w:t>
      </w:r>
      <w:r>
        <w:rPr>
          <w:rFonts w:ascii="宋体" w:hAnsi="宋体" w:eastAsia="宋体" w:cs="宋体"/>
          <w:color w:val="auto"/>
          <w:spacing w:val="-2"/>
          <w:lang w:eastAsia="zh-CN"/>
        </w:rPr>
        <w:t>并按各资格审查表的具体要求提供相关证件及证明材料。</w:t>
      </w:r>
    </w:p>
    <w:p w14:paraId="216D19F6">
      <w:pPr>
        <w:spacing w:before="110"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3.5.8 </w:t>
      </w:r>
      <w:r>
        <w:rPr>
          <w:rFonts w:ascii="宋体" w:hAnsi="宋体" w:eastAsia="宋体" w:cs="宋体"/>
          <w:color w:val="auto"/>
          <w:spacing w:val="-1"/>
          <w:lang w:eastAsia="zh-CN"/>
        </w:rPr>
        <w:t>本招标文件中</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类似项目</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的定义见投标人须知前附表</w:t>
      </w:r>
      <w:r>
        <w:rPr>
          <w:rFonts w:ascii="宋体" w:hAnsi="宋体" w:eastAsia="宋体" w:cs="宋体"/>
          <w:color w:val="auto"/>
          <w:spacing w:val="-2"/>
          <w:lang w:eastAsia="zh-CN"/>
        </w:rPr>
        <w:t>第</w:t>
      </w:r>
      <w:r>
        <w:rPr>
          <w:rFonts w:ascii="Times New Roman" w:hAnsi="Times New Roman" w:eastAsia="Times New Roman" w:cs="Times New Roman"/>
          <w:color w:val="auto"/>
          <w:spacing w:val="-2"/>
          <w:lang w:eastAsia="zh-CN"/>
        </w:rPr>
        <w:t xml:space="preserve">10.1.1 </w:t>
      </w:r>
      <w:r>
        <w:rPr>
          <w:rFonts w:ascii="宋体" w:hAnsi="宋体" w:eastAsia="宋体" w:cs="宋体"/>
          <w:color w:val="auto"/>
          <w:spacing w:val="-2"/>
          <w:lang w:eastAsia="zh-CN"/>
        </w:rPr>
        <w:t>条目规定。</w:t>
      </w:r>
    </w:p>
    <w:p w14:paraId="1C0E3475">
      <w:pPr>
        <w:spacing w:before="84" w:line="221" w:lineRule="auto"/>
        <w:ind w:left="1700"/>
        <w:outlineLvl w:val="2"/>
        <w:rPr>
          <w:rFonts w:ascii="黑体" w:hAnsi="黑体" w:eastAsia="黑体" w:cs="黑体"/>
          <w:color w:val="auto"/>
          <w:sz w:val="24"/>
          <w:szCs w:val="24"/>
          <w:lang w:eastAsia="zh-CN"/>
        </w:rPr>
      </w:pPr>
      <w:bookmarkStart w:id="114" w:name="bookmark30"/>
      <w:bookmarkEnd w:id="114"/>
      <w:r>
        <w:rPr>
          <w:rFonts w:ascii="Times New Roman" w:hAnsi="Times New Roman" w:eastAsia="Times New Roman" w:cs="Times New Roman"/>
          <w:color w:val="auto"/>
          <w:spacing w:val="-1"/>
          <w:sz w:val="24"/>
          <w:szCs w:val="24"/>
          <w:lang w:eastAsia="zh-CN"/>
        </w:rPr>
        <w:t xml:space="preserve">3.6  </w:t>
      </w:r>
      <w:r>
        <w:rPr>
          <w:rFonts w:ascii="黑体" w:hAnsi="黑体" w:eastAsia="黑体" w:cs="黑体"/>
          <w:color w:val="auto"/>
          <w:spacing w:val="-1"/>
          <w:sz w:val="24"/>
          <w:szCs w:val="24"/>
          <w:lang w:eastAsia="zh-CN"/>
        </w:rPr>
        <w:t>备选投标方案</w:t>
      </w:r>
    </w:p>
    <w:p w14:paraId="267B903E">
      <w:pPr>
        <w:spacing w:before="98" w:line="311" w:lineRule="auto"/>
        <w:ind w:left="1700" w:right="1649" w:firstLine="431"/>
        <w:jc w:val="both"/>
        <w:rPr>
          <w:rFonts w:ascii="宋体" w:hAnsi="宋体" w:eastAsia="宋体" w:cs="宋体"/>
          <w:color w:val="auto"/>
          <w:lang w:eastAsia="zh-CN"/>
        </w:rPr>
      </w:pPr>
      <w:r>
        <w:rPr>
          <w:rFonts w:ascii="宋体" w:hAnsi="宋体" w:eastAsia="宋体" w:cs="宋体"/>
          <w:color w:val="auto"/>
          <w:spacing w:val="-3"/>
          <w:lang w:eastAsia="zh-CN"/>
        </w:rPr>
        <w:t>除投标人须知前附表另有规定外，投标人不得递交备选投标方案。允许投标人递交备选</w:t>
      </w:r>
      <w:r>
        <w:rPr>
          <w:rFonts w:ascii="宋体" w:hAnsi="宋体" w:eastAsia="宋体" w:cs="宋体"/>
          <w:color w:val="auto"/>
          <w:spacing w:val="-2"/>
          <w:lang w:eastAsia="zh-CN"/>
        </w:rPr>
        <w:t>投标方案的，只有中标人所递交的备选投标方案</w:t>
      </w:r>
      <w:r>
        <w:rPr>
          <w:rFonts w:ascii="宋体" w:hAnsi="宋体" w:eastAsia="宋体" w:cs="宋体"/>
          <w:color w:val="auto"/>
          <w:spacing w:val="-3"/>
          <w:lang w:eastAsia="zh-CN"/>
        </w:rPr>
        <w:t>方可予以考虑。评标委员会认为中标候选人</w:t>
      </w:r>
      <w:r>
        <w:rPr>
          <w:rFonts w:ascii="宋体" w:hAnsi="宋体" w:eastAsia="宋体" w:cs="宋体"/>
          <w:color w:val="auto"/>
          <w:spacing w:val="-4"/>
          <w:lang w:eastAsia="zh-CN"/>
        </w:rPr>
        <w:t>的备选投标方案优于其按照招标文件要求编制的投标方案的，该中标候选人被确定中标人后，</w:t>
      </w:r>
      <w:r>
        <w:rPr>
          <w:rFonts w:ascii="宋体" w:hAnsi="宋体" w:eastAsia="宋体" w:cs="宋体"/>
          <w:color w:val="auto"/>
          <w:spacing w:val="-3"/>
          <w:lang w:eastAsia="zh-CN"/>
        </w:rPr>
        <w:t>招标人可以接受该备选投标方案。</w:t>
      </w:r>
    </w:p>
    <w:p w14:paraId="1E6300C5">
      <w:pPr>
        <w:spacing w:line="221" w:lineRule="auto"/>
        <w:ind w:left="1700"/>
        <w:outlineLvl w:val="2"/>
        <w:rPr>
          <w:rFonts w:ascii="黑体" w:hAnsi="黑体" w:eastAsia="黑体" w:cs="黑体"/>
          <w:color w:val="auto"/>
          <w:sz w:val="24"/>
          <w:szCs w:val="24"/>
          <w:lang w:eastAsia="zh-CN"/>
        </w:rPr>
      </w:pPr>
      <w:bookmarkStart w:id="115" w:name="bookmark31"/>
      <w:bookmarkEnd w:id="115"/>
      <w:r>
        <w:rPr>
          <w:rFonts w:ascii="Times New Roman" w:hAnsi="Times New Roman" w:eastAsia="Times New Roman" w:cs="Times New Roman"/>
          <w:color w:val="auto"/>
          <w:spacing w:val="-1"/>
          <w:sz w:val="24"/>
          <w:szCs w:val="24"/>
          <w:lang w:eastAsia="zh-CN"/>
        </w:rPr>
        <w:t xml:space="preserve">3.7  </w:t>
      </w:r>
      <w:r>
        <w:rPr>
          <w:rFonts w:ascii="黑体" w:hAnsi="黑体" w:eastAsia="黑体" w:cs="黑体"/>
          <w:color w:val="auto"/>
          <w:spacing w:val="-1"/>
          <w:sz w:val="24"/>
          <w:szCs w:val="24"/>
          <w:lang w:eastAsia="zh-CN"/>
        </w:rPr>
        <w:t>投标文件的编制</w:t>
      </w:r>
    </w:p>
    <w:p w14:paraId="20B11040">
      <w:pPr>
        <w:spacing w:before="99" w:line="268" w:lineRule="auto"/>
        <w:ind w:left="1701" w:right="1797" w:firstLine="417"/>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3.7.1  </w:t>
      </w:r>
      <w:r>
        <w:rPr>
          <w:rFonts w:ascii="宋体" w:hAnsi="宋体" w:eastAsia="宋体" w:cs="宋体"/>
          <w:color w:val="auto"/>
          <w:spacing w:val="1"/>
          <w:lang w:eastAsia="zh-CN"/>
        </w:rPr>
        <w:t>投标文件应按第六章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投标文件格式</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进行编写，如</w:t>
      </w:r>
      <w:r>
        <w:rPr>
          <w:rFonts w:ascii="宋体" w:hAnsi="宋体" w:eastAsia="宋体" w:cs="宋体"/>
          <w:color w:val="auto"/>
          <w:lang w:eastAsia="zh-CN"/>
        </w:rPr>
        <w:t>有必要，可以增加附页，作为</w:t>
      </w:r>
      <w:r>
        <w:rPr>
          <w:rFonts w:ascii="宋体" w:hAnsi="宋体" w:eastAsia="宋体" w:cs="宋体"/>
          <w:color w:val="auto"/>
          <w:spacing w:val="-4"/>
          <w:lang w:eastAsia="zh-CN"/>
        </w:rPr>
        <w:t>投标文件的组成部分。</w:t>
      </w:r>
    </w:p>
    <w:p w14:paraId="760D9B5D">
      <w:pPr>
        <w:spacing w:before="111" w:line="284" w:lineRule="auto"/>
        <w:ind w:left="1699" w:right="1796" w:firstLine="420"/>
        <w:rPr>
          <w:rFonts w:ascii="宋体" w:hAnsi="宋体" w:eastAsia="宋体" w:cs="宋体"/>
          <w:color w:val="auto"/>
          <w:lang w:eastAsia="zh-CN"/>
        </w:rPr>
      </w:pPr>
      <w:r>
        <w:rPr>
          <w:rFonts w:ascii="Times New Roman" w:hAnsi="Times New Roman" w:eastAsia="Times New Roman" w:cs="Times New Roman"/>
          <w:color w:val="auto"/>
          <w:lang w:eastAsia="zh-CN"/>
        </w:rPr>
        <w:t xml:space="preserve">3.7.2  </w:t>
      </w:r>
      <w:r>
        <w:rPr>
          <w:rFonts w:ascii="宋体" w:hAnsi="宋体" w:eastAsia="宋体" w:cs="宋体"/>
          <w:color w:val="auto"/>
          <w:lang w:eastAsia="zh-CN"/>
        </w:rPr>
        <w:t>投标文件应当对招标文件有关供货期、投标有效期、供货要求、招标范围等实质</w:t>
      </w:r>
      <w:r>
        <w:rPr>
          <w:rFonts w:ascii="宋体" w:hAnsi="宋体" w:eastAsia="宋体" w:cs="宋体"/>
          <w:color w:val="auto"/>
          <w:spacing w:val="-4"/>
          <w:lang w:eastAsia="zh-CN"/>
        </w:rPr>
        <w:t>性内容作出响应。投标文件在满足招标文件实质性要求的基础上，可以提出比招标文件要求更有利于招标人的承诺。</w:t>
      </w:r>
    </w:p>
    <w:p w14:paraId="50D60A0C">
      <w:pPr>
        <w:spacing w:before="110"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3.7.3  </w:t>
      </w:r>
      <w:r>
        <w:rPr>
          <w:rFonts w:ascii="宋体" w:hAnsi="宋体" w:eastAsia="宋体" w:cs="宋体"/>
          <w:color w:val="auto"/>
          <w:spacing w:val="-1"/>
          <w:lang w:eastAsia="zh-CN"/>
        </w:rPr>
        <w:t>投标文件制作</w:t>
      </w:r>
    </w:p>
    <w:p w14:paraId="575BFDA8">
      <w:pPr>
        <w:spacing w:before="110"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1</w:t>
      </w:r>
      <w:r>
        <w:rPr>
          <w:rFonts w:ascii="宋体" w:hAnsi="宋体" w:eastAsia="宋体" w:cs="宋体"/>
          <w:color w:val="auto"/>
          <w:spacing w:val="-1"/>
          <w:lang w:eastAsia="zh-CN"/>
        </w:rPr>
        <w:t>）投标文件由投标人使用符合标准的数字化投标文</w:t>
      </w:r>
      <w:r>
        <w:rPr>
          <w:rFonts w:ascii="宋体" w:hAnsi="宋体" w:eastAsia="宋体" w:cs="宋体"/>
          <w:color w:val="auto"/>
          <w:spacing w:val="-2"/>
          <w:lang w:eastAsia="zh-CN"/>
        </w:rPr>
        <w:t>件制作软件制作生成。</w:t>
      </w:r>
    </w:p>
    <w:p w14:paraId="481424D2">
      <w:pPr>
        <w:spacing w:before="109"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）投标人在编制投标文件时应当建立分级目录，并按照提示录入或填</w:t>
      </w:r>
      <w:r>
        <w:rPr>
          <w:rFonts w:ascii="宋体" w:hAnsi="宋体" w:eastAsia="宋体" w:cs="宋体"/>
          <w:color w:val="auto"/>
          <w:spacing w:val="-2"/>
          <w:lang w:eastAsia="zh-CN"/>
        </w:rPr>
        <w:t>写相关内容。</w:t>
      </w:r>
    </w:p>
    <w:p w14:paraId="69596550">
      <w:pPr>
        <w:spacing w:before="109"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）投标人应当从企业主体信息库（</w:t>
      </w:r>
      <w:r>
        <w:rPr>
          <w:rFonts w:ascii="Times New Roman" w:hAnsi="Times New Roman" w:eastAsia="Times New Roman" w:cs="Times New Roman"/>
          <w:color w:val="auto"/>
          <w:spacing w:val="-1"/>
          <w:lang w:eastAsia="zh-CN"/>
        </w:rPr>
        <w:t xml:space="preserve">2024 </w:t>
      </w:r>
      <w:r>
        <w:rPr>
          <w:rFonts w:ascii="宋体" w:hAnsi="宋体" w:eastAsia="宋体" w:cs="宋体"/>
          <w:color w:val="auto"/>
          <w:spacing w:val="-1"/>
          <w:lang w:eastAsia="zh-CN"/>
        </w:rPr>
        <w:t>年新版本辽宁省工程建设项目主体云库）中</w:t>
      </w:r>
    </w:p>
    <w:p w14:paraId="5C71EBF1">
      <w:pPr>
        <w:spacing w:line="220" w:lineRule="auto"/>
        <w:rPr>
          <w:rFonts w:ascii="宋体" w:hAnsi="宋体" w:eastAsia="宋体" w:cs="宋体"/>
          <w:color w:val="auto"/>
          <w:lang w:eastAsia="zh-CN"/>
        </w:rPr>
        <w:sectPr>
          <w:headerReference r:id="rId19" w:type="default"/>
          <w:footerReference r:id="rId20" w:type="default"/>
          <w:pgSz w:w="11906" w:h="16839"/>
          <w:pgMar w:top="400" w:right="0" w:bottom="1006" w:left="105" w:header="0" w:footer="846" w:gutter="0"/>
          <w:cols w:space="720" w:num="1"/>
        </w:sectPr>
      </w:pPr>
    </w:p>
    <w:p w14:paraId="18EE29BD">
      <w:pPr>
        <w:pStyle w:val="8"/>
        <w:spacing w:line="268" w:lineRule="auto"/>
        <w:rPr>
          <w:lang w:eastAsia="zh-CN"/>
        </w:rPr>
      </w:pPr>
    </w:p>
    <w:p w14:paraId="33B72E7D">
      <w:pPr>
        <w:pStyle w:val="8"/>
        <w:spacing w:line="268" w:lineRule="auto"/>
        <w:rPr>
          <w:lang w:eastAsia="zh-CN"/>
        </w:rPr>
      </w:pPr>
    </w:p>
    <w:p w14:paraId="4AE13BB8">
      <w:pPr>
        <w:pStyle w:val="8"/>
        <w:spacing w:line="269" w:lineRule="auto"/>
        <w:rPr>
          <w:lang w:eastAsia="zh-CN"/>
        </w:rPr>
      </w:pPr>
    </w:p>
    <w:p w14:paraId="44A17591">
      <w:pPr>
        <w:pStyle w:val="8"/>
        <w:spacing w:line="269" w:lineRule="auto"/>
        <w:rPr>
          <w:lang w:eastAsia="zh-CN"/>
        </w:rPr>
      </w:pPr>
    </w:p>
    <w:p w14:paraId="60149E58">
      <w:pPr>
        <w:spacing w:before="68" w:line="316" w:lineRule="auto"/>
        <w:ind w:left="1698" w:right="1632"/>
        <w:jc w:val="both"/>
        <w:rPr>
          <w:rFonts w:ascii="宋体" w:hAnsi="宋体" w:eastAsia="宋体" w:cs="宋体"/>
          <w:color w:val="auto"/>
          <w:lang w:eastAsia="zh-CN"/>
        </w:rPr>
      </w:pPr>
      <w:r>
        <w:rPr>
          <w:rFonts w:ascii="宋体" w:hAnsi="宋体" w:eastAsia="宋体" w:cs="宋体"/>
          <w:color w:val="auto"/>
          <w:spacing w:val="-2"/>
          <w:lang w:eastAsia="zh-CN"/>
        </w:rPr>
        <w:t>选择用于评审的佐证或证明材料并获取相应的数据信</w:t>
      </w:r>
      <w:r>
        <w:rPr>
          <w:rFonts w:ascii="宋体" w:hAnsi="宋体" w:eastAsia="宋体" w:cs="宋体"/>
          <w:color w:val="auto"/>
          <w:spacing w:val="-3"/>
          <w:lang w:eastAsia="zh-CN"/>
        </w:rPr>
        <w:t>息，在制作投标文件时生成应用于项目</w:t>
      </w:r>
      <w:r>
        <w:rPr>
          <w:rFonts w:ascii="宋体" w:hAnsi="宋体" w:eastAsia="宋体" w:cs="宋体"/>
          <w:color w:val="auto"/>
          <w:spacing w:val="2"/>
          <w:lang w:eastAsia="zh-CN"/>
        </w:rPr>
        <w:t>评审的数字证照或影印件。如发现获取信息内容有错误应当在企</w:t>
      </w:r>
      <w:r>
        <w:rPr>
          <w:rFonts w:ascii="宋体" w:hAnsi="宋体" w:eastAsia="宋体" w:cs="宋体"/>
          <w:color w:val="auto"/>
          <w:spacing w:val="1"/>
          <w:lang w:eastAsia="zh-CN"/>
        </w:rPr>
        <w:t>业主体信息库修改和完善，</w:t>
      </w:r>
      <w:r>
        <w:rPr>
          <w:rFonts w:ascii="宋体" w:hAnsi="宋体" w:eastAsia="宋体" w:cs="宋体"/>
          <w:color w:val="auto"/>
          <w:spacing w:val="-3"/>
          <w:lang w:eastAsia="zh-CN"/>
        </w:rPr>
        <w:t>并重新获取并生成数字证照或影印件。</w:t>
      </w:r>
    </w:p>
    <w:p w14:paraId="5EAFD791">
      <w:pPr>
        <w:spacing w:before="1" w:line="316" w:lineRule="auto"/>
        <w:ind w:left="1700" w:right="1796" w:firstLine="421"/>
        <w:rPr>
          <w:rFonts w:ascii="宋体" w:hAnsi="宋体" w:eastAsia="宋体" w:cs="宋体"/>
          <w:color w:val="auto"/>
          <w:lang w:eastAsia="zh-CN"/>
        </w:rPr>
      </w:pPr>
      <w:r>
        <w:rPr>
          <w:rFonts w:ascii="宋体" w:hAnsi="宋体" w:eastAsia="宋体" w:cs="宋体"/>
          <w:color w:val="auto"/>
          <w:spacing w:val="-3"/>
          <w:lang w:eastAsia="zh-CN"/>
        </w:rPr>
        <w:t>投标人投标文件中数字证照数据信息内容是专家评审凭证和依据，投标人应当自行校核</w:t>
      </w:r>
      <w:r>
        <w:rPr>
          <w:rFonts w:ascii="宋体" w:hAnsi="宋体" w:eastAsia="宋体" w:cs="宋体"/>
          <w:color w:val="auto"/>
          <w:spacing w:val="-1"/>
          <w:lang w:eastAsia="zh-CN"/>
        </w:rPr>
        <w:t>和确认数字证照数据信息内容，确保其准确有效和响</w:t>
      </w:r>
      <w:r>
        <w:rPr>
          <w:rFonts w:ascii="宋体" w:hAnsi="宋体" w:eastAsia="宋体" w:cs="宋体"/>
          <w:color w:val="auto"/>
          <w:spacing w:val="-2"/>
          <w:lang w:eastAsia="zh-CN"/>
        </w:rPr>
        <w:t>应招标文件要求。</w:t>
      </w:r>
    </w:p>
    <w:p w14:paraId="5FFFA1F8">
      <w:pPr>
        <w:spacing w:before="2" w:line="316" w:lineRule="auto"/>
        <w:ind w:left="1700" w:right="1796" w:firstLine="421"/>
        <w:jc w:val="both"/>
        <w:rPr>
          <w:rFonts w:ascii="宋体" w:hAnsi="宋体" w:eastAsia="宋体" w:cs="宋体"/>
          <w:color w:val="auto"/>
          <w:lang w:eastAsia="zh-CN"/>
        </w:rPr>
      </w:pPr>
      <w:r>
        <w:rPr>
          <w:rFonts w:ascii="宋体" w:hAnsi="宋体" w:eastAsia="宋体" w:cs="宋体"/>
          <w:color w:val="auto"/>
          <w:spacing w:val="-4"/>
          <w:lang w:eastAsia="zh-CN"/>
        </w:rPr>
        <w:t>投标人应用于投标的数字证照可通过主体信息库调取、下载和追溯其数据</w:t>
      </w:r>
      <w:r>
        <w:rPr>
          <w:rFonts w:ascii="宋体" w:hAnsi="宋体" w:eastAsia="宋体" w:cs="宋体"/>
          <w:color w:val="auto"/>
          <w:spacing w:val="-5"/>
          <w:lang w:eastAsia="zh-CN"/>
        </w:rPr>
        <w:t>原始材料，用</w:t>
      </w:r>
      <w:r>
        <w:rPr>
          <w:rFonts w:ascii="宋体" w:hAnsi="宋体" w:eastAsia="宋体" w:cs="宋体"/>
          <w:color w:val="auto"/>
          <w:spacing w:val="-2"/>
          <w:lang w:eastAsia="zh-CN"/>
        </w:rPr>
        <w:t>于核查、归档、调查或异议投诉处理等事宜。如</w:t>
      </w:r>
      <w:r>
        <w:rPr>
          <w:rFonts w:ascii="宋体" w:hAnsi="宋体" w:eastAsia="宋体" w:cs="宋体"/>
          <w:color w:val="auto"/>
          <w:spacing w:val="-3"/>
          <w:lang w:eastAsia="zh-CN"/>
        </w:rPr>
        <w:t>发现投标人投标文件中应用于评审的数据证</w:t>
      </w:r>
      <w:r>
        <w:rPr>
          <w:rFonts w:ascii="宋体" w:hAnsi="宋体" w:eastAsia="宋体" w:cs="宋体"/>
          <w:color w:val="auto"/>
          <w:spacing w:val="-2"/>
          <w:lang w:eastAsia="zh-CN"/>
        </w:rPr>
        <w:t>照信息数据内容存在不实或弄虚作假的，即按照</w:t>
      </w:r>
      <w:r>
        <w:rPr>
          <w:rFonts w:ascii="宋体" w:hAnsi="宋体" w:eastAsia="宋体" w:cs="宋体"/>
          <w:color w:val="auto"/>
          <w:spacing w:val="-3"/>
          <w:lang w:eastAsia="zh-CN"/>
        </w:rPr>
        <w:t>弄虚作假骗取中标行为予以认定并依法依规</w:t>
      </w:r>
      <w:r>
        <w:rPr>
          <w:rFonts w:ascii="宋体" w:hAnsi="宋体" w:eastAsia="宋体" w:cs="宋体"/>
          <w:color w:val="auto"/>
          <w:spacing w:val="-9"/>
          <w:lang w:eastAsia="zh-CN"/>
        </w:rPr>
        <w:t>处理。</w:t>
      </w:r>
    </w:p>
    <w:p w14:paraId="2ED0334F">
      <w:pPr>
        <w:spacing w:line="219" w:lineRule="auto"/>
        <w:ind w:left="2119"/>
        <w:rPr>
          <w:rFonts w:ascii="宋体" w:hAnsi="宋体" w:eastAsia="宋体" w:cs="宋体"/>
          <w:color w:val="auto"/>
          <w:lang w:eastAsia="zh-CN"/>
        </w:rPr>
      </w:pPr>
      <w:r>
        <w:rPr>
          <w:rFonts w:ascii="宋体" w:hAnsi="宋体" w:eastAsia="宋体" w:cs="宋体"/>
          <w:color w:val="auto"/>
          <w:spacing w:val="-2"/>
          <w:lang w:eastAsia="zh-CN"/>
        </w:rPr>
        <w:t>应用数字证照评审的节点和材料内容见投标人须知前附表。</w:t>
      </w:r>
    </w:p>
    <w:p w14:paraId="518AC610">
      <w:pPr>
        <w:spacing w:before="113" w:line="300" w:lineRule="auto"/>
        <w:ind w:left="1698" w:right="1601" w:firstLine="426"/>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4</w:t>
      </w:r>
      <w:r>
        <w:rPr>
          <w:rFonts w:ascii="宋体" w:hAnsi="宋体" w:eastAsia="宋体" w:cs="宋体"/>
          <w:color w:val="auto"/>
          <w:spacing w:val="4"/>
          <w:lang w:eastAsia="zh-CN"/>
        </w:rPr>
        <w:t>）第六章投标文件格式文件要求</w:t>
      </w:r>
      <w:r>
        <w:rPr>
          <w:rFonts w:ascii="Times New Roman" w:hAnsi="Times New Roman" w:eastAsia="Times New Roman" w:cs="Times New Roman"/>
          <w:color w:val="auto"/>
          <w:spacing w:val="4"/>
          <w:lang w:eastAsia="zh-CN"/>
        </w:rPr>
        <w:t>“</w:t>
      </w:r>
      <w:r>
        <w:rPr>
          <w:rFonts w:ascii="宋体" w:hAnsi="宋体" w:eastAsia="宋体" w:cs="宋体"/>
          <w:color w:val="auto"/>
          <w:spacing w:val="4"/>
          <w:lang w:eastAsia="zh-CN"/>
        </w:rPr>
        <w:t>盖单位章</w:t>
      </w:r>
      <w:r>
        <w:rPr>
          <w:rFonts w:ascii="Times New Roman" w:hAnsi="Times New Roman" w:eastAsia="Times New Roman" w:cs="Times New Roman"/>
          <w:color w:val="auto"/>
          <w:spacing w:val="4"/>
          <w:lang w:eastAsia="zh-CN"/>
        </w:rPr>
        <w:t>”</w:t>
      </w:r>
      <w:r>
        <w:rPr>
          <w:rFonts w:ascii="宋体" w:hAnsi="宋体" w:eastAsia="宋体" w:cs="宋体"/>
          <w:color w:val="auto"/>
          <w:spacing w:val="4"/>
          <w:lang w:eastAsia="zh-CN"/>
        </w:rPr>
        <w:t>的地方</w:t>
      </w:r>
      <w:r>
        <w:rPr>
          <w:rFonts w:ascii="宋体" w:hAnsi="宋体" w:eastAsia="宋体" w:cs="宋体"/>
          <w:color w:val="auto"/>
          <w:spacing w:val="3"/>
          <w:lang w:eastAsia="zh-CN"/>
        </w:rPr>
        <w:t>，投标人应使用数字证书（</w:t>
      </w:r>
      <w:r>
        <w:rPr>
          <w:rFonts w:ascii="Times New Roman" w:hAnsi="Times New Roman" w:eastAsia="Times New Roman" w:cs="Times New Roman"/>
          <w:color w:val="auto"/>
          <w:lang w:eastAsia="zh-CN"/>
        </w:rPr>
        <w:t>CA</w:t>
      </w:r>
      <w:r>
        <w:rPr>
          <w:rFonts w:ascii="宋体" w:hAnsi="宋体" w:eastAsia="宋体" w:cs="宋体"/>
          <w:color w:val="auto"/>
          <w:spacing w:val="3"/>
          <w:lang w:eastAsia="zh-CN"/>
        </w:rPr>
        <w:t>）</w:t>
      </w:r>
      <w:r>
        <w:rPr>
          <w:rFonts w:ascii="宋体" w:hAnsi="宋体" w:eastAsia="宋体" w:cs="宋体"/>
          <w:color w:val="auto"/>
          <w:spacing w:val="1"/>
          <w:lang w:eastAsia="zh-CN"/>
        </w:rPr>
        <w:t>加盖投标人的单位电子印章；要求</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签章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的地方，投标人应使用数字证书（</w:t>
      </w:r>
      <w:r>
        <w:rPr>
          <w:rFonts w:ascii="Times New Roman" w:hAnsi="Times New Roman" w:eastAsia="Times New Roman" w:cs="Times New Roman"/>
          <w:color w:val="auto"/>
          <w:lang w:eastAsia="zh-CN"/>
        </w:rPr>
        <w:t>CA</w:t>
      </w:r>
      <w:r>
        <w:rPr>
          <w:rFonts w:ascii="宋体" w:hAnsi="宋体" w:eastAsia="宋体" w:cs="宋体"/>
          <w:color w:val="auto"/>
          <w:spacing w:val="1"/>
          <w:lang w:eastAsia="zh-CN"/>
        </w:rPr>
        <w:t>）加盖法定</w:t>
      </w:r>
      <w:r>
        <w:rPr>
          <w:rFonts w:ascii="宋体" w:hAnsi="宋体" w:eastAsia="宋体" w:cs="宋体"/>
          <w:color w:val="auto"/>
          <w:spacing w:val="-5"/>
          <w:lang w:eastAsia="zh-CN"/>
        </w:rPr>
        <w:t>代表人（授权委托人）的个人电子印章或电子签名。联合体投标的， 投标文件由联合体牵头</w:t>
      </w:r>
      <w:r>
        <w:rPr>
          <w:rFonts w:ascii="宋体" w:hAnsi="宋体" w:eastAsia="宋体" w:cs="宋体"/>
          <w:color w:val="auto"/>
          <w:spacing w:val="-1"/>
          <w:lang w:eastAsia="zh-CN"/>
        </w:rPr>
        <w:t>人按上述规定在要求</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盖单位章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的地方加盖联合体牵头人单位电子印章；在</w:t>
      </w:r>
      <w:r>
        <w:rPr>
          <w:rFonts w:ascii="宋体" w:hAnsi="宋体" w:eastAsia="宋体" w:cs="宋体"/>
          <w:color w:val="auto"/>
          <w:spacing w:val="-2"/>
          <w:lang w:eastAsia="zh-CN"/>
        </w:rPr>
        <w:t>要求</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签章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的地方加盖联合体牵头人法定代表人（授权委托人）的个</w:t>
      </w:r>
      <w:r>
        <w:rPr>
          <w:rFonts w:ascii="宋体" w:hAnsi="宋体" w:eastAsia="宋体" w:cs="宋体"/>
          <w:color w:val="auto"/>
          <w:spacing w:val="-3"/>
          <w:lang w:eastAsia="zh-CN"/>
        </w:rPr>
        <w:t>人电子印章或电子签名。招标文件有特</w:t>
      </w:r>
      <w:r>
        <w:rPr>
          <w:rFonts w:ascii="宋体" w:hAnsi="宋体" w:eastAsia="宋体" w:cs="宋体"/>
          <w:color w:val="auto"/>
          <w:spacing w:val="-5"/>
          <w:lang w:eastAsia="zh-CN"/>
        </w:rPr>
        <w:t>别说明的除外。</w:t>
      </w:r>
    </w:p>
    <w:p w14:paraId="4478EEE0">
      <w:pPr>
        <w:spacing w:before="111" w:line="292" w:lineRule="auto"/>
        <w:ind w:left="1700" w:right="1796" w:firstLine="424"/>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5</w:t>
      </w:r>
      <w:r>
        <w:rPr>
          <w:rFonts w:ascii="宋体" w:hAnsi="宋体" w:eastAsia="宋体" w:cs="宋体"/>
          <w:color w:val="auto"/>
          <w:lang w:eastAsia="zh-CN"/>
        </w:rPr>
        <w:t>）投标文件制作完成后，将生成一份加密的电子投标文件。投标人应当自行验证电</w:t>
      </w:r>
      <w:r>
        <w:rPr>
          <w:rFonts w:ascii="宋体" w:hAnsi="宋体" w:eastAsia="宋体" w:cs="宋体"/>
          <w:color w:val="auto"/>
          <w:spacing w:val="-5"/>
          <w:lang w:eastAsia="zh-CN"/>
        </w:rPr>
        <w:t>子投标文件格式、内容和数据的准确性，原则上电子投标文件大小不得超过</w:t>
      </w:r>
      <w:r>
        <w:rPr>
          <w:rFonts w:ascii="Times New Roman" w:hAnsi="Times New Roman" w:eastAsia="Times New Roman" w:cs="Times New Roman"/>
          <w:color w:val="auto"/>
          <w:spacing w:val="-5"/>
          <w:lang w:eastAsia="zh-CN"/>
        </w:rPr>
        <w:t>500M</w:t>
      </w:r>
      <w:r>
        <w:rPr>
          <w:rFonts w:ascii="宋体" w:hAnsi="宋体" w:eastAsia="宋体" w:cs="宋体"/>
          <w:color w:val="auto"/>
          <w:spacing w:val="-5"/>
          <w:lang w:eastAsia="zh-CN"/>
        </w:rPr>
        <w:t>。电子投标文件由于格式、内容或数据存在错误造成无法解密或解析，视为撤回投标文件，责任由投标人自行承担。</w:t>
      </w:r>
    </w:p>
    <w:p w14:paraId="255F0E6B">
      <w:pPr>
        <w:spacing w:before="110"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6</w:t>
      </w:r>
      <w:r>
        <w:rPr>
          <w:rFonts w:ascii="宋体" w:hAnsi="宋体" w:eastAsia="宋体" w:cs="宋体"/>
          <w:color w:val="auto"/>
          <w:spacing w:val="-1"/>
          <w:lang w:eastAsia="zh-CN"/>
        </w:rPr>
        <w:t>）投标文件制作的具体方法详见</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数字化投标文件制作软件</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中的</w:t>
      </w:r>
      <w:r>
        <w:rPr>
          <w:rFonts w:ascii="宋体" w:hAnsi="宋体" w:eastAsia="宋体" w:cs="宋体"/>
          <w:color w:val="auto"/>
          <w:spacing w:val="-2"/>
          <w:lang w:eastAsia="zh-CN"/>
        </w:rPr>
        <w:t>操作说明。</w:t>
      </w:r>
    </w:p>
    <w:p w14:paraId="7C59A84F">
      <w:pPr>
        <w:spacing w:before="110" w:line="316" w:lineRule="auto"/>
        <w:ind w:left="1700" w:right="1797" w:firstLine="419"/>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3.7.4  </w:t>
      </w:r>
      <w:r>
        <w:rPr>
          <w:rFonts w:ascii="宋体" w:hAnsi="宋体" w:eastAsia="宋体" w:cs="宋体"/>
          <w:color w:val="auto"/>
          <w:spacing w:val="3"/>
          <w:lang w:eastAsia="zh-CN"/>
        </w:rPr>
        <w:t>投标人须知前附表规定</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技术服务和质保期服务计划</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（技术标）采用</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模块化暗</w:t>
      </w:r>
      <w:r>
        <w:rPr>
          <w:rFonts w:ascii="宋体" w:hAnsi="宋体" w:eastAsia="宋体" w:cs="宋体"/>
          <w:color w:val="auto"/>
          <w:spacing w:val="-2"/>
          <w:lang w:eastAsia="zh-CN"/>
        </w:rPr>
        <w:t>标</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技术服务和质保期服务计划</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应按本章第</w:t>
      </w:r>
      <w:r>
        <w:rPr>
          <w:rFonts w:ascii="Times New Roman" w:hAnsi="Times New Roman" w:eastAsia="Times New Roman" w:cs="Times New Roman"/>
          <w:color w:val="auto"/>
          <w:spacing w:val="-2"/>
          <w:lang w:eastAsia="zh-CN"/>
        </w:rPr>
        <w:t xml:space="preserve">3.7.3 </w:t>
      </w:r>
      <w:r>
        <w:rPr>
          <w:rFonts w:ascii="宋体" w:hAnsi="宋体" w:eastAsia="宋体" w:cs="宋体"/>
          <w:color w:val="auto"/>
          <w:spacing w:val="-2"/>
          <w:lang w:eastAsia="zh-CN"/>
        </w:rPr>
        <w:t>项制作投标文件并应满足下列要求：</w:t>
      </w:r>
    </w:p>
    <w:p w14:paraId="1AEA9B97">
      <w:pPr>
        <w:spacing w:before="1" w:line="292" w:lineRule="auto"/>
        <w:ind w:left="1698" w:right="1796" w:firstLine="426"/>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1</w:t>
      </w:r>
      <w:r>
        <w:rPr>
          <w:rFonts w:ascii="宋体" w:hAnsi="宋体" w:eastAsia="宋体" w:cs="宋体"/>
          <w:color w:val="auto"/>
          <w:lang w:eastAsia="zh-CN"/>
        </w:rPr>
        <w:t>）采用</w:t>
      </w:r>
      <w:r>
        <w:rPr>
          <w:rFonts w:ascii="Times New Roman" w:hAnsi="Times New Roman" w:eastAsia="Times New Roman" w:cs="Times New Roman"/>
          <w:color w:val="auto"/>
          <w:lang w:eastAsia="zh-CN"/>
        </w:rPr>
        <w:t xml:space="preserve">A4 </w:t>
      </w:r>
      <w:r>
        <w:rPr>
          <w:rFonts w:ascii="宋体" w:hAnsi="宋体" w:eastAsia="宋体" w:cs="宋体"/>
          <w:color w:val="auto"/>
          <w:lang w:eastAsia="zh-CN"/>
        </w:rPr>
        <w:t>规格纸张，纸张方向为纵向，段落采用单倍行距</w:t>
      </w: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文档网格</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设置为</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无</w:t>
      </w:r>
      <w:r>
        <w:rPr>
          <w:rFonts w:ascii="宋体" w:hAnsi="宋体" w:eastAsia="宋体" w:cs="宋体"/>
          <w:color w:val="auto"/>
          <w:lang w:eastAsia="zh-CN"/>
        </w:rPr>
        <w:t>网格</w:t>
      </w:r>
      <w:r>
        <w:rPr>
          <w:rFonts w:ascii="Times New Roman" w:hAnsi="Times New Roman" w:eastAsia="Times New Roman" w:cs="Times New Roman"/>
          <w:color w:val="auto"/>
          <w:lang w:eastAsia="zh-CN"/>
        </w:rPr>
        <w:t>”</w:t>
      </w:r>
      <w:r>
        <w:rPr>
          <w:rFonts w:ascii="宋体" w:hAnsi="宋体" w:eastAsia="宋体" w:cs="宋体"/>
          <w:color w:val="auto"/>
          <w:lang w:eastAsia="zh-CN"/>
        </w:rPr>
        <w:t>，对齐方式两端对齐，大纲级别正文文本，左侧、右侧缩进</w:t>
      </w:r>
      <w:r>
        <w:rPr>
          <w:rFonts w:ascii="Times New Roman" w:hAnsi="Times New Roman" w:eastAsia="Times New Roman" w:cs="Times New Roman"/>
          <w:color w:val="auto"/>
          <w:lang w:eastAsia="zh-CN"/>
        </w:rPr>
        <w:t xml:space="preserve">0 </w:t>
      </w:r>
      <w:r>
        <w:rPr>
          <w:rFonts w:ascii="宋体" w:hAnsi="宋体" w:eastAsia="宋体" w:cs="宋体"/>
          <w:color w:val="auto"/>
          <w:lang w:eastAsia="zh-CN"/>
        </w:rPr>
        <w:t>个字符，首行缩进</w:t>
      </w:r>
      <w:r>
        <w:rPr>
          <w:rFonts w:ascii="Times New Roman" w:hAnsi="Times New Roman" w:eastAsia="Times New Roman" w:cs="Times New Roman"/>
          <w:color w:val="auto"/>
          <w:lang w:eastAsia="zh-CN"/>
        </w:rPr>
        <w:t xml:space="preserve">2 </w:t>
      </w:r>
      <w:r>
        <w:rPr>
          <w:rFonts w:ascii="宋体" w:hAnsi="宋体" w:eastAsia="宋体" w:cs="宋体"/>
          <w:color w:val="auto"/>
          <w:lang w:eastAsia="zh-CN"/>
        </w:rPr>
        <w:t>个</w:t>
      </w:r>
      <w:r>
        <w:rPr>
          <w:rFonts w:ascii="宋体" w:hAnsi="宋体" w:eastAsia="宋体" w:cs="宋体"/>
          <w:color w:val="auto"/>
          <w:spacing w:val="-1"/>
          <w:lang w:eastAsia="zh-CN"/>
        </w:rPr>
        <w:t>字符，段前、段后</w:t>
      </w:r>
      <w:r>
        <w:rPr>
          <w:rFonts w:ascii="Times New Roman" w:hAnsi="Times New Roman" w:eastAsia="Times New Roman" w:cs="Times New Roman"/>
          <w:color w:val="auto"/>
          <w:spacing w:val="-1"/>
          <w:lang w:eastAsia="zh-CN"/>
        </w:rPr>
        <w:t xml:space="preserve">0 </w:t>
      </w:r>
      <w:r>
        <w:rPr>
          <w:rFonts w:ascii="宋体" w:hAnsi="宋体" w:eastAsia="宋体" w:cs="宋体"/>
          <w:color w:val="auto"/>
          <w:spacing w:val="-1"/>
          <w:lang w:eastAsia="zh-CN"/>
        </w:rPr>
        <w:t>行。编辑软件可采用</w:t>
      </w:r>
      <w:r>
        <w:rPr>
          <w:rFonts w:ascii="Times New Roman" w:hAnsi="Times New Roman" w:eastAsia="Times New Roman" w:cs="Times New Roman"/>
          <w:color w:val="auto"/>
          <w:spacing w:val="-1"/>
          <w:lang w:eastAsia="zh-CN"/>
        </w:rPr>
        <w:t xml:space="preserve">Microsoft Word 2010 </w:t>
      </w:r>
      <w:r>
        <w:rPr>
          <w:rFonts w:ascii="宋体" w:hAnsi="宋体" w:eastAsia="宋体" w:cs="宋体"/>
          <w:color w:val="auto"/>
          <w:spacing w:val="-1"/>
          <w:lang w:eastAsia="zh-CN"/>
        </w:rPr>
        <w:t>及以上版本或</w:t>
      </w:r>
      <w:r>
        <w:rPr>
          <w:rFonts w:ascii="Times New Roman" w:hAnsi="Times New Roman" w:eastAsia="Times New Roman" w:cs="Times New Roman"/>
          <w:color w:val="auto"/>
          <w:spacing w:val="-1"/>
          <w:lang w:eastAsia="zh-CN"/>
        </w:rPr>
        <w:t>WPS 201</w:t>
      </w:r>
      <w:r>
        <w:rPr>
          <w:rFonts w:ascii="Times New Roman" w:hAnsi="Times New Roman" w:eastAsia="Times New Roman" w:cs="Times New Roman"/>
          <w:color w:val="auto"/>
          <w:spacing w:val="-2"/>
          <w:lang w:eastAsia="zh-CN"/>
        </w:rPr>
        <w:t xml:space="preserve">3 </w:t>
      </w:r>
      <w:r>
        <w:rPr>
          <w:rFonts w:ascii="宋体" w:hAnsi="宋体" w:eastAsia="宋体" w:cs="宋体"/>
          <w:color w:val="auto"/>
          <w:spacing w:val="-2"/>
          <w:lang w:eastAsia="zh-CN"/>
        </w:rPr>
        <w:t>版本</w:t>
      </w:r>
      <w:r>
        <w:rPr>
          <w:rFonts w:ascii="宋体" w:hAnsi="宋体" w:eastAsia="宋体" w:cs="宋体"/>
          <w:color w:val="auto"/>
          <w:spacing w:val="-6"/>
          <w:lang w:eastAsia="zh-CN"/>
        </w:rPr>
        <w:t>及以上版本。</w:t>
      </w:r>
    </w:p>
    <w:p w14:paraId="1C593C30">
      <w:pPr>
        <w:spacing w:before="110" w:line="269" w:lineRule="auto"/>
        <w:ind w:left="1719" w:right="1796" w:firstLine="405"/>
        <w:rPr>
          <w:rFonts w:ascii="宋体" w:hAnsi="宋体" w:eastAsia="宋体" w:cs="宋体"/>
          <w:color w:val="auto"/>
          <w:lang w:eastAsia="zh-CN"/>
        </w:rPr>
      </w:pPr>
      <w:r>
        <w:rPr>
          <w:rFonts w:ascii="宋体" w:hAnsi="宋体" w:eastAsia="宋体" w:cs="宋体"/>
          <w:color w:val="auto"/>
          <w:spacing w:val="-8"/>
          <w:lang w:eastAsia="zh-CN"/>
        </w:rPr>
        <w:t>（</w:t>
      </w:r>
      <w:r>
        <w:rPr>
          <w:rFonts w:ascii="Times New Roman" w:hAnsi="Times New Roman" w:eastAsia="Times New Roman" w:cs="Times New Roman"/>
          <w:color w:val="auto"/>
          <w:spacing w:val="-8"/>
          <w:lang w:eastAsia="zh-CN"/>
        </w:rPr>
        <w:t>2</w:t>
      </w:r>
      <w:r>
        <w:rPr>
          <w:rFonts w:ascii="宋体" w:hAnsi="宋体" w:eastAsia="宋体" w:cs="宋体"/>
          <w:color w:val="auto"/>
          <w:spacing w:val="-8"/>
          <w:lang w:eastAsia="zh-CN"/>
        </w:rPr>
        <w:t>）标题（包括章、节、条、款、项）、正文要求：采用</w:t>
      </w:r>
      <w:r>
        <w:rPr>
          <w:rFonts w:ascii="Times New Roman" w:hAnsi="Times New Roman" w:eastAsia="Times New Roman" w:cs="Times New Roman"/>
          <w:color w:val="auto"/>
          <w:spacing w:val="-8"/>
          <w:lang w:eastAsia="zh-CN"/>
        </w:rPr>
        <w:t xml:space="preserve">A4 </w:t>
      </w:r>
      <w:r>
        <w:rPr>
          <w:rFonts w:ascii="宋体" w:hAnsi="宋体" w:eastAsia="宋体" w:cs="宋体"/>
          <w:color w:val="auto"/>
          <w:spacing w:val="-8"/>
          <w:lang w:eastAsia="zh-CN"/>
        </w:rPr>
        <w:t>规格纸张，文字为黑色小</w:t>
      </w:r>
      <w:r>
        <w:rPr>
          <w:rFonts w:ascii="宋体" w:hAnsi="宋体" w:eastAsia="宋体" w:cs="宋体"/>
          <w:color w:val="auto"/>
          <w:spacing w:val="-5"/>
          <w:lang w:eastAsia="zh-CN"/>
        </w:rPr>
        <w:t>四号宋体，标题可加粗。</w:t>
      </w:r>
    </w:p>
    <w:p w14:paraId="57EB5D71">
      <w:pPr>
        <w:spacing w:before="110" w:line="292" w:lineRule="auto"/>
        <w:ind w:left="1699" w:right="1601" w:firstLine="425"/>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3</w:t>
      </w:r>
      <w:r>
        <w:rPr>
          <w:rFonts w:ascii="宋体" w:hAnsi="宋体" w:eastAsia="宋体" w:cs="宋体"/>
          <w:color w:val="auto"/>
          <w:spacing w:val="-2"/>
          <w:lang w:eastAsia="zh-CN"/>
        </w:rPr>
        <w:t>）图表要求：图表应尽可能采用</w:t>
      </w:r>
      <w:r>
        <w:rPr>
          <w:rFonts w:ascii="Times New Roman" w:hAnsi="Times New Roman" w:eastAsia="Times New Roman" w:cs="Times New Roman"/>
          <w:color w:val="auto"/>
          <w:spacing w:val="-2"/>
          <w:lang w:eastAsia="zh-CN"/>
        </w:rPr>
        <w:t xml:space="preserve">A4 </w:t>
      </w:r>
      <w:r>
        <w:rPr>
          <w:rFonts w:ascii="宋体" w:hAnsi="宋体" w:eastAsia="宋体" w:cs="宋体"/>
          <w:color w:val="auto"/>
          <w:spacing w:val="-2"/>
          <w:lang w:eastAsia="zh-CN"/>
        </w:rPr>
        <w:t>规格白色底色，对于</w:t>
      </w:r>
      <w:r>
        <w:rPr>
          <w:rFonts w:ascii="宋体" w:hAnsi="宋体" w:eastAsia="宋体" w:cs="宋体"/>
          <w:color w:val="auto"/>
          <w:spacing w:val="-3"/>
          <w:lang w:eastAsia="zh-CN"/>
        </w:rPr>
        <w:t>比较大的图表可使用</w:t>
      </w:r>
      <w:r>
        <w:rPr>
          <w:rFonts w:ascii="Times New Roman" w:hAnsi="Times New Roman" w:eastAsia="Times New Roman" w:cs="Times New Roman"/>
          <w:color w:val="auto"/>
          <w:spacing w:val="-3"/>
          <w:lang w:eastAsia="zh-CN"/>
        </w:rPr>
        <w:t xml:space="preserve">A3 </w:t>
      </w:r>
      <w:r>
        <w:rPr>
          <w:rFonts w:ascii="宋体" w:hAnsi="宋体" w:eastAsia="宋体" w:cs="宋体"/>
          <w:color w:val="auto"/>
          <w:spacing w:val="-3"/>
          <w:lang w:eastAsia="zh-CN"/>
        </w:rPr>
        <w:t>规</w:t>
      </w:r>
      <w:r>
        <w:rPr>
          <w:rFonts w:ascii="宋体" w:hAnsi="宋体" w:eastAsia="宋体" w:cs="宋体"/>
          <w:color w:val="auto"/>
          <w:spacing w:val="-5"/>
          <w:lang w:eastAsia="zh-CN"/>
        </w:rPr>
        <w:t>格白色底色。图表中的文字采用黑色， 字体、字号不限（不包括纯表格，纯表格中文字要求</w:t>
      </w:r>
      <w:r>
        <w:rPr>
          <w:rFonts w:ascii="宋体" w:hAnsi="宋体" w:eastAsia="宋体" w:cs="宋体"/>
          <w:color w:val="auto"/>
          <w:lang w:eastAsia="zh-CN"/>
        </w:rPr>
        <w:t>同（</w:t>
      </w:r>
      <w:r>
        <w:rPr>
          <w:rFonts w:ascii="Times New Roman" w:hAnsi="Times New Roman" w:eastAsia="Times New Roman" w:cs="Times New Roman"/>
          <w:color w:val="auto"/>
          <w:lang w:eastAsia="zh-CN"/>
        </w:rPr>
        <w:t>2</w:t>
      </w:r>
      <w:r>
        <w:rPr>
          <w:rFonts w:ascii="宋体" w:hAnsi="宋体" w:eastAsia="宋体" w:cs="宋体"/>
          <w:color w:val="auto"/>
          <w:lang w:eastAsia="zh-CN"/>
        </w:rPr>
        <w:t>）正文要求且无需首行缩进）。图表（包括框图、流程图、结构图等，</w:t>
      </w:r>
      <w:r>
        <w:rPr>
          <w:rFonts w:ascii="宋体" w:hAnsi="宋体" w:eastAsia="宋体" w:cs="宋体"/>
          <w:color w:val="auto"/>
          <w:spacing w:val="-1"/>
          <w:lang w:eastAsia="zh-CN"/>
        </w:rPr>
        <w:t>不包括纯表格）</w:t>
      </w:r>
      <w:r>
        <w:rPr>
          <w:rFonts w:ascii="宋体" w:hAnsi="宋体" w:eastAsia="宋体" w:cs="宋体"/>
          <w:color w:val="auto"/>
          <w:spacing w:val="-4"/>
          <w:lang w:eastAsia="zh-CN"/>
        </w:rPr>
        <w:t>内容需转换为“图片”格式插入到文件对应位置</w:t>
      </w:r>
      <w:r>
        <w:rPr>
          <w:rFonts w:ascii="宋体" w:hAnsi="宋体" w:eastAsia="宋体" w:cs="宋体"/>
          <w:color w:val="auto"/>
          <w:spacing w:val="-5"/>
          <w:lang w:eastAsia="zh-CN"/>
        </w:rPr>
        <w:t>上。</w:t>
      </w:r>
    </w:p>
    <w:p w14:paraId="3BF10A77">
      <w:pPr>
        <w:spacing w:before="110" w:line="284" w:lineRule="auto"/>
        <w:ind w:left="1700" w:right="1796" w:firstLine="423"/>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4</w:t>
      </w:r>
      <w:r>
        <w:rPr>
          <w:rFonts w:ascii="宋体" w:hAnsi="宋体" w:eastAsia="宋体" w:cs="宋体"/>
          <w:color w:val="auto"/>
          <w:lang w:eastAsia="zh-CN"/>
        </w:rPr>
        <w:t>）页眉和页脚（包括页码）设置要求：不允许出现页眉，可以设置页脚且页脚仅可</w:t>
      </w:r>
      <w:r>
        <w:rPr>
          <w:rFonts w:ascii="宋体" w:hAnsi="宋体" w:eastAsia="宋体" w:cs="宋体"/>
          <w:color w:val="auto"/>
          <w:spacing w:val="-2"/>
          <w:lang w:eastAsia="zh-CN"/>
        </w:rPr>
        <w:t>以设置页码，页码格式采用阿拉伯数字格式，字</w:t>
      </w:r>
      <w:r>
        <w:rPr>
          <w:rFonts w:ascii="宋体" w:hAnsi="宋体" w:eastAsia="宋体" w:cs="宋体"/>
          <w:color w:val="auto"/>
          <w:spacing w:val="-3"/>
          <w:lang w:eastAsia="zh-CN"/>
        </w:rPr>
        <w:t>体为五号宋体，设在页脚居中位置，同模块</w:t>
      </w:r>
      <w:r>
        <w:rPr>
          <w:rFonts w:ascii="宋体" w:hAnsi="宋体" w:eastAsia="宋体" w:cs="宋体"/>
          <w:color w:val="auto"/>
          <w:spacing w:val="-4"/>
          <w:lang w:eastAsia="zh-CN"/>
        </w:rPr>
        <w:t>文本页码应当连续。</w:t>
      </w:r>
    </w:p>
    <w:p w14:paraId="338673E6">
      <w:pPr>
        <w:spacing w:before="111"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）不允许有目录，不允许涂改或删除痕迹，不允许字体涂色。</w:t>
      </w:r>
    </w:p>
    <w:p w14:paraId="67525680">
      <w:pPr>
        <w:spacing w:before="111" w:line="220" w:lineRule="auto"/>
        <w:ind w:left="2124"/>
        <w:rPr>
          <w:rFonts w:ascii="宋体" w:hAnsi="宋体" w:eastAsia="宋体" w:cs="宋体"/>
          <w:color w:val="auto"/>
          <w:spacing w:val="-2"/>
          <w:lang w:eastAsia="zh-CN"/>
        </w:rPr>
      </w:pPr>
      <w:r>
        <w:rPr>
          <w:rFonts w:ascii="宋体" w:hAnsi="宋体" w:eastAsia="宋体" w:cs="宋体"/>
          <w:color w:val="auto"/>
          <w:spacing w:val="-2"/>
          <w:lang w:eastAsia="zh-CN"/>
        </w:rPr>
        <w:t>（6）任何情况下，技术服务和质保期服务计划中不得出现投标人的名称和其它可以识别</w:t>
      </w:r>
    </w:p>
    <w:p w14:paraId="7E665C13">
      <w:pPr>
        <w:spacing w:before="111" w:line="220" w:lineRule="auto"/>
        <w:ind w:left="2124"/>
        <w:rPr>
          <w:rFonts w:ascii="宋体" w:hAnsi="宋体" w:eastAsia="宋体" w:cs="宋体"/>
          <w:color w:val="auto"/>
          <w:spacing w:val="-2"/>
          <w:lang w:eastAsia="zh-CN"/>
        </w:rPr>
      </w:pPr>
      <w:r>
        <w:rPr>
          <w:rFonts w:ascii="宋体" w:hAnsi="宋体" w:eastAsia="宋体" w:cs="宋体"/>
          <w:color w:val="auto"/>
          <w:spacing w:val="-2"/>
          <w:lang w:eastAsia="zh-CN"/>
        </w:rPr>
        <w:t>投标人身份的字符、徽标、人员名称等以及雷同性标记内容。</w:t>
      </w:r>
    </w:p>
    <w:p w14:paraId="508415CB">
      <w:pPr>
        <w:spacing w:before="149" w:line="222" w:lineRule="auto"/>
        <w:ind w:left="1695"/>
        <w:outlineLvl w:val="1"/>
        <w:rPr>
          <w:rFonts w:ascii="黑体" w:hAnsi="黑体" w:eastAsia="黑体" w:cs="黑体"/>
          <w:color w:val="auto"/>
          <w:sz w:val="28"/>
          <w:szCs w:val="28"/>
          <w:lang w:eastAsia="zh-CN"/>
        </w:rPr>
      </w:pPr>
      <w:bookmarkStart w:id="116" w:name="bookmark32"/>
      <w:bookmarkEnd w:id="116"/>
      <w:bookmarkStart w:id="117" w:name="bookmark33"/>
      <w:bookmarkEnd w:id="117"/>
      <w:bookmarkStart w:id="118" w:name="_Toc17353"/>
      <w:bookmarkStart w:id="119" w:name="_Toc23387"/>
      <w:bookmarkStart w:id="120" w:name="_Toc11163"/>
      <w:bookmarkStart w:id="121" w:name="_Toc10246"/>
      <w:bookmarkStart w:id="122" w:name="_Toc22526"/>
      <w:bookmarkStart w:id="123" w:name="_Toc29133"/>
      <w:r>
        <w:rPr>
          <w:rFonts w:ascii="Times New Roman" w:hAnsi="Times New Roman" w:eastAsia="Times New Roman" w:cs="Times New Roman"/>
          <w:color w:val="auto"/>
          <w:spacing w:val="-2"/>
          <w:sz w:val="28"/>
          <w:szCs w:val="28"/>
          <w:lang w:eastAsia="zh-CN"/>
        </w:rPr>
        <w:t>4.</w:t>
      </w:r>
      <w:r>
        <w:rPr>
          <w:rFonts w:ascii="黑体" w:hAnsi="黑体" w:eastAsia="黑体" w:cs="黑体"/>
          <w:color w:val="auto"/>
          <w:spacing w:val="-2"/>
          <w:sz w:val="28"/>
          <w:szCs w:val="28"/>
          <w:lang w:eastAsia="zh-CN"/>
        </w:rPr>
        <w:t>投标</w:t>
      </w:r>
      <w:bookmarkEnd w:id="118"/>
      <w:bookmarkEnd w:id="119"/>
      <w:bookmarkEnd w:id="120"/>
      <w:bookmarkEnd w:id="121"/>
      <w:bookmarkEnd w:id="122"/>
      <w:bookmarkEnd w:id="123"/>
    </w:p>
    <w:p w14:paraId="497DAE11">
      <w:pPr>
        <w:spacing w:before="57" w:line="221" w:lineRule="auto"/>
        <w:ind w:left="1694"/>
        <w:outlineLvl w:val="2"/>
        <w:rPr>
          <w:rFonts w:ascii="黑体" w:hAnsi="黑体" w:eastAsia="黑体" w:cs="黑体"/>
          <w:color w:val="auto"/>
          <w:sz w:val="24"/>
          <w:szCs w:val="24"/>
          <w:lang w:eastAsia="zh-CN"/>
        </w:rPr>
      </w:pPr>
      <w:bookmarkStart w:id="124" w:name="bookmark213"/>
      <w:bookmarkEnd w:id="124"/>
      <w:r>
        <w:rPr>
          <w:rFonts w:ascii="Times New Roman" w:hAnsi="Times New Roman" w:eastAsia="Times New Roman" w:cs="Times New Roman"/>
          <w:color w:val="auto"/>
          <w:spacing w:val="-1"/>
          <w:sz w:val="24"/>
          <w:szCs w:val="24"/>
          <w:lang w:eastAsia="zh-CN"/>
        </w:rPr>
        <w:t xml:space="preserve">4.1  </w:t>
      </w:r>
      <w:r>
        <w:rPr>
          <w:rFonts w:ascii="黑体" w:hAnsi="黑体" w:eastAsia="黑体" w:cs="黑体"/>
          <w:color w:val="auto"/>
          <w:spacing w:val="-1"/>
          <w:sz w:val="24"/>
          <w:szCs w:val="24"/>
          <w:lang w:eastAsia="zh-CN"/>
        </w:rPr>
        <w:t>投标文件的加密</w:t>
      </w:r>
    </w:p>
    <w:p w14:paraId="72FFC614">
      <w:pPr>
        <w:spacing w:before="98" w:line="305" w:lineRule="auto"/>
        <w:ind w:left="1702" w:right="1842" w:firstLine="419"/>
        <w:rPr>
          <w:rFonts w:ascii="宋体" w:hAnsi="宋体" w:eastAsia="宋体" w:cs="宋体"/>
          <w:color w:val="auto"/>
          <w:lang w:eastAsia="zh-CN"/>
        </w:rPr>
      </w:pPr>
      <w:r>
        <w:rPr>
          <w:rFonts w:ascii="宋体" w:hAnsi="宋体" w:eastAsia="宋体" w:cs="宋体"/>
          <w:color w:val="auto"/>
          <w:spacing w:val="-1"/>
          <w:lang w:eastAsia="zh-CN"/>
        </w:rPr>
        <w:t>投标人应当按照本章第</w:t>
      </w:r>
      <w:r>
        <w:rPr>
          <w:rFonts w:ascii="Times New Roman" w:hAnsi="Times New Roman" w:eastAsia="Times New Roman" w:cs="Times New Roman"/>
          <w:color w:val="auto"/>
          <w:spacing w:val="-1"/>
          <w:lang w:eastAsia="zh-CN"/>
        </w:rPr>
        <w:t xml:space="preserve">3.7.3 </w:t>
      </w:r>
      <w:r>
        <w:rPr>
          <w:rFonts w:ascii="宋体" w:hAnsi="宋体" w:eastAsia="宋体" w:cs="宋体"/>
          <w:color w:val="auto"/>
          <w:spacing w:val="-1"/>
          <w:lang w:eastAsia="zh-CN"/>
        </w:rPr>
        <w:t>项要求制作投标文件，并在投标时上</w:t>
      </w:r>
      <w:r>
        <w:rPr>
          <w:rFonts w:ascii="宋体" w:hAnsi="宋体" w:eastAsia="宋体" w:cs="宋体"/>
          <w:color w:val="auto"/>
          <w:spacing w:val="-2"/>
          <w:lang w:eastAsia="zh-CN"/>
        </w:rPr>
        <w:t>传加密的投标文件，未加密的投标文件，招标人（电子招标投标系统）将拒收并提示。</w:t>
      </w:r>
    </w:p>
    <w:p w14:paraId="550F89FD">
      <w:pPr>
        <w:spacing w:line="221" w:lineRule="auto"/>
        <w:ind w:left="1694"/>
        <w:outlineLvl w:val="2"/>
        <w:rPr>
          <w:rFonts w:ascii="黑体" w:hAnsi="黑体" w:eastAsia="黑体" w:cs="黑体"/>
          <w:color w:val="auto"/>
          <w:sz w:val="24"/>
          <w:szCs w:val="24"/>
          <w:lang w:eastAsia="zh-CN"/>
        </w:rPr>
      </w:pPr>
      <w:bookmarkStart w:id="125" w:name="bookmark34"/>
      <w:bookmarkEnd w:id="125"/>
      <w:r>
        <w:rPr>
          <w:rFonts w:ascii="Times New Roman" w:hAnsi="Times New Roman" w:eastAsia="Times New Roman" w:cs="Times New Roman"/>
          <w:color w:val="auto"/>
          <w:spacing w:val="-1"/>
          <w:sz w:val="24"/>
          <w:szCs w:val="24"/>
          <w:lang w:eastAsia="zh-CN"/>
        </w:rPr>
        <w:t xml:space="preserve">4.2  </w:t>
      </w:r>
      <w:r>
        <w:rPr>
          <w:rFonts w:ascii="黑体" w:hAnsi="黑体" w:eastAsia="黑体" w:cs="黑体"/>
          <w:color w:val="auto"/>
          <w:spacing w:val="-1"/>
          <w:sz w:val="24"/>
          <w:szCs w:val="24"/>
          <w:lang w:eastAsia="zh-CN"/>
        </w:rPr>
        <w:t>投标文件的递交</w:t>
      </w:r>
    </w:p>
    <w:p w14:paraId="3D86443B">
      <w:pPr>
        <w:spacing w:before="98"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4.2.1  </w:t>
      </w:r>
      <w:r>
        <w:rPr>
          <w:rFonts w:ascii="宋体" w:hAnsi="宋体" w:eastAsia="宋体" w:cs="宋体"/>
          <w:color w:val="auto"/>
          <w:spacing w:val="-3"/>
          <w:lang w:eastAsia="zh-CN"/>
        </w:rPr>
        <w:t>投标人递交投标文件的截止时间</w:t>
      </w:r>
      <w:r>
        <w:rPr>
          <w:rFonts w:ascii="宋体" w:hAnsi="宋体" w:eastAsia="宋体" w:cs="宋体"/>
          <w:color w:val="auto"/>
          <w:spacing w:val="-4"/>
          <w:lang w:eastAsia="zh-CN"/>
        </w:rPr>
        <w:t>（投标截止时间）：见投标人须知前附表。</w:t>
      </w:r>
    </w:p>
    <w:p w14:paraId="5AD3F2FB">
      <w:pPr>
        <w:spacing w:before="112" w:line="292" w:lineRule="auto"/>
        <w:ind w:left="1698" w:right="1616" w:firstLine="416"/>
        <w:rPr>
          <w:rFonts w:ascii="宋体" w:hAnsi="宋体" w:eastAsia="宋体" w:cs="宋体"/>
          <w:color w:val="auto"/>
          <w:lang w:eastAsia="zh-CN"/>
        </w:rPr>
      </w:pPr>
      <w:r>
        <w:rPr>
          <w:rFonts w:ascii="Times New Roman" w:hAnsi="Times New Roman" w:eastAsia="Times New Roman" w:cs="Times New Roman"/>
          <w:color w:val="auto"/>
          <w:lang w:eastAsia="zh-CN"/>
        </w:rPr>
        <w:t xml:space="preserve">4.2.2  </w:t>
      </w:r>
      <w:r>
        <w:rPr>
          <w:rFonts w:ascii="宋体" w:hAnsi="宋体" w:eastAsia="宋体" w:cs="宋体"/>
          <w:color w:val="auto"/>
          <w:lang w:eastAsia="zh-CN"/>
        </w:rPr>
        <w:t>投标人应当在投标截止时间前，通过电子交易系统（投标盲盒工具）选择所投标</w:t>
      </w:r>
      <w:r>
        <w:rPr>
          <w:rFonts w:ascii="宋体" w:hAnsi="宋体" w:eastAsia="宋体" w:cs="宋体"/>
          <w:color w:val="auto"/>
          <w:spacing w:val="-3"/>
          <w:lang w:eastAsia="zh-CN"/>
        </w:rPr>
        <w:t>段将加密的投标文件上传至电子招标投标系统（辽宁省工程建设项目数字化开标评标</w:t>
      </w:r>
      <w:r>
        <w:rPr>
          <w:rFonts w:ascii="宋体" w:hAnsi="宋体" w:eastAsia="宋体" w:cs="宋体"/>
          <w:color w:val="auto"/>
          <w:spacing w:val="-4"/>
          <w:lang w:eastAsia="zh-CN"/>
        </w:rPr>
        <w:t>系统）。</w:t>
      </w:r>
      <w:r>
        <w:rPr>
          <w:rFonts w:ascii="宋体" w:hAnsi="宋体" w:eastAsia="宋体" w:cs="宋体"/>
          <w:color w:val="auto"/>
          <w:spacing w:val="2"/>
          <w:lang w:eastAsia="zh-CN"/>
        </w:rPr>
        <w:t>投标人应充分考虑上传文件时的不可预见因素，投标文件未在投标截止时间前完成上传的，</w:t>
      </w:r>
      <w:r>
        <w:rPr>
          <w:rFonts w:ascii="宋体" w:hAnsi="宋体" w:eastAsia="宋体" w:cs="宋体"/>
          <w:color w:val="auto"/>
          <w:spacing w:val="-2"/>
          <w:lang w:eastAsia="zh-CN"/>
        </w:rPr>
        <w:t>视为逾期送达，招标人（电子交易系统）将拒收其投标文件。</w:t>
      </w:r>
    </w:p>
    <w:p w14:paraId="5BEE5903">
      <w:pPr>
        <w:spacing w:before="110" w:line="316" w:lineRule="auto"/>
        <w:ind w:left="1723" w:right="1796" w:firstLine="398"/>
        <w:rPr>
          <w:rFonts w:ascii="宋体" w:hAnsi="宋体" w:eastAsia="宋体" w:cs="宋体"/>
          <w:color w:val="auto"/>
          <w:lang w:eastAsia="zh-CN"/>
        </w:rPr>
      </w:pPr>
      <w:r>
        <w:rPr>
          <w:rFonts w:ascii="宋体" w:hAnsi="宋体" w:eastAsia="宋体" w:cs="宋体"/>
          <w:color w:val="auto"/>
          <w:spacing w:val="-3"/>
          <w:lang w:eastAsia="zh-CN"/>
        </w:rPr>
        <w:t>投标人完成投标文件上传成功后，电子交易系统向投标人发出电子签收凭证，递交时间</w:t>
      </w:r>
      <w:r>
        <w:rPr>
          <w:rFonts w:ascii="宋体" w:hAnsi="宋体" w:eastAsia="宋体" w:cs="宋体"/>
          <w:color w:val="auto"/>
          <w:spacing w:val="-4"/>
          <w:lang w:eastAsia="zh-CN"/>
        </w:rPr>
        <w:t>以电子签收凭证载明的时间为准。</w:t>
      </w:r>
    </w:p>
    <w:p w14:paraId="61C8117B">
      <w:pPr>
        <w:spacing w:before="1" w:line="219" w:lineRule="auto"/>
        <w:ind w:left="2114"/>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4.2.3  </w:t>
      </w:r>
      <w:r>
        <w:rPr>
          <w:rFonts w:ascii="宋体" w:hAnsi="宋体" w:eastAsia="宋体" w:cs="宋体"/>
          <w:color w:val="auto"/>
          <w:spacing w:val="-1"/>
          <w:lang w:eastAsia="zh-CN"/>
        </w:rPr>
        <w:t>除投标人须知前附表另有规定外，投标人所递交的投标文件不予退还。</w:t>
      </w:r>
    </w:p>
    <w:p w14:paraId="300017AA">
      <w:pPr>
        <w:spacing w:before="84" w:line="222" w:lineRule="auto"/>
        <w:ind w:left="1694"/>
        <w:outlineLvl w:val="2"/>
        <w:rPr>
          <w:rFonts w:ascii="黑体" w:hAnsi="黑体" w:eastAsia="黑体" w:cs="黑体"/>
          <w:color w:val="auto"/>
          <w:sz w:val="24"/>
          <w:szCs w:val="24"/>
          <w:lang w:eastAsia="zh-CN"/>
        </w:rPr>
      </w:pPr>
      <w:bookmarkStart w:id="126" w:name="bookmark35"/>
      <w:bookmarkEnd w:id="126"/>
      <w:r>
        <w:rPr>
          <w:rFonts w:ascii="Times New Roman" w:hAnsi="Times New Roman" w:eastAsia="Times New Roman" w:cs="Times New Roman"/>
          <w:color w:val="auto"/>
          <w:spacing w:val="-1"/>
          <w:sz w:val="24"/>
          <w:szCs w:val="24"/>
          <w:lang w:eastAsia="zh-CN"/>
        </w:rPr>
        <w:t xml:space="preserve">4.3  </w:t>
      </w:r>
      <w:r>
        <w:rPr>
          <w:rFonts w:ascii="黑体" w:hAnsi="黑体" w:eastAsia="黑体" w:cs="黑体"/>
          <w:color w:val="auto"/>
          <w:spacing w:val="-1"/>
          <w:sz w:val="24"/>
          <w:szCs w:val="24"/>
          <w:lang w:eastAsia="zh-CN"/>
        </w:rPr>
        <w:t>投标文件的修改与撤回</w:t>
      </w:r>
    </w:p>
    <w:p w14:paraId="4D167ADF">
      <w:pPr>
        <w:spacing w:before="98" w:line="268" w:lineRule="auto"/>
        <w:ind w:left="1698" w:right="1796" w:firstLine="416"/>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4.3.1  </w:t>
      </w:r>
      <w:r>
        <w:rPr>
          <w:rFonts w:ascii="宋体" w:hAnsi="宋体" w:eastAsia="宋体" w:cs="宋体"/>
          <w:color w:val="auto"/>
          <w:spacing w:val="-2"/>
          <w:lang w:eastAsia="zh-CN"/>
        </w:rPr>
        <w:t>在本章第</w:t>
      </w:r>
      <w:r>
        <w:rPr>
          <w:rFonts w:ascii="Times New Roman" w:hAnsi="Times New Roman" w:eastAsia="Times New Roman" w:cs="Times New Roman"/>
          <w:color w:val="auto"/>
          <w:spacing w:val="-2"/>
          <w:lang w:eastAsia="zh-CN"/>
        </w:rPr>
        <w:t xml:space="preserve">4.2.1 </w:t>
      </w:r>
      <w:r>
        <w:rPr>
          <w:rFonts w:ascii="宋体" w:hAnsi="宋体" w:eastAsia="宋体" w:cs="宋体"/>
          <w:color w:val="auto"/>
          <w:spacing w:val="-2"/>
          <w:lang w:eastAsia="zh-CN"/>
        </w:rPr>
        <w:t>项规定的投标截止时间前，投标人可以修改或撤回已递交</w:t>
      </w:r>
      <w:r>
        <w:rPr>
          <w:rFonts w:ascii="宋体" w:hAnsi="宋体" w:eastAsia="宋体" w:cs="宋体"/>
          <w:color w:val="auto"/>
          <w:spacing w:val="-3"/>
          <w:lang w:eastAsia="zh-CN"/>
        </w:rPr>
        <w:t>的投标文</w:t>
      </w:r>
      <w:r>
        <w:rPr>
          <w:rFonts w:ascii="宋体" w:hAnsi="宋体" w:eastAsia="宋体" w:cs="宋体"/>
          <w:color w:val="auto"/>
          <w:spacing w:val="-10"/>
          <w:lang w:eastAsia="zh-CN"/>
        </w:rPr>
        <w:t>件。</w:t>
      </w:r>
    </w:p>
    <w:p w14:paraId="2D0B96C9">
      <w:pPr>
        <w:spacing w:before="110"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4.3.2  </w:t>
      </w:r>
      <w:r>
        <w:rPr>
          <w:rFonts w:ascii="宋体" w:hAnsi="宋体" w:eastAsia="宋体" w:cs="宋体"/>
          <w:color w:val="auto"/>
          <w:spacing w:val="-1"/>
          <w:lang w:eastAsia="zh-CN"/>
        </w:rPr>
        <w:t>投标人撤回投标文件的，在电子交易系统（投标盲盒工具）直接进行撤回操作。</w:t>
      </w:r>
    </w:p>
    <w:p w14:paraId="1A9896D5">
      <w:pPr>
        <w:spacing w:before="110" w:line="284" w:lineRule="auto"/>
        <w:ind w:left="1700" w:right="1632" w:firstLine="4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4.3.3  </w:t>
      </w:r>
      <w:r>
        <w:rPr>
          <w:rFonts w:ascii="宋体" w:hAnsi="宋体" w:eastAsia="宋体" w:cs="宋体"/>
          <w:color w:val="auto"/>
          <w:spacing w:val="-2"/>
          <w:lang w:eastAsia="zh-CN"/>
        </w:rPr>
        <w:t>投标人修改投标文件的，应当先按本章第</w:t>
      </w:r>
      <w:r>
        <w:rPr>
          <w:rFonts w:ascii="Times New Roman" w:hAnsi="Times New Roman" w:eastAsia="Times New Roman" w:cs="Times New Roman"/>
          <w:color w:val="auto"/>
          <w:spacing w:val="-2"/>
          <w:lang w:eastAsia="zh-CN"/>
        </w:rPr>
        <w:t xml:space="preserve">4.3.2 </w:t>
      </w:r>
      <w:r>
        <w:rPr>
          <w:rFonts w:ascii="宋体" w:hAnsi="宋体" w:eastAsia="宋体" w:cs="宋体"/>
          <w:color w:val="auto"/>
          <w:spacing w:val="-2"/>
          <w:lang w:eastAsia="zh-CN"/>
        </w:rPr>
        <w:t>项的规定撤回投标文件，</w:t>
      </w:r>
      <w:r>
        <w:rPr>
          <w:rFonts w:ascii="宋体" w:hAnsi="宋体" w:eastAsia="宋体" w:cs="宋体"/>
          <w:color w:val="auto"/>
          <w:spacing w:val="-3"/>
          <w:lang w:eastAsia="zh-CN"/>
        </w:rPr>
        <w:t>再使用投</w:t>
      </w:r>
      <w:r>
        <w:rPr>
          <w:rFonts w:ascii="宋体" w:hAnsi="宋体" w:eastAsia="宋体" w:cs="宋体"/>
          <w:color w:val="auto"/>
          <w:spacing w:val="1"/>
          <w:lang w:eastAsia="zh-CN"/>
        </w:rPr>
        <w:t>标文件制作软件制作成完整的投标文件，并按照本章第</w:t>
      </w:r>
      <w:r>
        <w:rPr>
          <w:rFonts w:ascii="Times New Roman" w:hAnsi="Times New Roman" w:eastAsia="Times New Roman" w:cs="Times New Roman"/>
          <w:color w:val="auto"/>
          <w:spacing w:val="1"/>
          <w:lang w:eastAsia="zh-CN"/>
        </w:rPr>
        <w:t xml:space="preserve">3 </w:t>
      </w:r>
      <w:r>
        <w:rPr>
          <w:rFonts w:ascii="宋体" w:hAnsi="宋体" w:eastAsia="宋体" w:cs="宋体"/>
          <w:color w:val="auto"/>
          <w:spacing w:val="1"/>
          <w:lang w:eastAsia="zh-CN"/>
        </w:rPr>
        <w:t>条、第</w:t>
      </w:r>
      <w:r>
        <w:rPr>
          <w:rFonts w:ascii="Times New Roman" w:hAnsi="Times New Roman" w:eastAsia="Times New Roman" w:cs="Times New Roman"/>
          <w:color w:val="auto"/>
          <w:spacing w:val="1"/>
          <w:lang w:eastAsia="zh-CN"/>
        </w:rPr>
        <w:t xml:space="preserve">4 </w:t>
      </w:r>
      <w:r>
        <w:rPr>
          <w:rFonts w:ascii="宋体" w:hAnsi="宋体" w:eastAsia="宋体" w:cs="宋体"/>
          <w:color w:val="auto"/>
          <w:spacing w:val="1"/>
          <w:lang w:eastAsia="zh-CN"/>
        </w:rPr>
        <w:t>条规定进行编制和递交，</w:t>
      </w:r>
      <w:r>
        <w:rPr>
          <w:rFonts w:ascii="宋体" w:hAnsi="宋体" w:eastAsia="宋体" w:cs="宋体"/>
          <w:color w:val="auto"/>
          <w:spacing w:val="-2"/>
          <w:lang w:eastAsia="zh-CN"/>
        </w:rPr>
        <w:t>递交时间以投标截止时间前最后完成上传的文件为准。</w:t>
      </w:r>
    </w:p>
    <w:p w14:paraId="245169F5">
      <w:pPr>
        <w:spacing w:before="150" w:line="225" w:lineRule="auto"/>
        <w:ind w:left="1704"/>
        <w:outlineLvl w:val="1"/>
        <w:rPr>
          <w:rFonts w:ascii="黑体" w:hAnsi="黑体" w:eastAsia="黑体" w:cs="黑体"/>
          <w:color w:val="auto"/>
          <w:sz w:val="28"/>
          <w:szCs w:val="28"/>
          <w:lang w:eastAsia="zh-CN"/>
        </w:rPr>
      </w:pPr>
      <w:bookmarkStart w:id="127" w:name="bookmark36"/>
      <w:bookmarkEnd w:id="127"/>
      <w:bookmarkStart w:id="128" w:name="bookmark37"/>
      <w:bookmarkEnd w:id="128"/>
      <w:bookmarkStart w:id="129" w:name="_Toc31104"/>
      <w:bookmarkStart w:id="130" w:name="_Toc7821"/>
      <w:bookmarkStart w:id="131" w:name="_Toc24668"/>
      <w:bookmarkStart w:id="132" w:name="_Toc11340"/>
      <w:bookmarkStart w:id="133" w:name="_Toc16220"/>
      <w:bookmarkStart w:id="134" w:name="_Toc7684"/>
      <w:r>
        <w:rPr>
          <w:rFonts w:ascii="Times New Roman" w:hAnsi="Times New Roman" w:eastAsia="Times New Roman" w:cs="Times New Roman"/>
          <w:color w:val="auto"/>
          <w:spacing w:val="-4"/>
          <w:sz w:val="28"/>
          <w:szCs w:val="28"/>
          <w:lang w:eastAsia="zh-CN"/>
        </w:rPr>
        <w:t>5.</w:t>
      </w:r>
      <w:r>
        <w:rPr>
          <w:rFonts w:ascii="黑体" w:hAnsi="黑体" w:eastAsia="黑体" w:cs="黑体"/>
          <w:color w:val="auto"/>
          <w:spacing w:val="-4"/>
          <w:sz w:val="28"/>
          <w:szCs w:val="28"/>
          <w:lang w:eastAsia="zh-CN"/>
        </w:rPr>
        <w:t>开标</w:t>
      </w:r>
      <w:bookmarkEnd w:id="129"/>
      <w:bookmarkEnd w:id="130"/>
      <w:bookmarkEnd w:id="131"/>
      <w:bookmarkEnd w:id="132"/>
      <w:bookmarkEnd w:id="133"/>
      <w:bookmarkEnd w:id="134"/>
    </w:p>
    <w:p w14:paraId="6192102F">
      <w:pPr>
        <w:spacing w:before="54" w:line="223" w:lineRule="auto"/>
        <w:ind w:left="1702"/>
        <w:outlineLvl w:val="2"/>
        <w:rPr>
          <w:rFonts w:ascii="黑体" w:hAnsi="黑体" w:eastAsia="黑体" w:cs="黑体"/>
          <w:color w:val="auto"/>
          <w:sz w:val="24"/>
          <w:szCs w:val="24"/>
          <w:lang w:eastAsia="zh-CN"/>
        </w:rPr>
      </w:pPr>
      <w:bookmarkStart w:id="135" w:name="bookmark214"/>
      <w:bookmarkEnd w:id="135"/>
      <w:r>
        <w:rPr>
          <w:rFonts w:ascii="Times New Roman" w:hAnsi="Times New Roman" w:eastAsia="Times New Roman" w:cs="Times New Roman"/>
          <w:color w:val="auto"/>
          <w:spacing w:val="-1"/>
          <w:sz w:val="24"/>
          <w:szCs w:val="24"/>
          <w:lang w:eastAsia="zh-CN"/>
        </w:rPr>
        <w:t xml:space="preserve">5.1  </w:t>
      </w:r>
      <w:r>
        <w:rPr>
          <w:rFonts w:ascii="黑体" w:hAnsi="黑体" w:eastAsia="黑体" w:cs="黑体"/>
          <w:color w:val="auto"/>
          <w:spacing w:val="-1"/>
          <w:sz w:val="24"/>
          <w:szCs w:val="24"/>
          <w:lang w:eastAsia="zh-CN"/>
        </w:rPr>
        <w:t>开标时间和地点</w:t>
      </w:r>
    </w:p>
    <w:p w14:paraId="6092DA23">
      <w:pPr>
        <w:spacing w:before="96" w:line="284" w:lineRule="auto"/>
        <w:ind w:left="1700" w:right="1721" w:firstLine="421"/>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5.1.1  </w:t>
      </w:r>
      <w:r>
        <w:rPr>
          <w:rFonts w:ascii="宋体" w:hAnsi="宋体" w:eastAsia="宋体" w:cs="宋体"/>
          <w:color w:val="auto"/>
          <w:spacing w:val="2"/>
          <w:lang w:eastAsia="zh-CN"/>
        </w:rPr>
        <w:t>招标人在本章第</w:t>
      </w:r>
      <w:r>
        <w:rPr>
          <w:rFonts w:ascii="Times New Roman" w:hAnsi="Times New Roman" w:eastAsia="Times New Roman" w:cs="Times New Roman"/>
          <w:color w:val="auto"/>
          <w:spacing w:val="2"/>
          <w:lang w:eastAsia="zh-CN"/>
        </w:rPr>
        <w:t>4.2.1</w:t>
      </w:r>
      <w:r>
        <w:rPr>
          <w:rFonts w:ascii="宋体" w:hAnsi="宋体" w:eastAsia="宋体" w:cs="宋体"/>
          <w:color w:val="auto"/>
          <w:spacing w:val="2"/>
          <w:lang w:eastAsia="zh-CN"/>
        </w:rPr>
        <w:t>项规定的投标截止时间（开标时间）在电子招标投标系统</w:t>
      </w:r>
      <w:r>
        <w:rPr>
          <w:rFonts w:ascii="宋体" w:hAnsi="宋体" w:eastAsia="宋体" w:cs="宋体"/>
          <w:color w:val="auto"/>
          <w:spacing w:val="-6"/>
          <w:lang w:eastAsia="zh-CN"/>
        </w:rPr>
        <w:t>（辽宁省工程建设项目数字化开标评标系统）上公开进行开标，所有投标人均应当参加开标。</w:t>
      </w:r>
      <w:r>
        <w:rPr>
          <w:rFonts w:ascii="宋体" w:hAnsi="宋体" w:eastAsia="宋体" w:cs="宋体"/>
          <w:color w:val="auto"/>
          <w:spacing w:val="-2"/>
          <w:lang w:eastAsia="zh-CN"/>
        </w:rPr>
        <w:t>招标人按照投标人须知前附表规定的方式组织开标。</w:t>
      </w:r>
    </w:p>
    <w:p w14:paraId="4381EDB3">
      <w:pPr>
        <w:spacing w:before="109" w:line="285" w:lineRule="auto"/>
        <w:ind w:left="1700" w:right="1632" w:firstLine="421"/>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5.1.2  </w:t>
      </w:r>
      <w:r>
        <w:rPr>
          <w:rFonts w:ascii="宋体" w:hAnsi="宋体" w:eastAsia="宋体" w:cs="宋体"/>
          <w:color w:val="auto"/>
          <w:spacing w:val="1"/>
          <w:lang w:eastAsia="zh-CN"/>
        </w:rPr>
        <w:t>招标人在投标人须知前附表规定的地点组织开标，并在投标截止时间</w:t>
      </w:r>
      <w:r>
        <w:rPr>
          <w:rFonts w:ascii="Times New Roman" w:hAnsi="Times New Roman" w:eastAsia="Times New Roman" w:cs="Times New Roman"/>
          <w:color w:val="auto"/>
          <w:spacing w:val="1"/>
          <w:lang w:eastAsia="zh-CN"/>
        </w:rPr>
        <w:t>30</w:t>
      </w:r>
      <w:r>
        <w:rPr>
          <w:rFonts w:ascii="宋体" w:hAnsi="宋体" w:eastAsia="宋体" w:cs="宋体"/>
          <w:color w:val="auto"/>
          <w:lang w:eastAsia="zh-CN"/>
        </w:rPr>
        <w:t>分钟前，</w:t>
      </w:r>
      <w:r>
        <w:rPr>
          <w:rFonts w:ascii="宋体" w:hAnsi="宋体" w:eastAsia="宋体" w:cs="宋体"/>
          <w:color w:val="auto"/>
          <w:spacing w:val="-2"/>
          <w:lang w:eastAsia="zh-CN"/>
        </w:rPr>
        <w:t>登录并进入电子招标投标系统（辽宁省工程建设</w:t>
      </w:r>
      <w:r>
        <w:rPr>
          <w:rFonts w:ascii="宋体" w:hAnsi="宋体" w:eastAsia="宋体" w:cs="宋体"/>
          <w:color w:val="auto"/>
          <w:spacing w:val="-3"/>
          <w:lang w:eastAsia="zh-CN"/>
        </w:rPr>
        <w:t>项目数字化开标评标系统）选择相应标段作</w:t>
      </w:r>
      <w:r>
        <w:rPr>
          <w:rFonts w:ascii="宋体" w:hAnsi="宋体" w:eastAsia="宋体" w:cs="宋体"/>
          <w:color w:val="auto"/>
          <w:spacing w:val="-5"/>
          <w:lang w:eastAsia="zh-CN"/>
        </w:rPr>
        <w:t>开标的准备工作。</w:t>
      </w:r>
    </w:p>
    <w:p w14:paraId="3D3CACFA">
      <w:pPr>
        <w:spacing w:before="111" w:line="292" w:lineRule="auto"/>
        <w:ind w:left="1699" w:right="1796" w:firstLine="421"/>
        <w:rPr>
          <w:rFonts w:ascii="宋体" w:hAnsi="宋体" w:eastAsia="宋体" w:cs="宋体"/>
          <w:color w:val="auto"/>
          <w:lang w:eastAsia="zh-CN"/>
        </w:rPr>
      </w:pPr>
      <w:r>
        <w:rPr>
          <w:rFonts w:ascii="Times New Roman" w:hAnsi="Times New Roman" w:eastAsia="Times New Roman" w:cs="Times New Roman"/>
          <w:color w:val="auto"/>
          <w:spacing w:val="-4"/>
          <w:lang w:eastAsia="zh-CN"/>
        </w:rPr>
        <w:t xml:space="preserve">5.1.3  </w:t>
      </w:r>
      <w:r>
        <w:rPr>
          <w:rFonts w:ascii="宋体" w:hAnsi="宋体" w:eastAsia="宋体" w:cs="宋体"/>
          <w:color w:val="auto"/>
          <w:spacing w:val="-4"/>
          <w:lang w:eastAsia="zh-CN"/>
        </w:rPr>
        <w:t>投标人应当在能够保证设施设备可靠、互联网畅通的任意地点，按照本章第</w:t>
      </w:r>
      <w:r>
        <w:rPr>
          <w:rFonts w:ascii="Times New Roman" w:hAnsi="Times New Roman" w:eastAsia="Times New Roman" w:cs="Times New Roman"/>
          <w:color w:val="auto"/>
          <w:spacing w:val="-4"/>
          <w:lang w:eastAsia="zh-CN"/>
        </w:rPr>
        <w:t>5.1.1</w:t>
      </w:r>
      <w:r>
        <w:rPr>
          <w:rFonts w:ascii="宋体" w:hAnsi="宋体" w:eastAsia="宋体" w:cs="宋体"/>
          <w:color w:val="auto"/>
          <w:spacing w:val="-2"/>
          <w:lang w:eastAsia="zh-CN"/>
        </w:rPr>
        <w:t>项规定的组织方式，通过互联网远程在线或现场集</w:t>
      </w:r>
      <w:r>
        <w:rPr>
          <w:rFonts w:ascii="宋体" w:hAnsi="宋体" w:eastAsia="宋体" w:cs="宋体"/>
          <w:color w:val="auto"/>
          <w:spacing w:val="-3"/>
          <w:lang w:eastAsia="zh-CN"/>
        </w:rPr>
        <w:t>中参加开标，使用加密其投标文件的数字</w:t>
      </w:r>
      <w:r>
        <w:rPr>
          <w:rFonts w:ascii="宋体" w:hAnsi="宋体" w:eastAsia="宋体" w:cs="宋体"/>
          <w:color w:val="auto"/>
          <w:spacing w:val="1"/>
          <w:lang w:eastAsia="zh-CN"/>
        </w:rPr>
        <w:t>证书（</w:t>
      </w:r>
      <w:r>
        <w:rPr>
          <w:rFonts w:ascii="Times New Roman" w:hAnsi="Times New Roman" w:eastAsia="Times New Roman" w:cs="Times New Roman"/>
          <w:color w:val="auto"/>
          <w:lang w:eastAsia="zh-CN"/>
        </w:rPr>
        <w:t>CA</w:t>
      </w:r>
      <w:r>
        <w:rPr>
          <w:rFonts w:ascii="宋体" w:hAnsi="宋体" w:eastAsia="宋体" w:cs="宋体"/>
          <w:color w:val="auto"/>
          <w:spacing w:val="1"/>
          <w:lang w:eastAsia="zh-CN"/>
        </w:rPr>
        <w:t>）登录电子招标投标系统（辽宁省工程建设项目数字化开标评标</w:t>
      </w:r>
      <w:r>
        <w:rPr>
          <w:rFonts w:ascii="宋体" w:hAnsi="宋体" w:eastAsia="宋体" w:cs="宋体"/>
          <w:color w:val="auto"/>
          <w:lang w:eastAsia="zh-CN"/>
        </w:rPr>
        <w:t>系统）选择所投</w:t>
      </w:r>
      <w:r>
        <w:rPr>
          <w:rFonts w:ascii="宋体" w:hAnsi="宋体" w:eastAsia="宋体" w:cs="宋体"/>
          <w:color w:val="auto"/>
          <w:spacing w:val="-2"/>
          <w:lang w:eastAsia="zh-CN"/>
        </w:rPr>
        <w:t>标段进行签到，并实时关注招标人的操作情况。</w:t>
      </w:r>
    </w:p>
    <w:p w14:paraId="6313B73E">
      <w:pPr>
        <w:spacing w:before="83" w:line="222" w:lineRule="auto"/>
        <w:ind w:left="1702"/>
        <w:outlineLvl w:val="2"/>
        <w:rPr>
          <w:rFonts w:ascii="黑体" w:hAnsi="黑体" w:eastAsia="黑体" w:cs="黑体"/>
          <w:color w:val="auto"/>
          <w:sz w:val="24"/>
          <w:szCs w:val="24"/>
          <w:lang w:eastAsia="zh-CN"/>
        </w:rPr>
      </w:pPr>
      <w:bookmarkStart w:id="136" w:name="bookmark38"/>
      <w:bookmarkEnd w:id="136"/>
      <w:r>
        <w:rPr>
          <w:rFonts w:ascii="Times New Roman" w:hAnsi="Times New Roman" w:eastAsia="Times New Roman" w:cs="Times New Roman"/>
          <w:color w:val="auto"/>
          <w:spacing w:val="-4"/>
          <w:sz w:val="24"/>
          <w:szCs w:val="24"/>
          <w:lang w:eastAsia="zh-CN"/>
        </w:rPr>
        <w:t>5.2</w:t>
      </w:r>
      <w:r>
        <w:rPr>
          <w:rFonts w:ascii="黑体" w:hAnsi="黑体" w:eastAsia="黑体" w:cs="黑体"/>
          <w:color w:val="auto"/>
          <w:spacing w:val="-4"/>
          <w:sz w:val="24"/>
          <w:szCs w:val="24"/>
          <w:lang w:eastAsia="zh-CN"/>
        </w:rPr>
        <w:t>开标程序</w:t>
      </w:r>
    </w:p>
    <w:p w14:paraId="2606E4C6">
      <w:pPr>
        <w:spacing w:before="99" w:line="316" w:lineRule="auto"/>
        <w:ind w:left="1704" w:right="1797" w:firstLine="416"/>
        <w:rPr>
          <w:rFonts w:ascii="宋体" w:hAnsi="宋体" w:eastAsia="宋体" w:cs="宋体"/>
          <w:color w:val="auto"/>
          <w:lang w:eastAsia="zh-CN"/>
        </w:rPr>
      </w:pPr>
      <w:r>
        <w:rPr>
          <w:rFonts w:ascii="Times New Roman" w:hAnsi="Times New Roman" w:eastAsia="Times New Roman" w:cs="Times New Roman"/>
          <w:color w:val="auto"/>
          <w:lang w:eastAsia="zh-CN"/>
        </w:rPr>
        <w:t xml:space="preserve">5.2.1  </w:t>
      </w:r>
      <w:r>
        <w:rPr>
          <w:rFonts w:ascii="宋体" w:hAnsi="宋体" w:eastAsia="宋体" w:cs="宋体"/>
          <w:color w:val="auto"/>
          <w:lang w:eastAsia="zh-CN"/>
        </w:rPr>
        <w:t>主持人按下列程序在电子招标投标系统（辽宁省工程建设项目数字化开标评标系</w:t>
      </w:r>
      <w:r>
        <w:rPr>
          <w:rFonts w:ascii="宋体" w:hAnsi="宋体" w:eastAsia="宋体" w:cs="宋体"/>
          <w:color w:val="auto"/>
          <w:spacing w:val="-8"/>
          <w:lang w:eastAsia="zh-CN"/>
        </w:rPr>
        <w:t>统）进行开标：</w:t>
      </w:r>
    </w:p>
    <w:p w14:paraId="1575CA3C">
      <w:pPr>
        <w:spacing w:line="219"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1</w:t>
      </w:r>
      <w:r>
        <w:rPr>
          <w:rFonts w:ascii="宋体" w:hAnsi="宋体" w:eastAsia="宋体" w:cs="宋体"/>
          <w:color w:val="auto"/>
          <w:spacing w:val="-6"/>
          <w:lang w:eastAsia="zh-CN"/>
        </w:rPr>
        <w:t>）宣布开标纪律；</w:t>
      </w:r>
    </w:p>
    <w:p w14:paraId="069221EE">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）公布主持人、招标人代表、监标人等有关人员姓名；</w:t>
      </w:r>
    </w:p>
    <w:p w14:paraId="7AFB2171">
      <w:pPr>
        <w:spacing w:line="220" w:lineRule="auto"/>
        <w:rPr>
          <w:rFonts w:ascii="宋体" w:hAnsi="宋体" w:eastAsia="宋体" w:cs="宋体"/>
          <w:color w:val="auto"/>
          <w:lang w:eastAsia="zh-CN"/>
        </w:rPr>
        <w:sectPr>
          <w:headerReference r:id="rId21" w:type="default"/>
          <w:footerReference r:id="rId22" w:type="default"/>
          <w:pgSz w:w="11906" w:h="16839"/>
          <w:pgMar w:top="400" w:right="0" w:bottom="1006" w:left="105" w:header="0" w:footer="846" w:gutter="0"/>
          <w:cols w:space="720" w:num="1"/>
        </w:sectPr>
      </w:pPr>
    </w:p>
    <w:p w14:paraId="71B99FDF">
      <w:pPr>
        <w:pStyle w:val="8"/>
        <w:spacing w:line="268" w:lineRule="auto"/>
        <w:rPr>
          <w:lang w:eastAsia="zh-CN"/>
        </w:rPr>
      </w:pPr>
    </w:p>
    <w:p w14:paraId="7975B39C">
      <w:pPr>
        <w:pStyle w:val="8"/>
        <w:spacing w:line="268" w:lineRule="auto"/>
        <w:rPr>
          <w:lang w:eastAsia="zh-CN"/>
        </w:rPr>
      </w:pPr>
    </w:p>
    <w:p w14:paraId="767FA45F">
      <w:pPr>
        <w:pStyle w:val="8"/>
        <w:spacing w:line="268" w:lineRule="auto"/>
        <w:rPr>
          <w:lang w:eastAsia="zh-CN"/>
        </w:rPr>
      </w:pPr>
    </w:p>
    <w:p w14:paraId="370E93D8">
      <w:pPr>
        <w:pStyle w:val="8"/>
        <w:spacing w:line="268" w:lineRule="auto"/>
        <w:rPr>
          <w:lang w:eastAsia="zh-CN"/>
        </w:rPr>
      </w:pPr>
    </w:p>
    <w:p w14:paraId="4FFBB853">
      <w:pPr>
        <w:spacing w:before="68"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）公布在投标截止时间前投标文件的递交情况；</w:t>
      </w:r>
    </w:p>
    <w:p w14:paraId="49AAC34F">
      <w:pPr>
        <w:spacing w:before="10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4</w:t>
      </w:r>
      <w:r>
        <w:rPr>
          <w:rFonts w:ascii="宋体" w:hAnsi="宋体" w:eastAsia="宋体" w:cs="宋体"/>
          <w:color w:val="auto"/>
          <w:spacing w:val="-4"/>
          <w:lang w:eastAsia="zh-CN"/>
        </w:rPr>
        <w:t>）公布投标保证金递交情况（对担保保函、保证保险</w:t>
      </w:r>
      <w:r>
        <w:rPr>
          <w:rFonts w:ascii="宋体" w:hAnsi="宋体" w:eastAsia="宋体" w:cs="宋体"/>
          <w:color w:val="auto"/>
          <w:spacing w:val="-5"/>
          <w:lang w:eastAsia="zh-CN"/>
        </w:rPr>
        <w:t>进行实时验真</w:t>
      </w:r>
      <w:r>
        <w:rPr>
          <w:rFonts w:ascii="宋体" w:hAnsi="宋体" w:eastAsia="宋体" w:cs="宋体"/>
          <w:color w:val="auto"/>
          <w:spacing w:val="-2"/>
          <w:lang w:eastAsia="zh-CN"/>
        </w:rPr>
        <w:t>）；</w:t>
      </w:r>
    </w:p>
    <w:p w14:paraId="0FBE0014">
      <w:pPr>
        <w:spacing w:before="10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）投标人根据提示在投标人须知前附表规定的时间内解密投标文件；</w:t>
      </w:r>
    </w:p>
    <w:p w14:paraId="3140C986">
      <w:pPr>
        <w:spacing w:before="110"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6</w:t>
      </w:r>
      <w:r>
        <w:rPr>
          <w:rFonts w:ascii="宋体" w:hAnsi="宋体" w:eastAsia="宋体" w:cs="宋体"/>
          <w:color w:val="auto"/>
          <w:spacing w:val="-4"/>
          <w:lang w:eastAsia="zh-CN"/>
        </w:rPr>
        <w:t>）读取已解密的投标文件的内容；</w:t>
      </w:r>
    </w:p>
    <w:p w14:paraId="550FEF78">
      <w:pPr>
        <w:spacing w:before="110" w:line="268" w:lineRule="auto"/>
        <w:ind w:left="1701" w:right="1805" w:firstLine="423"/>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7</w:t>
      </w:r>
      <w:r>
        <w:rPr>
          <w:rFonts w:ascii="宋体" w:hAnsi="宋体" w:eastAsia="宋体" w:cs="宋体"/>
          <w:color w:val="auto"/>
          <w:lang w:eastAsia="zh-CN"/>
        </w:rPr>
        <w:t>）公布投标人名称、标段名称、投标保证金的递交情况、投标报价</w:t>
      </w:r>
      <w:r>
        <w:rPr>
          <w:rFonts w:ascii="宋体" w:hAnsi="宋体" w:eastAsia="宋体" w:cs="宋体"/>
          <w:color w:val="auto"/>
          <w:spacing w:val="-1"/>
          <w:lang w:eastAsia="zh-CN"/>
        </w:rPr>
        <w:t>、项目负责人姓</w:t>
      </w:r>
      <w:r>
        <w:rPr>
          <w:rFonts w:ascii="宋体" w:hAnsi="宋体" w:eastAsia="宋体" w:cs="宋体"/>
          <w:color w:val="auto"/>
          <w:spacing w:val="-4"/>
          <w:lang w:eastAsia="zh-CN"/>
        </w:rPr>
        <w:t>名及其他内容，并生成开标记录；</w:t>
      </w:r>
    </w:p>
    <w:p w14:paraId="2BF15E3B">
      <w:pPr>
        <w:spacing w:before="110" w:line="221"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8</w:t>
      </w:r>
      <w:r>
        <w:rPr>
          <w:rFonts w:ascii="宋体" w:hAnsi="宋体" w:eastAsia="宋体" w:cs="宋体"/>
          <w:color w:val="auto"/>
          <w:spacing w:val="-4"/>
          <w:lang w:eastAsia="zh-CN"/>
        </w:rPr>
        <w:t>）投标人对开标记录进行确认；</w:t>
      </w:r>
    </w:p>
    <w:p w14:paraId="575738DB">
      <w:pPr>
        <w:spacing w:before="10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9</w:t>
      </w:r>
      <w:r>
        <w:rPr>
          <w:rFonts w:ascii="宋体" w:hAnsi="宋体" w:eastAsia="宋体" w:cs="宋体"/>
          <w:color w:val="auto"/>
          <w:spacing w:val="-5"/>
          <w:lang w:eastAsia="zh-CN"/>
        </w:rPr>
        <w:t>）开标结束。</w:t>
      </w:r>
    </w:p>
    <w:p w14:paraId="6BAC9011">
      <w:pPr>
        <w:spacing w:before="111" w:line="284" w:lineRule="auto"/>
        <w:ind w:left="1698" w:right="1796" w:firstLine="422"/>
        <w:rPr>
          <w:rFonts w:ascii="宋体" w:hAnsi="宋体" w:eastAsia="宋体" w:cs="宋体"/>
          <w:color w:val="auto"/>
          <w:lang w:eastAsia="zh-CN"/>
        </w:rPr>
      </w:pPr>
      <w:r>
        <w:rPr>
          <w:rFonts w:ascii="Times New Roman" w:hAnsi="Times New Roman" w:eastAsia="Times New Roman" w:cs="Times New Roman"/>
          <w:color w:val="auto"/>
          <w:spacing w:val="-4"/>
          <w:lang w:eastAsia="zh-CN"/>
        </w:rPr>
        <w:t xml:space="preserve">5.2.2  </w:t>
      </w:r>
      <w:r>
        <w:rPr>
          <w:rFonts w:ascii="宋体" w:hAnsi="宋体" w:eastAsia="宋体" w:cs="宋体"/>
          <w:color w:val="auto"/>
          <w:spacing w:val="-4"/>
          <w:lang w:eastAsia="zh-CN"/>
        </w:rPr>
        <w:t>生成开标记录后</w:t>
      </w:r>
      <w:r>
        <w:rPr>
          <w:rFonts w:ascii="Times New Roman" w:hAnsi="Times New Roman" w:eastAsia="Times New Roman" w:cs="Times New Roman"/>
          <w:color w:val="auto"/>
          <w:spacing w:val="-4"/>
          <w:lang w:eastAsia="zh-CN"/>
        </w:rPr>
        <w:t xml:space="preserve">10 </w:t>
      </w:r>
      <w:r>
        <w:rPr>
          <w:rFonts w:ascii="宋体" w:hAnsi="宋体" w:eastAsia="宋体" w:cs="宋体"/>
          <w:color w:val="auto"/>
          <w:spacing w:val="-4"/>
          <w:lang w:eastAsia="zh-CN"/>
        </w:rPr>
        <w:t>分钟内，投标人通过电子招标投标系统（辽宁省工程建设项目</w:t>
      </w:r>
      <w:r>
        <w:rPr>
          <w:rFonts w:ascii="宋体" w:hAnsi="宋体" w:eastAsia="宋体" w:cs="宋体"/>
          <w:color w:val="auto"/>
          <w:spacing w:val="-2"/>
          <w:lang w:eastAsia="zh-CN"/>
        </w:rPr>
        <w:t>数字化开标评标系统）对开标结果予以确认。未在规</w:t>
      </w:r>
      <w:r>
        <w:rPr>
          <w:rFonts w:ascii="宋体" w:hAnsi="宋体" w:eastAsia="宋体" w:cs="宋体"/>
          <w:color w:val="auto"/>
          <w:spacing w:val="-3"/>
          <w:lang w:eastAsia="zh-CN"/>
        </w:rPr>
        <w:t>定时间内确认或未确认的视为对开标过</w:t>
      </w:r>
      <w:r>
        <w:rPr>
          <w:rFonts w:ascii="宋体" w:hAnsi="宋体" w:eastAsia="宋体" w:cs="宋体"/>
          <w:color w:val="auto"/>
          <w:spacing w:val="-5"/>
          <w:lang w:eastAsia="zh-CN"/>
        </w:rPr>
        <w:t>程及结果无异议。</w:t>
      </w:r>
    </w:p>
    <w:p w14:paraId="4199692B">
      <w:pPr>
        <w:spacing w:before="110" w:line="268" w:lineRule="auto"/>
        <w:ind w:left="1722" w:right="1635" w:firstLine="398"/>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5.2.3  </w:t>
      </w:r>
      <w:r>
        <w:rPr>
          <w:rFonts w:ascii="宋体" w:hAnsi="宋体" w:eastAsia="宋体" w:cs="宋体"/>
          <w:color w:val="auto"/>
          <w:spacing w:val="-1"/>
          <w:lang w:eastAsia="zh-CN"/>
        </w:rPr>
        <w:t>在本章第</w:t>
      </w:r>
      <w:r>
        <w:rPr>
          <w:rFonts w:ascii="Times New Roman" w:hAnsi="Times New Roman" w:eastAsia="Times New Roman" w:cs="Times New Roman"/>
          <w:color w:val="auto"/>
          <w:spacing w:val="-1"/>
          <w:lang w:eastAsia="zh-CN"/>
        </w:rPr>
        <w:t>5.2.1</w:t>
      </w: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5</w:t>
      </w:r>
      <w:r>
        <w:rPr>
          <w:rFonts w:ascii="宋体" w:hAnsi="宋体" w:eastAsia="宋体" w:cs="宋体"/>
          <w:color w:val="auto"/>
          <w:spacing w:val="-1"/>
          <w:lang w:eastAsia="zh-CN"/>
        </w:rPr>
        <w:t>）目规定的时间内，已解密的投标文件少于</w:t>
      </w:r>
      <w:r>
        <w:rPr>
          <w:rFonts w:ascii="宋体" w:hAnsi="宋体" w:eastAsia="宋体" w:cs="宋体"/>
          <w:color w:val="auto"/>
          <w:spacing w:val="-2"/>
          <w:lang w:eastAsia="zh-CN"/>
        </w:rPr>
        <w:t>三个的，招标失败；</w:t>
      </w:r>
      <w:r>
        <w:rPr>
          <w:rFonts w:ascii="宋体" w:hAnsi="宋体" w:eastAsia="宋体" w:cs="宋体"/>
          <w:color w:val="auto"/>
          <w:spacing w:val="-3"/>
          <w:lang w:eastAsia="zh-CN"/>
        </w:rPr>
        <w:t>已解密的投标文件不少于三个，开标继续进行。</w:t>
      </w:r>
    </w:p>
    <w:p w14:paraId="5619E287">
      <w:pPr>
        <w:spacing w:before="110" w:line="316" w:lineRule="auto"/>
        <w:ind w:left="1700" w:right="1806" w:firstLine="434"/>
        <w:rPr>
          <w:rFonts w:ascii="宋体" w:hAnsi="宋体" w:eastAsia="宋体" w:cs="宋体"/>
          <w:color w:val="auto"/>
          <w:lang w:eastAsia="zh-CN"/>
        </w:rPr>
      </w:pPr>
      <w:r>
        <w:rPr>
          <w:rFonts w:ascii="宋体" w:hAnsi="宋体" w:eastAsia="宋体" w:cs="宋体"/>
          <w:color w:val="auto"/>
          <w:lang w:eastAsia="zh-CN"/>
        </w:rPr>
        <w:t>因投标人原因（如数字证书（</w:t>
      </w:r>
      <w:r>
        <w:rPr>
          <w:rFonts w:ascii="Times New Roman" w:hAnsi="Times New Roman" w:eastAsia="Times New Roman" w:cs="Times New Roman"/>
          <w:color w:val="auto"/>
          <w:lang w:eastAsia="zh-CN"/>
        </w:rPr>
        <w:t>CA</w:t>
      </w:r>
      <w:r>
        <w:rPr>
          <w:rFonts w:ascii="宋体" w:hAnsi="宋体" w:eastAsia="宋体" w:cs="宋体"/>
          <w:color w:val="auto"/>
          <w:lang w:eastAsia="zh-CN"/>
        </w:rPr>
        <w:t>）损坏或密码丢失或输入错误、投标人自身网络中断</w:t>
      </w:r>
      <w:r>
        <w:rPr>
          <w:rFonts w:ascii="宋体" w:hAnsi="宋体" w:eastAsia="宋体" w:cs="宋体"/>
          <w:color w:val="auto"/>
          <w:spacing w:val="-1"/>
          <w:lang w:eastAsia="zh-CN"/>
        </w:rPr>
        <w:t>等非开标系统原因）造成投标文件未解密的，视为投标</w:t>
      </w:r>
      <w:r>
        <w:rPr>
          <w:rFonts w:ascii="宋体" w:hAnsi="宋体" w:eastAsia="宋体" w:cs="宋体"/>
          <w:color w:val="auto"/>
          <w:spacing w:val="-2"/>
          <w:lang w:eastAsia="zh-CN"/>
        </w:rPr>
        <w:t>人撤回投标文件。</w:t>
      </w:r>
    </w:p>
    <w:p w14:paraId="2E8E6F3E">
      <w:pPr>
        <w:spacing w:before="4" w:line="310" w:lineRule="auto"/>
        <w:ind w:left="1699" w:right="1796" w:firstLine="436"/>
        <w:jc w:val="both"/>
        <w:rPr>
          <w:rFonts w:ascii="宋体" w:hAnsi="宋体" w:eastAsia="宋体" w:cs="宋体"/>
          <w:color w:val="auto"/>
          <w:lang w:eastAsia="zh-CN"/>
        </w:rPr>
      </w:pPr>
      <w:r>
        <w:rPr>
          <w:rFonts w:ascii="宋体" w:hAnsi="宋体" w:eastAsia="宋体" w:cs="宋体"/>
          <w:color w:val="auto"/>
          <w:spacing w:val="-6"/>
          <w:lang w:eastAsia="zh-CN"/>
        </w:rPr>
        <w:t>因投标人之外</w:t>
      </w:r>
      <w:r>
        <w:rPr>
          <w:rFonts w:hint="eastAsia" w:ascii="宋体" w:hAnsi="宋体" w:eastAsia="宋体" w:cs="宋体"/>
          <w:color w:val="auto"/>
          <w:spacing w:val="-6"/>
          <w:lang w:eastAsia="zh-CN"/>
        </w:rPr>
        <w:t>的</w:t>
      </w:r>
      <w:r>
        <w:rPr>
          <w:rFonts w:ascii="宋体" w:hAnsi="宋体" w:eastAsia="宋体" w:cs="宋体"/>
          <w:color w:val="auto"/>
          <w:spacing w:val="-6"/>
          <w:lang w:eastAsia="zh-CN"/>
        </w:rPr>
        <w:t>原因，如因网络、开标系统故障等非投标人自身原因，招标代理机构工作</w:t>
      </w:r>
      <w:r>
        <w:rPr>
          <w:rFonts w:ascii="宋体" w:hAnsi="宋体" w:eastAsia="宋体" w:cs="宋体"/>
          <w:color w:val="auto"/>
          <w:spacing w:val="-4"/>
          <w:lang w:eastAsia="zh-CN"/>
        </w:rPr>
        <w:t>人员应及时将情况反馈到交易平台运营单位、项目监管部门以及相关技术服务单位，在监管</w:t>
      </w:r>
      <w:r>
        <w:rPr>
          <w:rFonts w:ascii="宋体" w:hAnsi="宋体" w:eastAsia="宋体" w:cs="宋体"/>
          <w:color w:val="auto"/>
          <w:spacing w:val="-2"/>
          <w:lang w:eastAsia="zh-CN"/>
        </w:rPr>
        <w:t>部门指导下将立即启动应急响应机制，积极排查和</w:t>
      </w:r>
      <w:r>
        <w:rPr>
          <w:rFonts w:ascii="宋体" w:hAnsi="宋体" w:eastAsia="宋体" w:cs="宋体"/>
          <w:color w:val="auto"/>
          <w:spacing w:val="-3"/>
          <w:lang w:eastAsia="zh-CN"/>
        </w:rPr>
        <w:t>解决问题，投标人应予以配合，监管部门应根据现场实际适当延长解密时间。</w:t>
      </w:r>
    </w:p>
    <w:p w14:paraId="16197187">
      <w:pPr>
        <w:spacing w:before="1" w:line="221" w:lineRule="auto"/>
        <w:ind w:left="1702"/>
        <w:outlineLvl w:val="2"/>
        <w:rPr>
          <w:rFonts w:ascii="黑体" w:hAnsi="黑体" w:eastAsia="黑体" w:cs="黑体"/>
          <w:color w:val="auto"/>
          <w:sz w:val="24"/>
          <w:szCs w:val="24"/>
          <w:lang w:eastAsia="zh-CN"/>
        </w:rPr>
      </w:pPr>
      <w:bookmarkStart w:id="137" w:name="bookmark39"/>
      <w:bookmarkEnd w:id="137"/>
      <w:r>
        <w:rPr>
          <w:rFonts w:ascii="Times New Roman" w:hAnsi="Times New Roman" w:eastAsia="Times New Roman" w:cs="Times New Roman"/>
          <w:color w:val="auto"/>
          <w:spacing w:val="-4"/>
          <w:sz w:val="24"/>
          <w:szCs w:val="24"/>
          <w:lang w:eastAsia="zh-CN"/>
        </w:rPr>
        <w:t>5.3</w:t>
      </w:r>
      <w:r>
        <w:rPr>
          <w:rFonts w:ascii="黑体" w:hAnsi="黑体" w:eastAsia="黑体" w:cs="黑体"/>
          <w:color w:val="auto"/>
          <w:spacing w:val="-4"/>
          <w:sz w:val="24"/>
          <w:szCs w:val="24"/>
          <w:lang w:eastAsia="zh-CN"/>
        </w:rPr>
        <w:t>开标异议</w:t>
      </w:r>
    </w:p>
    <w:p w14:paraId="0AE43AEE">
      <w:pPr>
        <w:spacing w:before="99" w:line="316" w:lineRule="auto"/>
        <w:ind w:left="1700" w:right="1805" w:firstLine="421"/>
        <w:jc w:val="both"/>
        <w:rPr>
          <w:rFonts w:ascii="宋体" w:hAnsi="宋体" w:eastAsia="宋体" w:cs="宋体"/>
          <w:color w:val="auto"/>
          <w:lang w:eastAsia="zh-CN"/>
        </w:rPr>
      </w:pPr>
      <w:r>
        <w:rPr>
          <w:rFonts w:ascii="Times New Roman" w:hAnsi="Times New Roman" w:eastAsia="Times New Roman" w:cs="Times New Roman"/>
          <w:color w:val="auto"/>
          <w:lang w:eastAsia="zh-CN"/>
        </w:rPr>
        <w:t xml:space="preserve">5.3.1  </w:t>
      </w:r>
      <w:r>
        <w:rPr>
          <w:rFonts w:ascii="宋体" w:hAnsi="宋体" w:eastAsia="宋体" w:cs="宋体"/>
          <w:color w:val="auto"/>
          <w:lang w:eastAsia="zh-CN"/>
        </w:rPr>
        <w:t>投标人对开标有异议的，应当在开标过程中提出；招标人当场对异议作出</w:t>
      </w:r>
      <w:r>
        <w:rPr>
          <w:rFonts w:ascii="宋体" w:hAnsi="宋体" w:eastAsia="宋体" w:cs="宋体"/>
          <w:color w:val="auto"/>
          <w:spacing w:val="-1"/>
          <w:lang w:eastAsia="zh-CN"/>
        </w:rPr>
        <w:t>答复，</w:t>
      </w:r>
      <w:r>
        <w:rPr>
          <w:rFonts w:ascii="宋体" w:hAnsi="宋体" w:eastAsia="宋体" w:cs="宋体"/>
          <w:color w:val="auto"/>
          <w:spacing w:val="-3"/>
          <w:lang w:eastAsia="zh-CN"/>
        </w:rPr>
        <w:t>并记入开标记录。异议与答复应通过电子招标投标系统（辽宁省工程建设项目数字化开标评标系统）以书面形式进行。</w:t>
      </w:r>
    </w:p>
    <w:p w14:paraId="37B4629E">
      <w:pPr>
        <w:spacing w:before="1" w:line="316" w:lineRule="auto"/>
        <w:ind w:left="1700" w:right="1796" w:firstLine="420"/>
        <w:rPr>
          <w:rFonts w:ascii="宋体" w:hAnsi="宋体" w:eastAsia="宋体" w:cs="宋体"/>
          <w:color w:val="auto"/>
          <w:lang w:eastAsia="zh-CN"/>
        </w:rPr>
      </w:pPr>
      <w:r>
        <w:rPr>
          <w:rFonts w:ascii="宋体" w:hAnsi="宋体" w:eastAsia="宋体" w:cs="宋体"/>
          <w:color w:val="auto"/>
          <w:spacing w:val="-3"/>
          <w:lang w:eastAsia="zh-CN"/>
        </w:rPr>
        <w:t>本条所称异议是指投标人在开标过程中对投标文件提交、投标截止时间、开标程序、开</w:t>
      </w:r>
      <w:r>
        <w:rPr>
          <w:rFonts w:ascii="宋体" w:hAnsi="宋体" w:eastAsia="宋体" w:cs="宋体"/>
          <w:color w:val="auto"/>
          <w:spacing w:val="-1"/>
          <w:lang w:eastAsia="zh-CN"/>
        </w:rPr>
        <w:t>标记录以及投标人和招标人或者投标人相互之间存在利益冲突的情形等提出的质</w:t>
      </w:r>
      <w:r>
        <w:rPr>
          <w:rFonts w:ascii="宋体" w:hAnsi="宋体" w:eastAsia="宋体" w:cs="宋体"/>
          <w:color w:val="auto"/>
          <w:spacing w:val="-2"/>
          <w:lang w:eastAsia="zh-CN"/>
        </w:rPr>
        <w:t>疑。</w:t>
      </w:r>
    </w:p>
    <w:p w14:paraId="67B2DD8A">
      <w:pPr>
        <w:spacing w:before="1" w:line="268" w:lineRule="auto"/>
        <w:ind w:left="1701" w:right="1635" w:firstLine="4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5.3.2  </w:t>
      </w:r>
      <w:r>
        <w:rPr>
          <w:rFonts w:ascii="宋体" w:hAnsi="宋体" w:eastAsia="宋体" w:cs="宋体"/>
          <w:color w:val="auto"/>
          <w:spacing w:val="-1"/>
          <w:lang w:eastAsia="zh-CN"/>
        </w:rPr>
        <w:t>投标人异议成立的，招标人将及时采取纠正措施，或者提交评标委员会评审确认；</w:t>
      </w:r>
      <w:r>
        <w:rPr>
          <w:rFonts w:ascii="宋体" w:hAnsi="宋体" w:eastAsia="宋体" w:cs="宋体"/>
          <w:color w:val="auto"/>
          <w:spacing w:val="-2"/>
          <w:lang w:eastAsia="zh-CN"/>
        </w:rPr>
        <w:t>投标人异议不成立的，招标人将当场给予解释说明。</w:t>
      </w:r>
    </w:p>
    <w:p w14:paraId="2323FDF0">
      <w:pPr>
        <w:spacing w:before="110" w:line="220" w:lineRule="auto"/>
        <w:ind w:left="2121"/>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5.3.3  </w:t>
      </w:r>
      <w:r>
        <w:rPr>
          <w:rFonts w:ascii="宋体" w:hAnsi="宋体" w:eastAsia="宋体" w:cs="宋体"/>
          <w:color w:val="auto"/>
          <w:spacing w:val="-1"/>
          <w:lang w:eastAsia="zh-CN"/>
        </w:rPr>
        <w:t>投标人未现场提出异议，视为异议权利灭失，不可再对开标提出异</w:t>
      </w:r>
      <w:r>
        <w:rPr>
          <w:rFonts w:ascii="宋体" w:hAnsi="宋体" w:eastAsia="宋体" w:cs="宋体"/>
          <w:color w:val="auto"/>
          <w:spacing w:val="-2"/>
          <w:lang w:eastAsia="zh-CN"/>
        </w:rPr>
        <w:t>议。</w:t>
      </w:r>
    </w:p>
    <w:p w14:paraId="6770FBDD">
      <w:pPr>
        <w:spacing w:before="83" w:line="222" w:lineRule="auto"/>
        <w:ind w:left="1702"/>
        <w:outlineLvl w:val="2"/>
        <w:rPr>
          <w:rFonts w:ascii="黑体" w:hAnsi="黑体" w:eastAsia="黑体" w:cs="黑体"/>
          <w:color w:val="auto"/>
          <w:sz w:val="24"/>
          <w:szCs w:val="24"/>
          <w:lang w:eastAsia="zh-CN"/>
        </w:rPr>
      </w:pPr>
      <w:bookmarkStart w:id="138" w:name="bookmark40"/>
      <w:bookmarkEnd w:id="138"/>
      <w:r>
        <w:rPr>
          <w:rFonts w:ascii="Times New Roman" w:hAnsi="Times New Roman" w:eastAsia="Times New Roman" w:cs="Times New Roman"/>
          <w:color w:val="auto"/>
          <w:spacing w:val="-1"/>
          <w:sz w:val="24"/>
          <w:szCs w:val="24"/>
          <w:lang w:eastAsia="zh-CN"/>
        </w:rPr>
        <w:t xml:space="preserve">5.4  </w:t>
      </w:r>
      <w:r>
        <w:rPr>
          <w:rFonts w:ascii="黑体" w:hAnsi="黑体" w:eastAsia="黑体" w:cs="黑体"/>
          <w:color w:val="auto"/>
          <w:spacing w:val="-1"/>
          <w:sz w:val="24"/>
          <w:szCs w:val="24"/>
          <w:lang w:eastAsia="zh-CN"/>
        </w:rPr>
        <w:t>特殊情况的处置</w:t>
      </w:r>
    </w:p>
    <w:p w14:paraId="3B53A8FA">
      <w:pPr>
        <w:spacing w:before="99" w:line="284" w:lineRule="auto"/>
        <w:ind w:left="1701" w:right="1796" w:firstLine="419"/>
        <w:rPr>
          <w:rFonts w:ascii="宋体" w:hAnsi="宋体" w:eastAsia="宋体" w:cs="宋体"/>
          <w:color w:val="auto"/>
          <w:lang w:eastAsia="zh-CN"/>
        </w:rPr>
      </w:pPr>
      <w:r>
        <w:rPr>
          <w:rFonts w:ascii="Times New Roman" w:hAnsi="Times New Roman" w:eastAsia="Times New Roman" w:cs="Times New Roman"/>
          <w:color w:val="auto"/>
          <w:lang w:eastAsia="zh-CN"/>
        </w:rPr>
        <w:t xml:space="preserve">5.4.1  </w:t>
      </w:r>
      <w:r>
        <w:rPr>
          <w:rFonts w:ascii="宋体" w:hAnsi="宋体" w:eastAsia="宋体" w:cs="宋体"/>
          <w:color w:val="auto"/>
          <w:lang w:eastAsia="zh-CN"/>
        </w:rPr>
        <w:t>因电子招标投标系统（辽宁省工程建设项目数字化开标评标系统）故障导致无法</w:t>
      </w:r>
      <w:r>
        <w:rPr>
          <w:rFonts w:ascii="宋体" w:hAnsi="宋体" w:eastAsia="宋体" w:cs="宋体"/>
          <w:color w:val="auto"/>
          <w:spacing w:val="-2"/>
          <w:lang w:eastAsia="zh-CN"/>
        </w:rPr>
        <w:t>投标的，管理部门及时通知招标人，招标人视</w:t>
      </w:r>
      <w:r>
        <w:rPr>
          <w:rFonts w:ascii="宋体" w:hAnsi="宋体" w:eastAsia="宋体" w:cs="宋体"/>
          <w:color w:val="auto"/>
          <w:spacing w:val="-3"/>
          <w:lang w:eastAsia="zh-CN"/>
        </w:rPr>
        <w:t>情况决定是否顺延投标截止时间。因投标人自</w:t>
      </w:r>
      <w:r>
        <w:rPr>
          <w:rFonts w:ascii="宋体" w:hAnsi="宋体" w:eastAsia="宋体" w:cs="宋体"/>
          <w:color w:val="auto"/>
          <w:spacing w:val="-2"/>
          <w:lang w:eastAsia="zh-CN"/>
        </w:rPr>
        <w:t>身原因导致无法完成投标的，由投标人自行承担后果。</w:t>
      </w:r>
    </w:p>
    <w:p w14:paraId="7BEA4B9C">
      <w:pPr>
        <w:spacing w:before="111" w:line="268" w:lineRule="auto"/>
        <w:ind w:left="1703" w:right="1797" w:firstLine="417"/>
        <w:rPr>
          <w:rFonts w:ascii="宋体" w:hAnsi="宋体" w:eastAsia="宋体" w:cs="宋体"/>
          <w:color w:val="auto"/>
          <w:lang w:eastAsia="zh-CN"/>
        </w:rPr>
      </w:pPr>
      <w:r>
        <w:rPr>
          <w:rFonts w:ascii="Times New Roman" w:hAnsi="Times New Roman" w:eastAsia="Times New Roman" w:cs="Times New Roman"/>
          <w:color w:val="auto"/>
          <w:lang w:eastAsia="zh-CN"/>
        </w:rPr>
        <w:t xml:space="preserve">5.4.2  </w:t>
      </w:r>
      <w:r>
        <w:rPr>
          <w:rFonts w:ascii="宋体" w:hAnsi="宋体" w:eastAsia="宋体" w:cs="宋体"/>
          <w:color w:val="auto"/>
          <w:lang w:eastAsia="zh-CN"/>
        </w:rPr>
        <w:t>因电子招标投标系统（辽宁省工程建设项目数字化开标评标系统）故障导致无法</w:t>
      </w:r>
      <w:r>
        <w:rPr>
          <w:rFonts w:ascii="宋体" w:hAnsi="宋体" w:eastAsia="宋体" w:cs="宋体"/>
          <w:color w:val="auto"/>
          <w:spacing w:val="-2"/>
          <w:lang w:eastAsia="zh-CN"/>
        </w:rPr>
        <w:t>正常开标的，招标人将暂停开标，待系统恢复正常后继续开标。</w:t>
      </w:r>
    </w:p>
    <w:p w14:paraId="315B1837">
      <w:pPr>
        <w:spacing w:before="110" w:line="316" w:lineRule="auto"/>
        <w:ind w:left="1700" w:right="1796" w:firstLine="443"/>
        <w:rPr>
          <w:rFonts w:ascii="宋体" w:hAnsi="宋体" w:eastAsia="宋体" w:cs="宋体"/>
          <w:color w:val="auto"/>
          <w:lang w:eastAsia="zh-CN"/>
        </w:rPr>
      </w:pPr>
      <w:r>
        <w:rPr>
          <w:rFonts w:ascii="宋体" w:hAnsi="宋体" w:eastAsia="宋体" w:cs="宋体"/>
          <w:color w:val="auto"/>
          <w:spacing w:val="-3"/>
          <w:lang w:eastAsia="zh-CN"/>
        </w:rPr>
        <w:t>电子招标投标系统（辽宁省工程建设项目数字化开标评标系统）技术</w:t>
      </w:r>
      <w:r>
        <w:rPr>
          <w:rFonts w:ascii="宋体" w:hAnsi="宋体" w:eastAsia="宋体" w:cs="宋体"/>
          <w:color w:val="auto"/>
          <w:spacing w:val="-4"/>
          <w:lang w:eastAsia="zh-CN"/>
        </w:rPr>
        <w:t>服务单位将立即启</w:t>
      </w:r>
      <w:r>
        <w:rPr>
          <w:rFonts w:ascii="宋体" w:hAnsi="宋体" w:eastAsia="宋体" w:cs="宋体"/>
          <w:color w:val="auto"/>
          <w:spacing w:val="-2"/>
          <w:lang w:eastAsia="zh-CN"/>
        </w:rPr>
        <w:t>动应急响应机制，积极排查系统故障，解决问题。</w:t>
      </w:r>
    </w:p>
    <w:p w14:paraId="404A5112">
      <w:pPr>
        <w:spacing w:before="1" w:line="319" w:lineRule="auto"/>
        <w:ind w:left="1701" w:right="1797" w:firstLine="419"/>
        <w:rPr>
          <w:rFonts w:ascii="宋体" w:hAnsi="宋体" w:eastAsia="宋体" w:cs="宋体"/>
          <w:color w:val="auto"/>
          <w:lang w:eastAsia="zh-CN"/>
        </w:rPr>
      </w:pPr>
      <w:r>
        <w:rPr>
          <w:rFonts w:ascii="Times New Roman" w:hAnsi="Times New Roman" w:eastAsia="Times New Roman" w:cs="Times New Roman"/>
          <w:color w:val="auto"/>
          <w:spacing w:val="-1"/>
          <w:lang w:eastAsia="zh-CN"/>
        </w:rPr>
        <w:t>5.4.3</w:t>
      </w:r>
      <w:r>
        <w:rPr>
          <w:rFonts w:ascii="宋体" w:hAnsi="宋体" w:eastAsia="宋体" w:cs="宋体"/>
          <w:color w:val="auto"/>
          <w:spacing w:val="-1"/>
          <w:lang w:eastAsia="zh-CN"/>
        </w:rPr>
        <w:t>电子招标投标系统（辽宁省工程建设项目数字化开标评标系统）故障是指下列情</w:t>
      </w:r>
      <w:r>
        <w:rPr>
          <w:rFonts w:ascii="宋体" w:hAnsi="宋体" w:eastAsia="宋体" w:cs="宋体"/>
          <w:color w:val="auto"/>
          <w:spacing w:val="-15"/>
          <w:lang w:eastAsia="zh-CN"/>
        </w:rPr>
        <w:t>形：</w:t>
      </w:r>
    </w:p>
    <w:p w14:paraId="5458907E">
      <w:pPr>
        <w:spacing w:line="319" w:lineRule="auto"/>
        <w:rPr>
          <w:rFonts w:ascii="宋体" w:hAnsi="宋体" w:eastAsia="宋体" w:cs="宋体"/>
          <w:color w:val="auto"/>
          <w:lang w:eastAsia="zh-CN"/>
        </w:rPr>
        <w:sectPr>
          <w:headerReference r:id="rId23" w:type="default"/>
          <w:footerReference r:id="rId24" w:type="default"/>
          <w:pgSz w:w="11906" w:h="16839"/>
          <w:pgMar w:top="400" w:right="0" w:bottom="1006" w:left="105" w:header="0" w:footer="846" w:gutter="0"/>
          <w:cols w:space="720" w:num="1"/>
        </w:sectPr>
      </w:pPr>
    </w:p>
    <w:p w14:paraId="55CEB452">
      <w:pPr>
        <w:pStyle w:val="8"/>
        <w:spacing w:line="268" w:lineRule="auto"/>
        <w:rPr>
          <w:lang w:eastAsia="zh-CN"/>
        </w:rPr>
      </w:pPr>
    </w:p>
    <w:p w14:paraId="2BC98714">
      <w:pPr>
        <w:pStyle w:val="8"/>
        <w:spacing w:line="268" w:lineRule="auto"/>
        <w:rPr>
          <w:lang w:eastAsia="zh-CN"/>
        </w:rPr>
      </w:pPr>
    </w:p>
    <w:p w14:paraId="7367120A">
      <w:pPr>
        <w:pStyle w:val="8"/>
        <w:spacing w:line="268" w:lineRule="auto"/>
        <w:rPr>
          <w:lang w:eastAsia="zh-CN"/>
        </w:rPr>
      </w:pPr>
    </w:p>
    <w:p w14:paraId="3637257B">
      <w:pPr>
        <w:pStyle w:val="8"/>
        <w:spacing w:line="269" w:lineRule="auto"/>
        <w:rPr>
          <w:lang w:eastAsia="zh-CN"/>
        </w:rPr>
      </w:pPr>
    </w:p>
    <w:p w14:paraId="545CF78C">
      <w:pPr>
        <w:spacing w:before="68"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）系统服务器发生故障，无法访问或无法使用系统；</w:t>
      </w:r>
    </w:p>
    <w:p w14:paraId="77601C09">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）系统的软件或数据库出现错误，不能进行正常操作；</w:t>
      </w:r>
    </w:p>
    <w:p w14:paraId="3046AE5A">
      <w:pPr>
        <w:spacing w:before="109" w:line="221"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）系统发现有安全漏洞，有潜在的泄密危险；</w:t>
      </w:r>
    </w:p>
    <w:p w14:paraId="08E58AF6">
      <w:pPr>
        <w:spacing w:before="108" w:line="221"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4</w:t>
      </w:r>
      <w:r>
        <w:rPr>
          <w:rFonts w:ascii="宋体" w:hAnsi="宋体" w:eastAsia="宋体" w:cs="宋体"/>
          <w:color w:val="auto"/>
          <w:spacing w:val="-5"/>
          <w:lang w:eastAsia="zh-CN"/>
        </w:rPr>
        <w:t>）系统出现网络攻击；</w:t>
      </w:r>
    </w:p>
    <w:p w14:paraId="7E2DC331">
      <w:pPr>
        <w:spacing w:before="10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5</w:t>
      </w:r>
      <w:r>
        <w:rPr>
          <w:rFonts w:ascii="宋体" w:hAnsi="宋体" w:eastAsia="宋体" w:cs="宋体"/>
          <w:color w:val="auto"/>
          <w:spacing w:val="-5"/>
          <w:lang w:eastAsia="zh-CN"/>
        </w:rPr>
        <w:t>）出现断电、断网事故；</w:t>
      </w:r>
    </w:p>
    <w:p w14:paraId="3DD542D9">
      <w:pPr>
        <w:spacing w:before="10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6</w:t>
      </w:r>
      <w:r>
        <w:rPr>
          <w:rFonts w:ascii="宋体" w:hAnsi="宋体" w:eastAsia="宋体" w:cs="宋体"/>
          <w:color w:val="auto"/>
          <w:spacing w:val="-5"/>
          <w:lang w:eastAsia="zh-CN"/>
        </w:rPr>
        <w:t>）出现法定不可抗力因素；</w:t>
      </w:r>
    </w:p>
    <w:p w14:paraId="297762CB">
      <w:pPr>
        <w:spacing w:before="110" w:line="221"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7</w:t>
      </w:r>
      <w:r>
        <w:rPr>
          <w:rFonts w:ascii="宋体" w:hAnsi="宋体" w:eastAsia="宋体" w:cs="宋体"/>
          <w:color w:val="auto"/>
          <w:spacing w:val="-2"/>
          <w:lang w:eastAsia="zh-CN"/>
        </w:rPr>
        <w:t>）其他无法保证招投标过程正常进行的情形。</w:t>
      </w:r>
    </w:p>
    <w:p w14:paraId="0D011256">
      <w:pPr>
        <w:spacing w:before="148" w:line="222" w:lineRule="auto"/>
        <w:ind w:left="1703"/>
        <w:outlineLvl w:val="1"/>
        <w:rPr>
          <w:rFonts w:ascii="黑体" w:hAnsi="黑体" w:eastAsia="黑体" w:cs="黑体"/>
          <w:color w:val="auto"/>
          <w:sz w:val="28"/>
          <w:szCs w:val="28"/>
          <w:lang w:eastAsia="zh-CN"/>
        </w:rPr>
      </w:pPr>
      <w:bookmarkStart w:id="139" w:name="bookmark41"/>
      <w:bookmarkEnd w:id="139"/>
      <w:bookmarkStart w:id="140" w:name="bookmark42"/>
      <w:bookmarkEnd w:id="140"/>
      <w:bookmarkStart w:id="141" w:name="_Toc78"/>
      <w:bookmarkStart w:id="142" w:name="_Toc21690"/>
      <w:bookmarkStart w:id="143" w:name="_Toc27664"/>
      <w:bookmarkStart w:id="144" w:name="_Toc18258"/>
      <w:bookmarkStart w:id="145" w:name="_Toc24967"/>
      <w:bookmarkStart w:id="146" w:name="_Toc31832"/>
      <w:r>
        <w:rPr>
          <w:rFonts w:ascii="Times New Roman" w:hAnsi="Times New Roman" w:eastAsia="Times New Roman" w:cs="Times New Roman"/>
          <w:color w:val="auto"/>
          <w:spacing w:val="-4"/>
          <w:sz w:val="28"/>
          <w:szCs w:val="28"/>
          <w:lang w:eastAsia="zh-CN"/>
        </w:rPr>
        <w:t>6.</w:t>
      </w:r>
      <w:r>
        <w:rPr>
          <w:rFonts w:ascii="黑体" w:hAnsi="黑体" w:eastAsia="黑体" w:cs="黑体"/>
          <w:color w:val="auto"/>
          <w:spacing w:val="-4"/>
          <w:sz w:val="28"/>
          <w:szCs w:val="28"/>
          <w:lang w:eastAsia="zh-CN"/>
        </w:rPr>
        <w:t>评标</w:t>
      </w:r>
      <w:bookmarkEnd w:id="141"/>
      <w:bookmarkEnd w:id="142"/>
      <w:bookmarkEnd w:id="143"/>
      <w:bookmarkEnd w:id="144"/>
      <w:bookmarkEnd w:id="145"/>
      <w:bookmarkEnd w:id="146"/>
    </w:p>
    <w:p w14:paraId="7BF73A82">
      <w:pPr>
        <w:spacing w:before="58" w:line="221" w:lineRule="auto"/>
        <w:ind w:left="1701"/>
        <w:outlineLvl w:val="2"/>
        <w:rPr>
          <w:rFonts w:ascii="黑体" w:hAnsi="黑体" w:eastAsia="黑体" w:cs="黑体"/>
          <w:color w:val="auto"/>
          <w:sz w:val="24"/>
          <w:szCs w:val="24"/>
          <w:lang w:eastAsia="zh-CN"/>
        </w:rPr>
      </w:pPr>
      <w:bookmarkStart w:id="147" w:name="bookmark215"/>
      <w:bookmarkEnd w:id="147"/>
      <w:r>
        <w:rPr>
          <w:rFonts w:ascii="Times New Roman" w:hAnsi="Times New Roman" w:eastAsia="Times New Roman" w:cs="Times New Roman"/>
          <w:color w:val="auto"/>
          <w:spacing w:val="-1"/>
          <w:sz w:val="24"/>
          <w:szCs w:val="24"/>
          <w:lang w:eastAsia="zh-CN"/>
        </w:rPr>
        <w:t xml:space="preserve">6.1  </w:t>
      </w:r>
      <w:r>
        <w:rPr>
          <w:rFonts w:ascii="黑体" w:hAnsi="黑体" w:eastAsia="黑体" w:cs="黑体"/>
          <w:color w:val="auto"/>
          <w:spacing w:val="-1"/>
          <w:sz w:val="24"/>
          <w:szCs w:val="24"/>
          <w:lang w:eastAsia="zh-CN"/>
        </w:rPr>
        <w:t>评标委员会</w:t>
      </w:r>
    </w:p>
    <w:p w14:paraId="75717A19">
      <w:pPr>
        <w:spacing w:before="99" w:line="284" w:lineRule="auto"/>
        <w:ind w:left="1698" w:right="1796" w:firstLine="421"/>
        <w:rPr>
          <w:rFonts w:ascii="宋体" w:hAnsi="宋体" w:eastAsia="宋体" w:cs="宋体"/>
          <w:color w:val="auto"/>
          <w:lang w:eastAsia="zh-CN"/>
        </w:rPr>
      </w:pPr>
      <w:r>
        <w:rPr>
          <w:rFonts w:ascii="Times New Roman" w:hAnsi="Times New Roman" w:eastAsia="Times New Roman" w:cs="Times New Roman"/>
          <w:color w:val="auto"/>
          <w:lang w:eastAsia="zh-CN"/>
        </w:rPr>
        <w:t xml:space="preserve">6.1.1  </w:t>
      </w:r>
      <w:r>
        <w:rPr>
          <w:rFonts w:ascii="宋体" w:hAnsi="宋体" w:eastAsia="宋体" w:cs="宋体"/>
          <w:color w:val="auto"/>
          <w:lang w:eastAsia="zh-CN"/>
        </w:rPr>
        <w:t>评标由招标人依法组建的评标委员会负责。评标委员会由招标人或其委托的招标</w:t>
      </w:r>
      <w:r>
        <w:rPr>
          <w:rFonts w:ascii="宋体" w:hAnsi="宋体" w:eastAsia="宋体" w:cs="宋体"/>
          <w:color w:val="auto"/>
          <w:spacing w:val="-2"/>
          <w:lang w:eastAsia="zh-CN"/>
        </w:rPr>
        <w:t>代理机构熟悉相关业务的代表，以及有关技术、经济</w:t>
      </w:r>
      <w:r>
        <w:rPr>
          <w:rFonts w:ascii="宋体" w:hAnsi="宋体" w:eastAsia="宋体" w:cs="宋体"/>
          <w:color w:val="auto"/>
          <w:spacing w:val="-3"/>
          <w:lang w:eastAsia="zh-CN"/>
        </w:rPr>
        <w:t>等方面的专家组成。评标委员会成员人</w:t>
      </w:r>
      <w:r>
        <w:rPr>
          <w:rFonts w:ascii="宋体" w:hAnsi="宋体" w:eastAsia="宋体" w:cs="宋体"/>
          <w:color w:val="auto"/>
          <w:spacing w:val="-1"/>
          <w:lang w:eastAsia="zh-CN"/>
        </w:rPr>
        <w:t>数以及技术、经济等方面专家的确定方式见</w:t>
      </w:r>
      <w:r>
        <w:rPr>
          <w:rFonts w:ascii="宋体" w:hAnsi="宋体" w:eastAsia="宋体" w:cs="宋体"/>
          <w:color w:val="auto"/>
          <w:spacing w:val="-2"/>
          <w:lang w:eastAsia="zh-CN"/>
        </w:rPr>
        <w:t>投标人须知前附表。</w:t>
      </w:r>
    </w:p>
    <w:p w14:paraId="425B05C3">
      <w:pPr>
        <w:spacing w:before="110" w:line="220" w:lineRule="auto"/>
        <w:ind w:left="2120"/>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6.1.2  </w:t>
      </w:r>
      <w:r>
        <w:rPr>
          <w:rFonts w:ascii="宋体" w:hAnsi="宋体" w:eastAsia="宋体" w:cs="宋体"/>
          <w:color w:val="auto"/>
          <w:spacing w:val="-2"/>
          <w:lang w:eastAsia="zh-CN"/>
        </w:rPr>
        <w:t>评标委员会成员有下列情形之一的，应当回避：</w:t>
      </w:r>
    </w:p>
    <w:p w14:paraId="7B096EA6">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）投标人或投标人的主要负责人的近亲属；</w:t>
      </w:r>
    </w:p>
    <w:p w14:paraId="57F839CC">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）项目主管部门或者行政监督部门的人员；</w:t>
      </w:r>
    </w:p>
    <w:p w14:paraId="1C588393">
      <w:pPr>
        <w:spacing w:before="109" w:line="221"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3</w:t>
      </w:r>
      <w:r>
        <w:rPr>
          <w:rFonts w:ascii="宋体" w:hAnsi="宋体" w:eastAsia="宋体" w:cs="宋体"/>
          <w:color w:val="auto"/>
          <w:spacing w:val="-2"/>
          <w:lang w:eastAsia="zh-CN"/>
        </w:rPr>
        <w:t>）与投标人有经济利益关系或其他利害关系，可能影响对投标公正评审的；</w:t>
      </w:r>
    </w:p>
    <w:p w14:paraId="1E5C586B">
      <w:pPr>
        <w:spacing w:before="108" w:line="269" w:lineRule="auto"/>
        <w:ind w:left="1701" w:right="1823" w:firstLine="423"/>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4</w:t>
      </w:r>
      <w:r>
        <w:rPr>
          <w:rFonts w:ascii="宋体" w:hAnsi="宋体" w:eastAsia="宋体" w:cs="宋体"/>
          <w:color w:val="auto"/>
          <w:spacing w:val="-1"/>
          <w:lang w:eastAsia="zh-CN"/>
        </w:rPr>
        <w:t>）曾因在招标、评标以及其他与招标投标有关活动中从事违法行为而受过行政处罚</w:t>
      </w:r>
      <w:r>
        <w:rPr>
          <w:rFonts w:ascii="宋体" w:hAnsi="宋体" w:eastAsia="宋体" w:cs="宋体"/>
          <w:color w:val="auto"/>
          <w:spacing w:val="-5"/>
          <w:lang w:eastAsia="zh-CN"/>
        </w:rPr>
        <w:t>或刑事处罚的。</w:t>
      </w:r>
    </w:p>
    <w:p w14:paraId="52CC967E">
      <w:pPr>
        <w:spacing w:before="83" w:line="222" w:lineRule="auto"/>
        <w:ind w:left="1701"/>
        <w:outlineLvl w:val="2"/>
        <w:rPr>
          <w:rFonts w:ascii="黑体" w:hAnsi="黑体" w:eastAsia="黑体" w:cs="黑体"/>
          <w:color w:val="auto"/>
          <w:sz w:val="24"/>
          <w:szCs w:val="24"/>
          <w:lang w:eastAsia="zh-CN"/>
        </w:rPr>
      </w:pPr>
      <w:bookmarkStart w:id="148" w:name="bookmark43"/>
      <w:bookmarkEnd w:id="148"/>
      <w:r>
        <w:rPr>
          <w:rFonts w:ascii="Times New Roman" w:hAnsi="Times New Roman" w:eastAsia="Times New Roman" w:cs="Times New Roman"/>
          <w:color w:val="auto"/>
          <w:spacing w:val="-1"/>
          <w:sz w:val="24"/>
          <w:szCs w:val="24"/>
          <w:lang w:eastAsia="zh-CN"/>
        </w:rPr>
        <w:t xml:space="preserve">6.2  </w:t>
      </w:r>
      <w:r>
        <w:rPr>
          <w:rFonts w:ascii="黑体" w:hAnsi="黑体" w:eastAsia="黑体" w:cs="黑体"/>
          <w:color w:val="auto"/>
          <w:spacing w:val="-1"/>
          <w:sz w:val="24"/>
          <w:szCs w:val="24"/>
          <w:lang w:eastAsia="zh-CN"/>
        </w:rPr>
        <w:t>评标原则</w:t>
      </w:r>
    </w:p>
    <w:p w14:paraId="31B707C6">
      <w:pPr>
        <w:spacing w:before="97" w:line="220" w:lineRule="auto"/>
        <w:ind w:left="2118"/>
        <w:rPr>
          <w:rFonts w:ascii="宋体" w:hAnsi="宋体" w:eastAsia="宋体" w:cs="宋体"/>
          <w:color w:val="auto"/>
          <w:lang w:eastAsia="zh-CN"/>
        </w:rPr>
      </w:pPr>
      <w:r>
        <w:rPr>
          <w:rFonts w:ascii="宋体" w:hAnsi="宋体" w:eastAsia="宋体" w:cs="宋体"/>
          <w:color w:val="auto"/>
          <w:spacing w:val="-2"/>
          <w:lang w:eastAsia="zh-CN"/>
        </w:rPr>
        <w:t>评标活动遵循公平、公正、科学和择优的原则。</w:t>
      </w:r>
    </w:p>
    <w:p w14:paraId="40E80204">
      <w:pPr>
        <w:spacing w:before="84" w:line="222" w:lineRule="auto"/>
        <w:ind w:left="1701"/>
        <w:outlineLvl w:val="2"/>
        <w:rPr>
          <w:rFonts w:ascii="黑体" w:hAnsi="黑体" w:eastAsia="黑体" w:cs="黑体"/>
          <w:color w:val="auto"/>
          <w:sz w:val="24"/>
          <w:szCs w:val="24"/>
          <w:lang w:eastAsia="zh-CN"/>
        </w:rPr>
      </w:pPr>
      <w:bookmarkStart w:id="149" w:name="bookmark44"/>
      <w:bookmarkEnd w:id="149"/>
      <w:r>
        <w:rPr>
          <w:rFonts w:ascii="Times New Roman" w:hAnsi="Times New Roman" w:eastAsia="Times New Roman" w:cs="Times New Roman"/>
          <w:color w:val="auto"/>
          <w:spacing w:val="-3"/>
          <w:sz w:val="24"/>
          <w:szCs w:val="24"/>
          <w:lang w:eastAsia="zh-CN"/>
        </w:rPr>
        <w:t>6.3</w:t>
      </w:r>
      <w:r>
        <w:rPr>
          <w:rFonts w:ascii="黑体" w:hAnsi="黑体" w:eastAsia="黑体" w:cs="黑体"/>
          <w:color w:val="auto"/>
          <w:spacing w:val="-3"/>
          <w:sz w:val="24"/>
          <w:szCs w:val="24"/>
          <w:lang w:eastAsia="zh-CN"/>
        </w:rPr>
        <w:t>评标</w:t>
      </w:r>
    </w:p>
    <w:p w14:paraId="6A01741B">
      <w:pPr>
        <w:spacing w:before="99" w:line="316" w:lineRule="auto"/>
        <w:ind w:left="1698" w:right="1796" w:firstLine="420"/>
        <w:rPr>
          <w:rFonts w:ascii="宋体" w:hAnsi="宋体" w:eastAsia="宋体" w:cs="宋体"/>
          <w:color w:val="auto"/>
          <w:lang w:eastAsia="zh-CN"/>
        </w:rPr>
      </w:pPr>
      <w:r>
        <w:rPr>
          <w:rFonts w:ascii="宋体" w:hAnsi="宋体" w:eastAsia="宋体" w:cs="宋体"/>
          <w:color w:val="auto"/>
          <w:spacing w:val="-2"/>
          <w:lang w:eastAsia="zh-CN"/>
        </w:rPr>
        <w:t>评标委员会按照第三章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评标办法</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规定的方法、评审因素、标准和程序对投标文件进行</w:t>
      </w:r>
      <w:r>
        <w:rPr>
          <w:rFonts w:ascii="宋体" w:hAnsi="宋体" w:eastAsia="宋体" w:cs="宋体"/>
          <w:color w:val="auto"/>
          <w:spacing w:val="-1"/>
          <w:lang w:eastAsia="zh-CN"/>
        </w:rPr>
        <w:t>评审。第三章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评标办法</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没有规定的方法、评审因素和标准，不作为评标依据。</w:t>
      </w:r>
    </w:p>
    <w:p w14:paraId="274622B2">
      <w:pPr>
        <w:spacing w:line="219" w:lineRule="auto"/>
        <w:ind w:left="2118"/>
        <w:rPr>
          <w:rFonts w:ascii="宋体" w:hAnsi="宋体" w:eastAsia="宋体" w:cs="宋体"/>
          <w:color w:val="auto"/>
          <w:lang w:eastAsia="zh-CN"/>
        </w:rPr>
      </w:pPr>
      <w:r>
        <w:rPr>
          <w:rFonts w:ascii="宋体" w:hAnsi="宋体" w:eastAsia="宋体" w:cs="宋体"/>
          <w:color w:val="auto"/>
          <w:spacing w:val="-3"/>
          <w:lang w:eastAsia="zh-CN"/>
        </w:rPr>
        <w:t>评标采用方式详见投标人须知前附表。</w:t>
      </w:r>
    </w:p>
    <w:p w14:paraId="15901B01">
      <w:pPr>
        <w:spacing w:before="84" w:line="222" w:lineRule="auto"/>
        <w:ind w:left="1701"/>
        <w:outlineLvl w:val="2"/>
        <w:rPr>
          <w:rFonts w:ascii="黑体" w:hAnsi="黑体" w:eastAsia="黑体" w:cs="黑体"/>
          <w:color w:val="auto"/>
          <w:sz w:val="24"/>
          <w:szCs w:val="24"/>
          <w:lang w:eastAsia="zh-CN"/>
        </w:rPr>
      </w:pPr>
      <w:bookmarkStart w:id="150" w:name="bookmark45"/>
      <w:bookmarkEnd w:id="150"/>
      <w:r>
        <w:rPr>
          <w:rFonts w:ascii="Times New Roman" w:hAnsi="Times New Roman" w:eastAsia="Times New Roman" w:cs="Times New Roman"/>
          <w:color w:val="auto"/>
          <w:spacing w:val="-1"/>
          <w:sz w:val="24"/>
          <w:szCs w:val="24"/>
          <w:lang w:eastAsia="zh-CN"/>
        </w:rPr>
        <w:t xml:space="preserve">6.4  </w:t>
      </w:r>
      <w:r>
        <w:rPr>
          <w:rFonts w:ascii="黑体" w:hAnsi="黑体" w:eastAsia="黑体" w:cs="黑体"/>
          <w:color w:val="auto"/>
          <w:spacing w:val="-1"/>
          <w:sz w:val="24"/>
          <w:szCs w:val="24"/>
          <w:lang w:eastAsia="zh-CN"/>
        </w:rPr>
        <w:t>评标结果公示</w:t>
      </w:r>
    </w:p>
    <w:p w14:paraId="013BFDDD">
      <w:pPr>
        <w:spacing w:before="100" w:line="316" w:lineRule="auto"/>
        <w:ind w:left="1698" w:right="1737" w:firstLine="421"/>
        <w:jc w:val="both"/>
        <w:rPr>
          <w:rFonts w:ascii="宋体" w:hAnsi="宋体" w:eastAsia="宋体" w:cs="宋体"/>
          <w:color w:val="auto"/>
          <w:lang w:eastAsia="zh-CN"/>
        </w:rPr>
      </w:pPr>
      <w:r>
        <w:rPr>
          <w:rFonts w:ascii="宋体" w:hAnsi="宋体" w:eastAsia="宋体" w:cs="宋体"/>
          <w:color w:val="auto"/>
          <w:spacing w:val="-4"/>
          <w:lang w:eastAsia="zh-CN"/>
        </w:rPr>
        <w:t>招标人将自收到评标报告之日起</w:t>
      </w:r>
      <w:r>
        <w:rPr>
          <w:rFonts w:ascii="Times New Roman" w:hAnsi="Times New Roman" w:eastAsia="Times New Roman" w:cs="Times New Roman"/>
          <w:color w:val="auto"/>
          <w:spacing w:val="-4"/>
          <w:lang w:eastAsia="zh-CN"/>
        </w:rPr>
        <w:t>3</w:t>
      </w:r>
      <w:r>
        <w:rPr>
          <w:rFonts w:ascii="宋体" w:hAnsi="宋体" w:eastAsia="宋体" w:cs="宋体"/>
          <w:color w:val="auto"/>
          <w:spacing w:val="-4"/>
          <w:lang w:eastAsia="zh-CN"/>
        </w:rPr>
        <w:t>日内，完成审查评标委员会提交的书面评标报告，并在投标人须知前附表规定的媒介公示中标候选人。公示期不少于</w:t>
      </w:r>
      <w:r>
        <w:rPr>
          <w:rFonts w:ascii="Times New Roman" w:hAnsi="Times New Roman" w:eastAsia="Times New Roman" w:cs="Times New Roman"/>
          <w:color w:val="auto"/>
          <w:spacing w:val="-4"/>
          <w:lang w:eastAsia="zh-CN"/>
        </w:rPr>
        <w:t>3</w:t>
      </w:r>
      <w:r>
        <w:rPr>
          <w:rFonts w:ascii="宋体" w:hAnsi="宋体" w:eastAsia="宋体" w:cs="宋体"/>
          <w:color w:val="auto"/>
          <w:spacing w:val="-4"/>
          <w:lang w:eastAsia="zh-CN"/>
        </w:rPr>
        <w:t>日。招标人在中标候选人</w:t>
      </w:r>
      <w:r>
        <w:rPr>
          <w:rFonts w:ascii="宋体" w:hAnsi="宋体" w:eastAsia="宋体" w:cs="宋体"/>
          <w:color w:val="auto"/>
          <w:spacing w:val="-6"/>
          <w:lang w:eastAsia="zh-CN"/>
        </w:rPr>
        <w:t>公示前将对评标委员会提交的评标报告进行审查，发现异常情形的，依照法定程序进行复核，</w:t>
      </w:r>
      <w:r>
        <w:rPr>
          <w:rFonts w:ascii="宋体" w:hAnsi="宋体" w:eastAsia="宋体" w:cs="宋体"/>
          <w:color w:val="auto"/>
          <w:spacing w:val="-2"/>
          <w:lang w:eastAsia="zh-CN"/>
        </w:rPr>
        <w:t>确认存在问题的，依照法定程序予以纠正。</w:t>
      </w:r>
    </w:p>
    <w:p w14:paraId="607345EC">
      <w:pPr>
        <w:spacing w:before="4" w:line="310" w:lineRule="auto"/>
        <w:ind w:left="1698" w:right="1721" w:firstLine="423"/>
        <w:jc w:val="both"/>
        <w:rPr>
          <w:rFonts w:ascii="宋体" w:hAnsi="宋体" w:eastAsia="宋体" w:cs="宋体"/>
          <w:color w:val="auto"/>
          <w:lang w:eastAsia="zh-CN"/>
        </w:rPr>
      </w:pPr>
      <w:r>
        <w:rPr>
          <w:rFonts w:ascii="宋体" w:hAnsi="宋体" w:eastAsia="宋体" w:cs="宋体"/>
          <w:color w:val="auto"/>
          <w:spacing w:val="-3"/>
          <w:lang w:eastAsia="zh-CN"/>
        </w:rPr>
        <w:t>投标人或者其他利害关系人对评标结果有异议的，应当在中标候选人公示（评标结果公</w:t>
      </w:r>
      <w:r>
        <w:rPr>
          <w:rFonts w:ascii="宋体" w:hAnsi="宋体" w:eastAsia="宋体" w:cs="宋体"/>
          <w:color w:val="auto"/>
          <w:spacing w:val="-7"/>
          <w:lang w:eastAsia="zh-CN"/>
        </w:rPr>
        <w:t>示）期间提出。招标人自收到异议之日起</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日内作出答复；作出答复前，暂停招标投标活动。</w:t>
      </w:r>
      <w:r>
        <w:rPr>
          <w:rFonts w:ascii="宋体" w:hAnsi="宋体" w:eastAsia="宋体" w:cs="宋体"/>
          <w:color w:val="auto"/>
          <w:spacing w:val="-3"/>
          <w:lang w:eastAsia="zh-CN"/>
        </w:rPr>
        <w:t>在法定期限内未提出视为投标人权利灭失。异议与答复应通过电子招标投标系统（辽宁</w:t>
      </w:r>
      <w:r>
        <w:rPr>
          <w:rFonts w:ascii="宋体" w:hAnsi="宋体" w:eastAsia="宋体" w:cs="宋体"/>
          <w:color w:val="auto"/>
          <w:spacing w:val="-1"/>
          <w:lang w:eastAsia="zh-CN"/>
        </w:rPr>
        <w:t>省工程建设项目招标投标异议投诉处理系统</w:t>
      </w:r>
      <w:r>
        <w:rPr>
          <w:rFonts w:ascii="宋体" w:hAnsi="宋体" w:eastAsia="宋体" w:cs="宋体"/>
          <w:color w:val="auto"/>
          <w:spacing w:val="-2"/>
          <w:lang w:eastAsia="zh-CN"/>
        </w:rPr>
        <w:t>）以书面形式进行。</w:t>
      </w:r>
    </w:p>
    <w:p w14:paraId="5EC4FBFC">
      <w:pPr>
        <w:spacing w:before="1" w:line="221" w:lineRule="auto"/>
        <w:ind w:left="1701"/>
        <w:outlineLvl w:val="2"/>
        <w:rPr>
          <w:rFonts w:ascii="黑体" w:hAnsi="黑体" w:eastAsia="黑体" w:cs="黑体"/>
          <w:color w:val="auto"/>
          <w:sz w:val="24"/>
          <w:szCs w:val="24"/>
          <w:lang w:eastAsia="zh-CN"/>
        </w:rPr>
      </w:pPr>
      <w:bookmarkStart w:id="151" w:name="bookmark46"/>
      <w:bookmarkEnd w:id="151"/>
      <w:r>
        <w:rPr>
          <w:rFonts w:ascii="Times New Roman" w:hAnsi="Times New Roman" w:eastAsia="Times New Roman" w:cs="Times New Roman"/>
          <w:color w:val="auto"/>
          <w:spacing w:val="-2"/>
          <w:sz w:val="24"/>
          <w:szCs w:val="24"/>
          <w:lang w:eastAsia="zh-CN"/>
        </w:rPr>
        <w:t xml:space="preserve">6.5  </w:t>
      </w:r>
      <w:r>
        <w:rPr>
          <w:rFonts w:ascii="黑体" w:hAnsi="黑体" w:eastAsia="黑体" w:cs="黑体"/>
          <w:color w:val="auto"/>
          <w:spacing w:val="-2"/>
          <w:sz w:val="24"/>
          <w:szCs w:val="24"/>
          <w:lang w:eastAsia="zh-CN"/>
        </w:rPr>
        <w:t>履约能力的核查（如有）</w:t>
      </w:r>
    </w:p>
    <w:p w14:paraId="7C405092">
      <w:pPr>
        <w:spacing w:before="97" w:line="318" w:lineRule="auto"/>
        <w:ind w:left="1700" w:right="1796" w:firstLine="421"/>
        <w:jc w:val="both"/>
        <w:rPr>
          <w:rFonts w:ascii="宋体" w:hAnsi="宋体" w:eastAsia="宋体" w:cs="宋体"/>
          <w:color w:val="auto"/>
          <w:lang w:eastAsia="zh-CN"/>
        </w:rPr>
      </w:pPr>
      <w:r>
        <w:rPr>
          <w:rFonts w:ascii="宋体" w:hAnsi="宋体" w:eastAsia="宋体" w:cs="宋体"/>
          <w:color w:val="auto"/>
          <w:spacing w:val="-4"/>
          <w:lang w:eastAsia="zh-CN"/>
        </w:rPr>
        <w:t>如果中标候选人的经营、财务状况发生较大变化或者存在违法行为，招标</w:t>
      </w:r>
      <w:r>
        <w:rPr>
          <w:rFonts w:ascii="宋体" w:hAnsi="宋体" w:eastAsia="宋体" w:cs="宋体"/>
          <w:color w:val="auto"/>
          <w:spacing w:val="-5"/>
          <w:lang w:eastAsia="zh-CN"/>
        </w:rPr>
        <w:t>人认为可能影</w:t>
      </w:r>
      <w:r>
        <w:rPr>
          <w:rFonts w:ascii="宋体" w:hAnsi="宋体" w:eastAsia="宋体" w:cs="宋体"/>
          <w:color w:val="auto"/>
          <w:spacing w:val="-2"/>
          <w:lang w:eastAsia="zh-CN"/>
        </w:rPr>
        <w:t>响其履约能力的，将在发出中标通知书前报请行</w:t>
      </w:r>
      <w:r>
        <w:rPr>
          <w:rFonts w:ascii="宋体" w:hAnsi="宋体" w:eastAsia="宋体" w:cs="宋体"/>
          <w:color w:val="auto"/>
          <w:spacing w:val="-3"/>
          <w:lang w:eastAsia="zh-CN"/>
        </w:rPr>
        <w:t>政监督部门后，召集原评标委员会按照招标文件规定的标准和方法核查确认。</w:t>
      </w:r>
    </w:p>
    <w:p w14:paraId="4097AE52">
      <w:pPr>
        <w:spacing w:line="318" w:lineRule="auto"/>
        <w:rPr>
          <w:rFonts w:ascii="宋体" w:hAnsi="宋体" w:eastAsia="宋体" w:cs="宋体"/>
          <w:color w:val="auto"/>
          <w:lang w:eastAsia="zh-CN"/>
        </w:rPr>
        <w:sectPr>
          <w:headerReference r:id="rId25" w:type="default"/>
          <w:footerReference r:id="rId26" w:type="default"/>
          <w:pgSz w:w="11906" w:h="16839"/>
          <w:pgMar w:top="400" w:right="0" w:bottom="1006" w:left="105" w:header="0" w:footer="846" w:gutter="0"/>
          <w:cols w:space="720" w:num="1"/>
        </w:sectPr>
      </w:pPr>
    </w:p>
    <w:p w14:paraId="0DE7D8A0">
      <w:pPr>
        <w:pStyle w:val="8"/>
        <w:spacing w:line="247" w:lineRule="auto"/>
        <w:rPr>
          <w:lang w:eastAsia="zh-CN"/>
        </w:rPr>
      </w:pPr>
    </w:p>
    <w:p w14:paraId="2FBEC0F0">
      <w:pPr>
        <w:pStyle w:val="8"/>
        <w:spacing w:line="247" w:lineRule="auto"/>
        <w:rPr>
          <w:lang w:eastAsia="zh-CN"/>
        </w:rPr>
      </w:pPr>
    </w:p>
    <w:p w14:paraId="4322D59C">
      <w:pPr>
        <w:pStyle w:val="8"/>
        <w:spacing w:line="248" w:lineRule="auto"/>
        <w:rPr>
          <w:lang w:eastAsia="zh-CN"/>
        </w:rPr>
      </w:pPr>
    </w:p>
    <w:p w14:paraId="0FAA1A70">
      <w:pPr>
        <w:pStyle w:val="8"/>
        <w:spacing w:line="248" w:lineRule="auto"/>
        <w:rPr>
          <w:lang w:eastAsia="zh-CN"/>
        </w:rPr>
      </w:pPr>
    </w:p>
    <w:p w14:paraId="61F0F920">
      <w:pPr>
        <w:spacing w:before="91" w:line="222" w:lineRule="auto"/>
        <w:ind w:left="1701"/>
        <w:outlineLvl w:val="1"/>
        <w:rPr>
          <w:rFonts w:ascii="黑体" w:hAnsi="黑体" w:eastAsia="黑体" w:cs="黑体"/>
          <w:color w:val="auto"/>
          <w:sz w:val="28"/>
          <w:szCs w:val="28"/>
          <w:lang w:eastAsia="zh-CN"/>
        </w:rPr>
      </w:pPr>
      <w:bookmarkStart w:id="152" w:name="bookmark47"/>
      <w:bookmarkEnd w:id="152"/>
      <w:bookmarkStart w:id="153" w:name="bookmark48"/>
      <w:bookmarkEnd w:id="153"/>
      <w:bookmarkStart w:id="154" w:name="_Toc17626"/>
      <w:bookmarkStart w:id="155" w:name="_Toc5362"/>
      <w:bookmarkStart w:id="156" w:name="_Toc371"/>
      <w:bookmarkStart w:id="157" w:name="_Toc9251"/>
      <w:bookmarkStart w:id="158" w:name="_Toc8252"/>
      <w:bookmarkStart w:id="159" w:name="_Toc21031"/>
      <w:r>
        <w:rPr>
          <w:rFonts w:ascii="Times New Roman" w:hAnsi="Times New Roman" w:eastAsia="Times New Roman" w:cs="Times New Roman"/>
          <w:color w:val="auto"/>
          <w:spacing w:val="-2"/>
          <w:sz w:val="28"/>
          <w:szCs w:val="28"/>
          <w:lang w:eastAsia="zh-CN"/>
        </w:rPr>
        <w:t>7.</w:t>
      </w:r>
      <w:r>
        <w:rPr>
          <w:rFonts w:ascii="黑体" w:hAnsi="黑体" w:eastAsia="黑体" w:cs="黑体"/>
          <w:color w:val="auto"/>
          <w:spacing w:val="-2"/>
          <w:sz w:val="28"/>
          <w:szCs w:val="28"/>
          <w:lang w:eastAsia="zh-CN"/>
        </w:rPr>
        <w:t>合同授予</w:t>
      </w:r>
      <w:bookmarkEnd w:id="154"/>
      <w:bookmarkEnd w:id="155"/>
      <w:bookmarkEnd w:id="156"/>
      <w:bookmarkEnd w:id="157"/>
      <w:bookmarkEnd w:id="158"/>
      <w:bookmarkEnd w:id="159"/>
    </w:p>
    <w:p w14:paraId="0924BFFB">
      <w:pPr>
        <w:spacing w:before="57" w:line="221" w:lineRule="auto"/>
        <w:ind w:left="1699"/>
        <w:outlineLvl w:val="2"/>
        <w:rPr>
          <w:rFonts w:ascii="黑体" w:hAnsi="黑体" w:eastAsia="黑体" w:cs="黑体"/>
          <w:color w:val="auto"/>
          <w:sz w:val="24"/>
          <w:szCs w:val="24"/>
          <w:lang w:eastAsia="zh-CN"/>
        </w:rPr>
      </w:pPr>
      <w:bookmarkStart w:id="160" w:name="bookmark216"/>
      <w:bookmarkEnd w:id="160"/>
      <w:r>
        <w:rPr>
          <w:rFonts w:ascii="Times New Roman" w:hAnsi="Times New Roman" w:eastAsia="Times New Roman" w:cs="Times New Roman"/>
          <w:color w:val="auto"/>
          <w:spacing w:val="-1"/>
          <w:sz w:val="24"/>
          <w:szCs w:val="24"/>
          <w:lang w:eastAsia="zh-CN"/>
        </w:rPr>
        <w:t xml:space="preserve">7.1  </w:t>
      </w:r>
      <w:r>
        <w:rPr>
          <w:rFonts w:ascii="黑体" w:hAnsi="黑体" w:eastAsia="黑体" w:cs="黑体"/>
          <w:color w:val="auto"/>
          <w:spacing w:val="-1"/>
          <w:sz w:val="24"/>
          <w:szCs w:val="24"/>
          <w:lang w:eastAsia="zh-CN"/>
        </w:rPr>
        <w:t>定标方式</w:t>
      </w:r>
    </w:p>
    <w:p w14:paraId="1155D016">
      <w:pPr>
        <w:spacing w:before="100" w:line="316" w:lineRule="auto"/>
        <w:ind w:left="1698" w:right="1796" w:firstLine="433"/>
        <w:jc w:val="both"/>
        <w:rPr>
          <w:rFonts w:ascii="宋体" w:hAnsi="宋体" w:eastAsia="宋体" w:cs="宋体"/>
          <w:color w:val="auto"/>
          <w:lang w:eastAsia="zh-CN"/>
        </w:rPr>
      </w:pPr>
      <w:r>
        <w:rPr>
          <w:rFonts w:ascii="宋体" w:hAnsi="宋体" w:eastAsia="宋体" w:cs="宋体"/>
          <w:color w:val="auto"/>
          <w:spacing w:val="-3"/>
          <w:lang w:eastAsia="zh-CN"/>
        </w:rPr>
        <w:t>除投标人须知前附表规定评标委员会直接确定中标人外，招标人依据评标委员会推荐的</w:t>
      </w:r>
      <w:r>
        <w:rPr>
          <w:rFonts w:ascii="宋体" w:hAnsi="宋体" w:eastAsia="宋体" w:cs="宋体"/>
          <w:color w:val="auto"/>
          <w:spacing w:val="-2"/>
          <w:lang w:eastAsia="zh-CN"/>
        </w:rPr>
        <w:t>中标候选人确定中标人或从评标委员会推荐的中标候</w:t>
      </w:r>
      <w:r>
        <w:rPr>
          <w:rFonts w:ascii="宋体" w:hAnsi="宋体" w:eastAsia="宋体" w:cs="宋体"/>
          <w:color w:val="auto"/>
          <w:spacing w:val="-3"/>
          <w:lang w:eastAsia="zh-CN"/>
        </w:rPr>
        <w:t>选人范围内自主研究确定中标人，评标</w:t>
      </w:r>
      <w:r>
        <w:rPr>
          <w:rFonts w:ascii="宋体" w:hAnsi="宋体" w:eastAsia="宋体" w:cs="宋体"/>
          <w:color w:val="auto"/>
          <w:spacing w:val="-2"/>
          <w:lang w:eastAsia="zh-CN"/>
        </w:rPr>
        <w:t>委员会推荐中标候选人的人数见投标人须知前附表。</w:t>
      </w:r>
    </w:p>
    <w:p w14:paraId="601D4274">
      <w:pPr>
        <w:spacing w:before="3" w:line="310" w:lineRule="auto"/>
        <w:ind w:left="1698" w:right="1796" w:firstLine="421"/>
        <w:jc w:val="both"/>
        <w:rPr>
          <w:rFonts w:ascii="宋体" w:hAnsi="宋体" w:eastAsia="宋体" w:cs="宋体"/>
          <w:color w:val="auto"/>
          <w:lang w:eastAsia="zh-CN"/>
        </w:rPr>
      </w:pPr>
      <w:r>
        <w:rPr>
          <w:rFonts w:ascii="宋体" w:hAnsi="宋体" w:eastAsia="宋体" w:cs="宋体"/>
          <w:color w:val="auto"/>
          <w:spacing w:val="-3"/>
          <w:lang w:eastAsia="zh-CN"/>
        </w:rPr>
        <w:t>招标人从评标委员会推荐的中标候选人范围内自主研究确定中标人的，招标人按照定标</w:t>
      </w:r>
      <w:r>
        <w:rPr>
          <w:rFonts w:ascii="宋体" w:hAnsi="宋体" w:eastAsia="宋体" w:cs="宋体"/>
          <w:color w:val="auto"/>
          <w:spacing w:val="-2"/>
          <w:lang w:eastAsia="zh-CN"/>
        </w:rPr>
        <w:t>办法规定的规则组建定标委员会，定标委员会按照定</w:t>
      </w:r>
      <w:r>
        <w:rPr>
          <w:rFonts w:ascii="宋体" w:hAnsi="宋体" w:eastAsia="宋体" w:cs="宋体"/>
          <w:color w:val="auto"/>
          <w:spacing w:val="-3"/>
          <w:lang w:eastAsia="zh-CN"/>
        </w:rPr>
        <w:t>标办法规定的方法、规则、标准和程序</w:t>
      </w:r>
      <w:r>
        <w:rPr>
          <w:rFonts w:ascii="宋体" w:hAnsi="宋体" w:eastAsia="宋体" w:cs="宋体"/>
          <w:color w:val="auto"/>
          <w:spacing w:val="-5"/>
          <w:lang w:eastAsia="zh-CN"/>
        </w:rPr>
        <w:t>在中标候选人中定标，确定中标人。定标办法没有规定的方法、规则、标准， 不得作为定标</w:t>
      </w:r>
      <w:r>
        <w:rPr>
          <w:rFonts w:ascii="宋体" w:hAnsi="宋体" w:eastAsia="宋体" w:cs="宋体"/>
          <w:color w:val="auto"/>
          <w:spacing w:val="-9"/>
          <w:lang w:eastAsia="zh-CN"/>
        </w:rPr>
        <w:t>依据。</w:t>
      </w:r>
    </w:p>
    <w:p w14:paraId="0E2C29D7">
      <w:pPr>
        <w:spacing w:line="222" w:lineRule="auto"/>
        <w:ind w:left="1699"/>
        <w:outlineLvl w:val="2"/>
        <w:rPr>
          <w:rFonts w:ascii="黑体" w:hAnsi="黑体" w:eastAsia="黑体" w:cs="黑体"/>
          <w:color w:val="auto"/>
          <w:sz w:val="24"/>
          <w:szCs w:val="24"/>
          <w:lang w:eastAsia="zh-CN"/>
        </w:rPr>
      </w:pPr>
      <w:bookmarkStart w:id="161" w:name="bookmark49"/>
      <w:bookmarkEnd w:id="161"/>
      <w:r>
        <w:rPr>
          <w:rFonts w:ascii="Times New Roman" w:hAnsi="Times New Roman" w:eastAsia="Times New Roman" w:cs="Times New Roman"/>
          <w:color w:val="auto"/>
          <w:spacing w:val="-5"/>
          <w:sz w:val="24"/>
          <w:szCs w:val="24"/>
          <w:lang w:eastAsia="zh-CN"/>
        </w:rPr>
        <w:t>7.2</w:t>
      </w:r>
      <w:r>
        <w:rPr>
          <w:rFonts w:ascii="黑体" w:hAnsi="黑体" w:eastAsia="黑体" w:cs="黑体"/>
          <w:color w:val="auto"/>
          <w:spacing w:val="-5"/>
          <w:sz w:val="24"/>
          <w:szCs w:val="24"/>
          <w:lang w:eastAsia="zh-CN"/>
        </w:rPr>
        <w:t>中标通知</w:t>
      </w:r>
    </w:p>
    <w:p w14:paraId="3487FB1C">
      <w:pPr>
        <w:spacing w:before="98" w:line="316" w:lineRule="auto"/>
        <w:ind w:left="1700" w:right="1796" w:firstLine="418"/>
        <w:jc w:val="both"/>
        <w:rPr>
          <w:rFonts w:ascii="宋体" w:hAnsi="宋体" w:eastAsia="宋体" w:cs="宋体"/>
          <w:color w:val="auto"/>
          <w:lang w:eastAsia="zh-CN"/>
        </w:rPr>
      </w:pPr>
      <w:r>
        <w:rPr>
          <w:rFonts w:ascii="宋体" w:hAnsi="宋体" w:eastAsia="宋体" w:cs="宋体"/>
          <w:color w:val="auto"/>
          <w:spacing w:val="-1"/>
          <w:lang w:eastAsia="zh-CN"/>
        </w:rPr>
        <w:t>评标结果公示期满后，在本章第</w:t>
      </w:r>
      <w:r>
        <w:rPr>
          <w:rFonts w:ascii="Times New Roman" w:hAnsi="Times New Roman" w:eastAsia="Times New Roman" w:cs="Times New Roman"/>
          <w:color w:val="auto"/>
          <w:spacing w:val="-1"/>
          <w:lang w:eastAsia="zh-CN"/>
        </w:rPr>
        <w:t xml:space="preserve">3.3 </w:t>
      </w:r>
      <w:r>
        <w:rPr>
          <w:rFonts w:ascii="宋体" w:hAnsi="宋体" w:eastAsia="宋体" w:cs="宋体"/>
          <w:color w:val="auto"/>
          <w:spacing w:val="-1"/>
          <w:lang w:eastAsia="zh-CN"/>
        </w:rPr>
        <w:t>款规定的投标有效期</w:t>
      </w:r>
      <w:r>
        <w:rPr>
          <w:rFonts w:ascii="宋体" w:hAnsi="宋体" w:eastAsia="宋体" w:cs="宋体"/>
          <w:color w:val="auto"/>
          <w:spacing w:val="-2"/>
          <w:lang w:eastAsia="zh-CN"/>
        </w:rPr>
        <w:t>内，招标人通过电子交易系统以书面形式向中标人发出经电子监督系统验证备</w:t>
      </w:r>
      <w:r>
        <w:rPr>
          <w:rFonts w:ascii="宋体" w:hAnsi="宋体" w:eastAsia="宋体" w:cs="宋体"/>
          <w:color w:val="auto"/>
          <w:spacing w:val="-3"/>
          <w:lang w:eastAsia="zh-CN"/>
        </w:rPr>
        <w:t>案的中标通知书，同时将中标结果通知未中</w:t>
      </w:r>
      <w:r>
        <w:rPr>
          <w:rFonts w:ascii="宋体" w:hAnsi="宋体" w:eastAsia="宋体" w:cs="宋体"/>
          <w:color w:val="auto"/>
          <w:spacing w:val="-6"/>
          <w:lang w:eastAsia="zh-CN"/>
        </w:rPr>
        <w:t>标的投标人。</w:t>
      </w:r>
    </w:p>
    <w:p w14:paraId="77067E26">
      <w:pPr>
        <w:spacing w:line="305" w:lineRule="auto"/>
        <w:ind w:left="1703" w:right="1796" w:firstLine="435"/>
        <w:rPr>
          <w:rFonts w:ascii="宋体" w:hAnsi="宋体" w:eastAsia="宋体" w:cs="宋体"/>
          <w:color w:val="auto"/>
          <w:lang w:eastAsia="zh-CN"/>
        </w:rPr>
      </w:pPr>
      <w:r>
        <w:rPr>
          <w:rFonts w:ascii="宋体" w:hAnsi="宋体" w:eastAsia="宋体" w:cs="宋体"/>
          <w:color w:val="auto"/>
          <w:spacing w:val="-2"/>
          <w:lang w:eastAsia="zh-CN"/>
        </w:rPr>
        <w:t>中标通知书发出的同时，招标人将在投标人须知前附表第</w:t>
      </w:r>
      <w:r>
        <w:rPr>
          <w:rFonts w:ascii="Times New Roman" w:hAnsi="Times New Roman" w:eastAsia="Times New Roman" w:cs="Times New Roman"/>
          <w:color w:val="auto"/>
          <w:spacing w:val="-2"/>
          <w:lang w:eastAsia="zh-CN"/>
        </w:rPr>
        <w:t xml:space="preserve">6.4 </w:t>
      </w:r>
      <w:r>
        <w:rPr>
          <w:rFonts w:ascii="宋体" w:hAnsi="宋体" w:eastAsia="宋体" w:cs="宋体"/>
          <w:color w:val="auto"/>
          <w:spacing w:val="-2"/>
          <w:lang w:eastAsia="zh-CN"/>
        </w:rPr>
        <w:t>款规定的媒介发布中标结</w:t>
      </w:r>
      <w:r>
        <w:rPr>
          <w:rFonts w:ascii="宋体" w:hAnsi="宋体" w:eastAsia="宋体" w:cs="宋体"/>
          <w:color w:val="auto"/>
          <w:spacing w:val="-8"/>
          <w:lang w:eastAsia="zh-CN"/>
        </w:rPr>
        <w:t>果公示。</w:t>
      </w:r>
    </w:p>
    <w:p w14:paraId="71C7BA0C">
      <w:pPr>
        <w:spacing w:before="1" w:line="221" w:lineRule="auto"/>
        <w:ind w:left="1699"/>
        <w:outlineLvl w:val="2"/>
        <w:rPr>
          <w:rFonts w:ascii="黑体" w:hAnsi="黑体" w:eastAsia="黑体" w:cs="黑体"/>
          <w:color w:val="auto"/>
          <w:sz w:val="24"/>
          <w:szCs w:val="24"/>
          <w:lang w:eastAsia="zh-CN"/>
        </w:rPr>
      </w:pPr>
      <w:bookmarkStart w:id="162" w:name="bookmark50"/>
      <w:bookmarkEnd w:id="162"/>
      <w:r>
        <w:rPr>
          <w:rFonts w:ascii="Times New Roman" w:hAnsi="Times New Roman" w:eastAsia="Times New Roman" w:cs="Times New Roman"/>
          <w:color w:val="auto"/>
          <w:spacing w:val="-1"/>
          <w:sz w:val="24"/>
          <w:szCs w:val="24"/>
          <w:lang w:eastAsia="zh-CN"/>
        </w:rPr>
        <w:t xml:space="preserve">7.3  </w:t>
      </w:r>
      <w:r>
        <w:rPr>
          <w:rFonts w:ascii="黑体" w:hAnsi="黑体" w:eastAsia="黑体" w:cs="黑体"/>
          <w:color w:val="auto"/>
          <w:spacing w:val="-1"/>
          <w:sz w:val="24"/>
          <w:szCs w:val="24"/>
          <w:lang w:eastAsia="zh-CN"/>
        </w:rPr>
        <w:t>履约保证金</w:t>
      </w:r>
    </w:p>
    <w:p w14:paraId="51F94BDD">
      <w:pPr>
        <w:spacing w:before="100" w:line="316" w:lineRule="auto"/>
        <w:ind w:left="1699" w:right="1796" w:firstLine="419"/>
        <w:jc w:val="both"/>
        <w:rPr>
          <w:rFonts w:ascii="宋体" w:hAnsi="宋体" w:eastAsia="宋体" w:cs="宋体"/>
          <w:color w:val="auto"/>
          <w:lang w:eastAsia="zh-CN"/>
        </w:rPr>
      </w:pPr>
      <w:r>
        <w:rPr>
          <w:rFonts w:ascii="Times New Roman" w:hAnsi="Times New Roman" w:eastAsia="Times New Roman" w:cs="Times New Roman"/>
          <w:color w:val="auto"/>
          <w:lang w:eastAsia="zh-CN"/>
        </w:rPr>
        <w:t xml:space="preserve">7.3.1  </w:t>
      </w:r>
      <w:r>
        <w:rPr>
          <w:rFonts w:ascii="宋体" w:hAnsi="宋体" w:eastAsia="宋体" w:cs="宋体"/>
          <w:color w:val="auto"/>
          <w:lang w:eastAsia="zh-CN"/>
        </w:rPr>
        <w:t>在签订合同前，中标人应按投标人须知前附表规定的金额、担保形式和招标文件</w:t>
      </w:r>
      <w:r>
        <w:rPr>
          <w:rFonts w:ascii="宋体" w:hAnsi="宋体" w:eastAsia="宋体" w:cs="宋体"/>
          <w:color w:val="auto"/>
          <w:spacing w:val="-2"/>
          <w:lang w:eastAsia="zh-CN"/>
        </w:rPr>
        <w:t>第四章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合同条款及格式</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规定的履约保证金格式或者事先经过招标人书面认可的履约保证金</w:t>
      </w:r>
      <w:r>
        <w:rPr>
          <w:rFonts w:ascii="宋体" w:hAnsi="宋体" w:eastAsia="宋体" w:cs="宋体"/>
          <w:color w:val="auto"/>
          <w:spacing w:val="-5"/>
          <w:lang w:eastAsia="zh-CN"/>
        </w:rPr>
        <w:t>格式向招标人提交履约担保。联合体中标的，其履约保证金由牵头人递交，并应符合投标人</w:t>
      </w:r>
      <w:r>
        <w:rPr>
          <w:rFonts w:ascii="宋体" w:hAnsi="宋体" w:eastAsia="宋体" w:cs="宋体"/>
          <w:color w:val="auto"/>
          <w:spacing w:val="-4"/>
          <w:lang w:eastAsia="zh-CN"/>
        </w:rPr>
        <w:t>须知前附表的规定。</w:t>
      </w:r>
    </w:p>
    <w:p w14:paraId="6B4137C1">
      <w:pPr>
        <w:spacing w:before="3" w:line="308" w:lineRule="auto"/>
        <w:ind w:left="1698" w:right="1796" w:firstLine="420"/>
        <w:jc w:val="both"/>
        <w:rPr>
          <w:rFonts w:ascii="宋体" w:hAnsi="宋体" w:eastAsia="宋体" w:cs="宋体"/>
          <w:color w:val="auto"/>
          <w:lang w:eastAsia="zh-CN"/>
        </w:rPr>
      </w:pPr>
      <w:r>
        <w:rPr>
          <w:rFonts w:ascii="Times New Roman" w:hAnsi="Times New Roman" w:eastAsia="Times New Roman" w:cs="Times New Roman"/>
          <w:color w:val="auto"/>
          <w:spacing w:val="-3"/>
          <w:lang w:eastAsia="zh-CN"/>
        </w:rPr>
        <w:t>7.3.2</w:t>
      </w:r>
      <w:r>
        <w:rPr>
          <w:rFonts w:ascii="宋体" w:hAnsi="宋体" w:eastAsia="宋体" w:cs="宋体"/>
          <w:color w:val="auto"/>
          <w:spacing w:val="-3"/>
          <w:lang w:eastAsia="zh-CN"/>
        </w:rPr>
        <w:t>中标人不能按本章第</w:t>
      </w:r>
      <w:r>
        <w:rPr>
          <w:rFonts w:ascii="Times New Roman" w:hAnsi="Times New Roman" w:eastAsia="Times New Roman" w:cs="Times New Roman"/>
          <w:color w:val="auto"/>
          <w:spacing w:val="-3"/>
          <w:lang w:eastAsia="zh-CN"/>
        </w:rPr>
        <w:t xml:space="preserve">7.3.1 </w:t>
      </w:r>
      <w:r>
        <w:rPr>
          <w:rFonts w:ascii="宋体" w:hAnsi="宋体" w:eastAsia="宋体" w:cs="宋体"/>
          <w:color w:val="auto"/>
          <w:spacing w:val="-3"/>
          <w:lang w:eastAsia="zh-CN"/>
        </w:rPr>
        <w:t>项要求提交履约保证金的，视为放弃中标，其投标保证</w:t>
      </w:r>
      <w:r>
        <w:rPr>
          <w:rFonts w:ascii="宋体" w:hAnsi="宋体" w:eastAsia="宋体" w:cs="宋体"/>
          <w:color w:val="auto"/>
          <w:spacing w:val="-2"/>
          <w:lang w:eastAsia="zh-CN"/>
        </w:rPr>
        <w:t>金不予退还，给招标人造成的损失超过投标保证金数</w:t>
      </w:r>
      <w:r>
        <w:rPr>
          <w:rFonts w:ascii="宋体" w:hAnsi="宋体" w:eastAsia="宋体" w:cs="宋体"/>
          <w:color w:val="auto"/>
          <w:spacing w:val="-3"/>
          <w:lang w:eastAsia="zh-CN"/>
        </w:rPr>
        <w:t>额的，中标人还应当对超过部分予以赔</w:t>
      </w:r>
      <w:r>
        <w:rPr>
          <w:rFonts w:ascii="宋体" w:hAnsi="宋体" w:eastAsia="宋体" w:cs="宋体"/>
          <w:color w:val="auto"/>
          <w:spacing w:val="-10"/>
          <w:lang w:eastAsia="zh-CN"/>
        </w:rPr>
        <w:t>偿。</w:t>
      </w:r>
    </w:p>
    <w:p w14:paraId="6F05DE20">
      <w:pPr>
        <w:spacing w:line="223" w:lineRule="auto"/>
        <w:ind w:left="1699"/>
        <w:outlineLvl w:val="2"/>
        <w:rPr>
          <w:rFonts w:ascii="黑体" w:hAnsi="黑体" w:eastAsia="黑体" w:cs="黑体"/>
          <w:color w:val="auto"/>
          <w:sz w:val="24"/>
          <w:szCs w:val="24"/>
          <w:lang w:eastAsia="zh-CN"/>
        </w:rPr>
      </w:pPr>
      <w:bookmarkStart w:id="163" w:name="bookmark51"/>
      <w:bookmarkEnd w:id="163"/>
      <w:r>
        <w:rPr>
          <w:rFonts w:ascii="Times New Roman" w:hAnsi="Times New Roman" w:eastAsia="Times New Roman" w:cs="Times New Roman"/>
          <w:color w:val="auto"/>
          <w:spacing w:val="-1"/>
          <w:sz w:val="24"/>
          <w:szCs w:val="24"/>
          <w:lang w:eastAsia="zh-CN"/>
        </w:rPr>
        <w:t xml:space="preserve">7.4  </w:t>
      </w:r>
      <w:r>
        <w:rPr>
          <w:rFonts w:ascii="黑体" w:hAnsi="黑体" w:eastAsia="黑体" w:cs="黑体"/>
          <w:color w:val="auto"/>
          <w:spacing w:val="-1"/>
          <w:sz w:val="24"/>
          <w:szCs w:val="24"/>
          <w:lang w:eastAsia="zh-CN"/>
        </w:rPr>
        <w:t>签订合同</w:t>
      </w:r>
    </w:p>
    <w:p w14:paraId="5438BFD4">
      <w:pPr>
        <w:spacing w:before="98" w:line="297" w:lineRule="auto"/>
        <w:ind w:left="1700" w:right="1796" w:firstLine="418"/>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7.4.1  </w:t>
      </w:r>
      <w:r>
        <w:rPr>
          <w:rFonts w:ascii="宋体" w:hAnsi="宋体" w:eastAsia="宋体" w:cs="宋体"/>
          <w:color w:val="auto"/>
          <w:spacing w:val="-3"/>
          <w:lang w:eastAsia="zh-CN"/>
        </w:rPr>
        <w:t>招标人和中标人应当在投标有效期</w:t>
      </w:r>
      <w:r>
        <w:rPr>
          <w:rFonts w:ascii="宋体" w:hAnsi="宋体" w:eastAsia="宋体" w:cs="宋体"/>
          <w:color w:val="auto"/>
          <w:spacing w:val="-4"/>
          <w:lang w:eastAsia="zh-CN"/>
        </w:rPr>
        <w:t>内并自中标通知书发出之日起</w:t>
      </w:r>
      <w:r>
        <w:rPr>
          <w:rFonts w:ascii="Times New Roman" w:hAnsi="Times New Roman" w:eastAsia="Times New Roman" w:cs="Times New Roman"/>
          <w:color w:val="auto"/>
          <w:spacing w:val="-4"/>
          <w:lang w:eastAsia="zh-CN"/>
        </w:rPr>
        <w:t xml:space="preserve">30  </w:t>
      </w:r>
      <w:r>
        <w:rPr>
          <w:rFonts w:ascii="宋体" w:hAnsi="宋体" w:eastAsia="宋体" w:cs="宋体"/>
          <w:color w:val="auto"/>
          <w:spacing w:val="-4"/>
          <w:lang w:eastAsia="zh-CN"/>
        </w:rPr>
        <w:t>日内，根据招</w:t>
      </w:r>
      <w:r>
        <w:rPr>
          <w:rFonts w:ascii="宋体" w:hAnsi="宋体" w:eastAsia="宋体" w:cs="宋体"/>
          <w:color w:val="auto"/>
          <w:spacing w:val="-2"/>
          <w:lang w:eastAsia="zh-CN"/>
        </w:rPr>
        <w:t>标文件和中标人的投标文件（以经评标委员会评</w:t>
      </w:r>
      <w:r>
        <w:rPr>
          <w:rFonts w:ascii="宋体" w:hAnsi="宋体" w:eastAsia="宋体" w:cs="宋体"/>
          <w:color w:val="auto"/>
          <w:spacing w:val="-3"/>
          <w:lang w:eastAsia="zh-CN"/>
        </w:rPr>
        <w:t>审的文件版本为准）订立书面合同。中标人</w:t>
      </w:r>
      <w:r>
        <w:rPr>
          <w:rFonts w:ascii="宋体" w:hAnsi="宋体" w:eastAsia="宋体" w:cs="宋体"/>
          <w:color w:val="auto"/>
          <w:spacing w:val="-2"/>
          <w:lang w:eastAsia="zh-CN"/>
        </w:rPr>
        <w:t>无正当理由拒签合同或在签订合同时向招标人提</w:t>
      </w:r>
      <w:r>
        <w:rPr>
          <w:rFonts w:ascii="宋体" w:hAnsi="宋体" w:eastAsia="宋体" w:cs="宋体"/>
          <w:color w:val="auto"/>
          <w:spacing w:val="-3"/>
          <w:lang w:eastAsia="zh-CN"/>
        </w:rPr>
        <w:t>出附加条件的，招标人取消其中标资格，其</w:t>
      </w:r>
      <w:r>
        <w:rPr>
          <w:rFonts w:ascii="宋体" w:hAnsi="宋体" w:eastAsia="宋体" w:cs="宋体"/>
          <w:color w:val="auto"/>
          <w:spacing w:val="-2"/>
          <w:lang w:eastAsia="zh-CN"/>
        </w:rPr>
        <w:t>投标保证金不予退还；给招标人造成的损失超过</w:t>
      </w:r>
      <w:r>
        <w:rPr>
          <w:rFonts w:ascii="宋体" w:hAnsi="宋体" w:eastAsia="宋体" w:cs="宋体"/>
          <w:color w:val="auto"/>
          <w:spacing w:val="-3"/>
          <w:lang w:eastAsia="zh-CN"/>
        </w:rPr>
        <w:t>投标保证金数额的，中标人还应当对超过部</w:t>
      </w:r>
      <w:r>
        <w:rPr>
          <w:rFonts w:ascii="宋体" w:hAnsi="宋体" w:eastAsia="宋体" w:cs="宋体"/>
          <w:color w:val="auto"/>
          <w:spacing w:val="-6"/>
          <w:lang w:eastAsia="zh-CN"/>
        </w:rPr>
        <w:t>分予以赔偿。</w:t>
      </w:r>
    </w:p>
    <w:p w14:paraId="08128876">
      <w:pPr>
        <w:spacing w:before="110" w:line="268" w:lineRule="auto"/>
        <w:ind w:left="1699" w:right="1797" w:firstLine="419"/>
        <w:rPr>
          <w:rFonts w:ascii="宋体" w:hAnsi="宋体" w:eastAsia="宋体" w:cs="宋体"/>
          <w:color w:val="auto"/>
          <w:lang w:eastAsia="zh-CN"/>
        </w:rPr>
      </w:pPr>
      <w:r>
        <w:rPr>
          <w:rFonts w:ascii="Times New Roman" w:hAnsi="Times New Roman" w:eastAsia="Times New Roman" w:cs="Times New Roman"/>
          <w:color w:val="auto"/>
          <w:lang w:eastAsia="zh-CN"/>
        </w:rPr>
        <w:t xml:space="preserve">7.4.2  </w:t>
      </w:r>
      <w:r>
        <w:rPr>
          <w:rFonts w:ascii="宋体" w:hAnsi="宋体" w:eastAsia="宋体" w:cs="宋体"/>
          <w:color w:val="auto"/>
          <w:lang w:eastAsia="zh-CN"/>
        </w:rPr>
        <w:t>发出中标通知书后，招标人无正当理由拒签合同的，招标人向中标人退还投标保</w:t>
      </w:r>
      <w:r>
        <w:rPr>
          <w:rFonts w:ascii="宋体" w:hAnsi="宋体" w:eastAsia="宋体" w:cs="宋体"/>
          <w:color w:val="auto"/>
          <w:spacing w:val="-2"/>
          <w:lang w:eastAsia="zh-CN"/>
        </w:rPr>
        <w:t>证金；给中标人造成损失的，还应当赔偿损失。</w:t>
      </w:r>
    </w:p>
    <w:p w14:paraId="4A59A244">
      <w:pPr>
        <w:spacing w:before="110" w:line="268" w:lineRule="auto"/>
        <w:ind w:left="1700" w:right="1797" w:firstLine="418"/>
        <w:rPr>
          <w:rFonts w:ascii="宋体" w:hAnsi="宋体" w:eastAsia="宋体" w:cs="宋体"/>
          <w:color w:val="auto"/>
          <w:lang w:eastAsia="zh-CN"/>
        </w:rPr>
      </w:pPr>
      <w:r>
        <w:rPr>
          <w:rFonts w:ascii="Times New Roman" w:hAnsi="Times New Roman" w:eastAsia="Times New Roman" w:cs="Times New Roman"/>
          <w:color w:val="auto"/>
          <w:lang w:eastAsia="zh-CN"/>
        </w:rPr>
        <w:t xml:space="preserve">7.4.3  </w:t>
      </w:r>
      <w:r>
        <w:rPr>
          <w:rFonts w:ascii="宋体" w:hAnsi="宋体" w:eastAsia="宋体" w:cs="宋体"/>
          <w:color w:val="auto"/>
          <w:lang w:eastAsia="zh-CN"/>
        </w:rPr>
        <w:t>联合体中标的，联合体各方应当共同与招标人签订合同，就中标项目向招标人承</w:t>
      </w:r>
      <w:r>
        <w:rPr>
          <w:rFonts w:ascii="宋体" w:hAnsi="宋体" w:eastAsia="宋体" w:cs="宋体"/>
          <w:color w:val="auto"/>
          <w:spacing w:val="-6"/>
          <w:lang w:eastAsia="zh-CN"/>
        </w:rPr>
        <w:t>担连带责任。</w:t>
      </w:r>
    </w:p>
    <w:p w14:paraId="4CDE9AF9">
      <w:pPr>
        <w:spacing w:before="109" w:line="219" w:lineRule="auto"/>
        <w:ind w:left="2118"/>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7.4.4  </w:t>
      </w:r>
      <w:r>
        <w:rPr>
          <w:rFonts w:ascii="宋体" w:hAnsi="宋体" w:eastAsia="宋体" w:cs="宋体"/>
          <w:color w:val="auto"/>
          <w:spacing w:val="-3"/>
          <w:lang w:eastAsia="zh-CN"/>
        </w:rPr>
        <w:t>签约合同价的确定原则如下：</w:t>
      </w:r>
    </w:p>
    <w:p w14:paraId="4453F674">
      <w:pPr>
        <w:spacing w:before="113" w:line="316" w:lineRule="auto"/>
        <w:ind w:left="1697" w:right="1738" w:firstLine="422"/>
        <w:rPr>
          <w:rFonts w:ascii="宋体" w:hAnsi="宋体" w:eastAsia="宋体" w:cs="宋体"/>
          <w:color w:val="auto"/>
          <w:lang w:eastAsia="zh-CN"/>
        </w:rPr>
      </w:pPr>
      <w:r>
        <w:rPr>
          <w:rFonts w:ascii="宋体" w:hAnsi="宋体" w:eastAsia="宋体" w:cs="宋体"/>
          <w:color w:val="auto"/>
          <w:spacing w:val="-2"/>
          <w:lang w:eastAsia="zh-CN"/>
        </w:rPr>
        <w:t>开标时投标函中大写投标总价应为签约合同价。按照第三章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评标办法</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的规定，如投标</w:t>
      </w:r>
      <w:r>
        <w:rPr>
          <w:rFonts w:ascii="宋体" w:hAnsi="宋体" w:eastAsia="宋体" w:cs="宋体"/>
          <w:color w:val="auto"/>
          <w:spacing w:val="-1"/>
          <w:lang w:eastAsia="zh-CN"/>
        </w:rPr>
        <w:t>报价有算术错误的，修正的价格经投标人书面确认后，以修正后的投标总价为签约合同价。</w:t>
      </w:r>
    </w:p>
    <w:p w14:paraId="63D9DFB8">
      <w:pPr>
        <w:spacing w:before="1" w:line="318" w:lineRule="auto"/>
        <w:ind w:left="1700" w:right="1796" w:firstLine="418"/>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7.4.5  </w:t>
      </w:r>
      <w:r>
        <w:rPr>
          <w:rFonts w:ascii="宋体" w:hAnsi="宋体" w:eastAsia="宋体" w:cs="宋体"/>
          <w:color w:val="auto"/>
          <w:spacing w:val="-3"/>
          <w:lang w:eastAsia="zh-CN"/>
        </w:rPr>
        <w:t>招标人和中标人应当在中标通知书</w:t>
      </w:r>
      <w:r>
        <w:rPr>
          <w:rFonts w:ascii="宋体" w:hAnsi="宋体" w:eastAsia="宋体" w:cs="宋体"/>
          <w:color w:val="auto"/>
          <w:spacing w:val="-4"/>
          <w:lang w:eastAsia="zh-CN"/>
        </w:rPr>
        <w:t>发出之日起</w:t>
      </w:r>
      <w:r>
        <w:rPr>
          <w:rFonts w:ascii="Times New Roman" w:hAnsi="Times New Roman" w:eastAsia="Times New Roman" w:cs="Times New Roman"/>
          <w:color w:val="auto"/>
          <w:spacing w:val="-4"/>
          <w:lang w:eastAsia="zh-CN"/>
        </w:rPr>
        <w:t xml:space="preserve">30  </w:t>
      </w:r>
      <w:r>
        <w:rPr>
          <w:rFonts w:ascii="宋体" w:hAnsi="宋体" w:eastAsia="宋体" w:cs="宋体"/>
          <w:color w:val="auto"/>
          <w:spacing w:val="-4"/>
          <w:lang w:eastAsia="zh-CN"/>
        </w:rPr>
        <w:t>日内，登录辽宁省工程建设项目</w:t>
      </w:r>
      <w:r>
        <w:rPr>
          <w:rFonts w:ascii="宋体" w:hAnsi="宋体" w:eastAsia="宋体" w:cs="宋体"/>
          <w:color w:val="auto"/>
          <w:spacing w:val="-2"/>
          <w:lang w:eastAsia="zh-CN"/>
        </w:rPr>
        <w:t>合同履约管理系统签订合同并向电子监督系统提</w:t>
      </w:r>
      <w:r>
        <w:rPr>
          <w:rFonts w:ascii="宋体" w:hAnsi="宋体" w:eastAsia="宋体" w:cs="宋体"/>
          <w:color w:val="auto"/>
          <w:spacing w:val="-3"/>
          <w:lang w:eastAsia="zh-CN"/>
        </w:rPr>
        <w:t>交电子合同文件归档。按照信息公示规定对</w:t>
      </w:r>
    </w:p>
    <w:p w14:paraId="16C11718">
      <w:pPr>
        <w:spacing w:line="318" w:lineRule="auto"/>
        <w:rPr>
          <w:rFonts w:ascii="宋体" w:hAnsi="宋体" w:eastAsia="宋体" w:cs="宋体"/>
          <w:color w:val="auto"/>
          <w:lang w:eastAsia="zh-CN"/>
        </w:rPr>
        <w:sectPr>
          <w:headerReference r:id="rId27" w:type="default"/>
          <w:footerReference r:id="rId28" w:type="default"/>
          <w:pgSz w:w="11906" w:h="16839"/>
          <w:pgMar w:top="400" w:right="0" w:bottom="1006" w:left="105" w:header="0" w:footer="846" w:gutter="0"/>
          <w:cols w:space="720" w:num="1"/>
        </w:sectPr>
      </w:pPr>
    </w:p>
    <w:p w14:paraId="47CF76BB">
      <w:pPr>
        <w:pStyle w:val="8"/>
        <w:spacing w:line="268" w:lineRule="auto"/>
        <w:rPr>
          <w:lang w:eastAsia="zh-CN"/>
        </w:rPr>
      </w:pPr>
    </w:p>
    <w:p w14:paraId="7B0A135E">
      <w:pPr>
        <w:pStyle w:val="8"/>
        <w:spacing w:line="268" w:lineRule="auto"/>
        <w:rPr>
          <w:lang w:eastAsia="zh-CN"/>
        </w:rPr>
      </w:pPr>
    </w:p>
    <w:p w14:paraId="4B5B0D3F">
      <w:pPr>
        <w:pStyle w:val="8"/>
        <w:spacing w:line="268" w:lineRule="auto"/>
        <w:rPr>
          <w:lang w:eastAsia="zh-CN"/>
        </w:rPr>
      </w:pPr>
    </w:p>
    <w:p w14:paraId="1AA65C8D">
      <w:pPr>
        <w:pStyle w:val="8"/>
        <w:spacing w:line="268" w:lineRule="auto"/>
        <w:rPr>
          <w:lang w:eastAsia="zh-CN"/>
        </w:rPr>
      </w:pPr>
    </w:p>
    <w:p w14:paraId="3EB880A4">
      <w:pPr>
        <w:spacing w:before="68" w:line="220" w:lineRule="auto"/>
        <w:ind w:left="1700"/>
        <w:rPr>
          <w:rFonts w:ascii="宋体" w:hAnsi="宋体" w:eastAsia="宋体" w:cs="宋体"/>
          <w:color w:val="auto"/>
          <w:lang w:eastAsia="zh-CN"/>
        </w:rPr>
      </w:pPr>
      <w:r>
        <w:rPr>
          <w:rFonts w:ascii="宋体" w:hAnsi="宋体" w:eastAsia="宋体" w:cs="宋体"/>
          <w:color w:val="auto"/>
          <w:spacing w:val="-2"/>
          <w:lang w:eastAsia="zh-CN"/>
        </w:rPr>
        <w:t>合同签订等信息进行公示公开，依法应当保护的商业秘密除外。</w:t>
      </w:r>
    </w:p>
    <w:p w14:paraId="6D4F3A63">
      <w:pPr>
        <w:spacing w:before="149" w:line="221" w:lineRule="auto"/>
        <w:ind w:left="1708"/>
        <w:outlineLvl w:val="1"/>
        <w:rPr>
          <w:rFonts w:ascii="黑体" w:hAnsi="黑体" w:eastAsia="黑体" w:cs="黑体"/>
          <w:color w:val="auto"/>
          <w:sz w:val="28"/>
          <w:szCs w:val="28"/>
          <w:lang w:eastAsia="zh-CN"/>
        </w:rPr>
      </w:pPr>
      <w:bookmarkStart w:id="164" w:name="bookmark53"/>
      <w:bookmarkEnd w:id="164"/>
      <w:bookmarkStart w:id="165" w:name="bookmark52"/>
      <w:bookmarkEnd w:id="165"/>
      <w:bookmarkStart w:id="166" w:name="_Toc10862"/>
      <w:bookmarkStart w:id="167" w:name="_Toc16383"/>
      <w:bookmarkStart w:id="168" w:name="_Toc13692"/>
      <w:bookmarkStart w:id="169" w:name="_Toc6491"/>
      <w:bookmarkStart w:id="170" w:name="_Toc9782"/>
      <w:bookmarkStart w:id="171" w:name="_Toc17518"/>
      <w:r>
        <w:rPr>
          <w:rFonts w:ascii="Times New Roman" w:hAnsi="Times New Roman" w:eastAsia="Times New Roman" w:cs="Times New Roman"/>
          <w:color w:val="auto"/>
          <w:spacing w:val="-2"/>
          <w:sz w:val="28"/>
          <w:szCs w:val="28"/>
          <w:lang w:eastAsia="zh-CN"/>
        </w:rPr>
        <w:t>8.</w:t>
      </w:r>
      <w:r>
        <w:rPr>
          <w:rFonts w:ascii="黑体" w:hAnsi="黑体" w:eastAsia="黑体" w:cs="黑体"/>
          <w:color w:val="auto"/>
          <w:spacing w:val="-2"/>
          <w:sz w:val="28"/>
          <w:szCs w:val="28"/>
          <w:lang w:eastAsia="zh-CN"/>
        </w:rPr>
        <w:t>重新招标、不再招标和终止招标</w:t>
      </w:r>
      <w:bookmarkEnd w:id="166"/>
      <w:bookmarkEnd w:id="167"/>
      <w:bookmarkEnd w:id="168"/>
      <w:bookmarkEnd w:id="169"/>
      <w:bookmarkEnd w:id="170"/>
      <w:bookmarkEnd w:id="171"/>
    </w:p>
    <w:p w14:paraId="299F24C3">
      <w:pPr>
        <w:spacing w:before="59" w:line="221" w:lineRule="auto"/>
        <w:ind w:left="1705"/>
        <w:outlineLvl w:val="2"/>
        <w:rPr>
          <w:rFonts w:ascii="黑体" w:hAnsi="黑体" w:eastAsia="黑体" w:cs="黑体"/>
          <w:color w:val="auto"/>
          <w:sz w:val="24"/>
          <w:szCs w:val="24"/>
          <w:lang w:eastAsia="zh-CN"/>
        </w:rPr>
      </w:pPr>
      <w:bookmarkStart w:id="172" w:name="bookmark217"/>
      <w:bookmarkEnd w:id="172"/>
      <w:r>
        <w:rPr>
          <w:rFonts w:ascii="Times New Roman" w:hAnsi="Times New Roman" w:eastAsia="Times New Roman" w:cs="Times New Roman"/>
          <w:color w:val="auto"/>
          <w:spacing w:val="-4"/>
          <w:sz w:val="24"/>
          <w:szCs w:val="24"/>
          <w:lang w:eastAsia="zh-CN"/>
        </w:rPr>
        <w:t>8.1</w:t>
      </w:r>
      <w:r>
        <w:rPr>
          <w:rFonts w:ascii="黑体" w:hAnsi="黑体" w:eastAsia="黑体" w:cs="黑体"/>
          <w:color w:val="auto"/>
          <w:spacing w:val="-4"/>
          <w:sz w:val="24"/>
          <w:szCs w:val="24"/>
          <w:lang w:eastAsia="zh-CN"/>
        </w:rPr>
        <w:t>重新招标</w:t>
      </w:r>
    </w:p>
    <w:p w14:paraId="152B747F">
      <w:pPr>
        <w:spacing w:before="98" w:line="220" w:lineRule="auto"/>
        <w:ind w:left="2059"/>
        <w:rPr>
          <w:rFonts w:ascii="宋体" w:hAnsi="宋体" w:eastAsia="宋体" w:cs="宋体"/>
          <w:color w:val="auto"/>
          <w:lang w:eastAsia="zh-CN"/>
        </w:rPr>
      </w:pPr>
      <w:r>
        <w:rPr>
          <w:rFonts w:ascii="宋体" w:hAnsi="宋体" w:eastAsia="宋体" w:cs="宋体"/>
          <w:color w:val="auto"/>
          <w:spacing w:val="-3"/>
          <w:lang w:eastAsia="zh-CN"/>
        </w:rPr>
        <w:t>有下列情形之一的，招标人将重新招标：</w:t>
      </w:r>
    </w:p>
    <w:p w14:paraId="6CDA30E1">
      <w:pPr>
        <w:spacing w:before="110" w:line="220" w:lineRule="auto"/>
        <w:ind w:left="206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w:t>
      </w:r>
      <w:r>
        <w:rPr>
          <w:rFonts w:ascii="宋体" w:hAnsi="宋体" w:eastAsia="宋体" w:cs="宋体"/>
          <w:color w:val="auto"/>
          <w:spacing w:val="-4"/>
          <w:lang w:eastAsia="zh-CN"/>
        </w:rPr>
        <w:t>）投标截止时间止，投标人少于</w:t>
      </w:r>
      <w:r>
        <w:rPr>
          <w:rFonts w:ascii="Times New Roman" w:hAnsi="Times New Roman" w:eastAsia="Times New Roman" w:cs="Times New Roman"/>
          <w:color w:val="auto"/>
          <w:spacing w:val="-4"/>
          <w:lang w:eastAsia="zh-CN"/>
        </w:rPr>
        <w:t xml:space="preserve">3 </w:t>
      </w:r>
      <w:r>
        <w:rPr>
          <w:rFonts w:ascii="宋体" w:hAnsi="宋体" w:eastAsia="宋体" w:cs="宋体"/>
          <w:color w:val="auto"/>
          <w:spacing w:val="-4"/>
          <w:lang w:eastAsia="zh-CN"/>
        </w:rPr>
        <w:t>个的；</w:t>
      </w:r>
    </w:p>
    <w:p w14:paraId="5E4FFE2F">
      <w:pPr>
        <w:spacing w:before="109" w:line="220" w:lineRule="auto"/>
        <w:ind w:left="206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）经评标委员会评审后否决所有投标的；</w:t>
      </w:r>
    </w:p>
    <w:p w14:paraId="0331CB91">
      <w:pPr>
        <w:spacing w:before="110" w:line="220" w:lineRule="auto"/>
        <w:ind w:left="206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3</w:t>
      </w:r>
      <w:r>
        <w:rPr>
          <w:rFonts w:ascii="宋体" w:hAnsi="宋体" w:eastAsia="宋体" w:cs="宋体"/>
          <w:color w:val="auto"/>
          <w:spacing w:val="-2"/>
          <w:lang w:eastAsia="zh-CN"/>
        </w:rPr>
        <w:t>）第一中标候选人或所有中标候选人存在不同程度的问题，不能签订合同的；</w:t>
      </w:r>
    </w:p>
    <w:p w14:paraId="0EFC4255">
      <w:pPr>
        <w:spacing w:before="110" w:line="220" w:lineRule="auto"/>
        <w:ind w:left="206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）在投标有效期内同意延长投标有效期的投标人少于</w:t>
      </w:r>
      <w:r>
        <w:rPr>
          <w:rFonts w:ascii="宋体" w:hAnsi="宋体" w:eastAsia="宋体" w:cs="宋体"/>
          <w:color w:val="auto"/>
          <w:spacing w:val="-3"/>
          <w:lang w:eastAsia="zh-CN"/>
        </w:rPr>
        <w:t>三个的；</w:t>
      </w:r>
    </w:p>
    <w:p w14:paraId="42522240">
      <w:pPr>
        <w:spacing w:before="110" w:line="220" w:lineRule="auto"/>
        <w:ind w:left="206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5</w:t>
      </w:r>
      <w:r>
        <w:rPr>
          <w:rFonts w:ascii="宋体" w:hAnsi="宋体" w:eastAsia="宋体" w:cs="宋体"/>
          <w:color w:val="auto"/>
          <w:spacing w:val="-3"/>
          <w:lang w:eastAsia="zh-CN"/>
        </w:rPr>
        <w:t>）法律、法规规定的其他情形。</w:t>
      </w:r>
    </w:p>
    <w:p w14:paraId="2A195DAD">
      <w:pPr>
        <w:spacing w:before="83" w:line="222" w:lineRule="auto"/>
        <w:ind w:left="1705"/>
        <w:outlineLvl w:val="2"/>
        <w:rPr>
          <w:rFonts w:ascii="黑体" w:hAnsi="黑体" w:eastAsia="黑体" w:cs="黑体"/>
          <w:color w:val="auto"/>
          <w:sz w:val="24"/>
          <w:szCs w:val="24"/>
          <w:lang w:eastAsia="zh-CN"/>
        </w:rPr>
      </w:pPr>
      <w:bookmarkStart w:id="173" w:name="bookmark54"/>
      <w:bookmarkEnd w:id="173"/>
      <w:r>
        <w:rPr>
          <w:rFonts w:ascii="Times New Roman" w:hAnsi="Times New Roman" w:eastAsia="Times New Roman" w:cs="Times New Roman"/>
          <w:color w:val="auto"/>
          <w:spacing w:val="-4"/>
          <w:sz w:val="24"/>
          <w:szCs w:val="24"/>
          <w:lang w:eastAsia="zh-CN"/>
        </w:rPr>
        <w:t>8.2</w:t>
      </w:r>
      <w:r>
        <w:rPr>
          <w:rFonts w:ascii="黑体" w:hAnsi="黑体" w:eastAsia="黑体" w:cs="黑体"/>
          <w:color w:val="auto"/>
          <w:spacing w:val="-4"/>
          <w:sz w:val="24"/>
          <w:szCs w:val="24"/>
          <w:lang w:eastAsia="zh-CN"/>
        </w:rPr>
        <w:t>不再招标</w:t>
      </w:r>
    </w:p>
    <w:p w14:paraId="43C6D5AC">
      <w:pPr>
        <w:spacing w:before="98" w:line="305" w:lineRule="auto"/>
        <w:ind w:left="1702" w:right="1796" w:firstLine="417"/>
        <w:rPr>
          <w:rFonts w:ascii="宋体" w:hAnsi="宋体" w:eastAsia="宋体" w:cs="宋体"/>
          <w:color w:val="auto"/>
          <w:lang w:eastAsia="zh-CN"/>
        </w:rPr>
      </w:pPr>
      <w:r>
        <w:rPr>
          <w:rFonts w:ascii="宋体" w:hAnsi="宋体" w:eastAsia="宋体" w:cs="宋体"/>
          <w:color w:val="auto"/>
          <w:spacing w:val="-3"/>
          <w:lang w:eastAsia="zh-CN"/>
        </w:rPr>
        <w:t>重新招标后投标人仍少于</w:t>
      </w:r>
      <w:r>
        <w:rPr>
          <w:rFonts w:ascii="Times New Roman" w:hAnsi="Times New Roman" w:eastAsia="Times New Roman" w:cs="Times New Roman"/>
          <w:color w:val="auto"/>
          <w:spacing w:val="-3"/>
          <w:lang w:eastAsia="zh-CN"/>
        </w:rPr>
        <w:t xml:space="preserve">3 </w:t>
      </w:r>
      <w:r>
        <w:rPr>
          <w:rFonts w:ascii="宋体" w:hAnsi="宋体" w:eastAsia="宋体" w:cs="宋体"/>
          <w:color w:val="auto"/>
          <w:spacing w:val="-3"/>
          <w:lang w:eastAsia="zh-CN"/>
        </w:rPr>
        <w:t>个或者所有投标被否决的，属于必须审批或核准的工程建设</w:t>
      </w:r>
      <w:r>
        <w:rPr>
          <w:rFonts w:ascii="宋体" w:hAnsi="宋体" w:eastAsia="宋体" w:cs="宋体"/>
          <w:color w:val="auto"/>
          <w:spacing w:val="-2"/>
          <w:lang w:eastAsia="zh-CN"/>
        </w:rPr>
        <w:t>项目，经原审批或核准部门批准后不再进行招标。</w:t>
      </w:r>
    </w:p>
    <w:p w14:paraId="665278EB">
      <w:pPr>
        <w:spacing w:line="223" w:lineRule="auto"/>
        <w:ind w:left="1705"/>
        <w:outlineLvl w:val="2"/>
        <w:rPr>
          <w:rFonts w:ascii="黑体" w:hAnsi="黑体" w:eastAsia="黑体" w:cs="黑体"/>
          <w:color w:val="auto"/>
          <w:sz w:val="24"/>
          <w:szCs w:val="24"/>
          <w:lang w:eastAsia="zh-CN"/>
        </w:rPr>
      </w:pPr>
      <w:bookmarkStart w:id="174" w:name="bookmark55"/>
      <w:bookmarkEnd w:id="174"/>
      <w:r>
        <w:rPr>
          <w:rFonts w:ascii="Times New Roman" w:hAnsi="Times New Roman" w:eastAsia="Times New Roman" w:cs="Times New Roman"/>
          <w:color w:val="auto"/>
          <w:spacing w:val="-2"/>
          <w:sz w:val="24"/>
          <w:szCs w:val="24"/>
          <w:lang w:eastAsia="zh-CN"/>
        </w:rPr>
        <w:t xml:space="preserve">8.3  </w:t>
      </w:r>
      <w:r>
        <w:rPr>
          <w:rFonts w:ascii="黑体" w:hAnsi="黑体" w:eastAsia="黑体" w:cs="黑体"/>
          <w:color w:val="auto"/>
          <w:spacing w:val="-2"/>
          <w:sz w:val="24"/>
          <w:szCs w:val="24"/>
          <w:lang w:eastAsia="zh-CN"/>
        </w:rPr>
        <w:t>终止招标</w:t>
      </w:r>
    </w:p>
    <w:p w14:paraId="2BDC4ED3">
      <w:pPr>
        <w:spacing w:before="98" w:line="317" w:lineRule="auto"/>
        <w:ind w:left="1700" w:right="1796" w:firstLine="435"/>
        <w:jc w:val="both"/>
        <w:rPr>
          <w:rFonts w:ascii="宋体" w:hAnsi="宋体" w:eastAsia="宋体" w:cs="宋体"/>
          <w:color w:val="auto"/>
          <w:lang w:eastAsia="zh-CN"/>
        </w:rPr>
      </w:pPr>
      <w:r>
        <w:rPr>
          <w:rFonts w:ascii="宋体" w:hAnsi="宋体" w:eastAsia="宋体" w:cs="宋体"/>
          <w:color w:val="auto"/>
          <w:spacing w:val="-3"/>
          <w:lang w:eastAsia="zh-CN"/>
        </w:rPr>
        <w:t>因不可抗力等原因，招标人终止招标的，将通过法定公告公示信息发布媒介、电子交易</w:t>
      </w:r>
      <w:r>
        <w:rPr>
          <w:rFonts w:ascii="宋体" w:hAnsi="宋体" w:eastAsia="宋体" w:cs="宋体"/>
          <w:color w:val="auto"/>
          <w:spacing w:val="-2"/>
          <w:lang w:eastAsia="zh-CN"/>
        </w:rPr>
        <w:t>系统（投标盲盒工具）等渠道及时发布公告，或</w:t>
      </w:r>
      <w:r>
        <w:rPr>
          <w:rFonts w:ascii="宋体" w:hAnsi="宋体" w:eastAsia="宋体" w:cs="宋体"/>
          <w:color w:val="auto"/>
          <w:spacing w:val="-3"/>
          <w:lang w:eastAsia="zh-CN"/>
        </w:rPr>
        <w:t>者以书面形式通知被邀请的或者已经获取招</w:t>
      </w:r>
      <w:r>
        <w:rPr>
          <w:rFonts w:ascii="宋体" w:hAnsi="宋体" w:eastAsia="宋体" w:cs="宋体"/>
          <w:color w:val="auto"/>
          <w:spacing w:val="-4"/>
          <w:lang w:eastAsia="zh-CN"/>
        </w:rPr>
        <w:t>标文件的潜在投标人。已经收取投标保证金的，招标人将及时退还所收取的投标保证金及银</w:t>
      </w:r>
      <w:r>
        <w:rPr>
          <w:rFonts w:ascii="宋体" w:hAnsi="宋体" w:eastAsia="宋体" w:cs="宋体"/>
          <w:color w:val="auto"/>
          <w:spacing w:val="-5"/>
          <w:lang w:eastAsia="zh-CN"/>
        </w:rPr>
        <w:t>行同期存款利息。</w:t>
      </w:r>
    </w:p>
    <w:p w14:paraId="618D6904">
      <w:pPr>
        <w:spacing w:before="35" w:line="221" w:lineRule="auto"/>
        <w:ind w:left="1702"/>
        <w:outlineLvl w:val="1"/>
        <w:rPr>
          <w:rFonts w:ascii="黑体" w:hAnsi="黑体" w:eastAsia="黑体" w:cs="黑体"/>
          <w:color w:val="auto"/>
          <w:sz w:val="28"/>
          <w:szCs w:val="28"/>
          <w:lang w:eastAsia="zh-CN"/>
        </w:rPr>
      </w:pPr>
      <w:bookmarkStart w:id="175" w:name="bookmark56"/>
      <w:bookmarkEnd w:id="175"/>
      <w:bookmarkStart w:id="176" w:name="bookmark57"/>
      <w:bookmarkEnd w:id="176"/>
      <w:bookmarkStart w:id="177" w:name="_Toc20388"/>
      <w:bookmarkStart w:id="178" w:name="_Toc3762"/>
      <w:bookmarkStart w:id="179" w:name="_Toc18226"/>
      <w:bookmarkStart w:id="180" w:name="_Toc26020"/>
      <w:bookmarkStart w:id="181" w:name="_Toc5407"/>
      <w:bookmarkStart w:id="182" w:name="_Toc30938"/>
      <w:r>
        <w:rPr>
          <w:rFonts w:ascii="Times New Roman" w:hAnsi="Times New Roman" w:eastAsia="Times New Roman" w:cs="Times New Roman"/>
          <w:color w:val="auto"/>
          <w:spacing w:val="-2"/>
          <w:sz w:val="28"/>
          <w:szCs w:val="28"/>
          <w:lang w:eastAsia="zh-CN"/>
        </w:rPr>
        <w:t>9.</w:t>
      </w:r>
      <w:r>
        <w:rPr>
          <w:rFonts w:ascii="黑体" w:hAnsi="黑体" w:eastAsia="黑体" w:cs="黑体"/>
          <w:color w:val="auto"/>
          <w:spacing w:val="-2"/>
          <w:sz w:val="28"/>
          <w:szCs w:val="28"/>
          <w:lang w:eastAsia="zh-CN"/>
        </w:rPr>
        <w:t>纪律和监督</w:t>
      </w:r>
      <w:bookmarkEnd w:id="177"/>
      <w:bookmarkEnd w:id="178"/>
      <w:bookmarkEnd w:id="179"/>
      <w:bookmarkEnd w:id="180"/>
      <w:bookmarkEnd w:id="181"/>
      <w:bookmarkEnd w:id="182"/>
    </w:p>
    <w:p w14:paraId="5503EEFC">
      <w:pPr>
        <w:spacing w:before="60" w:line="222" w:lineRule="auto"/>
        <w:ind w:left="1700"/>
        <w:outlineLvl w:val="2"/>
        <w:rPr>
          <w:rFonts w:ascii="黑体" w:hAnsi="黑体" w:eastAsia="黑体" w:cs="黑体"/>
          <w:color w:val="auto"/>
          <w:sz w:val="24"/>
          <w:szCs w:val="24"/>
          <w:lang w:eastAsia="zh-CN"/>
        </w:rPr>
      </w:pPr>
      <w:bookmarkStart w:id="183" w:name="bookmark218"/>
      <w:bookmarkEnd w:id="183"/>
      <w:r>
        <w:rPr>
          <w:rFonts w:ascii="Times New Roman" w:hAnsi="Times New Roman" w:eastAsia="Times New Roman" w:cs="Times New Roman"/>
          <w:color w:val="auto"/>
          <w:spacing w:val="-1"/>
          <w:sz w:val="24"/>
          <w:szCs w:val="24"/>
          <w:lang w:eastAsia="zh-CN"/>
        </w:rPr>
        <w:t xml:space="preserve">9.1  </w:t>
      </w:r>
      <w:r>
        <w:rPr>
          <w:rFonts w:ascii="黑体" w:hAnsi="黑体" w:eastAsia="黑体" w:cs="黑体"/>
          <w:color w:val="auto"/>
          <w:spacing w:val="-1"/>
          <w:sz w:val="24"/>
          <w:szCs w:val="24"/>
          <w:lang w:eastAsia="zh-CN"/>
        </w:rPr>
        <w:t>对招标人的纪律要求</w:t>
      </w:r>
    </w:p>
    <w:p w14:paraId="79A5EAC4">
      <w:pPr>
        <w:spacing w:before="97" w:line="305" w:lineRule="auto"/>
        <w:ind w:left="1700" w:right="1796" w:firstLine="419"/>
        <w:rPr>
          <w:rFonts w:ascii="宋体" w:hAnsi="宋体" w:eastAsia="宋体" w:cs="宋体"/>
          <w:color w:val="auto"/>
          <w:lang w:eastAsia="zh-CN"/>
        </w:rPr>
      </w:pPr>
      <w:r>
        <w:rPr>
          <w:rFonts w:ascii="宋体" w:hAnsi="宋体" w:eastAsia="宋体" w:cs="宋体"/>
          <w:color w:val="auto"/>
          <w:spacing w:val="-3"/>
          <w:lang w:eastAsia="zh-CN"/>
        </w:rPr>
        <w:t>招标人不得泄漏招标投标活动中应当保密的情况和资料，不得与投标人串通损害国家利益、社会公共利益或者他人合法权益。</w:t>
      </w:r>
    </w:p>
    <w:p w14:paraId="4711A77B">
      <w:pPr>
        <w:spacing w:line="222" w:lineRule="auto"/>
        <w:ind w:left="1700"/>
        <w:outlineLvl w:val="2"/>
        <w:rPr>
          <w:rFonts w:ascii="黑体" w:hAnsi="黑体" w:eastAsia="黑体" w:cs="黑体"/>
          <w:color w:val="auto"/>
          <w:sz w:val="24"/>
          <w:szCs w:val="24"/>
          <w:lang w:eastAsia="zh-CN"/>
        </w:rPr>
      </w:pPr>
      <w:bookmarkStart w:id="184" w:name="bookmark58"/>
      <w:bookmarkEnd w:id="184"/>
      <w:r>
        <w:rPr>
          <w:rFonts w:ascii="Times New Roman" w:hAnsi="Times New Roman" w:eastAsia="Times New Roman" w:cs="Times New Roman"/>
          <w:color w:val="auto"/>
          <w:spacing w:val="-1"/>
          <w:sz w:val="24"/>
          <w:szCs w:val="24"/>
          <w:lang w:eastAsia="zh-CN"/>
        </w:rPr>
        <w:t xml:space="preserve">9.2  </w:t>
      </w:r>
      <w:r>
        <w:rPr>
          <w:rFonts w:ascii="黑体" w:hAnsi="黑体" w:eastAsia="黑体" w:cs="黑体"/>
          <w:color w:val="auto"/>
          <w:spacing w:val="-1"/>
          <w:sz w:val="24"/>
          <w:szCs w:val="24"/>
          <w:lang w:eastAsia="zh-CN"/>
        </w:rPr>
        <w:t>对投标人的纪律要求</w:t>
      </w:r>
    </w:p>
    <w:p w14:paraId="5D058422">
      <w:pPr>
        <w:spacing w:before="97" w:line="309" w:lineRule="auto"/>
        <w:ind w:left="1698" w:right="1796" w:firstLine="423"/>
        <w:jc w:val="both"/>
        <w:rPr>
          <w:rFonts w:ascii="宋体" w:hAnsi="宋体" w:eastAsia="宋体" w:cs="宋体"/>
          <w:color w:val="auto"/>
          <w:lang w:eastAsia="zh-CN"/>
        </w:rPr>
      </w:pPr>
      <w:r>
        <w:rPr>
          <w:rFonts w:ascii="宋体" w:hAnsi="宋体" w:eastAsia="宋体" w:cs="宋体"/>
          <w:color w:val="auto"/>
          <w:spacing w:val="-3"/>
          <w:lang w:eastAsia="zh-CN"/>
        </w:rPr>
        <w:t>投标人不得相互串通投标或者与招标人串通投标，不得向招标人或者评标委员会成员行</w:t>
      </w:r>
      <w:r>
        <w:rPr>
          <w:rFonts w:ascii="宋体" w:hAnsi="宋体" w:eastAsia="宋体" w:cs="宋体"/>
          <w:color w:val="auto"/>
          <w:spacing w:val="-2"/>
          <w:lang w:eastAsia="zh-CN"/>
        </w:rPr>
        <w:t>贿谋取中标，不得以他人名义投标或者以其他方式弄</w:t>
      </w:r>
      <w:r>
        <w:rPr>
          <w:rFonts w:ascii="宋体" w:hAnsi="宋体" w:eastAsia="宋体" w:cs="宋体"/>
          <w:color w:val="auto"/>
          <w:spacing w:val="-3"/>
          <w:lang w:eastAsia="zh-CN"/>
        </w:rPr>
        <w:t>虚作假骗取中标；投标人不得以任何方</w:t>
      </w:r>
      <w:r>
        <w:rPr>
          <w:rFonts w:ascii="宋体" w:hAnsi="宋体" w:eastAsia="宋体" w:cs="宋体"/>
          <w:color w:val="auto"/>
          <w:spacing w:val="-4"/>
          <w:lang w:eastAsia="zh-CN"/>
        </w:rPr>
        <w:t>式干扰、影响评标工作。</w:t>
      </w:r>
    </w:p>
    <w:p w14:paraId="53BC90F0">
      <w:pPr>
        <w:spacing w:line="221" w:lineRule="auto"/>
        <w:ind w:left="1700"/>
        <w:outlineLvl w:val="2"/>
        <w:rPr>
          <w:rFonts w:ascii="黑体" w:hAnsi="黑体" w:eastAsia="黑体" w:cs="黑体"/>
          <w:color w:val="auto"/>
          <w:sz w:val="24"/>
          <w:szCs w:val="24"/>
          <w:lang w:eastAsia="zh-CN"/>
        </w:rPr>
      </w:pPr>
      <w:bookmarkStart w:id="185" w:name="bookmark59"/>
      <w:bookmarkEnd w:id="185"/>
      <w:r>
        <w:rPr>
          <w:rFonts w:ascii="Times New Roman" w:hAnsi="Times New Roman" w:eastAsia="Times New Roman" w:cs="Times New Roman"/>
          <w:color w:val="auto"/>
          <w:spacing w:val="-1"/>
          <w:sz w:val="24"/>
          <w:szCs w:val="24"/>
          <w:lang w:eastAsia="zh-CN"/>
        </w:rPr>
        <w:t xml:space="preserve">9.3  </w:t>
      </w:r>
      <w:r>
        <w:rPr>
          <w:rFonts w:ascii="黑体" w:hAnsi="黑体" w:eastAsia="黑体" w:cs="黑体"/>
          <w:color w:val="auto"/>
          <w:spacing w:val="-1"/>
          <w:sz w:val="24"/>
          <w:szCs w:val="24"/>
          <w:lang w:eastAsia="zh-CN"/>
        </w:rPr>
        <w:t>对评标委员会成员的纪律要求</w:t>
      </w:r>
    </w:p>
    <w:p w14:paraId="4074B4DE">
      <w:pPr>
        <w:spacing w:before="101" w:line="314" w:lineRule="auto"/>
        <w:ind w:left="1697" w:right="1632" w:firstLine="420"/>
        <w:jc w:val="both"/>
        <w:rPr>
          <w:rFonts w:ascii="宋体" w:hAnsi="宋体" w:eastAsia="宋体" w:cs="宋体"/>
          <w:color w:val="auto"/>
          <w:lang w:eastAsia="zh-CN"/>
        </w:rPr>
      </w:pPr>
      <w:r>
        <w:rPr>
          <w:rFonts w:ascii="宋体" w:hAnsi="宋体" w:eastAsia="宋体" w:cs="宋体"/>
          <w:color w:val="auto"/>
          <w:spacing w:val="-3"/>
          <w:lang w:eastAsia="zh-CN"/>
        </w:rPr>
        <w:t>评标委员会应当根据招标文件规定的评标标准和方法，对投标文件进行系统地评审和比</w:t>
      </w:r>
      <w:r>
        <w:rPr>
          <w:rFonts w:ascii="宋体" w:hAnsi="宋体" w:eastAsia="宋体" w:cs="宋体"/>
          <w:color w:val="auto"/>
          <w:spacing w:val="-2"/>
          <w:lang w:eastAsia="zh-CN"/>
        </w:rPr>
        <w:t>较，第三章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评标办法</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没有规定的评审因素和标准不能作为评标依据。评标委员会成员不得对其他评标委员会成员的独立评审施加不当影响，不得</w:t>
      </w:r>
      <w:r>
        <w:rPr>
          <w:rFonts w:ascii="宋体" w:hAnsi="宋体" w:eastAsia="宋体" w:cs="宋体"/>
          <w:color w:val="auto"/>
          <w:spacing w:val="-3"/>
          <w:lang w:eastAsia="zh-CN"/>
        </w:rPr>
        <w:t>与任何投标人或者与招标结果有利害</w:t>
      </w:r>
      <w:r>
        <w:rPr>
          <w:rFonts w:ascii="宋体" w:hAnsi="宋体" w:eastAsia="宋体" w:cs="宋体"/>
          <w:color w:val="auto"/>
          <w:spacing w:val="2"/>
          <w:lang w:eastAsia="zh-CN"/>
        </w:rPr>
        <w:t>关系的人进行私下接触，不得收受投标人、中介人、其他利害关</w:t>
      </w:r>
      <w:r>
        <w:rPr>
          <w:rFonts w:ascii="宋体" w:hAnsi="宋体" w:eastAsia="宋体" w:cs="宋体"/>
          <w:color w:val="auto"/>
          <w:spacing w:val="1"/>
          <w:lang w:eastAsia="zh-CN"/>
        </w:rPr>
        <w:t>系人的财物或者其他好处，</w:t>
      </w:r>
      <w:r>
        <w:rPr>
          <w:rFonts w:ascii="宋体" w:hAnsi="宋体" w:eastAsia="宋体" w:cs="宋体"/>
          <w:color w:val="auto"/>
          <w:spacing w:val="-3"/>
          <w:lang w:eastAsia="zh-CN"/>
        </w:rPr>
        <w:t>不得向他人透漏对投标文件的评审和比较、中标</w:t>
      </w:r>
      <w:r>
        <w:rPr>
          <w:rFonts w:ascii="宋体" w:hAnsi="宋体" w:eastAsia="宋体" w:cs="宋体"/>
          <w:color w:val="auto"/>
          <w:spacing w:val="-4"/>
          <w:lang w:eastAsia="zh-CN"/>
        </w:rPr>
        <w:t>候选人的推荐情况以及评标有关的其他情况。</w:t>
      </w:r>
      <w:r>
        <w:rPr>
          <w:rFonts w:ascii="宋体" w:hAnsi="宋体" w:eastAsia="宋体" w:cs="宋体"/>
          <w:color w:val="auto"/>
          <w:spacing w:val="-2"/>
          <w:lang w:eastAsia="zh-CN"/>
        </w:rPr>
        <w:t>在评标活动中，评标委员会成员不得应当回避而不回避</w:t>
      </w:r>
      <w:r>
        <w:rPr>
          <w:rFonts w:ascii="宋体" w:hAnsi="宋体" w:eastAsia="宋体" w:cs="宋体"/>
          <w:color w:val="auto"/>
          <w:spacing w:val="-3"/>
          <w:lang w:eastAsia="zh-CN"/>
        </w:rPr>
        <w:t>，不得擅离职守，影响评标程序正常</w:t>
      </w:r>
      <w:r>
        <w:rPr>
          <w:rFonts w:ascii="宋体" w:hAnsi="宋体" w:eastAsia="宋体" w:cs="宋体"/>
          <w:color w:val="auto"/>
          <w:spacing w:val="-2"/>
          <w:lang w:eastAsia="zh-CN"/>
        </w:rPr>
        <w:t>进行，不得向招标人征询其确定中标人的意向，不得接</w:t>
      </w:r>
      <w:r>
        <w:rPr>
          <w:rFonts w:ascii="宋体" w:hAnsi="宋体" w:eastAsia="宋体" w:cs="宋体"/>
          <w:color w:val="auto"/>
          <w:spacing w:val="-3"/>
          <w:lang w:eastAsia="zh-CN"/>
        </w:rPr>
        <w:t>受任何单位或者个人明示或者暗示提</w:t>
      </w:r>
      <w:r>
        <w:rPr>
          <w:rFonts w:ascii="宋体" w:hAnsi="宋体" w:eastAsia="宋体" w:cs="宋体"/>
          <w:color w:val="auto"/>
          <w:spacing w:val="-2"/>
          <w:lang w:eastAsia="zh-CN"/>
        </w:rPr>
        <w:t>出的倾向或者排斥特定投标人的要求，不得对依法应当</w:t>
      </w:r>
      <w:r>
        <w:rPr>
          <w:rFonts w:ascii="宋体" w:hAnsi="宋体" w:eastAsia="宋体" w:cs="宋体"/>
          <w:color w:val="auto"/>
          <w:spacing w:val="-3"/>
          <w:lang w:eastAsia="zh-CN"/>
        </w:rPr>
        <w:t>否决的投标不提出否决意见，不得暗</w:t>
      </w:r>
      <w:r>
        <w:rPr>
          <w:rFonts w:ascii="宋体" w:hAnsi="宋体" w:eastAsia="宋体" w:cs="宋体"/>
          <w:color w:val="auto"/>
          <w:spacing w:val="-5"/>
          <w:lang w:eastAsia="zh-CN"/>
        </w:rPr>
        <w:t>示或者诱导投标人作出澄清、说明或者接受投标人主动提出的澄清、说明， 不得敷衍塞责随</w:t>
      </w:r>
      <w:r>
        <w:rPr>
          <w:rFonts w:ascii="宋体" w:hAnsi="宋体" w:eastAsia="宋体" w:cs="宋体"/>
          <w:color w:val="auto"/>
          <w:spacing w:val="-1"/>
          <w:lang w:eastAsia="zh-CN"/>
        </w:rPr>
        <w:t>意评标，不得在合法的评标劳务费之外额外索取、接受报酬或者其</w:t>
      </w:r>
      <w:r>
        <w:rPr>
          <w:rFonts w:ascii="宋体" w:hAnsi="宋体" w:eastAsia="宋体" w:cs="宋体"/>
          <w:color w:val="auto"/>
          <w:spacing w:val="-2"/>
          <w:lang w:eastAsia="zh-CN"/>
        </w:rPr>
        <w:t>他好处。</w:t>
      </w:r>
    </w:p>
    <w:p w14:paraId="617EA01C">
      <w:pPr>
        <w:spacing w:line="221" w:lineRule="auto"/>
        <w:ind w:left="1700"/>
        <w:outlineLvl w:val="2"/>
        <w:rPr>
          <w:rFonts w:ascii="黑体" w:hAnsi="黑体" w:eastAsia="黑体" w:cs="黑体"/>
          <w:color w:val="auto"/>
          <w:sz w:val="24"/>
          <w:szCs w:val="24"/>
          <w:lang w:eastAsia="zh-CN"/>
        </w:rPr>
      </w:pPr>
      <w:bookmarkStart w:id="186" w:name="bookmark60"/>
      <w:bookmarkEnd w:id="186"/>
      <w:r>
        <w:rPr>
          <w:rFonts w:ascii="Times New Roman" w:hAnsi="Times New Roman" w:eastAsia="Times New Roman" w:cs="Times New Roman"/>
          <w:color w:val="auto"/>
          <w:spacing w:val="-1"/>
          <w:sz w:val="24"/>
          <w:szCs w:val="24"/>
          <w:lang w:eastAsia="zh-CN"/>
        </w:rPr>
        <w:t xml:space="preserve">9.4  </w:t>
      </w:r>
      <w:r>
        <w:rPr>
          <w:rFonts w:ascii="黑体" w:hAnsi="黑体" w:eastAsia="黑体" w:cs="黑体"/>
          <w:color w:val="auto"/>
          <w:spacing w:val="-1"/>
          <w:sz w:val="24"/>
          <w:szCs w:val="24"/>
          <w:lang w:eastAsia="zh-CN"/>
        </w:rPr>
        <w:t>对与评标活动有关的工作人员的纪律要求</w:t>
      </w:r>
    </w:p>
    <w:p w14:paraId="44E1BCF4">
      <w:pPr>
        <w:spacing w:before="99" w:line="220" w:lineRule="auto"/>
        <w:ind w:left="2123"/>
        <w:rPr>
          <w:rFonts w:ascii="宋体" w:hAnsi="宋体" w:eastAsia="宋体" w:cs="宋体"/>
          <w:color w:val="auto"/>
          <w:lang w:eastAsia="zh-CN"/>
        </w:rPr>
      </w:pPr>
      <w:r>
        <w:rPr>
          <w:rFonts w:ascii="宋体" w:hAnsi="宋体" w:eastAsia="宋体" w:cs="宋体"/>
          <w:color w:val="auto"/>
          <w:spacing w:val="-3"/>
          <w:lang w:eastAsia="zh-CN"/>
        </w:rPr>
        <w:t>与评标活动有关的工作人员不得收受他人的财物或者其他好处，不得向他人透漏对投标</w:t>
      </w:r>
    </w:p>
    <w:p w14:paraId="0D5ECD36">
      <w:pPr>
        <w:spacing w:line="220" w:lineRule="auto"/>
        <w:rPr>
          <w:rFonts w:ascii="宋体" w:hAnsi="宋体" w:eastAsia="宋体" w:cs="宋体"/>
          <w:color w:val="auto"/>
          <w:lang w:eastAsia="zh-CN"/>
        </w:rPr>
        <w:sectPr>
          <w:headerReference r:id="rId29" w:type="default"/>
          <w:footerReference r:id="rId30" w:type="default"/>
          <w:pgSz w:w="11906" w:h="16839"/>
          <w:pgMar w:top="400" w:right="0" w:bottom="1006" w:left="105" w:header="0" w:footer="846" w:gutter="0"/>
          <w:cols w:space="720" w:num="1"/>
        </w:sectPr>
      </w:pPr>
    </w:p>
    <w:p w14:paraId="2A6C18C0">
      <w:pPr>
        <w:pStyle w:val="8"/>
        <w:spacing w:line="268" w:lineRule="auto"/>
        <w:rPr>
          <w:lang w:eastAsia="zh-CN"/>
        </w:rPr>
      </w:pPr>
    </w:p>
    <w:p w14:paraId="364F8055">
      <w:pPr>
        <w:pStyle w:val="8"/>
        <w:spacing w:line="268" w:lineRule="auto"/>
        <w:rPr>
          <w:lang w:eastAsia="zh-CN"/>
        </w:rPr>
      </w:pPr>
    </w:p>
    <w:p w14:paraId="254119B2">
      <w:pPr>
        <w:pStyle w:val="8"/>
        <w:spacing w:line="268" w:lineRule="auto"/>
        <w:rPr>
          <w:lang w:eastAsia="zh-CN"/>
        </w:rPr>
      </w:pPr>
    </w:p>
    <w:p w14:paraId="45173F62">
      <w:pPr>
        <w:pStyle w:val="8"/>
        <w:spacing w:line="268" w:lineRule="auto"/>
        <w:rPr>
          <w:lang w:eastAsia="zh-CN"/>
        </w:rPr>
      </w:pPr>
    </w:p>
    <w:p w14:paraId="2E0600B4">
      <w:pPr>
        <w:spacing w:before="69" w:line="305" w:lineRule="auto"/>
        <w:ind w:left="1700" w:right="1708"/>
        <w:rPr>
          <w:rFonts w:ascii="宋体" w:hAnsi="宋体" w:eastAsia="宋体" w:cs="宋体"/>
          <w:color w:val="auto"/>
          <w:lang w:eastAsia="zh-CN"/>
        </w:rPr>
      </w:pPr>
      <w:r>
        <w:rPr>
          <w:rFonts w:ascii="宋体" w:hAnsi="宋体" w:eastAsia="宋体" w:cs="宋体"/>
          <w:color w:val="auto"/>
          <w:lang w:eastAsia="zh-CN"/>
        </w:rPr>
        <w:t>文件的评审和比较、中标候选人的推荐情况以及评标有关的其他情</w:t>
      </w:r>
      <w:r>
        <w:rPr>
          <w:rFonts w:ascii="宋体" w:hAnsi="宋体" w:eastAsia="宋体" w:cs="宋体"/>
          <w:color w:val="auto"/>
          <w:spacing w:val="-1"/>
          <w:lang w:eastAsia="zh-CN"/>
        </w:rPr>
        <w:t>况。在评标活动中，与评</w:t>
      </w:r>
      <w:r>
        <w:rPr>
          <w:rFonts w:ascii="宋体" w:hAnsi="宋体" w:eastAsia="宋体" w:cs="宋体"/>
          <w:color w:val="auto"/>
          <w:spacing w:val="-2"/>
          <w:lang w:eastAsia="zh-CN"/>
        </w:rPr>
        <w:t>标活动有关的工作人员不得擅离职守，影响评标程序正常进行。</w:t>
      </w:r>
    </w:p>
    <w:p w14:paraId="340738C5">
      <w:pPr>
        <w:spacing w:line="220" w:lineRule="auto"/>
        <w:ind w:left="1700"/>
        <w:outlineLvl w:val="2"/>
        <w:rPr>
          <w:rFonts w:ascii="黑体" w:hAnsi="黑体" w:eastAsia="黑体" w:cs="黑体"/>
          <w:color w:val="auto"/>
          <w:sz w:val="24"/>
          <w:szCs w:val="24"/>
          <w:lang w:eastAsia="zh-CN"/>
        </w:rPr>
      </w:pPr>
      <w:bookmarkStart w:id="187" w:name="bookmark61"/>
      <w:bookmarkEnd w:id="187"/>
      <w:r>
        <w:rPr>
          <w:rFonts w:ascii="Times New Roman" w:hAnsi="Times New Roman" w:eastAsia="Times New Roman" w:cs="Times New Roman"/>
          <w:color w:val="auto"/>
          <w:spacing w:val="-3"/>
          <w:sz w:val="24"/>
          <w:szCs w:val="24"/>
          <w:lang w:eastAsia="zh-CN"/>
        </w:rPr>
        <w:t>9.5</w:t>
      </w:r>
      <w:r>
        <w:rPr>
          <w:rFonts w:ascii="黑体" w:hAnsi="黑体" w:eastAsia="黑体" w:cs="黑体"/>
          <w:color w:val="auto"/>
          <w:spacing w:val="-3"/>
          <w:sz w:val="24"/>
          <w:szCs w:val="24"/>
          <w:lang w:eastAsia="zh-CN"/>
        </w:rPr>
        <w:t>投诉</w:t>
      </w:r>
    </w:p>
    <w:p w14:paraId="5F7ABB2D">
      <w:pPr>
        <w:spacing w:before="102" w:line="316" w:lineRule="auto"/>
        <w:ind w:left="1701" w:right="1796" w:firstLine="420"/>
        <w:jc w:val="both"/>
        <w:rPr>
          <w:rFonts w:ascii="宋体" w:hAnsi="宋体" w:eastAsia="宋体" w:cs="宋体"/>
          <w:color w:val="auto"/>
          <w:lang w:eastAsia="zh-CN"/>
        </w:rPr>
      </w:pPr>
      <w:r>
        <w:rPr>
          <w:rFonts w:ascii="宋体" w:hAnsi="宋体" w:eastAsia="宋体" w:cs="宋体"/>
          <w:color w:val="auto"/>
          <w:spacing w:val="-4"/>
          <w:lang w:eastAsia="zh-CN"/>
        </w:rPr>
        <w:t>投标人和其他利害关系人认为本次招标活动违反法律、法规和规章规定的，</w:t>
      </w:r>
      <w:r>
        <w:rPr>
          <w:rFonts w:ascii="宋体" w:hAnsi="宋体" w:eastAsia="宋体" w:cs="宋体"/>
          <w:color w:val="auto"/>
          <w:spacing w:val="-5"/>
          <w:lang w:eastAsia="zh-CN"/>
        </w:rPr>
        <w:t>有权自知道</w:t>
      </w:r>
      <w:r>
        <w:rPr>
          <w:rFonts w:ascii="宋体" w:hAnsi="宋体" w:eastAsia="宋体" w:cs="宋体"/>
          <w:color w:val="auto"/>
          <w:spacing w:val="-2"/>
          <w:lang w:eastAsia="zh-CN"/>
        </w:rPr>
        <w:t>或者应当知道之日起</w:t>
      </w:r>
      <w:r>
        <w:rPr>
          <w:rFonts w:ascii="Times New Roman" w:hAnsi="Times New Roman" w:eastAsia="Times New Roman" w:cs="Times New Roman"/>
          <w:color w:val="auto"/>
          <w:spacing w:val="-2"/>
          <w:lang w:eastAsia="zh-CN"/>
        </w:rPr>
        <w:t>10</w:t>
      </w:r>
      <w:r>
        <w:rPr>
          <w:rFonts w:ascii="宋体" w:hAnsi="宋体" w:eastAsia="宋体" w:cs="宋体"/>
          <w:color w:val="auto"/>
          <w:spacing w:val="-2"/>
          <w:lang w:eastAsia="zh-CN"/>
        </w:rPr>
        <w:t>日内向有关行政监督部门投诉，其中对招标文件的内容（包括最高</w:t>
      </w:r>
      <w:r>
        <w:rPr>
          <w:rFonts w:ascii="宋体" w:hAnsi="宋体" w:eastAsia="宋体" w:cs="宋体"/>
          <w:color w:val="auto"/>
          <w:spacing w:val="-7"/>
          <w:lang w:eastAsia="zh-CN"/>
        </w:rPr>
        <w:t>投标限价）、开标、评标结果进行投诉的，应当按本章第</w:t>
      </w:r>
      <w:r>
        <w:rPr>
          <w:rFonts w:ascii="Times New Roman" w:hAnsi="Times New Roman" w:eastAsia="Times New Roman" w:cs="Times New Roman"/>
          <w:color w:val="auto"/>
          <w:spacing w:val="-7"/>
          <w:lang w:eastAsia="zh-CN"/>
        </w:rPr>
        <w:t xml:space="preserve">2.4 </w:t>
      </w:r>
      <w:r>
        <w:rPr>
          <w:rFonts w:ascii="宋体" w:hAnsi="宋体" w:eastAsia="宋体" w:cs="宋体"/>
          <w:color w:val="auto"/>
          <w:spacing w:val="-7"/>
          <w:lang w:eastAsia="zh-CN"/>
        </w:rPr>
        <w:t>款、第</w:t>
      </w:r>
      <w:r>
        <w:rPr>
          <w:rFonts w:ascii="Times New Roman" w:hAnsi="Times New Roman" w:eastAsia="Times New Roman" w:cs="Times New Roman"/>
          <w:color w:val="auto"/>
          <w:spacing w:val="-7"/>
          <w:lang w:eastAsia="zh-CN"/>
        </w:rPr>
        <w:t xml:space="preserve">5.3 </w:t>
      </w:r>
      <w:r>
        <w:rPr>
          <w:rFonts w:ascii="宋体" w:hAnsi="宋体" w:eastAsia="宋体" w:cs="宋体"/>
          <w:color w:val="auto"/>
          <w:spacing w:val="-7"/>
          <w:lang w:eastAsia="zh-CN"/>
        </w:rPr>
        <w:t>款、第</w:t>
      </w:r>
      <w:r>
        <w:rPr>
          <w:rFonts w:ascii="Times New Roman" w:hAnsi="Times New Roman" w:eastAsia="Times New Roman" w:cs="Times New Roman"/>
          <w:color w:val="auto"/>
          <w:spacing w:val="-7"/>
          <w:lang w:eastAsia="zh-CN"/>
        </w:rPr>
        <w:t xml:space="preserve">6.4 </w:t>
      </w:r>
      <w:r>
        <w:rPr>
          <w:rFonts w:ascii="宋体" w:hAnsi="宋体" w:eastAsia="宋体" w:cs="宋体"/>
          <w:color w:val="auto"/>
          <w:spacing w:val="-7"/>
          <w:lang w:eastAsia="zh-CN"/>
        </w:rPr>
        <w:t>款的规定</w:t>
      </w:r>
      <w:r>
        <w:rPr>
          <w:rFonts w:ascii="宋体" w:hAnsi="宋体" w:eastAsia="宋体" w:cs="宋体"/>
          <w:color w:val="auto"/>
          <w:spacing w:val="-2"/>
          <w:lang w:eastAsia="zh-CN"/>
        </w:rPr>
        <w:t>先向招标人提出异议后，方可向有关行政监督</w:t>
      </w:r>
      <w:r>
        <w:rPr>
          <w:rFonts w:ascii="宋体" w:hAnsi="宋体" w:eastAsia="宋体" w:cs="宋体"/>
          <w:color w:val="auto"/>
          <w:spacing w:val="-3"/>
          <w:lang w:eastAsia="zh-CN"/>
        </w:rPr>
        <w:t>部门投诉，异议答复期不计算在规定的投诉时</w:t>
      </w:r>
      <w:r>
        <w:rPr>
          <w:rFonts w:ascii="宋体" w:hAnsi="宋体" w:eastAsia="宋体" w:cs="宋体"/>
          <w:color w:val="auto"/>
          <w:spacing w:val="-7"/>
          <w:lang w:eastAsia="zh-CN"/>
        </w:rPr>
        <w:t>效期限内。</w:t>
      </w:r>
    </w:p>
    <w:p w14:paraId="67ED0EBB">
      <w:pPr>
        <w:spacing w:before="1" w:line="316" w:lineRule="auto"/>
        <w:ind w:left="1700" w:right="1796" w:firstLine="421"/>
        <w:rPr>
          <w:rFonts w:ascii="宋体" w:hAnsi="宋体" w:eastAsia="宋体" w:cs="宋体"/>
          <w:color w:val="auto"/>
          <w:lang w:eastAsia="zh-CN"/>
        </w:rPr>
      </w:pPr>
      <w:r>
        <w:rPr>
          <w:rFonts w:ascii="宋体" w:hAnsi="宋体" w:eastAsia="宋体" w:cs="宋体"/>
          <w:color w:val="auto"/>
          <w:spacing w:val="-3"/>
          <w:lang w:eastAsia="zh-CN"/>
        </w:rPr>
        <w:t>投标人和其他利害关系人的投诉应按照《工程建设项目招标投标活动投诉处理办法》的</w:t>
      </w:r>
      <w:r>
        <w:rPr>
          <w:rFonts w:ascii="宋体" w:hAnsi="宋体" w:eastAsia="宋体" w:cs="宋体"/>
          <w:color w:val="auto"/>
          <w:spacing w:val="-7"/>
          <w:lang w:eastAsia="zh-CN"/>
        </w:rPr>
        <w:t>规定进行。</w:t>
      </w:r>
    </w:p>
    <w:p w14:paraId="13A0CE0F">
      <w:pPr>
        <w:spacing w:line="219" w:lineRule="auto"/>
        <w:ind w:left="2120"/>
        <w:rPr>
          <w:rFonts w:ascii="宋体" w:hAnsi="宋体" w:eastAsia="宋体" w:cs="宋体"/>
          <w:color w:val="auto"/>
          <w:lang w:eastAsia="zh-CN"/>
        </w:rPr>
      </w:pPr>
      <w:r>
        <w:rPr>
          <w:rFonts w:ascii="宋体" w:hAnsi="宋体" w:eastAsia="宋体" w:cs="宋体"/>
          <w:color w:val="auto"/>
          <w:spacing w:val="-2"/>
          <w:lang w:eastAsia="zh-CN"/>
        </w:rPr>
        <w:t>有关行政监督部门的联系方式见投标人须知前附表。</w:t>
      </w:r>
    </w:p>
    <w:p w14:paraId="4E3570BB">
      <w:pPr>
        <w:spacing w:before="150" w:line="222" w:lineRule="auto"/>
        <w:ind w:left="1723"/>
        <w:outlineLvl w:val="1"/>
        <w:rPr>
          <w:rFonts w:ascii="黑体" w:hAnsi="黑体" w:eastAsia="黑体" w:cs="黑体"/>
          <w:color w:val="auto"/>
          <w:sz w:val="28"/>
          <w:szCs w:val="28"/>
          <w:lang w:eastAsia="zh-CN"/>
        </w:rPr>
      </w:pPr>
      <w:bookmarkStart w:id="188" w:name="bookmark63"/>
      <w:bookmarkEnd w:id="188"/>
      <w:bookmarkStart w:id="189" w:name="bookmark62"/>
      <w:bookmarkEnd w:id="189"/>
      <w:bookmarkStart w:id="190" w:name="_Toc18110"/>
      <w:bookmarkStart w:id="191" w:name="_Toc12937"/>
      <w:bookmarkStart w:id="192" w:name="_Toc76"/>
      <w:bookmarkStart w:id="193" w:name="_Toc27644"/>
      <w:bookmarkStart w:id="194" w:name="_Toc18628"/>
      <w:bookmarkStart w:id="195" w:name="_Toc19458"/>
      <w:r>
        <w:rPr>
          <w:rFonts w:ascii="Times New Roman" w:hAnsi="Times New Roman" w:eastAsia="Times New Roman" w:cs="Times New Roman"/>
          <w:color w:val="auto"/>
          <w:spacing w:val="-3"/>
          <w:sz w:val="28"/>
          <w:szCs w:val="28"/>
          <w:lang w:eastAsia="zh-CN"/>
        </w:rPr>
        <w:t>10.</w:t>
      </w:r>
      <w:r>
        <w:rPr>
          <w:rFonts w:ascii="黑体" w:hAnsi="黑体" w:eastAsia="黑体" w:cs="黑体"/>
          <w:color w:val="auto"/>
          <w:spacing w:val="-3"/>
          <w:sz w:val="28"/>
          <w:szCs w:val="28"/>
          <w:lang w:eastAsia="zh-CN"/>
        </w:rPr>
        <w:t>需要补充的其他内容</w:t>
      </w:r>
      <w:bookmarkEnd w:id="190"/>
      <w:bookmarkEnd w:id="191"/>
      <w:bookmarkEnd w:id="192"/>
      <w:bookmarkEnd w:id="193"/>
      <w:bookmarkEnd w:id="194"/>
      <w:bookmarkEnd w:id="195"/>
    </w:p>
    <w:p w14:paraId="2CFE6BB7">
      <w:pPr>
        <w:spacing w:before="57" w:line="222" w:lineRule="auto"/>
        <w:ind w:left="1719"/>
        <w:outlineLvl w:val="2"/>
        <w:rPr>
          <w:rFonts w:ascii="黑体" w:hAnsi="黑体" w:eastAsia="黑体" w:cs="黑体"/>
          <w:color w:val="auto"/>
          <w:sz w:val="24"/>
          <w:szCs w:val="24"/>
          <w:lang w:eastAsia="zh-CN"/>
        </w:rPr>
      </w:pPr>
      <w:bookmarkStart w:id="196" w:name="bookmark219"/>
      <w:bookmarkEnd w:id="196"/>
      <w:r>
        <w:rPr>
          <w:rFonts w:ascii="Times New Roman" w:hAnsi="Times New Roman" w:eastAsia="Times New Roman" w:cs="Times New Roman"/>
          <w:color w:val="auto"/>
          <w:spacing w:val="-5"/>
          <w:sz w:val="24"/>
          <w:szCs w:val="24"/>
          <w:lang w:eastAsia="zh-CN"/>
        </w:rPr>
        <w:t>10.1</w:t>
      </w:r>
      <w:r>
        <w:rPr>
          <w:rFonts w:ascii="黑体" w:hAnsi="黑体" w:eastAsia="黑体" w:cs="黑体"/>
          <w:color w:val="auto"/>
          <w:spacing w:val="-5"/>
          <w:sz w:val="24"/>
          <w:szCs w:val="24"/>
          <w:lang w:eastAsia="zh-CN"/>
        </w:rPr>
        <w:t>词语定义</w:t>
      </w:r>
    </w:p>
    <w:p w14:paraId="71413F2D">
      <w:pPr>
        <w:spacing w:before="97" w:line="220" w:lineRule="auto"/>
        <w:ind w:left="2120"/>
        <w:rPr>
          <w:rFonts w:ascii="宋体" w:hAnsi="宋体" w:eastAsia="宋体" w:cs="宋体"/>
          <w:color w:val="auto"/>
          <w:lang w:eastAsia="zh-CN"/>
        </w:rPr>
      </w:pPr>
      <w:r>
        <w:rPr>
          <w:rFonts w:ascii="宋体" w:hAnsi="宋体" w:eastAsia="宋体" w:cs="宋体"/>
          <w:color w:val="auto"/>
          <w:spacing w:val="-3"/>
          <w:lang w:eastAsia="zh-CN"/>
        </w:rPr>
        <w:t>词语定义规定：见投标人须知前附表。</w:t>
      </w:r>
    </w:p>
    <w:p w14:paraId="4889B09D">
      <w:pPr>
        <w:spacing w:before="83" w:line="222" w:lineRule="auto"/>
        <w:ind w:left="1719"/>
        <w:outlineLvl w:val="2"/>
        <w:rPr>
          <w:rFonts w:ascii="黑体" w:hAnsi="黑体" w:eastAsia="黑体" w:cs="黑体"/>
          <w:color w:val="auto"/>
          <w:sz w:val="24"/>
          <w:szCs w:val="24"/>
          <w:lang w:eastAsia="zh-CN"/>
        </w:rPr>
      </w:pPr>
      <w:bookmarkStart w:id="197" w:name="bookmark64"/>
      <w:bookmarkEnd w:id="197"/>
      <w:r>
        <w:rPr>
          <w:rFonts w:ascii="Times New Roman" w:hAnsi="Times New Roman" w:eastAsia="Times New Roman" w:cs="Times New Roman"/>
          <w:color w:val="auto"/>
          <w:spacing w:val="-5"/>
          <w:sz w:val="24"/>
          <w:szCs w:val="24"/>
          <w:lang w:eastAsia="zh-CN"/>
        </w:rPr>
        <w:t>10.2</w:t>
      </w:r>
      <w:r>
        <w:rPr>
          <w:rFonts w:ascii="黑体" w:hAnsi="黑体" w:eastAsia="黑体" w:cs="黑体"/>
          <w:color w:val="auto"/>
          <w:spacing w:val="-5"/>
          <w:sz w:val="24"/>
          <w:szCs w:val="24"/>
          <w:lang w:eastAsia="zh-CN"/>
        </w:rPr>
        <w:t>中标人的投标文件</w:t>
      </w:r>
    </w:p>
    <w:p w14:paraId="3327B654">
      <w:pPr>
        <w:spacing w:before="98" w:line="220" w:lineRule="auto"/>
        <w:ind w:left="2139"/>
        <w:rPr>
          <w:rFonts w:ascii="宋体" w:hAnsi="宋体" w:eastAsia="宋体" w:cs="宋体"/>
          <w:color w:val="auto"/>
          <w:lang w:eastAsia="zh-CN"/>
        </w:rPr>
      </w:pPr>
      <w:r>
        <w:rPr>
          <w:rFonts w:ascii="宋体" w:hAnsi="宋体" w:eastAsia="宋体" w:cs="宋体"/>
          <w:color w:val="auto"/>
          <w:spacing w:val="-2"/>
          <w:lang w:eastAsia="zh-CN"/>
        </w:rPr>
        <w:t>中标人在签订合同前须向招标人另行提交的纸质投标文件份数：见投标人须知前附表。</w:t>
      </w:r>
    </w:p>
    <w:p w14:paraId="5627A40E">
      <w:pPr>
        <w:spacing w:before="85" w:line="222" w:lineRule="auto"/>
        <w:ind w:left="1719"/>
        <w:outlineLvl w:val="2"/>
        <w:rPr>
          <w:rFonts w:ascii="黑体" w:hAnsi="黑体" w:eastAsia="黑体" w:cs="黑体"/>
          <w:color w:val="auto"/>
          <w:sz w:val="24"/>
          <w:szCs w:val="24"/>
          <w:lang w:eastAsia="zh-CN"/>
        </w:rPr>
      </w:pPr>
      <w:bookmarkStart w:id="198" w:name="bookmark65"/>
      <w:bookmarkEnd w:id="198"/>
      <w:r>
        <w:rPr>
          <w:rFonts w:ascii="Times New Roman" w:hAnsi="Times New Roman" w:eastAsia="Times New Roman" w:cs="Times New Roman"/>
          <w:color w:val="auto"/>
          <w:spacing w:val="-5"/>
          <w:sz w:val="24"/>
          <w:szCs w:val="24"/>
          <w:lang w:eastAsia="zh-CN"/>
        </w:rPr>
        <w:t>10.3</w:t>
      </w:r>
      <w:r>
        <w:rPr>
          <w:rFonts w:ascii="黑体" w:hAnsi="黑体" w:eastAsia="黑体" w:cs="黑体"/>
          <w:color w:val="auto"/>
          <w:spacing w:val="-5"/>
          <w:sz w:val="24"/>
          <w:szCs w:val="24"/>
          <w:lang w:eastAsia="zh-CN"/>
        </w:rPr>
        <w:t>知识产权</w:t>
      </w:r>
    </w:p>
    <w:p w14:paraId="22BD38C6">
      <w:pPr>
        <w:spacing w:before="96" w:line="309" w:lineRule="auto"/>
        <w:ind w:left="1701" w:right="1796" w:firstLine="420"/>
        <w:jc w:val="both"/>
        <w:rPr>
          <w:rFonts w:ascii="宋体" w:hAnsi="宋体" w:eastAsia="宋体" w:cs="宋体"/>
          <w:color w:val="auto"/>
          <w:lang w:eastAsia="zh-CN"/>
        </w:rPr>
      </w:pPr>
      <w:r>
        <w:rPr>
          <w:rFonts w:ascii="宋体" w:hAnsi="宋体" w:eastAsia="宋体" w:cs="宋体"/>
          <w:color w:val="auto"/>
          <w:spacing w:val="-3"/>
          <w:lang w:eastAsia="zh-CN"/>
        </w:rPr>
        <w:t>构成本招标文件各个组成部分的文件，未经招标人书面同意，投标人不得擅自复印和用</w:t>
      </w:r>
      <w:r>
        <w:rPr>
          <w:rFonts w:ascii="宋体" w:hAnsi="宋体" w:eastAsia="宋体" w:cs="宋体"/>
          <w:color w:val="auto"/>
          <w:spacing w:val="-2"/>
          <w:lang w:eastAsia="zh-CN"/>
        </w:rPr>
        <w:t>于非本招标项目所需的其他目的。招标人全部</w:t>
      </w:r>
      <w:r>
        <w:rPr>
          <w:rFonts w:ascii="宋体" w:hAnsi="宋体" w:eastAsia="宋体" w:cs="宋体"/>
          <w:color w:val="auto"/>
          <w:spacing w:val="-3"/>
          <w:lang w:eastAsia="zh-CN"/>
        </w:rPr>
        <w:t>或者部分使用未中标人投标文件中的技术成果</w:t>
      </w:r>
      <w:r>
        <w:rPr>
          <w:rFonts w:ascii="宋体" w:hAnsi="宋体" w:eastAsia="宋体" w:cs="宋体"/>
          <w:color w:val="auto"/>
          <w:spacing w:val="-1"/>
          <w:lang w:eastAsia="zh-CN"/>
        </w:rPr>
        <w:t>或技术方案时，需征得其书面同意，并不得擅自</w:t>
      </w:r>
      <w:r>
        <w:rPr>
          <w:rFonts w:ascii="宋体" w:hAnsi="宋体" w:eastAsia="宋体" w:cs="宋体"/>
          <w:color w:val="auto"/>
          <w:spacing w:val="-2"/>
          <w:lang w:eastAsia="zh-CN"/>
        </w:rPr>
        <w:t>复印或提供给第三人。</w:t>
      </w:r>
    </w:p>
    <w:p w14:paraId="6F74DB44">
      <w:pPr>
        <w:spacing w:before="1" w:line="222" w:lineRule="auto"/>
        <w:ind w:left="1719"/>
        <w:outlineLvl w:val="2"/>
        <w:rPr>
          <w:rFonts w:ascii="黑体" w:hAnsi="黑体" w:eastAsia="黑体" w:cs="黑体"/>
          <w:color w:val="auto"/>
          <w:sz w:val="24"/>
          <w:szCs w:val="24"/>
          <w:lang w:eastAsia="zh-CN"/>
        </w:rPr>
      </w:pPr>
      <w:bookmarkStart w:id="199" w:name="bookmark66"/>
      <w:bookmarkEnd w:id="199"/>
      <w:r>
        <w:rPr>
          <w:rFonts w:ascii="Times New Roman" w:hAnsi="Times New Roman" w:eastAsia="Times New Roman" w:cs="Times New Roman"/>
          <w:color w:val="auto"/>
          <w:spacing w:val="-6"/>
          <w:sz w:val="24"/>
          <w:szCs w:val="24"/>
          <w:lang w:eastAsia="zh-CN"/>
        </w:rPr>
        <w:t>10.4</w:t>
      </w:r>
      <w:r>
        <w:rPr>
          <w:rFonts w:ascii="黑体" w:hAnsi="黑体" w:eastAsia="黑体" w:cs="黑体"/>
          <w:color w:val="auto"/>
          <w:spacing w:val="-6"/>
          <w:sz w:val="24"/>
          <w:szCs w:val="24"/>
          <w:lang w:eastAsia="zh-CN"/>
        </w:rPr>
        <w:t>同义词语</w:t>
      </w:r>
    </w:p>
    <w:p w14:paraId="590F0854">
      <w:pPr>
        <w:spacing w:before="96" w:line="309" w:lineRule="auto"/>
        <w:ind w:left="1698" w:right="1790" w:firstLine="423"/>
        <w:jc w:val="both"/>
        <w:rPr>
          <w:rFonts w:ascii="宋体" w:hAnsi="宋体" w:eastAsia="宋体" w:cs="宋体"/>
          <w:color w:val="auto"/>
          <w:lang w:eastAsia="zh-CN"/>
        </w:rPr>
      </w:pPr>
      <w:r>
        <w:rPr>
          <w:rFonts w:ascii="宋体" w:hAnsi="宋体" w:eastAsia="宋体" w:cs="宋体"/>
          <w:color w:val="auto"/>
          <w:spacing w:val="-2"/>
          <w:lang w:eastAsia="zh-CN"/>
        </w:rPr>
        <w:t>构成招标文件组成部分的</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通用合同条款</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专用合同条款</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技术标准和要求</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等章节</w:t>
      </w:r>
      <w:r>
        <w:rPr>
          <w:rFonts w:ascii="宋体" w:hAnsi="宋体" w:eastAsia="宋体" w:cs="宋体"/>
          <w:color w:val="auto"/>
          <w:lang w:eastAsia="zh-CN"/>
        </w:rPr>
        <w:t>中出现的措辞</w:t>
      </w:r>
      <w:r>
        <w:rPr>
          <w:rFonts w:ascii="Times New Roman" w:hAnsi="Times New Roman" w:eastAsia="Times New Roman" w:cs="Times New Roman"/>
          <w:color w:val="auto"/>
          <w:lang w:eastAsia="zh-CN"/>
        </w:rPr>
        <w:t>“</w:t>
      </w:r>
      <w:r>
        <w:rPr>
          <w:rFonts w:ascii="宋体" w:hAnsi="宋体" w:eastAsia="宋体" w:cs="宋体"/>
          <w:color w:val="auto"/>
          <w:lang w:eastAsia="zh-CN"/>
        </w:rPr>
        <w:t>发包人</w:t>
      </w:r>
      <w:r>
        <w:rPr>
          <w:rFonts w:ascii="Times New Roman" w:hAnsi="Times New Roman" w:eastAsia="Times New Roman" w:cs="Times New Roman"/>
          <w:color w:val="auto"/>
          <w:lang w:eastAsia="zh-CN"/>
        </w:rPr>
        <w:t>”</w:t>
      </w:r>
      <w:r>
        <w:rPr>
          <w:rFonts w:ascii="宋体" w:hAnsi="宋体" w:eastAsia="宋体" w:cs="宋体"/>
          <w:color w:val="auto"/>
          <w:lang w:eastAsia="zh-CN"/>
        </w:rPr>
        <w:t>和</w:t>
      </w:r>
      <w:r>
        <w:rPr>
          <w:rFonts w:ascii="Times New Roman" w:hAnsi="Times New Roman" w:eastAsia="Times New Roman" w:cs="Times New Roman"/>
          <w:color w:val="auto"/>
          <w:lang w:eastAsia="zh-CN"/>
        </w:rPr>
        <w:t>“</w:t>
      </w:r>
      <w:r>
        <w:rPr>
          <w:rFonts w:ascii="宋体" w:hAnsi="宋体" w:eastAsia="宋体" w:cs="宋体"/>
          <w:color w:val="auto"/>
          <w:lang w:eastAsia="zh-CN"/>
        </w:rPr>
        <w:t>承包人</w:t>
      </w:r>
      <w:r>
        <w:rPr>
          <w:rFonts w:ascii="Times New Roman" w:hAnsi="Times New Roman" w:eastAsia="Times New Roman" w:cs="Times New Roman"/>
          <w:color w:val="auto"/>
          <w:lang w:eastAsia="zh-CN"/>
        </w:rPr>
        <w:t>”</w:t>
      </w:r>
      <w:r>
        <w:rPr>
          <w:rFonts w:ascii="宋体" w:hAnsi="宋体" w:eastAsia="宋体" w:cs="宋体"/>
          <w:color w:val="auto"/>
          <w:lang w:eastAsia="zh-CN"/>
        </w:rPr>
        <w:t>，在招标投标阶段应当分别按</w:t>
      </w:r>
      <w:r>
        <w:rPr>
          <w:rFonts w:ascii="Times New Roman" w:hAnsi="Times New Roman" w:eastAsia="Times New Roman" w:cs="Times New Roman"/>
          <w:color w:val="auto"/>
          <w:lang w:eastAsia="zh-CN"/>
        </w:rPr>
        <w:t>“</w:t>
      </w:r>
      <w:r>
        <w:rPr>
          <w:rFonts w:ascii="宋体" w:hAnsi="宋体" w:eastAsia="宋体" w:cs="宋体"/>
          <w:color w:val="auto"/>
          <w:lang w:eastAsia="zh-CN"/>
        </w:rPr>
        <w:t>招标人</w:t>
      </w:r>
      <w:r>
        <w:rPr>
          <w:rFonts w:ascii="Times New Roman" w:hAnsi="Times New Roman" w:eastAsia="Times New Roman" w:cs="Times New Roman"/>
          <w:color w:val="auto"/>
          <w:lang w:eastAsia="zh-CN"/>
        </w:rPr>
        <w:t>”</w:t>
      </w:r>
      <w:r>
        <w:rPr>
          <w:rFonts w:ascii="宋体" w:hAnsi="宋体" w:eastAsia="宋体" w:cs="宋体"/>
          <w:color w:val="auto"/>
          <w:lang w:eastAsia="zh-CN"/>
        </w:rPr>
        <w:t>和</w:t>
      </w:r>
      <w:r>
        <w:rPr>
          <w:rFonts w:ascii="Times New Roman" w:hAnsi="Times New Roman" w:eastAsia="Times New Roman" w:cs="Times New Roman"/>
          <w:color w:val="auto"/>
          <w:lang w:eastAsia="zh-CN"/>
        </w:rPr>
        <w:t>“</w:t>
      </w:r>
      <w:r>
        <w:rPr>
          <w:rFonts w:ascii="宋体" w:hAnsi="宋体" w:eastAsia="宋体" w:cs="宋体"/>
          <w:color w:val="auto"/>
          <w:lang w:eastAsia="zh-CN"/>
        </w:rPr>
        <w:t>投标人</w:t>
      </w:r>
      <w:r>
        <w:rPr>
          <w:rFonts w:ascii="Times New Roman" w:hAnsi="Times New Roman" w:eastAsia="Times New Roman" w:cs="Times New Roman"/>
          <w:color w:val="auto"/>
          <w:lang w:eastAsia="zh-CN"/>
        </w:rPr>
        <w:t>”</w:t>
      </w:r>
      <w:r>
        <w:rPr>
          <w:rFonts w:ascii="宋体" w:hAnsi="宋体" w:eastAsia="宋体" w:cs="宋体"/>
          <w:color w:val="auto"/>
          <w:spacing w:val="-1"/>
          <w:lang w:eastAsia="zh-CN"/>
        </w:rPr>
        <w:t>进行理</w:t>
      </w:r>
      <w:r>
        <w:rPr>
          <w:rFonts w:ascii="宋体" w:hAnsi="宋体" w:eastAsia="宋体" w:cs="宋体"/>
          <w:color w:val="auto"/>
          <w:spacing w:val="-10"/>
          <w:lang w:eastAsia="zh-CN"/>
        </w:rPr>
        <w:t>解。</w:t>
      </w:r>
    </w:p>
    <w:p w14:paraId="5715E1D0">
      <w:pPr>
        <w:spacing w:line="222" w:lineRule="auto"/>
        <w:ind w:left="1719"/>
        <w:outlineLvl w:val="2"/>
        <w:rPr>
          <w:rFonts w:ascii="黑体" w:hAnsi="黑体" w:eastAsia="黑体" w:cs="黑体"/>
          <w:color w:val="auto"/>
          <w:sz w:val="24"/>
          <w:szCs w:val="24"/>
          <w:lang w:eastAsia="zh-CN"/>
        </w:rPr>
      </w:pPr>
      <w:bookmarkStart w:id="200" w:name="bookmark67"/>
      <w:bookmarkEnd w:id="200"/>
      <w:r>
        <w:rPr>
          <w:rFonts w:ascii="Times New Roman" w:hAnsi="Times New Roman" w:eastAsia="Times New Roman" w:cs="Times New Roman"/>
          <w:color w:val="auto"/>
          <w:spacing w:val="-3"/>
          <w:sz w:val="24"/>
          <w:szCs w:val="24"/>
          <w:lang w:eastAsia="zh-CN"/>
        </w:rPr>
        <w:t xml:space="preserve">10.5  </w:t>
      </w:r>
      <w:r>
        <w:rPr>
          <w:rFonts w:ascii="黑体" w:hAnsi="黑体" w:eastAsia="黑体" w:cs="黑体"/>
          <w:color w:val="auto"/>
          <w:spacing w:val="-3"/>
          <w:sz w:val="24"/>
          <w:szCs w:val="24"/>
          <w:lang w:eastAsia="zh-CN"/>
        </w:rPr>
        <w:t>解释权</w:t>
      </w:r>
    </w:p>
    <w:p w14:paraId="08B9AFD2">
      <w:pPr>
        <w:spacing w:before="95" w:line="313" w:lineRule="auto"/>
        <w:ind w:left="1698" w:right="1632" w:firstLine="423"/>
        <w:jc w:val="both"/>
        <w:rPr>
          <w:rFonts w:ascii="宋体" w:hAnsi="宋体" w:eastAsia="宋体" w:cs="宋体"/>
          <w:color w:val="auto"/>
          <w:lang w:eastAsia="zh-CN"/>
        </w:rPr>
      </w:pPr>
      <w:r>
        <w:rPr>
          <w:rFonts w:ascii="宋体" w:hAnsi="宋体" w:eastAsia="宋体" w:cs="宋体"/>
          <w:color w:val="auto"/>
          <w:spacing w:val="-3"/>
          <w:lang w:eastAsia="zh-CN"/>
        </w:rPr>
        <w:t>构成招标文件的各个组成文件应互为解释互为说明；如有不明确或不一致，构成合</w:t>
      </w:r>
      <w:r>
        <w:rPr>
          <w:rFonts w:ascii="宋体" w:hAnsi="宋体" w:eastAsia="宋体" w:cs="宋体"/>
          <w:color w:val="auto"/>
          <w:spacing w:val="-2"/>
          <w:lang w:eastAsia="zh-CN"/>
        </w:rPr>
        <w:t>同文件组成内容的，以合同文件约定内容为准，且以</w:t>
      </w:r>
      <w:r>
        <w:rPr>
          <w:rFonts w:ascii="宋体" w:hAnsi="宋体" w:eastAsia="宋体" w:cs="宋体"/>
          <w:color w:val="auto"/>
          <w:spacing w:val="-3"/>
          <w:lang w:eastAsia="zh-CN"/>
        </w:rPr>
        <w:t>专用合同条款约定的合同文件优先顺序解释；除招标文件中有特别规定外，仅适用于招标投标阶段的规定，按招标公告（投标邀请</w:t>
      </w:r>
      <w:r>
        <w:rPr>
          <w:rFonts w:ascii="宋体" w:hAnsi="宋体" w:eastAsia="宋体" w:cs="宋体"/>
          <w:color w:val="auto"/>
          <w:spacing w:val="-2"/>
          <w:lang w:eastAsia="zh-CN"/>
        </w:rPr>
        <w:t>书）、投标人须知、评标办法、投标文件格式的先后</w:t>
      </w:r>
      <w:r>
        <w:rPr>
          <w:rFonts w:ascii="宋体" w:hAnsi="宋体" w:eastAsia="宋体" w:cs="宋体"/>
          <w:color w:val="auto"/>
          <w:spacing w:val="-3"/>
          <w:lang w:eastAsia="zh-CN"/>
        </w:rPr>
        <w:t>顺序解释；同一组成文件中就同一事项</w:t>
      </w:r>
      <w:r>
        <w:rPr>
          <w:rFonts w:ascii="宋体" w:hAnsi="宋体" w:eastAsia="宋体" w:cs="宋体"/>
          <w:color w:val="auto"/>
          <w:spacing w:val="2"/>
          <w:lang w:eastAsia="zh-CN"/>
        </w:rPr>
        <w:t>的规定或约定不一致的，以编排顺序在后者为准；同一组成文件</w:t>
      </w:r>
      <w:r>
        <w:rPr>
          <w:rFonts w:ascii="宋体" w:hAnsi="宋体" w:eastAsia="宋体" w:cs="宋体"/>
          <w:color w:val="auto"/>
          <w:spacing w:val="1"/>
          <w:lang w:eastAsia="zh-CN"/>
        </w:rPr>
        <w:t>不同版本之间有不一致的，</w:t>
      </w:r>
      <w:r>
        <w:rPr>
          <w:rFonts w:ascii="宋体" w:hAnsi="宋体" w:eastAsia="宋体" w:cs="宋体"/>
          <w:color w:val="auto"/>
          <w:spacing w:val="-1"/>
          <w:lang w:eastAsia="zh-CN"/>
        </w:rPr>
        <w:t>以形成时间在后者为准。按本款前述规定仍不能形成结论的，由招标人负责解释。</w:t>
      </w:r>
    </w:p>
    <w:p w14:paraId="0B8E4FB4">
      <w:pPr>
        <w:spacing w:before="1" w:line="222" w:lineRule="auto"/>
        <w:ind w:left="1719"/>
        <w:outlineLvl w:val="2"/>
        <w:rPr>
          <w:rFonts w:ascii="黑体" w:hAnsi="黑体" w:eastAsia="黑体" w:cs="黑体"/>
          <w:color w:val="auto"/>
          <w:sz w:val="24"/>
          <w:szCs w:val="24"/>
          <w:lang w:eastAsia="zh-CN"/>
        </w:rPr>
      </w:pPr>
      <w:bookmarkStart w:id="201" w:name="bookmark68"/>
      <w:bookmarkEnd w:id="201"/>
      <w:r>
        <w:rPr>
          <w:rFonts w:ascii="Times New Roman" w:hAnsi="Times New Roman" w:eastAsia="Times New Roman" w:cs="Times New Roman"/>
          <w:color w:val="auto"/>
          <w:spacing w:val="-2"/>
          <w:sz w:val="24"/>
          <w:szCs w:val="24"/>
          <w:lang w:eastAsia="zh-CN"/>
        </w:rPr>
        <w:t xml:space="preserve">10.6  </w:t>
      </w:r>
      <w:r>
        <w:rPr>
          <w:rFonts w:ascii="黑体" w:hAnsi="黑体" w:eastAsia="黑体" w:cs="黑体"/>
          <w:color w:val="auto"/>
          <w:spacing w:val="-2"/>
          <w:sz w:val="24"/>
          <w:szCs w:val="24"/>
          <w:lang w:eastAsia="zh-CN"/>
        </w:rPr>
        <w:t>招标人补充的其他内容</w:t>
      </w:r>
    </w:p>
    <w:p w14:paraId="2B63983C">
      <w:pPr>
        <w:spacing w:before="96" w:line="220" w:lineRule="auto"/>
        <w:ind w:left="2120"/>
        <w:rPr>
          <w:rFonts w:ascii="宋体" w:hAnsi="宋体" w:eastAsia="宋体" w:cs="宋体"/>
          <w:color w:val="auto"/>
          <w:lang w:eastAsia="zh-CN"/>
        </w:rPr>
      </w:pPr>
      <w:r>
        <w:rPr>
          <w:rFonts w:ascii="宋体" w:hAnsi="宋体" w:eastAsia="宋体" w:cs="宋体"/>
          <w:color w:val="auto"/>
          <w:spacing w:val="-2"/>
          <w:lang w:eastAsia="zh-CN"/>
        </w:rPr>
        <w:t>招标人补充的其他内容：见投标人须知前附表。</w:t>
      </w:r>
    </w:p>
    <w:p w14:paraId="01EAAA8A">
      <w:pPr>
        <w:spacing w:line="220" w:lineRule="auto"/>
        <w:rPr>
          <w:rFonts w:ascii="宋体" w:hAnsi="宋体" w:eastAsia="宋体" w:cs="宋体"/>
          <w:color w:val="auto"/>
          <w:lang w:eastAsia="zh-CN"/>
        </w:rPr>
        <w:sectPr>
          <w:headerReference r:id="rId31" w:type="default"/>
          <w:footerReference r:id="rId32" w:type="default"/>
          <w:pgSz w:w="11906" w:h="16839"/>
          <w:pgMar w:top="400" w:right="0" w:bottom="1006" w:left="105" w:header="0" w:footer="846" w:gutter="0"/>
          <w:cols w:space="720" w:num="1"/>
        </w:sectPr>
      </w:pPr>
    </w:p>
    <w:p w14:paraId="4049F6E7">
      <w:pPr>
        <w:pStyle w:val="8"/>
        <w:spacing w:line="271" w:lineRule="auto"/>
        <w:rPr>
          <w:lang w:eastAsia="zh-CN"/>
        </w:rPr>
      </w:pPr>
    </w:p>
    <w:p w14:paraId="2FF07CC3">
      <w:pPr>
        <w:pStyle w:val="8"/>
        <w:spacing w:line="271" w:lineRule="auto"/>
        <w:rPr>
          <w:lang w:eastAsia="zh-CN"/>
        </w:rPr>
      </w:pPr>
    </w:p>
    <w:p w14:paraId="4BAB307A">
      <w:pPr>
        <w:pStyle w:val="8"/>
        <w:spacing w:line="272" w:lineRule="auto"/>
        <w:rPr>
          <w:lang w:eastAsia="zh-CN"/>
        </w:rPr>
      </w:pPr>
    </w:p>
    <w:p w14:paraId="07752794">
      <w:pPr>
        <w:pStyle w:val="8"/>
        <w:spacing w:line="272" w:lineRule="auto"/>
        <w:rPr>
          <w:lang w:eastAsia="zh-CN"/>
        </w:rPr>
      </w:pPr>
    </w:p>
    <w:p w14:paraId="16E0608D">
      <w:pPr>
        <w:pStyle w:val="8"/>
        <w:spacing w:line="272" w:lineRule="auto"/>
        <w:rPr>
          <w:lang w:eastAsia="zh-CN"/>
        </w:rPr>
      </w:pPr>
    </w:p>
    <w:p w14:paraId="5A215E80">
      <w:pPr>
        <w:spacing w:before="78" w:line="222" w:lineRule="auto"/>
        <w:ind w:left="1713"/>
        <w:outlineLvl w:val="2"/>
        <w:rPr>
          <w:rFonts w:ascii="黑体" w:hAnsi="黑体" w:eastAsia="黑体" w:cs="黑体"/>
          <w:color w:val="auto"/>
          <w:sz w:val="24"/>
          <w:szCs w:val="24"/>
          <w:lang w:eastAsia="zh-CN"/>
        </w:rPr>
      </w:pPr>
      <w:bookmarkStart w:id="202" w:name="bookmark220"/>
      <w:bookmarkEnd w:id="202"/>
      <w:r>
        <w:rPr>
          <w:rFonts w:ascii="黑体" w:hAnsi="黑体" w:eastAsia="黑体" w:cs="黑体"/>
          <w:color w:val="auto"/>
          <w:spacing w:val="-4"/>
          <w:sz w:val="24"/>
          <w:szCs w:val="24"/>
          <w:lang w:eastAsia="zh-CN"/>
        </w:rPr>
        <w:t>附表一：招标文件澄清申请函</w:t>
      </w:r>
    </w:p>
    <w:p w14:paraId="2C2656F5">
      <w:pPr>
        <w:pStyle w:val="8"/>
        <w:spacing w:line="251" w:lineRule="auto"/>
        <w:rPr>
          <w:lang w:eastAsia="zh-CN"/>
        </w:rPr>
      </w:pPr>
    </w:p>
    <w:p w14:paraId="5311583C">
      <w:pPr>
        <w:pStyle w:val="8"/>
        <w:spacing w:line="252" w:lineRule="auto"/>
        <w:rPr>
          <w:lang w:eastAsia="zh-CN"/>
        </w:rPr>
      </w:pPr>
    </w:p>
    <w:p w14:paraId="32DE7C00">
      <w:pPr>
        <w:pStyle w:val="8"/>
        <w:spacing w:line="252" w:lineRule="auto"/>
        <w:rPr>
          <w:lang w:eastAsia="zh-CN"/>
        </w:rPr>
      </w:pPr>
    </w:p>
    <w:p w14:paraId="1D8D2F6A">
      <w:pPr>
        <w:pStyle w:val="8"/>
        <w:spacing w:line="252" w:lineRule="auto"/>
        <w:rPr>
          <w:lang w:eastAsia="zh-CN"/>
        </w:rPr>
      </w:pPr>
    </w:p>
    <w:p w14:paraId="570D6F49">
      <w:pPr>
        <w:pStyle w:val="8"/>
        <w:spacing w:line="252" w:lineRule="auto"/>
        <w:rPr>
          <w:lang w:eastAsia="zh-CN"/>
        </w:rPr>
      </w:pPr>
    </w:p>
    <w:p w14:paraId="015AB116">
      <w:pPr>
        <w:pStyle w:val="8"/>
        <w:spacing w:line="252" w:lineRule="auto"/>
        <w:rPr>
          <w:lang w:eastAsia="zh-CN"/>
        </w:rPr>
      </w:pPr>
    </w:p>
    <w:p w14:paraId="453FD357">
      <w:pPr>
        <w:spacing w:before="91" w:line="222" w:lineRule="auto"/>
        <w:ind w:left="4596"/>
        <w:rPr>
          <w:rFonts w:ascii="黑体" w:hAnsi="黑体" w:eastAsia="黑体" w:cs="黑体"/>
          <w:color w:val="auto"/>
          <w:sz w:val="28"/>
          <w:szCs w:val="28"/>
          <w:lang w:eastAsia="zh-CN"/>
        </w:rPr>
      </w:pPr>
      <w:bookmarkStart w:id="203" w:name="bookmark69"/>
      <w:bookmarkEnd w:id="203"/>
      <w:r>
        <w:rPr>
          <w:rFonts w:ascii="黑体" w:hAnsi="黑体" w:eastAsia="黑体" w:cs="黑体"/>
          <w:color w:val="auto"/>
          <w:spacing w:val="-1"/>
          <w:sz w:val="28"/>
          <w:szCs w:val="28"/>
          <w:lang w:eastAsia="zh-CN"/>
        </w:rPr>
        <w:t>招标文件澄清申请函</w:t>
      </w:r>
    </w:p>
    <w:p w14:paraId="466718EC">
      <w:pPr>
        <w:pStyle w:val="8"/>
        <w:spacing w:line="444" w:lineRule="auto"/>
        <w:rPr>
          <w:lang w:eastAsia="zh-CN"/>
        </w:rPr>
      </w:pPr>
    </w:p>
    <w:p w14:paraId="25BE731F">
      <w:pPr>
        <w:spacing w:before="68" w:line="220" w:lineRule="auto"/>
        <w:ind w:left="7685"/>
        <w:rPr>
          <w:rFonts w:ascii="宋体" w:hAnsi="宋体" w:eastAsia="宋体" w:cs="宋体"/>
          <w:color w:val="auto"/>
          <w:lang w:eastAsia="zh-CN"/>
        </w:rPr>
      </w:pPr>
      <w:r>
        <w:rPr>
          <w:rFonts w:ascii="宋体" w:hAnsi="宋体" w:eastAsia="宋体" w:cs="宋体"/>
          <w:color w:val="auto"/>
          <w:spacing w:val="-4"/>
          <w:lang w:eastAsia="zh-CN"/>
        </w:rPr>
        <w:t>编号：</w:t>
      </w:r>
    </w:p>
    <w:p w14:paraId="1A95FA6A">
      <w:pPr>
        <w:pStyle w:val="8"/>
        <w:spacing w:line="298" w:lineRule="auto"/>
        <w:rPr>
          <w:lang w:eastAsia="zh-CN"/>
        </w:rPr>
      </w:pPr>
    </w:p>
    <w:p w14:paraId="5CBC2CC1">
      <w:pPr>
        <w:pStyle w:val="8"/>
        <w:spacing w:line="298" w:lineRule="auto"/>
        <w:rPr>
          <w:lang w:eastAsia="zh-CN"/>
        </w:rPr>
      </w:pPr>
    </w:p>
    <w:p w14:paraId="3A2A4261">
      <w:pPr>
        <w:pStyle w:val="8"/>
        <w:spacing w:line="298" w:lineRule="auto"/>
        <w:rPr>
          <w:lang w:eastAsia="zh-CN"/>
        </w:rPr>
      </w:pPr>
    </w:p>
    <w:p w14:paraId="457F1B97">
      <w:pPr>
        <w:pStyle w:val="8"/>
        <w:spacing w:line="298" w:lineRule="auto"/>
        <w:rPr>
          <w:lang w:eastAsia="zh-CN"/>
        </w:rPr>
      </w:pPr>
    </w:p>
    <w:p w14:paraId="2BC2FF29">
      <w:pPr>
        <w:tabs>
          <w:tab w:val="left" w:pos="4946"/>
        </w:tabs>
        <w:spacing w:before="68" w:line="257" w:lineRule="auto"/>
        <w:ind w:left="1691"/>
        <w:rPr>
          <w:rFonts w:ascii="宋体" w:hAnsi="宋体" w:eastAsia="宋体" w:cs="宋体"/>
          <w:color w:val="auto"/>
          <w:lang w:eastAsia="zh-CN"/>
        </w:rPr>
      </w:pPr>
      <w:r>
        <w:rPr>
          <w:rFonts w:ascii="Times New Roman" w:hAnsi="Times New Roman" w:eastAsia="Times New Roman" w:cs="Times New Roman"/>
          <w:color w:val="auto"/>
          <w:u w:val="single"/>
          <w:lang w:eastAsia="zh-CN"/>
        </w:rPr>
        <w:tab/>
      </w:r>
      <w:r>
        <w:rPr>
          <w:rFonts w:hint="eastAsia" w:ascii="Times New Roman" w:hAnsi="Times New Roman" w:eastAsia="宋体" w:cs="Times New Roman"/>
          <w:color w:val="auto"/>
          <w:spacing w:val="-2"/>
          <w:lang w:eastAsia="zh-CN"/>
        </w:rPr>
        <w:t>（</w:t>
      </w:r>
      <w:r>
        <w:rPr>
          <w:rFonts w:ascii="宋体" w:hAnsi="宋体" w:eastAsia="宋体" w:cs="宋体"/>
          <w:color w:val="auto"/>
          <w:spacing w:val="-2"/>
          <w:lang w:eastAsia="zh-CN"/>
        </w:rPr>
        <w:t>招标人名称</w:t>
      </w:r>
      <w:r>
        <w:rPr>
          <w:rFonts w:hint="eastAsia" w:ascii="Times New Roman" w:hAnsi="Times New Roman" w:eastAsia="宋体" w:cs="Times New Roman"/>
          <w:color w:val="auto"/>
          <w:spacing w:val="-2"/>
          <w:lang w:eastAsia="zh-CN"/>
        </w:rPr>
        <w:t>）</w:t>
      </w:r>
      <w:r>
        <w:rPr>
          <w:rFonts w:ascii="宋体" w:hAnsi="宋体" w:eastAsia="宋体" w:cs="宋体"/>
          <w:color w:val="auto"/>
          <w:spacing w:val="-2"/>
          <w:lang w:eastAsia="zh-CN"/>
        </w:rPr>
        <w:t>：</w:t>
      </w:r>
    </w:p>
    <w:p w14:paraId="22B2E3A5">
      <w:pPr>
        <w:spacing w:before="299" w:line="220" w:lineRule="auto"/>
        <w:ind w:left="2120"/>
        <w:rPr>
          <w:rFonts w:ascii="宋体" w:hAnsi="宋体" w:eastAsia="宋体" w:cs="宋体"/>
          <w:color w:val="auto"/>
          <w:lang w:eastAsia="zh-CN"/>
        </w:rPr>
      </w:pPr>
      <w:r>
        <w:rPr>
          <w:rFonts w:ascii="宋体" w:hAnsi="宋体" w:eastAsia="宋体" w:cs="宋体"/>
          <w:color w:val="auto"/>
          <w:lang w:eastAsia="zh-CN"/>
        </w:rPr>
        <w:t>经过仔细阅读（标段名称）项目（标段唯一标识码</w:t>
      </w:r>
      <w:r>
        <w:rPr>
          <w:rFonts w:ascii="宋体" w:hAnsi="宋体" w:eastAsia="宋体" w:cs="宋体"/>
          <w:color w:val="auto"/>
          <w:spacing w:val="1"/>
          <w:lang w:eastAsia="zh-CN"/>
        </w:rPr>
        <w:t>：）</w:t>
      </w:r>
    </w:p>
    <w:p w14:paraId="7DC5A808">
      <w:pPr>
        <w:pStyle w:val="8"/>
        <w:rPr>
          <w:lang w:eastAsia="zh-CN"/>
        </w:rPr>
      </w:pPr>
    </w:p>
    <w:p w14:paraId="64D4E6CD">
      <w:pPr>
        <w:spacing w:before="69" w:line="220" w:lineRule="auto"/>
        <w:ind w:left="1700"/>
        <w:rPr>
          <w:rFonts w:ascii="宋体" w:hAnsi="宋体" w:eastAsia="宋体" w:cs="宋体"/>
          <w:color w:val="auto"/>
          <w:lang w:eastAsia="zh-CN"/>
        </w:rPr>
      </w:pPr>
      <w:r>
        <w:rPr>
          <w:rFonts w:ascii="宋体" w:hAnsi="宋体" w:eastAsia="宋体" w:cs="宋体"/>
          <w:color w:val="auto"/>
          <w:spacing w:val="-3"/>
          <w:lang w:eastAsia="zh-CN"/>
        </w:rPr>
        <w:t>招标文件后，我方申请对以下问题予以澄清：</w:t>
      </w:r>
    </w:p>
    <w:p w14:paraId="34ABEAD6">
      <w:pPr>
        <w:pStyle w:val="8"/>
        <w:rPr>
          <w:lang w:eastAsia="zh-CN"/>
        </w:rPr>
      </w:pPr>
    </w:p>
    <w:p w14:paraId="7BDB4030">
      <w:pPr>
        <w:spacing w:before="68" w:line="236" w:lineRule="auto"/>
        <w:ind w:left="2030"/>
        <w:rPr>
          <w:rFonts w:ascii="宋体" w:hAnsi="宋体" w:eastAsia="宋体" w:cs="宋体"/>
          <w:color w:val="auto"/>
          <w:lang w:eastAsia="zh-CN"/>
        </w:rPr>
      </w:pP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w:t>
      </w:r>
    </w:p>
    <w:p w14:paraId="6909F84C">
      <w:pPr>
        <w:spacing w:before="292" w:line="236" w:lineRule="auto"/>
        <w:ind w:left="2010"/>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w:t>
      </w:r>
    </w:p>
    <w:p w14:paraId="52A1AFCC">
      <w:pPr>
        <w:spacing w:before="291" w:line="332"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4408F77B">
      <w:pPr>
        <w:pStyle w:val="8"/>
        <w:spacing w:line="259" w:lineRule="auto"/>
        <w:rPr>
          <w:lang w:eastAsia="zh-CN"/>
        </w:rPr>
      </w:pPr>
    </w:p>
    <w:p w14:paraId="5BB854C8">
      <w:pPr>
        <w:pStyle w:val="8"/>
        <w:spacing w:line="259" w:lineRule="auto"/>
        <w:rPr>
          <w:lang w:eastAsia="zh-CN"/>
        </w:rPr>
      </w:pPr>
    </w:p>
    <w:p w14:paraId="480293AB">
      <w:pPr>
        <w:pStyle w:val="8"/>
        <w:spacing w:line="260" w:lineRule="auto"/>
        <w:rPr>
          <w:lang w:eastAsia="zh-CN"/>
        </w:rPr>
      </w:pPr>
    </w:p>
    <w:p w14:paraId="7DD7F223">
      <w:pPr>
        <w:pStyle w:val="8"/>
        <w:spacing w:line="260" w:lineRule="auto"/>
        <w:rPr>
          <w:lang w:eastAsia="zh-CN"/>
        </w:rPr>
      </w:pPr>
    </w:p>
    <w:p w14:paraId="5522814E">
      <w:pPr>
        <w:spacing w:before="68" w:line="220" w:lineRule="auto"/>
        <w:ind w:left="6128"/>
        <w:rPr>
          <w:rFonts w:ascii="宋体" w:hAnsi="宋体" w:eastAsia="宋体" w:cs="宋体"/>
          <w:color w:val="auto"/>
          <w:lang w:eastAsia="zh-CN"/>
        </w:rPr>
      </w:pPr>
      <w:r>
        <w:rPr>
          <w:rFonts w:ascii="宋体" w:hAnsi="宋体" w:eastAsia="宋体" w:cs="宋体"/>
          <w:color w:val="auto"/>
          <w:spacing w:val="-3"/>
          <w:lang w:eastAsia="zh-CN"/>
        </w:rPr>
        <w:t>投标人</w:t>
      </w:r>
      <w:r>
        <w:rPr>
          <w:rFonts w:ascii="宋体" w:hAnsi="宋体" w:eastAsia="宋体" w:cs="宋体"/>
          <w:color w:val="auto"/>
          <w:lang w:eastAsia="zh-CN"/>
        </w:rPr>
        <w:t>： （</w:t>
      </w:r>
      <w:r>
        <w:rPr>
          <w:rFonts w:ascii="宋体" w:hAnsi="宋体" w:eastAsia="宋体" w:cs="宋体"/>
          <w:color w:val="auto"/>
          <w:spacing w:val="-3"/>
          <w:lang w:eastAsia="zh-CN"/>
        </w:rPr>
        <w:t>盖单位章）</w:t>
      </w:r>
    </w:p>
    <w:p w14:paraId="10147293">
      <w:pPr>
        <w:pStyle w:val="8"/>
        <w:spacing w:line="428" w:lineRule="auto"/>
        <w:rPr>
          <w:lang w:eastAsia="zh-CN"/>
        </w:rPr>
      </w:pPr>
    </w:p>
    <w:p w14:paraId="2EFE5630">
      <w:pPr>
        <w:tabs>
          <w:tab w:val="left" w:pos="8515"/>
        </w:tabs>
        <w:spacing w:before="69" w:line="220" w:lineRule="auto"/>
        <w:ind w:left="757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77911493">
      <w:pPr>
        <w:spacing w:line="220" w:lineRule="auto"/>
        <w:rPr>
          <w:rFonts w:ascii="宋体" w:hAnsi="宋体" w:eastAsia="宋体" w:cs="宋体"/>
          <w:color w:val="auto"/>
          <w:lang w:eastAsia="zh-CN"/>
        </w:rPr>
        <w:sectPr>
          <w:headerReference r:id="rId33" w:type="default"/>
          <w:footerReference r:id="rId34" w:type="default"/>
          <w:pgSz w:w="11906" w:h="16839"/>
          <w:pgMar w:top="400" w:right="0" w:bottom="1006" w:left="105" w:header="0" w:footer="846" w:gutter="0"/>
          <w:cols w:space="720" w:num="1"/>
        </w:sectPr>
      </w:pPr>
    </w:p>
    <w:p w14:paraId="00A7FD46">
      <w:pPr>
        <w:pStyle w:val="8"/>
        <w:spacing w:line="260" w:lineRule="auto"/>
        <w:rPr>
          <w:lang w:eastAsia="zh-CN"/>
        </w:rPr>
      </w:pPr>
    </w:p>
    <w:p w14:paraId="0B73443B">
      <w:pPr>
        <w:pStyle w:val="8"/>
        <w:spacing w:line="260" w:lineRule="auto"/>
        <w:rPr>
          <w:lang w:eastAsia="zh-CN"/>
        </w:rPr>
      </w:pPr>
    </w:p>
    <w:p w14:paraId="39809018">
      <w:pPr>
        <w:pStyle w:val="8"/>
        <w:spacing w:line="260" w:lineRule="auto"/>
        <w:rPr>
          <w:lang w:eastAsia="zh-CN"/>
        </w:rPr>
      </w:pPr>
    </w:p>
    <w:p w14:paraId="3F519051">
      <w:pPr>
        <w:pStyle w:val="8"/>
        <w:spacing w:line="260" w:lineRule="auto"/>
        <w:rPr>
          <w:lang w:eastAsia="zh-CN"/>
        </w:rPr>
      </w:pPr>
    </w:p>
    <w:p w14:paraId="256451E0">
      <w:pPr>
        <w:pStyle w:val="8"/>
        <w:spacing w:line="260" w:lineRule="auto"/>
        <w:rPr>
          <w:lang w:eastAsia="zh-CN"/>
        </w:rPr>
      </w:pPr>
    </w:p>
    <w:p w14:paraId="7C72639B">
      <w:pPr>
        <w:pStyle w:val="8"/>
        <w:spacing w:line="260" w:lineRule="auto"/>
        <w:rPr>
          <w:lang w:eastAsia="zh-CN"/>
        </w:rPr>
      </w:pPr>
    </w:p>
    <w:p w14:paraId="5BE80D63">
      <w:pPr>
        <w:spacing w:before="78" w:line="222" w:lineRule="auto"/>
        <w:ind w:left="1713"/>
        <w:outlineLvl w:val="2"/>
        <w:rPr>
          <w:rFonts w:ascii="黑体" w:hAnsi="黑体" w:eastAsia="黑体" w:cs="黑体"/>
          <w:color w:val="auto"/>
          <w:sz w:val="24"/>
          <w:szCs w:val="24"/>
          <w:lang w:eastAsia="zh-CN"/>
        </w:rPr>
      </w:pPr>
      <w:bookmarkStart w:id="204" w:name="bookmark221"/>
      <w:bookmarkEnd w:id="204"/>
      <w:r>
        <w:rPr>
          <w:rFonts w:ascii="黑体" w:hAnsi="黑体" w:eastAsia="黑体" w:cs="黑体"/>
          <w:color w:val="auto"/>
          <w:spacing w:val="-2"/>
          <w:sz w:val="24"/>
          <w:szCs w:val="24"/>
          <w:lang w:eastAsia="zh-CN"/>
        </w:rPr>
        <w:t>附表二：招标文件澄清通知</w:t>
      </w:r>
    </w:p>
    <w:p w14:paraId="77FEA27F">
      <w:pPr>
        <w:pStyle w:val="8"/>
        <w:spacing w:line="264" w:lineRule="auto"/>
        <w:rPr>
          <w:lang w:eastAsia="zh-CN"/>
        </w:rPr>
      </w:pPr>
    </w:p>
    <w:p w14:paraId="14A49FEC">
      <w:pPr>
        <w:pStyle w:val="8"/>
        <w:spacing w:line="264" w:lineRule="auto"/>
        <w:rPr>
          <w:lang w:eastAsia="zh-CN"/>
        </w:rPr>
      </w:pPr>
    </w:p>
    <w:p w14:paraId="4EC90D09">
      <w:pPr>
        <w:pStyle w:val="8"/>
        <w:spacing w:line="265" w:lineRule="auto"/>
        <w:rPr>
          <w:lang w:eastAsia="zh-CN"/>
        </w:rPr>
      </w:pPr>
    </w:p>
    <w:p w14:paraId="7A022538">
      <w:pPr>
        <w:pStyle w:val="8"/>
        <w:spacing w:line="265" w:lineRule="auto"/>
        <w:rPr>
          <w:lang w:eastAsia="zh-CN"/>
        </w:rPr>
      </w:pPr>
    </w:p>
    <w:p w14:paraId="0B7FFB9F">
      <w:pPr>
        <w:pStyle w:val="8"/>
        <w:spacing w:line="265" w:lineRule="auto"/>
        <w:rPr>
          <w:lang w:eastAsia="zh-CN"/>
        </w:rPr>
      </w:pPr>
    </w:p>
    <w:p w14:paraId="0722CE0A">
      <w:pPr>
        <w:pStyle w:val="8"/>
        <w:spacing w:line="265" w:lineRule="auto"/>
        <w:rPr>
          <w:lang w:eastAsia="zh-CN"/>
        </w:rPr>
      </w:pPr>
    </w:p>
    <w:p w14:paraId="1337EB8D">
      <w:pPr>
        <w:spacing w:before="91" w:line="222" w:lineRule="auto"/>
        <w:ind w:left="4736"/>
        <w:rPr>
          <w:rFonts w:ascii="黑体" w:hAnsi="黑体" w:eastAsia="黑体" w:cs="黑体"/>
          <w:color w:val="auto"/>
          <w:sz w:val="28"/>
          <w:szCs w:val="28"/>
          <w:lang w:eastAsia="zh-CN"/>
        </w:rPr>
      </w:pPr>
      <w:bookmarkStart w:id="205" w:name="bookmark70"/>
      <w:bookmarkEnd w:id="205"/>
      <w:r>
        <w:rPr>
          <w:rFonts w:ascii="黑体" w:hAnsi="黑体" w:eastAsia="黑体" w:cs="黑体"/>
          <w:color w:val="auto"/>
          <w:spacing w:val="-2"/>
          <w:sz w:val="28"/>
          <w:szCs w:val="28"/>
          <w:lang w:eastAsia="zh-CN"/>
        </w:rPr>
        <w:t>招标文件澄清通知</w:t>
      </w:r>
    </w:p>
    <w:p w14:paraId="04FAC740">
      <w:pPr>
        <w:pStyle w:val="8"/>
        <w:spacing w:line="444" w:lineRule="auto"/>
        <w:rPr>
          <w:lang w:eastAsia="zh-CN"/>
        </w:rPr>
      </w:pPr>
    </w:p>
    <w:p w14:paraId="6B31BE86">
      <w:pPr>
        <w:spacing w:before="68" w:line="220" w:lineRule="auto"/>
        <w:ind w:left="7685"/>
        <w:rPr>
          <w:rFonts w:ascii="宋体" w:hAnsi="宋体" w:eastAsia="宋体" w:cs="宋体"/>
          <w:color w:val="auto"/>
          <w:lang w:eastAsia="zh-CN"/>
        </w:rPr>
      </w:pPr>
      <w:r>
        <w:rPr>
          <w:rFonts w:ascii="宋体" w:hAnsi="宋体" w:eastAsia="宋体" w:cs="宋体"/>
          <w:color w:val="auto"/>
          <w:spacing w:val="-4"/>
          <w:lang w:eastAsia="zh-CN"/>
        </w:rPr>
        <w:t>编号：</w:t>
      </w:r>
    </w:p>
    <w:p w14:paraId="3F83DBAD">
      <w:pPr>
        <w:pStyle w:val="8"/>
        <w:spacing w:line="427" w:lineRule="auto"/>
        <w:rPr>
          <w:lang w:eastAsia="zh-CN"/>
        </w:rPr>
      </w:pPr>
    </w:p>
    <w:p w14:paraId="706408AF">
      <w:pPr>
        <w:spacing w:before="68" w:line="221" w:lineRule="auto"/>
        <w:ind w:left="1701"/>
        <w:rPr>
          <w:rFonts w:ascii="宋体" w:hAnsi="宋体" w:eastAsia="宋体" w:cs="宋体"/>
          <w:color w:val="auto"/>
          <w:lang w:eastAsia="zh-CN"/>
        </w:rPr>
      </w:pPr>
      <w:r>
        <w:rPr>
          <w:rFonts w:ascii="宋体" w:hAnsi="宋体" w:eastAsia="宋体" w:cs="宋体"/>
          <w:color w:val="auto"/>
          <w:spacing w:val="-10"/>
          <w:lang w:eastAsia="zh-CN"/>
        </w:rPr>
        <w:t>各投标人：</w:t>
      </w:r>
    </w:p>
    <w:p w14:paraId="4311CD3A">
      <w:pPr>
        <w:spacing w:before="308" w:line="220" w:lineRule="auto"/>
        <w:ind w:left="2120"/>
        <w:rPr>
          <w:rFonts w:ascii="宋体" w:hAnsi="宋体" w:eastAsia="宋体" w:cs="宋体"/>
          <w:color w:val="auto"/>
          <w:lang w:eastAsia="zh-CN"/>
        </w:rPr>
      </w:pPr>
      <w:r>
        <w:rPr>
          <w:rFonts w:ascii="宋体" w:hAnsi="宋体" w:eastAsia="宋体" w:cs="宋体"/>
          <w:color w:val="auto"/>
          <w:spacing w:val="8"/>
          <w:lang w:eastAsia="zh-CN"/>
        </w:rPr>
        <w:t>经研究，对（标段名称）项目（标段唯一</w:t>
      </w:r>
      <w:r>
        <w:rPr>
          <w:rFonts w:ascii="宋体" w:hAnsi="宋体" w:eastAsia="宋体" w:cs="宋体"/>
          <w:color w:val="auto"/>
          <w:lang w:eastAsia="zh-CN"/>
        </w:rPr>
        <w:t>标识</w:t>
      </w:r>
    </w:p>
    <w:p w14:paraId="32D2D7EA">
      <w:pPr>
        <w:pStyle w:val="8"/>
        <w:rPr>
          <w:lang w:eastAsia="zh-CN"/>
        </w:rPr>
      </w:pPr>
    </w:p>
    <w:p w14:paraId="435F28C5">
      <w:pPr>
        <w:spacing w:before="69" w:line="220" w:lineRule="auto"/>
        <w:ind w:left="1698"/>
        <w:rPr>
          <w:rFonts w:ascii="宋体" w:hAnsi="宋体" w:eastAsia="宋体" w:cs="宋体"/>
          <w:color w:val="auto"/>
          <w:lang w:eastAsia="zh-CN"/>
        </w:rPr>
      </w:pPr>
      <w:r>
        <w:rPr>
          <w:rFonts w:hint="eastAsia" w:ascii="宋体" w:hAnsi="宋体" w:eastAsia="宋体" w:cs="宋体"/>
          <w:color w:val="auto"/>
          <w:spacing w:val="-4"/>
          <w:lang w:eastAsia="zh-CN"/>
        </w:rPr>
        <w:t>代</w:t>
      </w:r>
      <w:r>
        <w:rPr>
          <w:rFonts w:ascii="宋体" w:hAnsi="宋体" w:eastAsia="宋体" w:cs="宋体"/>
          <w:color w:val="auto"/>
          <w:spacing w:val="-4"/>
          <w:lang w:eastAsia="zh-CN"/>
        </w:rPr>
        <w:t>码</w:t>
      </w:r>
      <w:r>
        <w:rPr>
          <w:rFonts w:ascii="宋体" w:hAnsi="宋体" w:eastAsia="宋体" w:cs="宋体"/>
          <w:color w:val="auto"/>
          <w:spacing w:val="-3"/>
          <w:lang w:eastAsia="zh-CN"/>
        </w:rPr>
        <w:t>：）</w:t>
      </w:r>
      <w:r>
        <w:rPr>
          <w:rFonts w:ascii="宋体" w:hAnsi="宋体" w:eastAsia="宋体" w:cs="宋体"/>
          <w:color w:val="auto"/>
          <w:spacing w:val="-4"/>
          <w:lang w:eastAsia="zh-CN"/>
        </w:rPr>
        <w:t>招标文件，作如下澄清：</w:t>
      </w:r>
    </w:p>
    <w:p w14:paraId="4C287790">
      <w:pPr>
        <w:pStyle w:val="8"/>
        <w:rPr>
          <w:lang w:eastAsia="zh-CN"/>
        </w:rPr>
      </w:pPr>
    </w:p>
    <w:p w14:paraId="49BFDC1B">
      <w:pPr>
        <w:spacing w:before="68" w:line="236" w:lineRule="auto"/>
        <w:ind w:left="2135"/>
        <w:rPr>
          <w:rFonts w:ascii="宋体" w:hAnsi="宋体" w:eastAsia="宋体" w:cs="宋体"/>
          <w:color w:val="auto"/>
          <w:lang w:eastAsia="zh-CN"/>
        </w:rPr>
      </w:pP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w:t>
      </w:r>
    </w:p>
    <w:p w14:paraId="0E67448F">
      <w:pPr>
        <w:spacing w:before="291" w:line="236"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w:t>
      </w:r>
    </w:p>
    <w:p w14:paraId="579D71D1">
      <w:pPr>
        <w:spacing w:before="291" w:line="332"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5EA5B48D">
      <w:pPr>
        <w:pStyle w:val="8"/>
        <w:spacing w:line="268" w:lineRule="auto"/>
        <w:rPr>
          <w:lang w:eastAsia="zh-CN"/>
        </w:rPr>
      </w:pPr>
    </w:p>
    <w:p w14:paraId="689C1AD8">
      <w:pPr>
        <w:pStyle w:val="8"/>
        <w:spacing w:line="269" w:lineRule="auto"/>
        <w:rPr>
          <w:lang w:eastAsia="zh-CN"/>
        </w:rPr>
      </w:pPr>
    </w:p>
    <w:p w14:paraId="11086350">
      <w:pPr>
        <w:pStyle w:val="8"/>
        <w:spacing w:line="269" w:lineRule="auto"/>
        <w:rPr>
          <w:lang w:eastAsia="zh-CN"/>
        </w:rPr>
      </w:pPr>
    </w:p>
    <w:p w14:paraId="4441AEEF">
      <w:pPr>
        <w:pStyle w:val="8"/>
        <w:spacing w:line="269" w:lineRule="auto"/>
        <w:rPr>
          <w:lang w:eastAsia="zh-CN"/>
        </w:rPr>
      </w:pPr>
    </w:p>
    <w:p w14:paraId="06F4CD55">
      <w:pPr>
        <w:pStyle w:val="8"/>
        <w:spacing w:line="269" w:lineRule="auto"/>
        <w:rPr>
          <w:lang w:eastAsia="zh-CN"/>
        </w:rPr>
      </w:pPr>
    </w:p>
    <w:p w14:paraId="3674B068">
      <w:pPr>
        <w:pStyle w:val="8"/>
        <w:spacing w:line="269" w:lineRule="auto"/>
        <w:rPr>
          <w:lang w:eastAsia="zh-CN"/>
        </w:rPr>
      </w:pPr>
    </w:p>
    <w:p w14:paraId="49D72D0D">
      <w:pPr>
        <w:pStyle w:val="8"/>
        <w:spacing w:line="269" w:lineRule="auto"/>
        <w:rPr>
          <w:lang w:eastAsia="zh-CN"/>
        </w:rPr>
      </w:pPr>
    </w:p>
    <w:p w14:paraId="33CC602D">
      <w:pPr>
        <w:pStyle w:val="8"/>
        <w:spacing w:line="269" w:lineRule="auto"/>
        <w:rPr>
          <w:lang w:eastAsia="zh-CN"/>
        </w:rPr>
      </w:pPr>
    </w:p>
    <w:p w14:paraId="506F2BC9">
      <w:pPr>
        <w:spacing w:before="69" w:line="220" w:lineRule="auto"/>
        <w:ind w:left="5917"/>
        <w:rPr>
          <w:rFonts w:ascii="宋体" w:hAnsi="宋体" w:eastAsia="宋体" w:cs="宋体"/>
          <w:color w:val="auto"/>
          <w:lang w:eastAsia="zh-CN"/>
        </w:rPr>
      </w:pPr>
      <w:r>
        <w:rPr>
          <w:rFonts w:ascii="宋体" w:hAnsi="宋体" w:eastAsia="宋体" w:cs="宋体"/>
          <w:color w:val="auto"/>
          <w:spacing w:val="-2"/>
          <w:lang w:eastAsia="zh-CN"/>
        </w:rPr>
        <w:t>招标人</w:t>
      </w:r>
      <w:r>
        <w:rPr>
          <w:rFonts w:ascii="宋体" w:hAnsi="宋体" w:eastAsia="宋体" w:cs="宋体"/>
          <w:color w:val="auto"/>
          <w:spacing w:val="-3"/>
          <w:lang w:eastAsia="zh-CN"/>
        </w:rPr>
        <w:t>：（</w:t>
      </w:r>
      <w:r>
        <w:rPr>
          <w:rFonts w:ascii="宋体" w:hAnsi="宋体" w:eastAsia="宋体" w:cs="宋体"/>
          <w:color w:val="auto"/>
          <w:spacing w:val="-2"/>
          <w:lang w:eastAsia="zh-CN"/>
        </w:rPr>
        <w:t>盖单位章）</w:t>
      </w:r>
    </w:p>
    <w:p w14:paraId="6E37F91C">
      <w:pPr>
        <w:pStyle w:val="8"/>
        <w:spacing w:line="248" w:lineRule="auto"/>
        <w:rPr>
          <w:lang w:eastAsia="zh-CN"/>
        </w:rPr>
      </w:pPr>
    </w:p>
    <w:p w14:paraId="721957F7">
      <w:pPr>
        <w:pStyle w:val="8"/>
        <w:spacing w:line="248" w:lineRule="auto"/>
        <w:rPr>
          <w:lang w:eastAsia="zh-CN"/>
        </w:rPr>
      </w:pPr>
    </w:p>
    <w:p w14:paraId="7A964EC3">
      <w:pPr>
        <w:pStyle w:val="8"/>
        <w:spacing w:line="248" w:lineRule="auto"/>
        <w:rPr>
          <w:lang w:eastAsia="zh-CN"/>
        </w:rPr>
      </w:pPr>
    </w:p>
    <w:p w14:paraId="260BC72C">
      <w:pPr>
        <w:tabs>
          <w:tab w:val="left" w:pos="8515"/>
        </w:tabs>
        <w:spacing w:before="69" w:line="220" w:lineRule="auto"/>
        <w:ind w:left="757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370C5992">
      <w:pPr>
        <w:spacing w:line="220" w:lineRule="auto"/>
        <w:rPr>
          <w:rFonts w:ascii="宋体" w:hAnsi="宋体" w:eastAsia="宋体" w:cs="宋体"/>
          <w:color w:val="auto"/>
          <w:lang w:eastAsia="zh-CN"/>
        </w:rPr>
        <w:sectPr>
          <w:footerReference r:id="rId35" w:type="default"/>
          <w:pgSz w:w="11906" w:h="16839"/>
          <w:pgMar w:top="400" w:right="0" w:bottom="1006" w:left="105" w:header="0" w:footer="846" w:gutter="0"/>
          <w:cols w:space="720" w:num="1"/>
        </w:sectPr>
      </w:pPr>
    </w:p>
    <w:p w14:paraId="639EE35D">
      <w:pPr>
        <w:pStyle w:val="8"/>
        <w:spacing w:line="250" w:lineRule="auto"/>
        <w:rPr>
          <w:lang w:eastAsia="zh-CN"/>
        </w:rPr>
      </w:pPr>
    </w:p>
    <w:p w14:paraId="78D18433">
      <w:pPr>
        <w:pStyle w:val="8"/>
        <w:spacing w:line="250" w:lineRule="auto"/>
        <w:rPr>
          <w:lang w:eastAsia="zh-CN"/>
        </w:rPr>
      </w:pPr>
    </w:p>
    <w:p w14:paraId="1B3878FF">
      <w:pPr>
        <w:pStyle w:val="8"/>
        <w:spacing w:line="250" w:lineRule="auto"/>
        <w:rPr>
          <w:lang w:eastAsia="zh-CN"/>
        </w:rPr>
      </w:pPr>
    </w:p>
    <w:p w14:paraId="30D51C4E">
      <w:pPr>
        <w:pStyle w:val="8"/>
        <w:spacing w:line="250" w:lineRule="auto"/>
        <w:rPr>
          <w:lang w:eastAsia="zh-CN"/>
        </w:rPr>
      </w:pPr>
    </w:p>
    <w:p w14:paraId="67BEF521">
      <w:pPr>
        <w:pStyle w:val="8"/>
        <w:spacing w:line="251" w:lineRule="auto"/>
        <w:rPr>
          <w:lang w:eastAsia="zh-CN"/>
        </w:rPr>
      </w:pPr>
    </w:p>
    <w:p w14:paraId="553CAA8E">
      <w:pPr>
        <w:spacing w:before="78" w:line="222" w:lineRule="auto"/>
        <w:ind w:left="1713"/>
        <w:outlineLvl w:val="2"/>
        <w:rPr>
          <w:rFonts w:ascii="黑体" w:hAnsi="黑体" w:eastAsia="黑体" w:cs="黑体"/>
          <w:color w:val="auto"/>
          <w:sz w:val="24"/>
          <w:szCs w:val="24"/>
          <w:lang w:eastAsia="zh-CN"/>
        </w:rPr>
      </w:pPr>
      <w:bookmarkStart w:id="206" w:name="bookmark222"/>
      <w:bookmarkEnd w:id="206"/>
      <w:r>
        <w:rPr>
          <w:rFonts w:ascii="黑体" w:hAnsi="黑体" w:eastAsia="黑体" w:cs="黑体"/>
          <w:color w:val="auto"/>
          <w:spacing w:val="-2"/>
          <w:sz w:val="24"/>
          <w:szCs w:val="24"/>
          <w:lang w:eastAsia="zh-CN"/>
        </w:rPr>
        <w:t>附表三：招标文件修改通知</w:t>
      </w:r>
    </w:p>
    <w:p w14:paraId="08EE290B">
      <w:pPr>
        <w:pStyle w:val="8"/>
        <w:spacing w:line="264" w:lineRule="auto"/>
        <w:rPr>
          <w:lang w:eastAsia="zh-CN"/>
        </w:rPr>
      </w:pPr>
    </w:p>
    <w:p w14:paraId="4B6F5E4E">
      <w:pPr>
        <w:pStyle w:val="8"/>
        <w:spacing w:line="264" w:lineRule="auto"/>
        <w:rPr>
          <w:lang w:eastAsia="zh-CN"/>
        </w:rPr>
      </w:pPr>
    </w:p>
    <w:p w14:paraId="4C24EE98">
      <w:pPr>
        <w:pStyle w:val="8"/>
        <w:spacing w:line="265" w:lineRule="auto"/>
        <w:rPr>
          <w:lang w:eastAsia="zh-CN"/>
        </w:rPr>
      </w:pPr>
    </w:p>
    <w:p w14:paraId="20503A21">
      <w:pPr>
        <w:pStyle w:val="8"/>
        <w:spacing w:line="265" w:lineRule="auto"/>
        <w:rPr>
          <w:lang w:eastAsia="zh-CN"/>
        </w:rPr>
      </w:pPr>
    </w:p>
    <w:p w14:paraId="176C5DAA">
      <w:pPr>
        <w:pStyle w:val="8"/>
        <w:spacing w:line="265" w:lineRule="auto"/>
        <w:rPr>
          <w:lang w:eastAsia="zh-CN"/>
        </w:rPr>
      </w:pPr>
    </w:p>
    <w:p w14:paraId="76E0683C">
      <w:pPr>
        <w:pStyle w:val="8"/>
        <w:spacing w:line="265" w:lineRule="auto"/>
        <w:rPr>
          <w:lang w:eastAsia="zh-CN"/>
        </w:rPr>
      </w:pPr>
    </w:p>
    <w:p w14:paraId="07D72A0B">
      <w:pPr>
        <w:spacing w:before="91" w:line="222" w:lineRule="auto"/>
        <w:ind w:left="4736"/>
        <w:rPr>
          <w:rFonts w:ascii="黑体" w:hAnsi="黑体" w:eastAsia="黑体" w:cs="黑体"/>
          <w:color w:val="auto"/>
          <w:sz w:val="28"/>
          <w:szCs w:val="28"/>
          <w:lang w:eastAsia="zh-CN"/>
        </w:rPr>
      </w:pPr>
      <w:bookmarkStart w:id="207" w:name="bookmark71"/>
      <w:bookmarkEnd w:id="207"/>
      <w:r>
        <w:rPr>
          <w:rFonts w:ascii="黑体" w:hAnsi="黑体" w:eastAsia="黑体" w:cs="黑体"/>
          <w:color w:val="auto"/>
          <w:spacing w:val="-2"/>
          <w:sz w:val="28"/>
          <w:szCs w:val="28"/>
          <w:lang w:eastAsia="zh-CN"/>
        </w:rPr>
        <w:t>招标文件修改通知</w:t>
      </w:r>
    </w:p>
    <w:p w14:paraId="0589C7C2">
      <w:pPr>
        <w:pStyle w:val="8"/>
        <w:spacing w:line="444" w:lineRule="auto"/>
        <w:rPr>
          <w:lang w:eastAsia="zh-CN"/>
        </w:rPr>
      </w:pPr>
    </w:p>
    <w:p w14:paraId="2102C09F">
      <w:pPr>
        <w:spacing w:before="68" w:line="220" w:lineRule="auto"/>
        <w:ind w:left="7685"/>
        <w:rPr>
          <w:rFonts w:ascii="宋体" w:hAnsi="宋体" w:eastAsia="宋体" w:cs="宋体"/>
          <w:color w:val="auto"/>
          <w:lang w:eastAsia="zh-CN"/>
        </w:rPr>
      </w:pPr>
      <w:r>
        <w:rPr>
          <w:rFonts w:ascii="宋体" w:hAnsi="宋体" w:eastAsia="宋体" w:cs="宋体"/>
          <w:color w:val="auto"/>
          <w:spacing w:val="-4"/>
          <w:lang w:eastAsia="zh-CN"/>
        </w:rPr>
        <w:t>编号：</w:t>
      </w:r>
    </w:p>
    <w:p w14:paraId="134C5106">
      <w:pPr>
        <w:pStyle w:val="8"/>
        <w:spacing w:line="427" w:lineRule="auto"/>
        <w:rPr>
          <w:lang w:eastAsia="zh-CN"/>
        </w:rPr>
      </w:pPr>
    </w:p>
    <w:p w14:paraId="38D7BA77">
      <w:pPr>
        <w:spacing w:before="68" w:line="221" w:lineRule="auto"/>
        <w:ind w:left="1701"/>
        <w:rPr>
          <w:rFonts w:ascii="宋体" w:hAnsi="宋体" w:eastAsia="宋体" w:cs="宋体"/>
          <w:color w:val="auto"/>
          <w:lang w:eastAsia="zh-CN"/>
        </w:rPr>
      </w:pPr>
      <w:r>
        <w:rPr>
          <w:rFonts w:ascii="宋体" w:hAnsi="宋体" w:eastAsia="宋体" w:cs="宋体"/>
          <w:color w:val="auto"/>
          <w:spacing w:val="-10"/>
          <w:lang w:eastAsia="zh-CN"/>
        </w:rPr>
        <w:t>各投标人：</w:t>
      </w:r>
    </w:p>
    <w:p w14:paraId="50C3DDCE">
      <w:pPr>
        <w:spacing w:before="308" w:line="220" w:lineRule="auto"/>
        <w:ind w:left="2120"/>
        <w:rPr>
          <w:rFonts w:eastAsia="宋体"/>
          <w:color w:val="auto"/>
          <w:lang w:eastAsia="zh-CN"/>
        </w:rPr>
      </w:pPr>
      <w:r>
        <w:rPr>
          <w:rFonts w:ascii="宋体" w:hAnsi="宋体" w:eastAsia="宋体" w:cs="宋体"/>
          <w:color w:val="auto"/>
          <w:lang w:eastAsia="zh-CN"/>
        </w:rPr>
        <w:t>经研究，对  （标段名称）项目（标段唯一</w:t>
      </w:r>
      <w:r>
        <w:rPr>
          <w:rFonts w:hint="eastAsia" w:ascii="宋体" w:hAnsi="宋体" w:eastAsia="宋体" w:cs="宋体"/>
          <w:color w:val="auto"/>
          <w:lang w:eastAsia="zh-CN"/>
        </w:rPr>
        <w:t>标识</w:t>
      </w:r>
    </w:p>
    <w:p w14:paraId="6D8428C6">
      <w:pPr>
        <w:spacing w:before="69" w:line="220" w:lineRule="auto"/>
        <w:ind w:left="1700"/>
        <w:rPr>
          <w:rFonts w:ascii="宋体" w:hAnsi="宋体" w:eastAsia="宋体" w:cs="宋体"/>
          <w:color w:val="auto"/>
          <w:lang w:eastAsia="zh-CN"/>
        </w:rPr>
      </w:pPr>
      <w:r>
        <w:rPr>
          <w:rFonts w:ascii="宋体" w:hAnsi="宋体" w:eastAsia="宋体" w:cs="宋体"/>
          <w:color w:val="auto"/>
          <w:spacing w:val="-4"/>
          <w:lang w:eastAsia="zh-CN"/>
        </w:rPr>
        <w:t>码</w:t>
      </w:r>
      <w:r>
        <w:rPr>
          <w:rFonts w:ascii="宋体" w:hAnsi="宋体" w:eastAsia="宋体" w:cs="宋体"/>
          <w:color w:val="auto"/>
          <w:spacing w:val="-2"/>
          <w:lang w:eastAsia="zh-CN"/>
        </w:rPr>
        <w:t>：）</w:t>
      </w:r>
      <w:r>
        <w:rPr>
          <w:rFonts w:ascii="宋体" w:hAnsi="宋体" w:eastAsia="宋体" w:cs="宋体"/>
          <w:color w:val="auto"/>
          <w:spacing w:val="-4"/>
          <w:lang w:eastAsia="zh-CN"/>
        </w:rPr>
        <w:t>招标文件，作如下修改：</w:t>
      </w:r>
    </w:p>
    <w:p w14:paraId="2B136390">
      <w:pPr>
        <w:pStyle w:val="8"/>
        <w:rPr>
          <w:lang w:eastAsia="zh-CN"/>
        </w:rPr>
      </w:pPr>
    </w:p>
    <w:p w14:paraId="12C99B59">
      <w:pPr>
        <w:spacing w:before="68" w:line="236" w:lineRule="auto"/>
        <w:ind w:left="2135"/>
        <w:rPr>
          <w:rFonts w:ascii="宋体" w:hAnsi="宋体" w:eastAsia="宋体" w:cs="宋体"/>
          <w:color w:val="auto"/>
          <w:lang w:eastAsia="zh-CN"/>
        </w:rPr>
      </w:pP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w:t>
      </w:r>
    </w:p>
    <w:p w14:paraId="1C598DB5">
      <w:pPr>
        <w:spacing w:before="291" w:line="236"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w:t>
      </w:r>
    </w:p>
    <w:p w14:paraId="565FC2A2">
      <w:pPr>
        <w:spacing w:before="291" w:line="332"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03331BE3">
      <w:pPr>
        <w:pStyle w:val="8"/>
        <w:spacing w:line="268" w:lineRule="auto"/>
        <w:rPr>
          <w:lang w:eastAsia="zh-CN"/>
        </w:rPr>
      </w:pPr>
    </w:p>
    <w:p w14:paraId="5EE2850D">
      <w:pPr>
        <w:pStyle w:val="8"/>
        <w:spacing w:line="269" w:lineRule="auto"/>
        <w:rPr>
          <w:lang w:eastAsia="zh-CN"/>
        </w:rPr>
      </w:pPr>
    </w:p>
    <w:p w14:paraId="53367B6C">
      <w:pPr>
        <w:pStyle w:val="8"/>
        <w:spacing w:line="269" w:lineRule="auto"/>
        <w:rPr>
          <w:lang w:eastAsia="zh-CN"/>
        </w:rPr>
      </w:pPr>
    </w:p>
    <w:p w14:paraId="7548CF82">
      <w:pPr>
        <w:pStyle w:val="8"/>
        <w:spacing w:line="269" w:lineRule="auto"/>
        <w:rPr>
          <w:lang w:eastAsia="zh-CN"/>
        </w:rPr>
      </w:pPr>
    </w:p>
    <w:p w14:paraId="4D12CC2D">
      <w:pPr>
        <w:pStyle w:val="8"/>
        <w:spacing w:line="269" w:lineRule="auto"/>
        <w:rPr>
          <w:lang w:eastAsia="zh-CN"/>
        </w:rPr>
      </w:pPr>
    </w:p>
    <w:p w14:paraId="1AD6897E">
      <w:pPr>
        <w:pStyle w:val="8"/>
        <w:spacing w:line="269" w:lineRule="auto"/>
        <w:rPr>
          <w:lang w:eastAsia="zh-CN"/>
        </w:rPr>
      </w:pPr>
    </w:p>
    <w:p w14:paraId="16C535F4">
      <w:pPr>
        <w:pStyle w:val="8"/>
        <w:spacing w:line="269" w:lineRule="auto"/>
        <w:rPr>
          <w:lang w:eastAsia="zh-CN"/>
        </w:rPr>
      </w:pPr>
    </w:p>
    <w:p w14:paraId="65A1123A">
      <w:pPr>
        <w:pStyle w:val="8"/>
        <w:spacing w:line="269" w:lineRule="auto"/>
        <w:rPr>
          <w:lang w:eastAsia="zh-CN"/>
        </w:rPr>
      </w:pPr>
    </w:p>
    <w:p w14:paraId="23AEFA85">
      <w:pPr>
        <w:spacing w:before="69" w:line="220" w:lineRule="auto"/>
        <w:ind w:left="5917"/>
        <w:rPr>
          <w:rFonts w:ascii="宋体" w:hAnsi="宋体" w:eastAsia="宋体" w:cs="宋体"/>
          <w:color w:val="auto"/>
          <w:lang w:eastAsia="zh-CN"/>
        </w:rPr>
      </w:pPr>
      <w:r>
        <w:rPr>
          <w:rFonts w:ascii="宋体" w:hAnsi="宋体" w:eastAsia="宋体" w:cs="宋体"/>
          <w:color w:val="auto"/>
          <w:spacing w:val="-2"/>
          <w:lang w:eastAsia="zh-CN"/>
        </w:rPr>
        <w:t>招标人</w:t>
      </w:r>
      <w:r>
        <w:rPr>
          <w:rFonts w:ascii="宋体" w:hAnsi="宋体" w:eastAsia="宋体" w:cs="宋体"/>
          <w:color w:val="auto"/>
          <w:spacing w:val="-3"/>
          <w:lang w:eastAsia="zh-CN"/>
        </w:rPr>
        <w:t>：（</w:t>
      </w:r>
      <w:r>
        <w:rPr>
          <w:rFonts w:ascii="宋体" w:hAnsi="宋体" w:eastAsia="宋体" w:cs="宋体"/>
          <w:color w:val="auto"/>
          <w:spacing w:val="-2"/>
          <w:lang w:eastAsia="zh-CN"/>
        </w:rPr>
        <w:t>盖单位章）</w:t>
      </w:r>
    </w:p>
    <w:p w14:paraId="75C64586">
      <w:pPr>
        <w:pStyle w:val="8"/>
        <w:spacing w:line="248" w:lineRule="auto"/>
        <w:rPr>
          <w:lang w:eastAsia="zh-CN"/>
        </w:rPr>
      </w:pPr>
    </w:p>
    <w:p w14:paraId="36E2D97A">
      <w:pPr>
        <w:pStyle w:val="8"/>
        <w:spacing w:line="248" w:lineRule="auto"/>
        <w:rPr>
          <w:lang w:eastAsia="zh-CN"/>
        </w:rPr>
      </w:pPr>
    </w:p>
    <w:p w14:paraId="0FC55D3D">
      <w:pPr>
        <w:pStyle w:val="8"/>
        <w:spacing w:line="248" w:lineRule="auto"/>
        <w:rPr>
          <w:lang w:eastAsia="zh-CN"/>
        </w:rPr>
      </w:pPr>
    </w:p>
    <w:p w14:paraId="458E9636">
      <w:pPr>
        <w:tabs>
          <w:tab w:val="left" w:pos="8410"/>
        </w:tabs>
        <w:spacing w:before="69" w:line="220" w:lineRule="auto"/>
        <w:ind w:left="7466"/>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2C80F33B">
      <w:pPr>
        <w:spacing w:line="220" w:lineRule="auto"/>
        <w:rPr>
          <w:rFonts w:ascii="宋体" w:hAnsi="宋体" w:eastAsia="宋体" w:cs="宋体"/>
          <w:color w:val="auto"/>
          <w:lang w:eastAsia="zh-CN"/>
        </w:rPr>
        <w:sectPr>
          <w:footerReference r:id="rId36" w:type="default"/>
          <w:pgSz w:w="11906" w:h="16839"/>
          <w:pgMar w:top="400" w:right="0" w:bottom="1006" w:left="105" w:header="0" w:footer="846" w:gutter="0"/>
          <w:cols w:space="720" w:num="1"/>
        </w:sectPr>
      </w:pPr>
    </w:p>
    <w:p w14:paraId="3A871B37">
      <w:pPr>
        <w:pStyle w:val="8"/>
        <w:spacing w:line="250" w:lineRule="auto"/>
        <w:rPr>
          <w:lang w:eastAsia="zh-CN"/>
        </w:rPr>
      </w:pPr>
    </w:p>
    <w:p w14:paraId="05C9AA8C">
      <w:pPr>
        <w:pStyle w:val="8"/>
        <w:spacing w:line="250" w:lineRule="auto"/>
        <w:rPr>
          <w:lang w:eastAsia="zh-CN"/>
        </w:rPr>
      </w:pPr>
    </w:p>
    <w:p w14:paraId="29CB2A93">
      <w:pPr>
        <w:pStyle w:val="8"/>
        <w:spacing w:line="250" w:lineRule="auto"/>
        <w:rPr>
          <w:lang w:eastAsia="zh-CN"/>
        </w:rPr>
      </w:pPr>
    </w:p>
    <w:p w14:paraId="4874CE10">
      <w:pPr>
        <w:pStyle w:val="8"/>
        <w:spacing w:line="250" w:lineRule="auto"/>
        <w:rPr>
          <w:lang w:eastAsia="zh-CN"/>
        </w:rPr>
      </w:pPr>
    </w:p>
    <w:p w14:paraId="6E2EF38C">
      <w:pPr>
        <w:pStyle w:val="8"/>
        <w:spacing w:line="251" w:lineRule="auto"/>
        <w:rPr>
          <w:lang w:eastAsia="zh-CN"/>
        </w:rPr>
      </w:pPr>
    </w:p>
    <w:p w14:paraId="124DD433">
      <w:pPr>
        <w:spacing w:before="78" w:line="221" w:lineRule="auto"/>
        <w:ind w:left="1713"/>
        <w:outlineLvl w:val="2"/>
        <w:rPr>
          <w:rFonts w:ascii="黑体" w:hAnsi="黑体" w:eastAsia="黑体" w:cs="黑体"/>
          <w:color w:val="auto"/>
          <w:sz w:val="24"/>
          <w:szCs w:val="24"/>
          <w:lang w:eastAsia="zh-CN"/>
        </w:rPr>
      </w:pPr>
      <w:bookmarkStart w:id="208" w:name="bookmark223"/>
      <w:bookmarkEnd w:id="208"/>
      <w:r>
        <w:rPr>
          <w:rFonts w:ascii="黑体" w:hAnsi="黑体" w:eastAsia="黑体" w:cs="黑体"/>
          <w:color w:val="auto"/>
          <w:spacing w:val="-2"/>
          <w:sz w:val="24"/>
          <w:szCs w:val="24"/>
          <w:lang w:eastAsia="zh-CN"/>
        </w:rPr>
        <w:t>附表四：投标文件递交电子签收凭证</w:t>
      </w:r>
    </w:p>
    <w:p w14:paraId="07ED8E80">
      <w:pPr>
        <w:pStyle w:val="8"/>
        <w:spacing w:line="247" w:lineRule="auto"/>
        <w:rPr>
          <w:lang w:eastAsia="zh-CN"/>
        </w:rPr>
      </w:pPr>
    </w:p>
    <w:p w14:paraId="34E9F7F4">
      <w:pPr>
        <w:pStyle w:val="8"/>
        <w:spacing w:line="248" w:lineRule="auto"/>
        <w:rPr>
          <w:lang w:eastAsia="zh-CN"/>
        </w:rPr>
      </w:pPr>
    </w:p>
    <w:p w14:paraId="3659A155">
      <w:pPr>
        <w:pStyle w:val="8"/>
        <w:spacing w:line="248" w:lineRule="auto"/>
        <w:rPr>
          <w:lang w:eastAsia="zh-CN"/>
        </w:rPr>
      </w:pPr>
    </w:p>
    <w:p w14:paraId="2717B9C4">
      <w:pPr>
        <w:pStyle w:val="8"/>
        <w:spacing w:line="248" w:lineRule="auto"/>
        <w:rPr>
          <w:lang w:eastAsia="zh-CN"/>
        </w:rPr>
      </w:pPr>
    </w:p>
    <w:p w14:paraId="2A8F60C9">
      <w:pPr>
        <w:pStyle w:val="8"/>
        <w:spacing w:line="248" w:lineRule="auto"/>
        <w:rPr>
          <w:lang w:eastAsia="zh-CN"/>
        </w:rPr>
      </w:pPr>
    </w:p>
    <w:p w14:paraId="091BC13E">
      <w:pPr>
        <w:spacing w:before="91" w:line="221" w:lineRule="auto"/>
        <w:ind w:left="4175"/>
        <w:rPr>
          <w:rFonts w:ascii="黑体" w:hAnsi="黑体" w:eastAsia="黑体" w:cs="黑体"/>
          <w:color w:val="auto"/>
          <w:sz w:val="28"/>
          <w:szCs w:val="28"/>
          <w:lang w:eastAsia="zh-CN"/>
        </w:rPr>
      </w:pPr>
      <w:bookmarkStart w:id="209" w:name="bookmark72"/>
      <w:bookmarkEnd w:id="209"/>
      <w:r>
        <w:rPr>
          <w:rFonts w:ascii="黑体" w:hAnsi="黑体" w:eastAsia="黑体" w:cs="黑体"/>
          <w:color w:val="auto"/>
          <w:spacing w:val="-1"/>
          <w:sz w:val="28"/>
          <w:szCs w:val="28"/>
          <w:lang w:eastAsia="zh-CN"/>
        </w:rPr>
        <w:t>投标文件递交电子签收凭证</w:t>
      </w:r>
    </w:p>
    <w:p w14:paraId="07DC6D0D">
      <w:pPr>
        <w:pStyle w:val="8"/>
        <w:spacing w:line="252" w:lineRule="auto"/>
        <w:rPr>
          <w:lang w:eastAsia="zh-CN"/>
        </w:rPr>
      </w:pPr>
    </w:p>
    <w:p w14:paraId="62E84CE6">
      <w:pPr>
        <w:pStyle w:val="8"/>
        <w:spacing w:line="252" w:lineRule="auto"/>
        <w:rPr>
          <w:lang w:eastAsia="zh-CN"/>
        </w:rPr>
      </w:pPr>
    </w:p>
    <w:p w14:paraId="15956B50">
      <w:pPr>
        <w:pStyle w:val="8"/>
        <w:spacing w:line="252" w:lineRule="auto"/>
        <w:rPr>
          <w:lang w:eastAsia="zh-CN"/>
        </w:rPr>
      </w:pPr>
    </w:p>
    <w:p w14:paraId="5182883E">
      <w:pPr>
        <w:tabs>
          <w:tab w:val="left" w:pos="3896"/>
        </w:tabs>
        <w:spacing w:before="68" w:line="221" w:lineRule="auto"/>
        <w:ind w:left="211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7"/>
          <w:lang w:eastAsia="zh-CN"/>
        </w:rPr>
        <w:t>（投标人名称</w:t>
      </w:r>
      <w:r>
        <w:rPr>
          <w:rFonts w:ascii="宋体" w:hAnsi="宋体" w:eastAsia="宋体" w:cs="宋体"/>
          <w:color w:val="auto"/>
          <w:spacing w:val="-9"/>
          <w:lang w:eastAsia="zh-CN"/>
        </w:rPr>
        <w:t>）：</w:t>
      </w:r>
    </w:p>
    <w:p w14:paraId="287FA312">
      <w:pPr>
        <w:spacing w:before="292" w:line="361" w:lineRule="auto"/>
        <w:ind w:left="1698" w:right="1797" w:firstLine="422"/>
        <w:rPr>
          <w:rFonts w:ascii="宋体" w:hAnsi="宋体" w:eastAsia="宋体" w:cs="宋体"/>
          <w:color w:val="auto"/>
          <w:lang w:eastAsia="zh-CN"/>
        </w:rPr>
      </w:pPr>
      <w:r>
        <w:rPr>
          <w:rFonts w:ascii="宋体" w:hAnsi="宋体" w:eastAsia="宋体" w:cs="宋体"/>
          <w:color w:val="auto"/>
          <w:spacing w:val="2"/>
          <w:lang w:eastAsia="zh-CN"/>
        </w:rPr>
        <w:t>您单位参与的（标段名称）项目（标段唯一标识</w:t>
      </w:r>
      <w:r>
        <w:rPr>
          <w:rFonts w:ascii="宋体" w:hAnsi="宋体" w:eastAsia="宋体" w:cs="宋体"/>
          <w:color w:val="auto"/>
          <w:spacing w:val="-5"/>
          <w:lang w:eastAsia="zh-CN"/>
        </w:rPr>
        <w:t>码</w:t>
      </w:r>
      <w:r>
        <w:rPr>
          <w:rFonts w:ascii="宋体" w:hAnsi="宋体" w:eastAsia="宋体" w:cs="宋体"/>
          <w:color w:val="auto"/>
          <w:spacing w:val="-41"/>
          <w:lang w:eastAsia="zh-CN"/>
        </w:rPr>
        <w:t>：），</w:t>
      </w:r>
      <w:r>
        <w:rPr>
          <w:rFonts w:ascii="宋体" w:hAnsi="宋体" w:eastAsia="宋体" w:cs="宋体"/>
          <w:color w:val="auto"/>
          <w:spacing w:val="-5"/>
          <w:lang w:eastAsia="zh-CN"/>
        </w:rPr>
        <w:t>投标文件于年月日时分秒</w:t>
      </w:r>
      <w:r>
        <w:rPr>
          <w:rFonts w:ascii="宋体" w:hAnsi="宋体" w:eastAsia="宋体" w:cs="宋体"/>
          <w:color w:val="auto"/>
          <w:spacing w:val="-6"/>
          <w:lang w:eastAsia="zh-CN"/>
        </w:rPr>
        <w:t>上传成功。</w:t>
      </w:r>
    </w:p>
    <w:p w14:paraId="1F533DED">
      <w:pPr>
        <w:pStyle w:val="8"/>
        <w:spacing w:line="288" w:lineRule="auto"/>
        <w:rPr>
          <w:lang w:eastAsia="zh-CN"/>
        </w:rPr>
      </w:pPr>
    </w:p>
    <w:p w14:paraId="7C188136">
      <w:pPr>
        <w:spacing w:before="69" w:line="220" w:lineRule="auto"/>
        <w:ind w:left="2122"/>
        <w:rPr>
          <w:rFonts w:ascii="宋体" w:hAnsi="宋体" w:eastAsia="宋体" w:cs="宋体"/>
          <w:color w:val="auto"/>
          <w:lang w:eastAsia="zh-CN"/>
        </w:rPr>
      </w:pPr>
      <w:r>
        <w:rPr>
          <w:rFonts w:ascii="宋体" w:hAnsi="宋体" w:eastAsia="宋体" w:cs="宋体"/>
          <w:color w:val="auto"/>
          <w:spacing w:val="-2"/>
          <w:lang w:eastAsia="zh-CN"/>
        </w:rPr>
        <w:t>项目负责人：</w:t>
      </w:r>
    </w:p>
    <w:p w14:paraId="15D17FC7">
      <w:pPr>
        <w:spacing w:before="230" w:line="220" w:lineRule="auto"/>
        <w:ind w:left="2139"/>
        <w:rPr>
          <w:rFonts w:ascii="宋体" w:hAnsi="宋体" w:eastAsia="宋体" w:cs="宋体"/>
          <w:color w:val="auto"/>
          <w:lang w:eastAsia="zh-CN"/>
        </w:rPr>
      </w:pPr>
      <w:r>
        <w:rPr>
          <w:rFonts w:ascii="宋体" w:hAnsi="宋体" w:eastAsia="宋体" w:cs="宋体"/>
          <w:color w:val="auto"/>
          <w:spacing w:val="-8"/>
          <w:lang w:eastAsia="zh-CN"/>
        </w:rPr>
        <w:t>回执码：</w:t>
      </w:r>
    </w:p>
    <w:p w14:paraId="2D97CB65">
      <w:pPr>
        <w:spacing w:line="220" w:lineRule="auto"/>
        <w:rPr>
          <w:rFonts w:ascii="宋体" w:hAnsi="宋体" w:eastAsia="宋体" w:cs="宋体"/>
          <w:color w:val="auto"/>
          <w:lang w:eastAsia="zh-CN"/>
        </w:rPr>
        <w:sectPr>
          <w:headerReference r:id="rId37" w:type="default"/>
          <w:footerReference r:id="rId38" w:type="default"/>
          <w:pgSz w:w="11906" w:h="16839"/>
          <w:pgMar w:top="400" w:right="0" w:bottom="1006" w:left="105" w:header="0" w:footer="846" w:gutter="0"/>
          <w:cols w:space="720" w:num="1"/>
        </w:sectPr>
      </w:pPr>
    </w:p>
    <w:p w14:paraId="5DC72361">
      <w:pPr>
        <w:pStyle w:val="8"/>
        <w:spacing w:line="267" w:lineRule="auto"/>
        <w:rPr>
          <w:lang w:eastAsia="zh-CN"/>
        </w:rPr>
      </w:pPr>
    </w:p>
    <w:p w14:paraId="690B64AC">
      <w:pPr>
        <w:pStyle w:val="8"/>
        <w:spacing w:line="267" w:lineRule="auto"/>
        <w:rPr>
          <w:lang w:eastAsia="zh-CN"/>
        </w:rPr>
      </w:pPr>
    </w:p>
    <w:p w14:paraId="2EA9D381">
      <w:pPr>
        <w:pStyle w:val="8"/>
        <w:spacing w:line="268" w:lineRule="auto"/>
        <w:rPr>
          <w:lang w:eastAsia="zh-CN"/>
        </w:rPr>
      </w:pPr>
    </w:p>
    <w:p w14:paraId="003035DA">
      <w:pPr>
        <w:pStyle w:val="8"/>
        <w:spacing w:line="268" w:lineRule="auto"/>
        <w:rPr>
          <w:lang w:eastAsia="zh-CN"/>
        </w:rPr>
      </w:pPr>
    </w:p>
    <w:p w14:paraId="35DEF017">
      <w:pPr>
        <w:pStyle w:val="8"/>
        <w:spacing w:line="268" w:lineRule="auto"/>
        <w:rPr>
          <w:lang w:eastAsia="zh-CN"/>
        </w:rPr>
      </w:pPr>
    </w:p>
    <w:p w14:paraId="6BD3F2DB">
      <w:pPr>
        <w:pStyle w:val="8"/>
        <w:spacing w:line="268" w:lineRule="auto"/>
        <w:rPr>
          <w:lang w:eastAsia="zh-CN"/>
        </w:rPr>
      </w:pPr>
    </w:p>
    <w:p w14:paraId="0CA863A0">
      <w:pPr>
        <w:spacing w:before="78" w:line="222" w:lineRule="auto"/>
        <w:ind w:left="1356"/>
        <w:outlineLvl w:val="2"/>
        <w:rPr>
          <w:rFonts w:ascii="黑体" w:hAnsi="黑体" w:eastAsia="黑体" w:cs="黑体"/>
          <w:color w:val="auto"/>
          <w:sz w:val="24"/>
          <w:szCs w:val="24"/>
          <w:lang w:eastAsia="zh-CN"/>
        </w:rPr>
      </w:pPr>
      <w:bookmarkStart w:id="210" w:name="bookmark73"/>
      <w:bookmarkEnd w:id="210"/>
      <w:r>
        <w:rPr>
          <w:rFonts w:ascii="黑体" w:hAnsi="黑体" w:eastAsia="黑体" w:cs="黑体"/>
          <w:color w:val="auto"/>
          <w:spacing w:val="-3"/>
          <w:sz w:val="24"/>
          <w:szCs w:val="24"/>
          <w:lang w:eastAsia="zh-CN"/>
        </w:rPr>
        <w:t>附表五：开标记录表</w:t>
      </w:r>
    </w:p>
    <w:p w14:paraId="5569573C">
      <w:pPr>
        <w:pStyle w:val="8"/>
        <w:spacing w:line="458" w:lineRule="auto"/>
        <w:rPr>
          <w:lang w:eastAsia="zh-CN"/>
        </w:rPr>
      </w:pPr>
    </w:p>
    <w:p w14:paraId="5369327B">
      <w:pPr>
        <w:tabs>
          <w:tab w:val="left" w:pos="7634"/>
        </w:tabs>
        <w:spacing w:before="91" w:line="222" w:lineRule="auto"/>
        <w:ind w:left="4414"/>
        <w:rPr>
          <w:rFonts w:ascii="黑体" w:hAnsi="黑体" w:eastAsia="黑体" w:cs="黑体"/>
          <w:color w:val="auto"/>
          <w:sz w:val="28"/>
          <w:szCs w:val="28"/>
          <w:lang w:eastAsia="zh-CN"/>
        </w:rPr>
      </w:pPr>
      <w:r>
        <w:rPr>
          <w:rFonts w:ascii="黑体" w:hAnsi="黑体" w:eastAsia="黑体" w:cs="黑体"/>
          <w:color w:val="auto"/>
          <w:sz w:val="28"/>
          <w:szCs w:val="28"/>
          <w:u w:val="single"/>
          <w:lang w:eastAsia="zh-CN"/>
        </w:rPr>
        <w:tab/>
      </w:r>
      <w:r>
        <w:rPr>
          <w:rFonts w:ascii="黑体" w:hAnsi="黑体" w:eastAsia="黑体" w:cs="黑体"/>
          <w:color w:val="auto"/>
          <w:spacing w:val="-1"/>
          <w:sz w:val="28"/>
          <w:szCs w:val="28"/>
          <w:lang w:eastAsia="zh-CN"/>
        </w:rPr>
        <w:t>（标段名称）项目开标记录表</w:t>
      </w:r>
    </w:p>
    <w:p w14:paraId="7A78A0CE">
      <w:pPr>
        <w:pStyle w:val="8"/>
        <w:spacing w:line="294" w:lineRule="auto"/>
        <w:rPr>
          <w:lang w:eastAsia="zh-CN"/>
        </w:rPr>
      </w:pPr>
    </w:p>
    <w:p w14:paraId="75550438">
      <w:pPr>
        <w:spacing w:before="68" w:line="220" w:lineRule="auto"/>
        <w:ind w:left="1343"/>
        <w:rPr>
          <w:rFonts w:ascii="宋体" w:hAnsi="宋体" w:eastAsia="宋体" w:cs="宋体"/>
          <w:color w:val="auto"/>
          <w:lang w:eastAsia="zh-CN"/>
        </w:rPr>
      </w:pPr>
      <w:r>
        <w:rPr>
          <w:rFonts w:ascii="宋体" w:hAnsi="宋体" w:eastAsia="宋体" w:cs="宋体"/>
          <w:color w:val="auto"/>
          <w:spacing w:val="-4"/>
          <w:lang w:eastAsia="zh-CN"/>
        </w:rPr>
        <w:t>开标时间：年月日时分开标地点：  开标方式：</w:t>
      </w:r>
    </w:p>
    <w:p w14:paraId="49830AFC">
      <w:pPr>
        <w:spacing w:line="102" w:lineRule="auto"/>
        <w:rPr>
          <w:color w:val="auto"/>
          <w:sz w:val="2"/>
          <w:lang w:eastAsia="zh-CN"/>
        </w:rPr>
      </w:pPr>
    </w:p>
    <w:tbl>
      <w:tblPr>
        <w:tblStyle w:val="20"/>
        <w:tblW w:w="14134" w:type="dxa"/>
        <w:tblInd w:w="1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1584"/>
        <w:gridCol w:w="1535"/>
        <w:gridCol w:w="1371"/>
        <w:gridCol w:w="1134"/>
        <w:gridCol w:w="1416"/>
        <w:gridCol w:w="974"/>
        <w:gridCol w:w="1206"/>
        <w:gridCol w:w="1073"/>
        <w:gridCol w:w="1984"/>
        <w:gridCol w:w="1150"/>
      </w:tblGrid>
      <w:tr w14:paraId="4E0AB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7" w:type="dxa"/>
            <w:vMerge w:val="restart"/>
            <w:tcBorders>
              <w:bottom w:val="nil"/>
            </w:tcBorders>
          </w:tcPr>
          <w:p w14:paraId="41C4D467">
            <w:pPr>
              <w:pStyle w:val="21"/>
              <w:spacing w:before="281" w:line="222" w:lineRule="auto"/>
              <w:ind w:left="143"/>
              <w:rPr>
                <w:color w:val="auto"/>
              </w:rPr>
            </w:pPr>
            <w:r>
              <w:rPr>
                <w:color w:val="auto"/>
                <w:spacing w:val="-2"/>
              </w:rPr>
              <w:t>序号</w:t>
            </w:r>
          </w:p>
        </w:tc>
        <w:tc>
          <w:tcPr>
            <w:tcW w:w="1584" w:type="dxa"/>
            <w:vMerge w:val="restart"/>
            <w:tcBorders>
              <w:bottom w:val="nil"/>
            </w:tcBorders>
          </w:tcPr>
          <w:p w14:paraId="3839A2B1">
            <w:pPr>
              <w:pStyle w:val="21"/>
              <w:spacing w:before="281" w:line="221" w:lineRule="auto"/>
              <w:ind w:left="269"/>
              <w:rPr>
                <w:color w:val="auto"/>
              </w:rPr>
            </w:pPr>
            <w:r>
              <w:rPr>
                <w:color w:val="auto"/>
                <w:spacing w:val="-2"/>
              </w:rPr>
              <w:t>投标人名称</w:t>
            </w:r>
          </w:p>
        </w:tc>
        <w:tc>
          <w:tcPr>
            <w:tcW w:w="1535" w:type="dxa"/>
            <w:vMerge w:val="restart"/>
            <w:tcBorders>
              <w:bottom w:val="nil"/>
            </w:tcBorders>
          </w:tcPr>
          <w:p w14:paraId="636F6632">
            <w:pPr>
              <w:pStyle w:val="21"/>
              <w:spacing w:before="281" w:line="219" w:lineRule="auto"/>
              <w:ind w:left="35"/>
              <w:rPr>
                <w:color w:val="auto"/>
              </w:rPr>
            </w:pPr>
            <w:r>
              <w:rPr>
                <w:color w:val="auto"/>
                <w:spacing w:val="-4"/>
              </w:rPr>
              <w:t>投标报价（元）</w:t>
            </w:r>
          </w:p>
        </w:tc>
        <w:tc>
          <w:tcPr>
            <w:tcW w:w="1371" w:type="dxa"/>
            <w:vMerge w:val="restart"/>
            <w:tcBorders>
              <w:bottom w:val="nil"/>
            </w:tcBorders>
          </w:tcPr>
          <w:p w14:paraId="32351558">
            <w:pPr>
              <w:pStyle w:val="21"/>
              <w:spacing w:before="145" w:line="242" w:lineRule="auto"/>
              <w:ind w:left="167" w:right="170" w:firstLine="204"/>
              <w:rPr>
                <w:color w:val="auto"/>
              </w:rPr>
            </w:pPr>
            <w:r>
              <w:rPr>
                <w:color w:val="auto"/>
                <w:spacing w:val="-3"/>
              </w:rPr>
              <w:t>供货期</w:t>
            </w:r>
            <w:r>
              <w:rPr>
                <w:color w:val="auto"/>
                <w:spacing w:val="-6"/>
              </w:rPr>
              <w:t>（日历天）</w:t>
            </w:r>
          </w:p>
        </w:tc>
        <w:tc>
          <w:tcPr>
            <w:tcW w:w="1134" w:type="dxa"/>
            <w:vMerge w:val="restart"/>
            <w:tcBorders>
              <w:bottom w:val="nil"/>
            </w:tcBorders>
          </w:tcPr>
          <w:p w14:paraId="02E6337E">
            <w:pPr>
              <w:pStyle w:val="21"/>
              <w:spacing w:before="281" w:line="221" w:lineRule="auto"/>
              <w:ind w:left="150"/>
              <w:rPr>
                <w:color w:val="auto"/>
              </w:rPr>
            </w:pPr>
            <w:r>
              <w:rPr>
                <w:color w:val="auto"/>
                <w:spacing w:val="-2"/>
              </w:rPr>
              <w:t>质量标准</w:t>
            </w:r>
          </w:p>
        </w:tc>
        <w:tc>
          <w:tcPr>
            <w:tcW w:w="1416" w:type="dxa"/>
            <w:vMerge w:val="restart"/>
            <w:tcBorders>
              <w:bottom w:val="nil"/>
            </w:tcBorders>
          </w:tcPr>
          <w:p w14:paraId="4AC9D1F3">
            <w:pPr>
              <w:pStyle w:val="21"/>
              <w:spacing w:before="145" w:line="221" w:lineRule="auto"/>
              <w:ind w:left="189"/>
              <w:rPr>
                <w:color w:val="auto"/>
              </w:rPr>
            </w:pPr>
            <w:r>
              <w:rPr>
                <w:color w:val="auto"/>
                <w:spacing w:val="-2"/>
              </w:rPr>
              <w:t>投标有效期</w:t>
            </w:r>
          </w:p>
          <w:p w14:paraId="04B8CDA6">
            <w:pPr>
              <w:pStyle w:val="21"/>
              <w:spacing w:before="20" w:line="221" w:lineRule="auto"/>
              <w:ind w:left="402"/>
              <w:rPr>
                <w:color w:val="auto"/>
              </w:rPr>
            </w:pPr>
            <w:r>
              <w:rPr>
                <w:color w:val="auto"/>
                <w:spacing w:val="-7"/>
              </w:rPr>
              <w:t>（天）</w:t>
            </w:r>
          </w:p>
        </w:tc>
        <w:tc>
          <w:tcPr>
            <w:tcW w:w="974" w:type="dxa"/>
            <w:vMerge w:val="restart"/>
            <w:tcBorders>
              <w:bottom w:val="nil"/>
            </w:tcBorders>
          </w:tcPr>
          <w:p w14:paraId="053983FF">
            <w:pPr>
              <w:pStyle w:val="21"/>
              <w:spacing w:before="146" w:line="242" w:lineRule="auto"/>
              <w:ind w:left="288" w:right="165" w:hanging="108"/>
              <w:rPr>
                <w:color w:val="auto"/>
              </w:rPr>
            </w:pPr>
            <w:r>
              <w:rPr>
                <w:color w:val="auto"/>
                <w:spacing w:val="-4"/>
              </w:rPr>
              <w:t>项目负责人</w:t>
            </w:r>
          </w:p>
        </w:tc>
        <w:tc>
          <w:tcPr>
            <w:tcW w:w="2279" w:type="dxa"/>
            <w:gridSpan w:val="2"/>
          </w:tcPr>
          <w:p w14:paraId="57F61926">
            <w:pPr>
              <w:pStyle w:val="21"/>
              <w:spacing w:before="32" w:line="206" w:lineRule="auto"/>
              <w:ind w:left="623"/>
              <w:rPr>
                <w:color w:val="auto"/>
              </w:rPr>
            </w:pPr>
            <w:r>
              <w:rPr>
                <w:color w:val="auto"/>
                <w:spacing w:val="-2"/>
              </w:rPr>
              <w:t>投标保证金</w:t>
            </w:r>
          </w:p>
        </w:tc>
        <w:tc>
          <w:tcPr>
            <w:tcW w:w="1984" w:type="dxa"/>
            <w:vMerge w:val="restart"/>
            <w:tcBorders>
              <w:bottom w:val="nil"/>
            </w:tcBorders>
          </w:tcPr>
          <w:p w14:paraId="0AC732BF">
            <w:pPr>
              <w:pStyle w:val="21"/>
              <w:spacing w:before="145" w:line="242" w:lineRule="auto"/>
              <w:ind w:left="579" w:right="37" w:hanging="524"/>
              <w:rPr>
                <w:color w:val="auto"/>
                <w:lang w:eastAsia="zh-CN"/>
              </w:rPr>
            </w:pPr>
            <w:r>
              <w:rPr>
                <w:color w:val="auto"/>
                <w:spacing w:val="-2"/>
                <w:lang w:eastAsia="zh-CN"/>
              </w:rPr>
              <w:t>法定代表人或授权委托人确认</w:t>
            </w:r>
          </w:p>
        </w:tc>
        <w:tc>
          <w:tcPr>
            <w:tcW w:w="1150" w:type="dxa"/>
            <w:vMerge w:val="restart"/>
            <w:tcBorders>
              <w:bottom w:val="nil"/>
            </w:tcBorders>
          </w:tcPr>
          <w:p w14:paraId="4B08C00D">
            <w:pPr>
              <w:pStyle w:val="21"/>
              <w:spacing w:before="282" w:line="222" w:lineRule="auto"/>
              <w:ind w:left="162"/>
              <w:rPr>
                <w:color w:val="auto"/>
              </w:rPr>
            </w:pPr>
            <w:r>
              <w:rPr>
                <w:color w:val="auto"/>
                <w:spacing w:val="-2"/>
              </w:rPr>
              <w:t>联系电话</w:t>
            </w:r>
          </w:p>
        </w:tc>
      </w:tr>
      <w:tr w14:paraId="6C8E0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707" w:type="dxa"/>
            <w:vMerge w:val="continue"/>
            <w:tcBorders>
              <w:top w:val="nil"/>
            </w:tcBorders>
          </w:tcPr>
          <w:p w14:paraId="0E6F03BF">
            <w:pPr>
              <w:rPr>
                <w:color w:val="auto"/>
              </w:rPr>
            </w:pPr>
          </w:p>
        </w:tc>
        <w:tc>
          <w:tcPr>
            <w:tcW w:w="1584" w:type="dxa"/>
            <w:vMerge w:val="continue"/>
            <w:tcBorders>
              <w:top w:val="nil"/>
            </w:tcBorders>
          </w:tcPr>
          <w:p w14:paraId="3FB712A3">
            <w:pPr>
              <w:rPr>
                <w:color w:val="auto"/>
              </w:rPr>
            </w:pPr>
          </w:p>
        </w:tc>
        <w:tc>
          <w:tcPr>
            <w:tcW w:w="1535" w:type="dxa"/>
            <w:vMerge w:val="continue"/>
            <w:tcBorders>
              <w:top w:val="nil"/>
            </w:tcBorders>
          </w:tcPr>
          <w:p w14:paraId="7A5F7A77">
            <w:pPr>
              <w:rPr>
                <w:color w:val="auto"/>
              </w:rPr>
            </w:pPr>
          </w:p>
        </w:tc>
        <w:tc>
          <w:tcPr>
            <w:tcW w:w="1371" w:type="dxa"/>
            <w:vMerge w:val="continue"/>
            <w:tcBorders>
              <w:top w:val="nil"/>
            </w:tcBorders>
          </w:tcPr>
          <w:p w14:paraId="20751545">
            <w:pPr>
              <w:rPr>
                <w:color w:val="auto"/>
              </w:rPr>
            </w:pPr>
          </w:p>
        </w:tc>
        <w:tc>
          <w:tcPr>
            <w:tcW w:w="1134" w:type="dxa"/>
            <w:vMerge w:val="continue"/>
            <w:tcBorders>
              <w:top w:val="nil"/>
            </w:tcBorders>
          </w:tcPr>
          <w:p w14:paraId="4CBC3DE9">
            <w:pPr>
              <w:rPr>
                <w:color w:val="auto"/>
              </w:rPr>
            </w:pPr>
          </w:p>
        </w:tc>
        <w:tc>
          <w:tcPr>
            <w:tcW w:w="1416" w:type="dxa"/>
            <w:vMerge w:val="continue"/>
            <w:tcBorders>
              <w:top w:val="nil"/>
            </w:tcBorders>
          </w:tcPr>
          <w:p w14:paraId="1F8B8FA0">
            <w:pPr>
              <w:rPr>
                <w:color w:val="auto"/>
              </w:rPr>
            </w:pPr>
          </w:p>
        </w:tc>
        <w:tc>
          <w:tcPr>
            <w:tcW w:w="974" w:type="dxa"/>
            <w:vMerge w:val="continue"/>
            <w:tcBorders>
              <w:top w:val="nil"/>
            </w:tcBorders>
          </w:tcPr>
          <w:p w14:paraId="059A8C90">
            <w:pPr>
              <w:rPr>
                <w:color w:val="auto"/>
              </w:rPr>
            </w:pPr>
          </w:p>
        </w:tc>
        <w:tc>
          <w:tcPr>
            <w:tcW w:w="1206" w:type="dxa"/>
          </w:tcPr>
          <w:p w14:paraId="595AE421">
            <w:pPr>
              <w:pStyle w:val="21"/>
              <w:spacing w:before="136" w:line="220" w:lineRule="auto"/>
              <w:ind w:left="114"/>
              <w:rPr>
                <w:color w:val="auto"/>
              </w:rPr>
            </w:pPr>
            <w:r>
              <w:rPr>
                <w:color w:val="auto"/>
                <w:spacing w:val="-4"/>
              </w:rPr>
              <w:t>金额（元）</w:t>
            </w:r>
          </w:p>
        </w:tc>
        <w:tc>
          <w:tcPr>
            <w:tcW w:w="1073" w:type="dxa"/>
          </w:tcPr>
          <w:p w14:paraId="4EDD6E09">
            <w:pPr>
              <w:pStyle w:val="21"/>
              <w:spacing w:before="136" w:line="220" w:lineRule="auto"/>
              <w:ind w:left="121"/>
              <w:rPr>
                <w:color w:val="auto"/>
              </w:rPr>
            </w:pPr>
            <w:r>
              <w:rPr>
                <w:color w:val="auto"/>
                <w:spacing w:val="-2"/>
              </w:rPr>
              <w:t>缴纳方式</w:t>
            </w:r>
          </w:p>
        </w:tc>
        <w:tc>
          <w:tcPr>
            <w:tcW w:w="1984" w:type="dxa"/>
            <w:vMerge w:val="continue"/>
            <w:tcBorders>
              <w:top w:val="nil"/>
            </w:tcBorders>
          </w:tcPr>
          <w:p w14:paraId="4DCE4864">
            <w:pPr>
              <w:rPr>
                <w:color w:val="auto"/>
              </w:rPr>
            </w:pPr>
          </w:p>
        </w:tc>
        <w:tc>
          <w:tcPr>
            <w:tcW w:w="1150" w:type="dxa"/>
            <w:vMerge w:val="continue"/>
            <w:tcBorders>
              <w:top w:val="nil"/>
            </w:tcBorders>
          </w:tcPr>
          <w:p w14:paraId="314FE02B">
            <w:pPr>
              <w:rPr>
                <w:color w:val="auto"/>
              </w:rPr>
            </w:pPr>
          </w:p>
        </w:tc>
      </w:tr>
      <w:tr w14:paraId="4E0BB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5E474699">
            <w:pPr>
              <w:rPr>
                <w:color w:val="auto"/>
              </w:rPr>
            </w:pPr>
          </w:p>
        </w:tc>
        <w:tc>
          <w:tcPr>
            <w:tcW w:w="1584" w:type="dxa"/>
          </w:tcPr>
          <w:p w14:paraId="0A1B1D79">
            <w:pPr>
              <w:rPr>
                <w:color w:val="auto"/>
              </w:rPr>
            </w:pPr>
          </w:p>
        </w:tc>
        <w:tc>
          <w:tcPr>
            <w:tcW w:w="1535" w:type="dxa"/>
          </w:tcPr>
          <w:p w14:paraId="14CC8A89">
            <w:pPr>
              <w:rPr>
                <w:color w:val="auto"/>
              </w:rPr>
            </w:pPr>
          </w:p>
        </w:tc>
        <w:tc>
          <w:tcPr>
            <w:tcW w:w="1371" w:type="dxa"/>
          </w:tcPr>
          <w:p w14:paraId="5700A066">
            <w:pPr>
              <w:rPr>
                <w:color w:val="auto"/>
              </w:rPr>
            </w:pPr>
          </w:p>
        </w:tc>
        <w:tc>
          <w:tcPr>
            <w:tcW w:w="1134" w:type="dxa"/>
          </w:tcPr>
          <w:p w14:paraId="48E6A20A">
            <w:pPr>
              <w:rPr>
                <w:color w:val="auto"/>
              </w:rPr>
            </w:pPr>
          </w:p>
        </w:tc>
        <w:tc>
          <w:tcPr>
            <w:tcW w:w="1416" w:type="dxa"/>
          </w:tcPr>
          <w:p w14:paraId="5BC1E01C">
            <w:pPr>
              <w:rPr>
                <w:color w:val="auto"/>
              </w:rPr>
            </w:pPr>
          </w:p>
        </w:tc>
        <w:tc>
          <w:tcPr>
            <w:tcW w:w="974" w:type="dxa"/>
          </w:tcPr>
          <w:p w14:paraId="72F76C14">
            <w:pPr>
              <w:rPr>
                <w:color w:val="auto"/>
              </w:rPr>
            </w:pPr>
          </w:p>
        </w:tc>
        <w:tc>
          <w:tcPr>
            <w:tcW w:w="1206" w:type="dxa"/>
          </w:tcPr>
          <w:p w14:paraId="551E28D4">
            <w:pPr>
              <w:rPr>
                <w:color w:val="auto"/>
              </w:rPr>
            </w:pPr>
          </w:p>
        </w:tc>
        <w:tc>
          <w:tcPr>
            <w:tcW w:w="1073" w:type="dxa"/>
          </w:tcPr>
          <w:p w14:paraId="3DFE8987">
            <w:pPr>
              <w:rPr>
                <w:color w:val="auto"/>
              </w:rPr>
            </w:pPr>
          </w:p>
        </w:tc>
        <w:tc>
          <w:tcPr>
            <w:tcW w:w="1984" w:type="dxa"/>
          </w:tcPr>
          <w:p w14:paraId="67D1A6A2">
            <w:pPr>
              <w:rPr>
                <w:color w:val="auto"/>
              </w:rPr>
            </w:pPr>
          </w:p>
        </w:tc>
        <w:tc>
          <w:tcPr>
            <w:tcW w:w="1150" w:type="dxa"/>
          </w:tcPr>
          <w:p w14:paraId="33784196">
            <w:pPr>
              <w:rPr>
                <w:color w:val="auto"/>
              </w:rPr>
            </w:pPr>
          </w:p>
        </w:tc>
      </w:tr>
      <w:tr w14:paraId="69606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02949399">
            <w:pPr>
              <w:rPr>
                <w:color w:val="auto"/>
              </w:rPr>
            </w:pPr>
          </w:p>
        </w:tc>
        <w:tc>
          <w:tcPr>
            <w:tcW w:w="1584" w:type="dxa"/>
          </w:tcPr>
          <w:p w14:paraId="2582D4E6">
            <w:pPr>
              <w:rPr>
                <w:color w:val="auto"/>
              </w:rPr>
            </w:pPr>
          </w:p>
        </w:tc>
        <w:tc>
          <w:tcPr>
            <w:tcW w:w="1535" w:type="dxa"/>
          </w:tcPr>
          <w:p w14:paraId="26765A20">
            <w:pPr>
              <w:rPr>
                <w:color w:val="auto"/>
              </w:rPr>
            </w:pPr>
          </w:p>
        </w:tc>
        <w:tc>
          <w:tcPr>
            <w:tcW w:w="1371" w:type="dxa"/>
          </w:tcPr>
          <w:p w14:paraId="424C32F5">
            <w:pPr>
              <w:rPr>
                <w:color w:val="auto"/>
              </w:rPr>
            </w:pPr>
          </w:p>
        </w:tc>
        <w:tc>
          <w:tcPr>
            <w:tcW w:w="1134" w:type="dxa"/>
          </w:tcPr>
          <w:p w14:paraId="4FD282DD">
            <w:pPr>
              <w:rPr>
                <w:color w:val="auto"/>
              </w:rPr>
            </w:pPr>
          </w:p>
        </w:tc>
        <w:tc>
          <w:tcPr>
            <w:tcW w:w="1416" w:type="dxa"/>
          </w:tcPr>
          <w:p w14:paraId="21F50131">
            <w:pPr>
              <w:rPr>
                <w:color w:val="auto"/>
              </w:rPr>
            </w:pPr>
          </w:p>
        </w:tc>
        <w:tc>
          <w:tcPr>
            <w:tcW w:w="974" w:type="dxa"/>
          </w:tcPr>
          <w:p w14:paraId="0D8108A6">
            <w:pPr>
              <w:rPr>
                <w:color w:val="auto"/>
              </w:rPr>
            </w:pPr>
          </w:p>
        </w:tc>
        <w:tc>
          <w:tcPr>
            <w:tcW w:w="1206" w:type="dxa"/>
          </w:tcPr>
          <w:p w14:paraId="0CAB9F0B">
            <w:pPr>
              <w:rPr>
                <w:color w:val="auto"/>
              </w:rPr>
            </w:pPr>
          </w:p>
        </w:tc>
        <w:tc>
          <w:tcPr>
            <w:tcW w:w="1073" w:type="dxa"/>
          </w:tcPr>
          <w:p w14:paraId="3E52E1FF">
            <w:pPr>
              <w:rPr>
                <w:color w:val="auto"/>
              </w:rPr>
            </w:pPr>
          </w:p>
        </w:tc>
        <w:tc>
          <w:tcPr>
            <w:tcW w:w="1984" w:type="dxa"/>
          </w:tcPr>
          <w:p w14:paraId="4AF9DE1D">
            <w:pPr>
              <w:rPr>
                <w:color w:val="auto"/>
              </w:rPr>
            </w:pPr>
          </w:p>
        </w:tc>
        <w:tc>
          <w:tcPr>
            <w:tcW w:w="1150" w:type="dxa"/>
          </w:tcPr>
          <w:p w14:paraId="34BD3BC5">
            <w:pPr>
              <w:rPr>
                <w:color w:val="auto"/>
              </w:rPr>
            </w:pPr>
          </w:p>
        </w:tc>
      </w:tr>
      <w:tr w14:paraId="48D5A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328B6821">
            <w:pPr>
              <w:rPr>
                <w:color w:val="auto"/>
              </w:rPr>
            </w:pPr>
          </w:p>
        </w:tc>
        <w:tc>
          <w:tcPr>
            <w:tcW w:w="1584" w:type="dxa"/>
          </w:tcPr>
          <w:p w14:paraId="454D96A1">
            <w:pPr>
              <w:rPr>
                <w:color w:val="auto"/>
              </w:rPr>
            </w:pPr>
          </w:p>
        </w:tc>
        <w:tc>
          <w:tcPr>
            <w:tcW w:w="1535" w:type="dxa"/>
          </w:tcPr>
          <w:p w14:paraId="1FE2C2FF">
            <w:pPr>
              <w:rPr>
                <w:color w:val="auto"/>
              </w:rPr>
            </w:pPr>
          </w:p>
        </w:tc>
        <w:tc>
          <w:tcPr>
            <w:tcW w:w="1371" w:type="dxa"/>
          </w:tcPr>
          <w:p w14:paraId="408C2A79">
            <w:pPr>
              <w:rPr>
                <w:color w:val="auto"/>
              </w:rPr>
            </w:pPr>
          </w:p>
        </w:tc>
        <w:tc>
          <w:tcPr>
            <w:tcW w:w="1134" w:type="dxa"/>
          </w:tcPr>
          <w:p w14:paraId="4475B758">
            <w:pPr>
              <w:rPr>
                <w:color w:val="auto"/>
              </w:rPr>
            </w:pPr>
          </w:p>
        </w:tc>
        <w:tc>
          <w:tcPr>
            <w:tcW w:w="1416" w:type="dxa"/>
          </w:tcPr>
          <w:p w14:paraId="346DA739">
            <w:pPr>
              <w:rPr>
                <w:color w:val="auto"/>
              </w:rPr>
            </w:pPr>
          </w:p>
        </w:tc>
        <w:tc>
          <w:tcPr>
            <w:tcW w:w="974" w:type="dxa"/>
          </w:tcPr>
          <w:p w14:paraId="64D0AB13">
            <w:pPr>
              <w:rPr>
                <w:color w:val="auto"/>
              </w:rPr>
            </w:pPr>
          </w:p>
        </w:tc>
        <w:tc>
          <w:tcPr>
            <w:tcW w:w="1206" w:type="dxa"/>
          </w:tcPr>
          <w:p w14:paraId="47A568F3">
            <w:pPr>
              <w:rPr>
                <w:color w:val="auto"/>
              </w:rPr>
            </w:pPr>
          </w:p>
        </w:tc>
        <w:tc>
          <w:tcPr>
            <w:tcW w:w="1073" w:type="dxa"/>
          </w:tcPr>
          <w:p w14:paraId="5E42EB78">
            <w:pPr>
              <w:rPr>
                <w:color w:val="auto"/>
              </w:rPr>
            </w:pPr>
          </w:p>
        </w:tc>
        <w:tc>
          <w:tcPr>
            <w:tcW w:w="1984" w:type="dxa"/>
          </w:tcPr>
          <w:p w14:paraId="339C709D">
            <w:pPr>
              <w:rPr>
                <w:color w:val="auto"/>
              </w:rPr>
            </w:pPr>
          </w:p>
        </w:tc>
        <w:tc>
          <w:tcPr>
            <w:tcW w:w="1150" w:type="dxa"/>
          </w:tcPr>
          <w:p w14:paraId="637D0FAA">
            <w:pPr>
              <w:rPr>
                <w:color w:val="auto"/>
              </w:rPr>
            </w:pPr>
          </w:p>
        </w:tc>
      </w:tr>
      <w:tr w14:paraId="2FF26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7441C0FA">
            <w:pPr>
              <w:rPr>
                <w:color w:val="auto"/>
              </w:rPr>
            </w:pPr>
          </w:p>
        </w:tc>
        <w:tc>
          <w:tcPr>
            <w:tcW w:w="1584" w:type="dxa"/>
          </w:tcPr>
          <w:p w14:paraId="11854C94">
            <w:pPr>
              <w:rPr>
                <w:color w:val="auto"/>
              </w:rPr>
            </w:pPr>
          </w:p>
        </w:tc>
        <w:tc>
          <w:tcPr>
            <w:tcW w:w="1535" w:type="dxa"/>
          </w:tcPr>
          <w:p w14:paraId="7F33DA97">
            <w:pPr>
              <w:rPr>
                <w:color w:val="auto"/>
              </w:rPr>
            </w:pPr>
          </w:p>
        </w:tc>
        <w:tc>
          <w:tcPr>
            <w:tcW w:w="1371" w:type="dxa"/>
          </w:tcPr>
          <w:p w14:paraId="103E6662">
            <w:pPr>
              <w:rPr>
                <w:color w:val="auto"/>
              </w:rPr>
            </w:pPr>
          </w:p>
        </w:tc>
        <w:tc>
          <w:tcPr>
            <w:tcW w:w="1134" w:type="dxa"/>
          </w:tcPr>
          <w:p w14:paraId="01E33115">
            <w:pPr>
              <w:rPr>
                <w:color w:val="auto"/>
              </w:rPr>
            </w:pPr>
          </w:p>
        </w:tc>
        <w:tc>
          <w:tcPr>
            <w:tcW w:w="1416" w:type="dxa"/>
          </w:tcPr>
          <w:p w14:paraId="0CF64DBD">
            <w:pPr>
              <w:rPr>
                <w:color w:val="auto"/>
              </w:rPr>
            </w:pPr>
          </w:p>
        </w:tc>
        <w:tc>
          <w:tcPr>
            <w:tcW w:w="974" w:type="dxa"/>
          </w:tcPr>
          <w:p w14:paraId="700B655A">
            <w:pPr>
              <w:rPr>
                <w:color w:val="auto"/>
              </w:rPr>
            </w:pPr>
          </w:p>
        </w:tc>
        <w:tc>
          <w:tcPr>
            <w:tcW w:w="1206" w:type="dxa"/>
          </w:tcPr>
          <w:p w14:paraId="65C305FD">
            <w:pPr>
              <w:rPr>
                <w:color w:val="auto"/>
              </w:rPr>
            </w:pPr>
          </w:p>
        </w:tc>
        <w:tc>
          <w:tcPr>
            <w:tcW w:w="1073" w:type="dxa"/>
          </w:tcPr>
          <w:p w14:paraId="413A89BB">
            <w:pPr>
              <w:rPr>
                <w:color w:val="auto"/>
              </w:rPr>
            </w:pPr>
          </w:p>
        </w:tc>
        <w:tc>
          <w:tcPr>
            <w:tcW w:w="1984" w:type="dxa"/>
          </w:tcPr>
          <w:p w14:paraId="0BC2F4A7">
            <w:pPr>
              <w:rPr>
                <w:color w:val="auto"/>
              </w:rPr>
            </w:pPr>
          </w:p>
        </w:tc>
        <w:tc>
          <w:tcPr>
            <w:tcW w:w="1150" w:type="dxa"/>
          </w:tcPr>
          <w:p w14:paraId="55699907">
            <w:pPr>
              <w:rPr>
                <w:color w:val="auto"/>
              </w:rPr>
            </w:pPr>
          </w:p>
        </w:tc>
      </w:tr>
      <w:tr w14:paraId="08CD5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35D87357">
            <w:pPr>
              <w:rPr>
                <w:color w:val="auto"/>
              </w:rPr>
            </w:pPr>
          </w:p>
        </w:tc>
        <w:tc>
          <w:tcPr>
            <w:tcW w:w="1584" w:type="dxa"/>
          </w:tcPr>
          <w:p w14:paraId="629C5FB1">
            <w:pPr>
              <w:rPr>
                <w:color w:val="auto"/>
              </w:rPr>
            </w:pPr>
          </w:p>
        </w:tc>
        <w:tc>
          <w:tcPr>
            <w:tcW w:w="1535" w:type="dxa"/>
          </w:tcPr>
          <w:p w14:paraId="4B9DC1D9">
            <w:pPr>
              <w:rPr>
                <w:color w:val="auto"/>
              </w:rPr>
            </w:pPr>
          </w:p>
        </w:tc>
        <w:tc>
          <w:tcPr>
            <w:tcW w:w="1371" w:type="dxa"/>
          </w:tcPr>
          <w:p w14:paraId="37F010C3">
            <w:pPr>
              <w:rPr>
                <w:color w:val="auto"/>
              </w:rPr>
            </w:pPr>
          </w:p>
        </w:tc>
        <w:tc>
          <w:tcPr>
            <w:tcW w:w="1134" w:type="dxa"/>
          </w:tcPr>
          <w:p w14:paraId="198D6927">
            <w:pPr>
              <w:rPr>
                <w:color w:val="auto"/>
              </w:rPr>
            </w:pPr>
          </w:p>
        </w:tc>
        <w:tc>
          <w:tcPr>
            <w:tcW w:w="1416" w:type="dxa"/>
          </w:tcPr>
          <w:p w14:paraId="395D4EE9">
            <w:pPr>
              <w:rPr>
                <w:color w:val="auto"/>
              </w:rPr>
            </w:pPr>
          </w:p>
        </w:tc>
        <w:tc>
          <w:tcPr>
            <w:tcW w:w="974" w:type="dxa"/>
          </w:tcPr>
          <w:p w14:paraId="663CBBAE">
            <w:pPr>
              <w:rPr>
                <w:color w:val="auto"/>
              </w:rPr>
            </w:pPr>
          </w:p>
        </w:tc>
        <w:tc>
          <w:tcPr>
            <w:tcW w:w="1206" w:type="dxa"/>
          </w:tcPr>
          <w:p w14:paraId="2B9F21CE">
            <w:pPr>
              <w:rPr>
                <w:color w:val="auto"/>
              </w:rPr>
            </w:pPr>
          </w:p>
        </w:tc>
        <w:tc>
          <w:tcPr>
            <w:tcW w:w="1073" w:type="dxa"/>
          </w:tcPr>
          <w:p w14:paraId="0F5E7674">
            <w:pPr>
              <w:rPr>
                <w:color w:val="auto"/>
              </w:rPr>
            </w:pPr>
          </w:p>
        </w:tc>
        <w:tc>
          <w:tcPr>
            <w:tcW w:w="1984" w:type="dxa"/>
          </w:tcPr>
          <w:p w14:paraId="578FBF5B">
            <w:pPr>
              <w:rPr>
                <w:color w:val="auto"/>
              </w:rPr>
            </w:pPr>
          </w:p>
        </w:tc>
        <w:tc>
          <w:tcPr>
            <w:tcW w:w="1150" w:type="dxa"/>
          </w:tcPr>
          <w:p w14:paraId="10FDE24E">
            <w:pPr>
              <w:rPr>
                <w:color w:val="auto"/>
              </w:rPr>
            </w:pPr>
          </w:p>
        </w:tc>
      </w:tr>
      <w:tr w14:paraId="4866A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3E7724D9">
            <w:pPr>
              <w:rPr>
                <w:color w:val="auto"/>
              </w:rPr>
            </w:pPr>
          </w:p>
        </w:tc>
        <w:tc>
          <w:tcPr>
            <w:tcW w:w="1584" w:type="dxa"/>
          </w:tcPr>
          <w:p w14:paraId="7389A764">
            <w:pPr>
              <w:rPr>
                <w:color w:val="auto"/>
              </w:rPr>
            </w:pPr>
          </w:p>
        </w:tc>
        <w:tc>
          <w:tcPr>
            <w:tcW w:w="1535" w:type="dxa"/>
          </w:tcPr>
          <w:p w14:paraId="05A24B58">
            <w:pPr>
              <w:rPr>
                <w:color w:val="auto"/>
              </w:rPr>
            </w:pPr>
          </w:p>
        </w:tc>
        <w:tc>
          <w:tcPr>
            <w:tcW w:w="1371" w:type="dxa"/>
          </w:tcPr>
          <w:p w14:paraId="2A83CBAF">
            <w:pPr>
              <w:rPr>
                <w:color w:val="auto"/>
              </w:rPr>
            </w:pPr>
          </w:p>
        </w:tc>
        <w:tc>
          <w:tcPr>
            <w:tcW w:w="1134" w:type="dxa"/>
          </w:tcPr>
          <w:p w14:paraId="01E5923C">
            <w:pPr>
              <w:rPr>
                <w:color w:val="auto"/>
              </w:rPr>
            </w:pPr>
          </w:p>
        </w:tc>
        <w:tc>
          <w:tcPr>
            <w:tcW w:w="1416" w:type="dxa"/>
          </w:tcPr>
          <w:p w14:paraId="04A255D4">
            <w:pPr>
              <w:rPr>
                <w:color w:val="auto"/>
              </w:rPr>
            </w:pPr>
          </w:p>
        </w:tc>
        <w:tc>
          <w:tcPr>
            <w:tcW w:w="974" w:type="dxa"/>
          </w:tcPr>
          <w:p w14:paraId="7EF4FFC3">
            <w:pPr>
              <w:rPr>
                <w:color w:val="auto"/>
              </w:rPr>
            </w:pPr>
          </w:p>
        </w:tc>
        <w:tc>
          <w:tcPr>
            <w:tcW w:w="1206" w:type="dxa"/>
          </w:tcPr>
          <w:p w14:paraId="48956E34">
            <w:pPr>
              <w:rPr>
                <w:color w:val="auto"/>
              </w:rPr>
            </w:pPr>
          </w:p>
        </w:tc>
        <w:tc>
          <w:tcPr>
            <w:tcW w:w="1073" w:type="dxa"/>
          </w:tcPr>
          <w:p w14:paraId="7D4D4617">
            <w:pPr>
              <w:rPr>
                <w:color w:val="auto"/>
              </w:rPr>
            </w:pPr>
          </w:p>
        </w:tc>
        <w:tc>
          <w:tcPr>
            <w:tcW w:w="1984" w:type="dxa"/>
          </w:tcPr>
          <w:p w14:paraId="6F220583">
            <w:pPr>
              <w:rPr>
                <w:color w:val="auto"/>
              </w:rPr>
            </w:pPr>
          </w:p>
        </w:tc>
        <w:tc>
          <w:tcPr>
            <w:tcW w:w="1150" w:type="dxa"/>
          </w:tcPr>
          <w:p w14:paraId="1C983D46">
            <w:pPr>
              <w:rPr>
                <w:color w:val="auto"/>
              </w:rPr>
            </w:pPr>
          </w:p>
        </w:tc>
      </w:tr>
      <w:tr w14:paraId="0ECEC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07" w:type="dxa"/>
          </w:tcPr>
          <w:p w14:paraId="37452CCD">
            <w:pPr>
              <w:rPr>
                <w:color w:val="auto"/>
              </w:rPr>
            </w:pPr>
          </w:p>
        </w:tc>
        <w:tc>
          <w:tcPr>
            <w:tcW w:w="1584" w:type="dxa"/>
          </w:tcPr>
          <w:p w14:paraId="687E31E1">
            <w:pPr>
              <w:rPr>
                <w:color w:val="auto"/>
              </w:rPr>
            </w:pPr>
          </w:p>
        </w:tc>
        <w:tc>
          <w:tcPr>
            <w:tcW w:w="1535" w:type="dxa"/>
          </w:tcPr>
          <w:p w14:paraId="6A97C3C9">
            <w:pPr>
              <w:rPr>
                <w:color w:val="auto"/>
              </w:rPr>
            </w:pPr>
          </w:p>
        </w:tc>
        <w:tc>
          <w:tcPr>
            <w:tcW w:w="1371" w:type="dxa"/>
          </w:tcPr>
          <w:p w14:paraId="51C97073">
            <w:pPr>
              <w:rPr>
                <w:color w:val="auto"/>
              </w:rPr>
            </w:pPr>
          </w:p>
        </w:tc>
        <w:tc>
          <w:tcPr>
            <w:tcW w:w="1134" w:type="dxa"/>
          </w:tcPr>
          <w:p w14:paraId="2ED9463A">
            <w:pPr>
              <w:rPr>
                <w:color w:val="auto"/>
              </w:rPr>
            </w:pPr>
          </w:p>
        </w:tc>
        <w:tc>
          <w:tcPr>
            <w:tcW w:w="1416" w:type="dxa"/>
          </w:tcPr>
          <w:p w14:paraId="27122941">
            <w:pPr>
              <w:rPr>
                <w:color w:val="auto"/>
              </w:rPr>
            </w:pPr>
          </w:p>
        </w:tc>
        <w:tc>
          <w:tcPr>
            <w:tcW w:w="974" w:type="dxa"/>
          </w:tcPr>
          <w:p w14:paraId="28067450">
            <w:pPr>
              <w:rPr>
                <w:color w:val="auto"/>
              </w:rPr>
            </w:pPr>
          </w:p>
        </w:tc>
        <w:tc>
          <w:tcPr>
            <w:tcW w:w="1206" w:type="dxa"/>
          </w:tcPr>
          <w:p w14:paraId="2059DCB8">
            <w:pPr>
              <w:rPr>
                <w:color w:val="auto"/>
              </w:rPr>
            </w:pPr>
          </w:p>
        </w:tc>
        <w:tc>
          <w:tcPr>
            <w:tcW w:w="1073" w:type="dxa"/>
          </w:tcPr>
          <w:p w14:paraId="68DAE134">
            <w:pPr>
              <w:rPr>
                <w:color w:val="auto"/>
              </w:rPr>
            </w:pPr>
          </w:p>
        </w:tc>
        <w:tc>
          <w:tcPr>
            <w:tcW w:w="1984" w:type="dxa"/>
          </w:tcPr>
          <w:p w14:paraId="5F9F760F">
            <w:pPr>
              <w:rPr>
                <w:color w:val="auto"/>
              </w:rPr>
            </w:pPr>
          </w:p>
        </w:tc>
        <w:tc>
          <w:tcPr>
            <w:tcW w:w="1150" w:type="dxa"/>
          </w:tcPr>
          <w:p w14:paraId="5BD32AF2">
            <w:pPr>
              <w:rPr>
                <w:color w:val="auto"/>
              </w:rPr>
            </w:pPr>
          </w:p>
        </w:tc>
      </w:tr>
      <w:tr w14:paraId="0D655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07" w:type="dxa"/>
          </w:tcPr>
          <w:p w14:paraId="17B8654F">
            <w:pPr>
              <w:rPr>
                <w:color w:val="auto"/>
              </w:rPr>
            </w:pPr>
          </w:p>
        </w:tc>
        <w:tc>
          <w:tcPr>
            <w:tcW w:w="1584" w:type="dxa"/>
          </w:tcPr>
          <w:p w14:paraId="2676BDCF">
            <w:pPr>
              <w:rPr>
                <w:color w:val="auto"/>
              </w:rPr>
            </w:pPr>
          </w:p>
        </w:tc>
        <w:tc>
          <w:tcPr>
            <w:tcW w:w="1535" w:type="dxa"/>
          </w:tcPr>
          <w:p w14:paraId="142608C9">
            <w:pPr>
              <w:rPr>
                <w:color w:val="auto"/>
              </w:rPr>
            </w:pPr>
          </w:p>
        </w:tc>
        <w:tc>
          <w:tcPr>
            <w:tcW w:w="1371" w:type="dxa"/>
          </w:tcPr>
          <w:p w14:paraId="5D8514EC">
            <w:pPr>
              <w:rPr>
                <w:color w:val="auto"/>
              </w:rPr>
            </w:pPr>
          </w:p>
        </w:tc>
        <w:tc>
          <w:tcPr>
            <w:tcW w:w="1134" w:type="dxa"/>
          </w:tcPr>
          <w:p w14:paraId="4E1A7760">
            <w:pPr>
              <w:rPr>
                <w:color w:val="auto"/>
              </w:rPr>
            </w:pPr>
          </w:p>
        </w:tc>
        <w:tc>
          <w:tcPr>
            <w:tcW w:w="1416" w:type="dxa"/>
          </w:tcPr>
          <w:p w14:paraId="464D24E0">
            <w:pPr>
              <w:rPr>
                <w:color w:val="auto"/>
              </w:rPr>
            </w:pPr>
          </w:p>
        </w:tc>
        <w:tc>
          <w:tcPr>
            <w:tcW w:w="974" w:type="dxa"/>
          </w:tcPr>
          <w:p w14:paraId="686328B3">
            <w:pPr>
              <w:rPr>
                <w:color w:val="auto"/>
              </w:rPr>
            </w:pPr>
          </w:p>
        </w:tc>
        <w:tc>
          <w:tcPr>
            <w:tcW w:w="1206" w:type="dxa"/>
          </w:tcPr>
          <w:p w14:paraId="621A72E1">
            <w:pPr>
              <w:rPr>
                <w:color w:val="auto"/>
              </w:rPr>
            </w:pPr>
          </w:p>
        </w:tc>
        <w:tc>
          <w:tcPr>
            <w:tcW w:w="1073" w:type="dxa"/>
          </w:tcPr>
          <w:p w14:paraId="5518696E">
            <w:pPr>
              <w:rPr>
                <w:color w:val="auto"/>
              </w:rPr>
            </w:pPr>
          </w:p>
        </w:tc>
        <w:tc>
          <w:tcPr>
            <w:tcW w:w="1984" w:type="dxa"/>
          </w:tcPr>
          <w:p w14:paraId="4EA41851">
            <w:pPr>
              <w:rPr>
                <w:color w:val="auto"/>
              </w:rPr>
            </w:pPr>
          </w:p>
        </w:tc>
        <w:tc>
          <w:tcPr>
            <w:tcW w:w="1150" w:type="dxa"/>
          </w:tcPr>
          <w:p w14:paraId="10025DBF">
            <w:pPr>
              <w:rPr>
                <w:color w:val="auto"/>
              </w:rPr>
            </w:pPr>
          </w:p>
        </w:tc>
      </w:tr>
      <w:tr w14:paraId="0FA3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291" w:type="dxa"/>
            <w:gridSpan w:val="2"/>
          </w:tcPr>
          <w:p w14:paraId="31C04F5A">
            <w:pPr>
              <w:pStyle w:val="21"/>
              <w:spacing w:before="144" w:line="216" w:lineRule="auto"/>
              <w:ind w:left="519"/>
              <w:rPr>
                <w:color w:val="auto"/>
              </w:rPr>
            </w:pPr>
            <w:r>
              <w:rPr>
                <w:color w:val="auto"/>
                <w:spacing w:val="-2"/>
              </w:rPr>
              <w:t>最高投标限价</w:t>
            </w:r>
          </w:p>
        </w:tc>
        <w:tc>
          <w:tcPr>
            <w:tcW w:w="11843" w:type="dxa"/>
            <w:gridSpan w:val="9"/>
          </w:tcPr>
          <w:p w14:paraId="2C3BE4C9">
            <w:pPr>
              <w:rPr>
                <w:color w:val="auto"/>
              </w:rPr>
            </w:pPr>
          </w:p>
        </w:tc>
      </w:tr>
      <w:tr w14:paraId="33590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2291" w:type="dxa"/>
            <w:gridSpan w:val="2"/>
          </w:tcPr>
          <w:p w14:paraId="0DBEEBD2">
            <w:pPr>
              <w:pStyle w:val="21"/>
              <w:spacing w:before="143" w:line="221" w:lineRule="auto"/>
              <w:ind w:left="98"/>
              <w:rPr>
                <w:color w:val="auto"/>
                <w:lang w:eastAsia="zh-CN"/>
              </w:rPr>
            </w:pPr>
            <w:r>
              <w:rPr>
                <w:color w:val="auto"/>
                <w:spacing w:val="-1"/>
                <w:lang w:eastAsia="zh-CN"/>
              </w:rPr>
              <w:t>开标过程需记录的其他</w:t>
            </w:r>
          </w:p>
          <w:p w14:paraId="54AEE347">
            <w:pPr>
              <w:pStyle w:val="21"/>
              <w:spacing w:before="148" w:line="220" w:lineRule="auto"/>
              <w:ind w:left="937"/>
              <w:rPr>
                <w:color w:val="auto"/>
                <w:lang w:eastAsia="zh-CN"/>
              </w:rPr>
            </w:pPr>
            <w:r>
              <w:rPr>
                <w:color w:val="auto"/>
                <w:spacing w:val="-3"/>
                <w:lang w:eastAsia="zh-CN"/>
              </w:rPr>
              <w:t>事项</w:t>
            </w:r>
          </w:p>
        </w:tc>
        <w:tc>
          <w:tcPr>
            <w:tcW w:w="11843" w:type="dxa"/>
            <w:gridSpan w:val="9"/>
          </w:tcPr>
          <w:p w14:paraId="41F1FC95">
            <w:pPr>
              <w:rPr>
                <w:color w:val="auto"/>
                <w:lang w:eastAsia="zh-CN"/>
              </w:rPr>
            </w:pPr>
          </w:p>
        </w:tc>
      </w:tr>
    </w:tbl>
    <w:p w14:paraId="05BB650B">
      <w:pPr>
        <w:pStyle w:val="8"/>
        <w:spacing w:line="468" w:lineRule="auto"/>
        <w:rPr>
          <w:lang w:eastAsia="zh-CN"/>
        </w:rPr>
      </w:pPr>
    </w:p>
    <w:p w14:paraId="46A7B3E8">
      <w:pPr>
        <w:spacing w:before="69" w:line="220" w:lineRule="auto"/>
        <w:ind w:left="5277"/>
        <w:rPr>
          <w:rFonts w:ascii="宋体" w:hAnsi="宋体" w:eastAsia="宋体" w:cs="宋体"/>
          <w:color w:val="auto"/>
          <w:lang w:eastAsia="zh-CN"/>
        </w:rPr>
      </w:pPr>
      <w:r>
        <w:rPr>
          <w:rFonts w:ascii="宋体" w:hAnsi="宋体" w:eastAsia="宋体" w:cs="宋体"/>
          <w:color w:val="auto"/>
          <w:spacing w:val="-2"/>
          <w:lang w:eastAsia="zh-CN"/>
        </w:rPr>
        <w:t>主持人：招标人代表：监标人：</w:t>
      </w:r>
    </w:p>
    <w:p w14:paraId="1847AC38">
      <w:pPr>
        <w:spacing w:line="220" w:lineRule="auto"/>
        <w:rPr>
          <w:rFonts w:ascii="宋体" w:hAnsi="宋体" w:eastAsia="宋体" w:cs="宋体"/>
          <w:color w:val="auto"/>
          <w:lang w:eastAsia="zh-CN"/>
        </w:rPr>
        <w:sectPr>
          <w:headerReference r:id="rId39" w:type="default"/>
          <w:footerReference r:id="rId40" w:type="default"/>
          <w:pgSz w:w="16839" w:h="11906"/>
          <w:pgMar w:top="400" w:right="535" w:bottom="1006" w:left="105" w:header="0" w:footer="846" w:gutter="0"/>
          <w:cols w:space="720" w:num="1"/>
        </w:sectPr>
      </w:pPr>
    </w:p>
    <w:p w14:paraId="6F945F3A">
      <w:pPr>
        <w:pStyle w:val="8"/>
        <w:spacing w:line="250" w:lineRule="auto"/>
        <w:rPr>
          <w:lang w:eastAsia="zh-CN"/>
        </w:rPr>
      </w:pPr>
    </w:p>
    <w:p w14:paraId="211FB006">
      <w:pPr>
        <w:pStyle w:val="8"/>
        <w:spacing w:line="250" w:lineRule="auto"/>
        <w:rPr>
          <w:lang w:eastAsia="zh-CN"/>
        </w:rPr>
      </w:pPr>
    </w:p>
    <w:p w14:paraId="68C8171D">
      <w:pPr>
        <w:pStyle w:val="8"/>
        <w:spacing w:line="250" w:lineRule="auto"/>
        <w:rPr>
          <w:lang w:eastAsia="zh-CN"/>
        </w:rPr>
      </w:pPr>
    </w:p>
    <w:p w14:paraId="2AFFF6BC">
      <w:pPr>
        <w:pStyle w:val="8"/>
        <w:spacing w:line="250" w:lineRule="auto"/>
        <w:rPr>
          <w:lang w:eastAsia="zh-CN"/>
        </w:rPr>
      </w:pPr>
    </w:p>
    <w:p w14:paraId="2C53C4FD">
      <w:pPr>
        <w:pStyle w:val="8"/>
        <w:spacing w:line="251" w:lineRule="auto"/>
        <w:rPr>
          <w:lang w:eastAsia="zh-CN"/>
        </w:rPr>
      </w:pPr>
    </w:p>
    <w:p w14:paraId="6CAC3D83">
      <w:pPr>
        <w:spacing w:before="78" w:line="222" w:lineRule="auto"/>
        <w:ind w:left="1713"/>
        <w:outlineLvl w:val="2"/>
        <w:rPr>
          <w:rFonts w:ascii="黑体" w:hAnsi="黑体" w:eastAsia="黑体" w:cs="黑体"/>
          <w:color w:val="auto"/>
          <w:sz w:val="24"/>
          <w:szCs w:val="24"/>
          <w:lang w:eastAsia="zh-CN"/>
        </w:rPr>
      </w:pPr>
      <w:bookmarkStart w:id="211" w:name="bookmark224"/>
      <w:bookmarkEnd w:id="211"/>
      <w:r>
        <w:rPr>
          <w:rFonts w:ascii="黑体" w:hAnsi="黑体" w:eastAsia="黑体" w:cs="黑体"/>
          <w:color w:val="auto"/>
          <w:spacing w:val="-2"/>
          <w:sz w:val="24"/>
          <w:szCs w:val="24"/>
          <w:lang w:eastAsia="zh-CN"/>
        </w:rPr>
        <w:t>附表六：投标文件问题澄清通知</w:t>
      </w:r>
    </w:p>
    <w:p w14:paraId="60631B4A">
      <w:pPr>
        <w:pStyle w:val="8"/>
        <w:spacing w:line="312" w:lineRule="auto"/>
        <w:rPr>
          <w:lang w:eastAsia="zh-CN"/>
        </w:rPr>
      </w:pPr>
    </w:p>
    <w:p w14:paraId="1A61D43E">
      <w:pPr>
        <w:pStyle w:val="8"/>
        <w:spacing w:line="312" w:lineRule="auto"/>
        <w:rPr>
          <w:lang w:eastAsia="zh-CN"/>
        </w:rPr>
      </w:pPr>
    </w:p>
    <w:p w14:paraId="64E90DD9">
      <w:pPr>
        <w:pStyle w:val="8"/>
        <w:spacing w:line="313" w:lineRule="auto"/>
        <w:rPr>
          <w:lang w:eastAsia="zh-CN"/>
        </w:rPr>
      </w:pPr>
    </w:p>
    <w:p w14:paraId="4E4DA593">
      <w:pPr>
        <w:spacing w:before="91" w:line="222" w:lineRule="auto"/>
        <w:ind w:left="4455"/>
        <w:rPr>
          <w:rFonts w:ascii="黑体" w:hAnsi="黑体" w:eastAsia="黑体" w:cs="黑体"/>
          <w:color w:val="auto"/>
          <w:sz w:val="28"/>
          <w:szCs w:val="28"/>
          <w:lang w:eastAsia="zh-CN"/>
        </w:rPr>
      </w:pPr>
      <w:bookmarkStart w:id="212" w:name="bookmark74"/>
      <w:bookmarkEnd w:id="212"/>
      <w:r>
        <w:rPr>
          <w:rFonts w:ascii="黑体" w:hAnsi="黑体" w:eastAsia="黑体" w:cs="黑体"/>
          <w:color w:val="auto"/>
          <w:spacing w:val="-1"/>
          <w:sz w:val="28"/>
          <w:szCs w:val="28"/>
          <w:lang w:eastAsia="zh-CN"/>
        </w:rPr>
        <w:t>投标文件问题澄清通知</w:t>
      </w:r>
    </w:p>
    <w:p w14:paraId="2399DA5D">
      <w:pPr>
        <w:spacing w:before="257" w:line="220" w:lineRule="auto"/>
        <w:ind w:left="7685"/>
        <w:rPr>
          <w:rFonts w:ascii="宋体" w:hAnsi="宋体" w:eastAsia="宋体" w:cs="宋体"/>
          <w:color w:val="auto"/>
          <w:lang w:eastAsia="zh-CN"/>
        </w:rPr>
      </w:pPr>
      <w:r>
        <w:rPr>
          <w:rFonts w:ascii="宋体" w:hAnsi="宋体" w:eastAsia="宋体" w:cs="宋体"/>
          <w:color w:val="auto"/>
          <w:spacing w:val="-4"/>
          <w:lang w:eastAsia="zh-CN"/>
        </w:rPr>
        <w:t>编号：</w:t>
      </w:r>
    </w:p>
    <w:p w14:paraId="51ED0494">
      <w:pPr>
        <w:tabs>
          <w:tab w:val="left" w:pos="4526"/>
        </w:tabs>
        <w:spacing w:before="192" w:line="221" w:lineRule="auto"/>
        <w:ind w:left="169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7"/>
          <w:lang w:eastAsia="zh-CN"/>
        </w:rPr>
        <w:t>（投标人名称</w:t>
      </w:r>
      <w:r>
        <w:rPr>
          <w:rFonts w:ascii="宋体" w:hAnsi="宋体" w:eastAsia="宋体" w:cs="宋体"/>
          <w:color w:val="auto"/>
          <w:spacing w:val="-9"/>
          <w:lang w:eastAsia="zh-CN"/>
        </w:rPr>
        <w:t>）：</w:t>
      </w:r>
    </w:p>
    <w:p w14:paraId="6DD5368C">
      <w:pPr>
        <w:pStyle w:val="8"/>
        <w:spacing w:line="350" w:lineRule="auto"/>
        <w:rPr>
          <w:lang w:eastAsia="zh-CN"/>
        </w:rPr>
      </w:pPr>
    </w:p>
    <w:p w14:paraId="7383EBA7">
      <w:pPr>
        <w:pStyle w:val="8"/>
        <w:spacing w:line="351" w:lineRule="auto"/>
        <w:rPr>
          <w:lang w:eastAsia="zh-CN"/>
        </w:rPr>
      </w:pPr>
    </w:p>
    <w:p w14:paraId="4E225BAA">
      <w:pPr>
        <w:tabs>
          <w:tab w:val="left" w:pos="3791"/>
        </w:tabs>
        <w:spacing w:before="68" w:line="492" w:lineRule="auto"/>
        <w:ind w:left="1698" w:right="1632" w:firstLine="412"/>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
          <w:lang w:eastAsia="zh-CN"/>
        </w:rPr>
        <w:t>（标段名称）项目（标段唯一标识码</w:t>
      </w:r>
      <w:r>
        <w:rPr>
          <w:rFonts w:ascii="宋体" w:hAnsi="宋体" w:eastAsia="宋体" w:cs="宋体"/>
          <w:color w:val="auto"/>
          <w:spacing w:val="-2"/>
          <w:lang w:eastAsia="zh-CN"/>
        </w:rPr>
        <w:t>：）</w:t>
      </w:r>
      <w:r>
        <w:rPr>
          <w:rFonts w:ascii="宋体" w:hAnsi="宋体" w:eastAsia="宋体" w:cs="宋体"/>
          <w:color w:val="auto"/>
          <w:spacing w:val="1"/>
          <w:lang w:eastAsia="zh-CN"/>
        </w:rPr>
        <w:t>招标的评标委员会，</w:t>
      </w:r>
      <w:r>
        <w:rPr>
          <w:rFonts w:ascii="宋体" w:hAnsi="宋体" w:eastAsia="宋体" w:cs="宋体"/>
          <w:color w:val="auto"/>
          <w:spacing w:val="-2"/>
          <w:lang w:eastAsia="zh-CN"/>
        </w:rPr>
        <w:t>对你方的投标文件进行了仔细的审查，现需你方对下</w:t>
      </w:r>
      <w:r>
        <w:rPr>
          <w:rFonts w:ascii="宋体" w:hAnsi="宋体" w:eastAsia="宋体" w:cs="宋体"/>
          <w:color w:val="auto"/>
          <w:spacing w:val="-3"/>
          <w:lang w:eastAsia="zh-CN"/>
        </w:rPr>
        <w:t>列问题以书面形式予以澄清、说明或者</w:t>
      </w:r>
      <w:r>
        <w:rPr>
          <w:rFonts w:ascii="宋体" w:hAnsi="宋体" w:eastAsia="宋体" w:cs="宋体"/>
          <w:color w:val="auto"/>
          <w:spacing w:val="-1"/>
          <w:lang w:eastAsia="zh-CN"/>
        </w:rPr>
        <w:t>补正，并将投标文件的澄清、说明或者补正于年</w:t>
      </w:r>
      <w:r>
        <w:rPr>
          <w:rFonts w:ascii="宋体" w:hAnsi="宋体" w:eastAsia="宋体" w:cs="宋体"/>
          <w:color w:val="auto"/>
          <w:spacing w:val="-2"/>
          <w:lang w:eastAsia="zh-CN"/>
        </w:rPr>
        <w:t>月日时</w:t>
      </w:r>
    </w:p>
    <w:p w14:paraId="5C5A4EAD">
      <w:pPr>
        <w:tabs>
          <w:tab w:val="left" w:pos="2426"/>
        </w:tabs>
        <w:spacing w:line="492" w:lineRule="auto"/>
        <w:ind w:left="1700" w:right="1797" w:hanging="9"/>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lang w:eastAsia="zh-CN"/>
        </w:rPr>
        <w:t>分前，通过电子招标投标系统（辽宁省工程建设项目数字化开标评标系统）提交给</w:t>
      </w:r>
      <w:r>
        <w:rPr>
          <w:rFonts w:ascii="宋体" w:hAnsi="宋体" w:eastAsia="宋体" w:cs="宋体"/>
          <w:color w:val="auto"/>
          <w:spacing w:val="-5"/>
          <w:lang w:eastAsia="zh-CN"/>
        </w:rPr>
        <w:t>本评标委员会。</w:t>
      </w:r>
    </w:p>
    <w:p w14:paraId="3F4AC1C1">
      <w:pPr>
        <w:spacing w:before="1" w:line="236" w:lineRule="auto"/>
        <w:ind w:left="2135"/>
        <w:rPr>
          <w:rFonts w:ascii="宋体" w:hAnsi="宋体" w:eastAsia="宋体" w:cs="宋体"/>
          <w:color w:val="auto"/>
          <w:lang w:eastAsia="zh-CN"/>
        </w:rPr>
      </w:pP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w:t>
      </w:r>
    </w:p>
    <w:p w14:paraId="37292526">
      <w:pPr>
        <w:spacing w:before="292" w:line="236"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w:t>
      </w:r>
    </w:p>
    <w:p w14:paraId="377F5C6E">
      <w:pPr>
        <w:spacing w:before="291" w:line="331"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54A0F801">
      <w:pPr>
        <w:pStyle w:val="8"/>
        <w:spacing w:line="252" w:lineRule="auto"/>
        <w:rPr>
          <w:lang w:eastAsia="zh-CN"/>
        </w:rPr>
      </w:pPr>
    </w:p>
    <w:p w14:paraId="512B680D">
      <w:pPr>
        <w:pStyle w:val="8"/>
        <w:spacing w:line="252" w:lineRule="auto"/>
        <w:rPr>
          <w:lang w:eastAsia="zh-CN"/>
        </w:rPr>
      </w:pPr>
    </w:p>
    <w:p w14:paraId="2EB5C521">
      <w:pPr>
        <w:pStyle w:val="8"/>
        <w:spacing w:line="252" w:lineRule="auto"/>
        <w:rPr>
          <w:lang w:eastAsia="zh-CN"/>
        </w:rPr>
      </w:pPr>
    </w:p>
    <w:p w14:paraId="7EA8C36C">
      <w:pPr>
        <w:pStyle w:val="8"/>
        <w:spacing w:line="253" w:lineRule="auto"/>
        <w:rPr>
          <w:lang w:eastAsia="zh-CN"/>
        </w:rPr>
      </w:pPr>
    </w:p>
    <w:p w14:paraId="297D8C4B">
      <w:pPr>
        <w:tabs>
          <w:tab w:val="left" w:pos="6730"/>
        </w:tabs>
        <w:spacing w:before="69" w:line="220" w:lineRule="auto"/>
        <w:ind w:left="547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
          <w:lang w:eastAsia="zh-CN"/>
        </w:rPr>
        <w:t>（标段名称）项目招标评标委员会</w:t>
      </w:r>
    </w:p>
    <w:p w14:paraId="3352C4AA">
      <w:pPr>
        <w:pStyle w:val="8"/>
        <w:spacing w:line="319" w:lineRule="auto"/>
        <w:rPr>
          <w:lang w:eastAsia="zh-CN"/>
        </w:rPr>
      </w:pPr>
    </w:p>
    <w:p w14:paraId="0034CACE">
      <w:pPr>
        <w:pStyle w:val="8"/>
        <w:spacing w:line="319" w:lineRule="auto"/>
        <w:rPr>
          <w:lang w:eastAsia="zh-CN"/>
        </w:rPr>
      </w:pPr>
    </w:p>
    <w:p w14:paraId="787EA49F">
      <w:pPr>
        <w:tabs>
          <w:tab w:val="left" w:pos="7885"/>
        </w:tabs>
        <w:spacing w:before="68" w:line="220" w:lineRule="auto"/>
        <w:ind w:left="7256"/>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298F4F92">
      <w:pPr>
        <w:spacing w:line="220" w:lineRule="auto"/>
        <w:rPr>
          <w:rFonts w:ascii="宋体" w:hAnsi="宋体" w:eastAsia="宋体" w:cs="宋体"/>
          <w:color w:val="auto"/>
          <w:lang w:eastAsia="zh-CN"/>
        </w:rPr>
        <w:sectPr>
          <w:headerReference r:id="rId41" w:type="default"/>
          <w:footerReference r:id="rId42" w:type="default"/>
          <w:pgSz w:w="11906" w:h="16839"/>
          <w:pgMar w:top="400" w:right="0" w:bottom="1006" w:left="105" w:header="0" w:footer="846" w:gutter="0"/>
          <w:cols w:space="720" w:num="1"/>
        </w:sectPr>
      </w:pPr>
    </w:p>
    <w:p w14:paraId="529B2BAA">
      <w:pPr>
        <w:pStyle w:val="8"/>
        <w:spacing w:line="250" w:lineRule="auto"/>
        <w:rPr>
          <w:lang w:eastAsia="zh-CN"/>
        </w:rPr>
      </w:pPr>
    </w:p>
    <w:p w14:paraId="15471CDB">
      <w:pPr>
        <w:pStyle w:val="8"/>
        <w:spacing w:line="250" w:lineRule="auto"/>
        <w:rPr>
          <w:lang w:eastAsia="zh-CN"/>
        </w:rPr>
      </w:pPr>
    </w:p>
    <w:p w14:paraId="2AAFA69B">
      <w:pPr>
        <w:pStyle w:val="8"/>
        <w:spacing w:line="250" w:lineRule="auto"/>
        <w:rPr>
          <w:lang w:eastAsia="zh-CN"/>
        </w:rPr>
      </w:pPr>
    </w:p>
    <w:p w14:paraId="29BA4292">
      <w:pPr>
        <w:pStyle w:val="8"/>
        <w:spacing w:line="250" w:lineRule="auto"/>
        <w:rPr>
          <w:lang w:eastAsia="zh-CN"/>
        </w:rPr>
      </w:pPr>
    </w:p>
    <w:p w14:paraId="53D40FCD">
      <w:pPr>
        <w:pStyle w:val="8"/>
        <w:spacing w:line="251" w:lineRule="auto"/>
        <w:rPr>
          <w:lang w:eastAsia="zh-CN"/>
        </w:rPr>
      </w:pPr>
    </w:p>
    <w:p w14:paraId="256AFEF2">
      <w:pPr>
        <w:spacing w:before="78" w:line="222" w:lineRule="auto"/>
        <w:ind w:left="1713"/>
        <w:outlineLvl w:val="2"/>
        <w:rPr>
          <w:rFonts w:ascii="黑体" w:hAnsi="黑体" w:eastAsia="黑体" w:cs="黑体"/>
          <w:color w:val="auto"/>
          <w:sz w:val="24"/>
          <w:szCs w:val="24"/>
          <w:lang w:eastAsia="zh-CN"/>
        </w:rPr>
      </w:pPr>
      <w:bookmarkStart w:id="213" w:name="bookmark225"/>
      <w:bookmarkEnd w:id="213"/>
      <w:r>
        <w:rPr>
          <w:rFonts w:ascii="黑体" w:hAnsi="黑体" w:eastAsia="黑体" w:cs="黑体"/>
          <w:color w:val="auto"/>
          <w:spacing w:val="-2"/>
          <w:sz w:val="24"/>
          <w:szCs w:val="24"/>
          <w:lang w:eastAsia="zh-CN"/>
        </w:rPr>
        <w:t>附表七：投标文件问题的澄清</w:t>
      </w:r>
    </w:p>
    <w:p w14:paraId="65EC076F">
      <w:pPr>
        <w:pStyle w:val="8"/>
        <w:spacing w:line="293" w:lineRule="auto"/>
        <w:rPr>
          <w:lang w:eastAsia="zh-CN"/>
        </w:rPr>
      </w:pPr>
    </w:p>
    <w:p w14:paraId="704989F8">
      <w:pPr>
        <w:pStyle w:val="8"/>
        <w:spacing w:line="293" w:lineRule="auto"/>
        <w:rPr>
          <w:lang w:eastAsia="zh-CN"/>
        </w:rPr>
      </w:pPr>
    </w:p>
    <w:p w14:paraId="1802B06D">
      <w:pPr>
        <w:pStyle w:val="8"/>
        <w:spacing w:line="294" w:lineRule="auto"/>
        <w:rPr>
          <w:lang w:eastAsia="zh-CN"/>
        </w:rPr>
      </w:pPr>
    </w:p>
    <w:p w14:paraId="2D8BCBE5">
      <w:pPr>
        <w:pStyle w:val="8"/>
        <w:spacing w:line="294" w:lineRule="auto"/>
        <w:rPr>
          <w:lang w:eastAsia="zh-CN"/>
        </w:rPr>
      </w:pPr>
    </w:p>
    <w:p w14:paraId="2BFB43CF">
      <w:pPr>
        <w:spacing w:before="91" w:line="221" w:lineRule="auto"/>
        <w:ind w:left="3755"/>
        <w:rPr>
          <w:rFonts w:ascii="黑体" w:hAnsi="黑体" w:eastAsia="黑体" w:cs="黑体"/>
          <w:color w:val="auto"/>
          <w:sz w:val="28"/>
          <w:szCs w:val="28"/>
          <w:lang w:eastAsia="zh-CN"/>
        </w:rPr>
      </w:pPr>
      <w:bookmarkStart w:id="214" w:name="bookmark75"/>
      <w:bookmarkEnd w:id="214"/>
      <w:r>
        <w:rPr>
          <w:rFonts w:ascii="黑体" w:hAnsi="黑体" w:eastAsia="黑体" w:cs="黑体"/>
          <w:color w:val="auto"/>
          <w:spacing w:val="-1"/>
          <w:sz w:val="28"/>
          <w:szCs w:val="28"/>
          <w:lang w:eastAsia="zh-CN"/>
        </w:rPr>
        <w:t>投标文件问题的澄清、说明或补正</w:t>
      </w:r>
    </w:p>
    <w:p w14:paraId="1D12DD28">
      <w:pPr>
        <w:spacing w:before="258" w:line="220" w:lineRule="auto"/>
        <w:ind w:left="7685"/>
        <w:rPr>
          <w:rFonts w:ascii="宋体" w:hAnsi="宋体" w:eastAsia="宋体" w:cs="宋体"/>
          <w:color w:val="auto"/>
          <w:lang w:eastAsia="zh-CN"/>
        </w:rPr>
      </w:pPr>
      <w:r>
        <w:rPr>
          <w:rFonts w:ascii="宋体" w:hAnsi="宋体" w:eastAsia="宋体" w:cs="宋体"/>
          <w:color w:val="auto"/>
          <w:spacing w:val="-4"/>
          <w:lang w:eastAsia="zh-CN"/>
        </w:rPr>
        <w:t>编号：</w:t>
      </w:r>
    </w:p>
    <w:p w14:paraId="262CC50F">
      <w:pPr>
        <w:pStyle w:val="8"/>
        <w:spacing w:line="300" w:lineRule="auto"/>
        <w:rPr>
          <w:lang w:eastAsia="zh-CN"/>
        </w:rPr>
      </w:pPr>
    </w:p>
    <w:p w14:paraId="69FC9F85">
      <w:pPr>
        <w:pStyle w:val="8"/>
        <w:spacing w:line="300" w:lineRule="auto"/>
        <w:rPr>
          <w:lang w:eastAsia="zh-CN"/>
        </w:rPr>
      </w:pPr>
    </w:p>
    <w:p w14:paraId="5B0AB810">
      <w:pPr>
        <w:tabs>
          <w:tab w:val="left" w:pos="3581"/>
        </w:tabs>
        <w:spacing w:before="68" w:line="220" w:lineRule="auto"/>
        <w:ind w:left="190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3"/>
          <w:lang w:eastAsia="zh-CN"/>
        </w:rPr>
        <w:t>（标段名称）项目招标评标委员会：</w:t>
      </w:r>
    </w:p>
    <w:p w14:paraId="1FE2EAF8">
      <w:pPr>
        <w:spacing w:before="294" w:line="220" w:lineRule="auto"/>
        <w:ind w:left="2121"/>
        <w:rPr>
          <w:rFonts w:ascii="宋体" w:hAnsi="宋体" w:eastAsia="宋体" w:cs="宋体"/>
          <w:color w:val="auto"/>
          <w:lang w:eastAsia="zh-CN"/>
        </w:rPr>
      </w:pPr>
      <w:r>
        <w:rPr>
          <w:rFonts w:ascii="宋体" w:hAnsi="宋体" w:eastAsia="宋体" w:cs="宋体"/>
          <w:color w:val="auto"/>
          <w:spacing w:val="-2"/>
          <w:lang w:eastAsia="zh-CN"/>
        </w:rPr>
        <w:t>投标文件问题澄清通知（编号</w:t>
      </w:r>
      <w:r>
        <w:rPr>
          <w:rFonts w:ascii="宋体" w:hAnsi="宋体" w:eastAsia="宋体" w:cs="宋体"/>
          <w:color w:val="auto"/>
          <w:spacing w:val="1"/>
          <w:lang w:eastAsia="zh-CN"/>
        </w:rPr>
        <w:t>：）</w:t>
      </w:r>
      <w:r>
        <w:rPr>
          <w:rFonts w:ascii="宋体" w:hAnsi="宋体" w:eastAsia="宋体" w:cs="宋体"/>
          <w:color w:val="auto"/>
          <w:spacing w:val="-2"/>
          <w:lang w:eastAsia="zh-CN"/>
        </w:rPr>
        <w:t>已收悉，现澄清、说明或者补正如下：</w:t>
      </w:r>
    </w:p>
    <w:p w14:paraId="026FA51B">
      <w:pPr>
        <w:pStyle w:val="8"/>
        <w:rPr>
          <w:lang w:eastAsia="zh-CN"/>
        </w:rPr>
      </w:pPr>
    </w:p>
    <w:p w14:paraId="78FCEDAA">
      <w:pPr>
        <w:spacing w:before="69" w:line="236" w:lineRule="auto"/>
        <w:ind w:left="2135"/>
        <w:rPr>
          <w:rFonts w:ascii="宋体" w:hAnsi="宋体" w:eastAsia="宋体" w:cs="宋体"/>
          <w:color w:val="auto"/>
          <w:lang w:eastAsia="zh-CN"/>
        </w:rPr>
      </w:pP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w:t>
      </w:r>
    </w:p>
    <w:p w14:paraId="04A22BB3">
      <w:pPr>
        <w:spacing w:before="291" w:line="236"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w:t>
      </w:r>
    </w:p>
    <w:p w14:paraId="7210BB0A">
      <w:pPr>
        <w:spacing w:before="227" w:line="332"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1A1CC09C">
      <w:pPr>
        <w:pStyle w:val="8"/>
        <w:spacing w:line="245" w:lineRule="auto"/>
        <w:rPr>
          <w:lang w:eastAsia="zh-CN"/>
        </w:rPr>
      </w:pPr>
    </w:p>
    <w:p w14:paraId="371437A7">
      <w:pPr>
        <w:pStyle w:val="8"/>
        <w:spacing w:line="245" w:lineRule="auto"/>
        <w:rPr>
          <w:lang w:eastAsia="zh-CN"/>
        </w:rPr>
      </w:pPr>
    </w:p>
    <w:p w14:paraId="7256EA4A">
      <w:pPr>
        <w:pStyle w:val="8"/>
        <w:spacing w:line="245" w:lineRule="auto"/>
        <w:rPr>
          <w:lang w:eastAsia="zh-CN"/>
        </w:rPr>
      </w:pPr>
    </w:p>
    <w:p w14:paraId="6B81FB93">
      <w:pPr>
        <w:pStyle w:val="8"/>
        <w:spacing w:line="245" w:lineRule="auto"/>
        <w:rPr>
          <w:lang w:eastAsia="zh-CN"/>
        </w:rPr>
      </w:pPr>
    </w:p>
    <w:p w14:paraId="52AF3239">
      <w:pPr>
        <w:pStyle w:val="8"/>
        <w:spacing w:line="245" w:lineRule="auto"/>
        <w:rPr>
          <w:lang w:eastAsia="zh-CN"/>
        </w:rPr>
      </w:pPr>
    </w:p>
    <w:p w14:paraId="55017775">
      <w:pPr>
        <w:pStyle w:val="8"/>
        <w:spacing w:line="245" w:lineRule="auto"/>
        <w:rPr>
          <w:lang w:eastAsia="zh-CN"/>
        </w:rPr>
      </w:pPr>
    </w:p>
    <w:p w14:paraId="497B4CD0">
      <w:pPr>
        <w:pStyle w:val="8"/>
        <w:spacing w:line="245" w:lineRule="auto"/>
        <w:rPr>
          <w:lang w:eastAsia="zh-CN"/>
        </w:rPr>
      </w:pPr>
    </w:p>
    <w:p w14:paraId="6484D9EC">
      <w:pPr>
        <w:pStyle w:val="8"/>
        <w:spacing w:line="245" w:lineRule="auto"/>
        <w:rPr>
          <w:lang w:eastAsia="zh-CN"/>
        </w:rPr>
      </w:pPr>
    </w:p>
    <w:p w14:paraId="3DD618EB">
      <w:pPr>
        <w:pStyle w:val="8"/>
        <w:spacing w:line="245" w:lineRule="auto"/>
        <w:rPr>
          <w:lang w:eastAsia="zh-CN"/>
        </w:rPr>
      </w:pPr>
    </w:p>
    <w:p w14:paraId="6AA27CA6">
      <w:pPr>
        <w:pStyle w:val="8"/>
        <w:spacing w:line="245" w:lineRule="auto"/>
        <w:rPr>
          <w:lang w:eastAsia="zh-CN"/>
        </w:rPr>
      </w:pPr>
    </w:p>
    <w:p w14:paraId="6F966C53">
      <w:pPr>
        <w:pStyle w:val="8"/>
        <w:spacing w:line="245" w:lineRule="auto"/>
        <w:rPr>
          <w:lang w:eastAsia="zh-CN"/>
        </w:rPr>
      </w:pPr>
    </w:p>
    <w:p w14:paraId="6CFF82C3">
      <w:pPr>
        <w:pStyle w:val="8"/>
        <w:spacing w:line="246" w:lineRule="auto"/>
        <w:rPr>
          <w:lang w:eastAsia="zh-CN"/>
        </w:rPr>
      </w:pPr>
    </w:p>
    <w:p w14:paraId="424452B5">
      <w:pPr>
        <w:spacing w:before="69" w:line="220" w:lineRule="auto"/>
        <w:ind w:left="4868"/>
        <w:rPr>
          <w:rFonts w:ascii="宋体" w:hAnsi="宋体" w:eastAsia="宋体" w:cs="宋体"/>
          <w:color w:val="auto"/>
          <w:lang w:eastAsia="zh-CN"/>
        </w:rPr>
      </w:pPr>
      <w:r>
        <w:rPr>
          <w:rFonts w:ascii="宋体" w:hAnsi="宋体" w:eastAsia="宋体" w:cs="宋体"/>
          <w:color w:val="auto"/>
          <w:spacing w:val="-3"/>
          <w:lang w:eastAsia="zh-CN"/>
        </w:rPr>
        <w:t>投标人</w:t>
      </w:r>
      <w:r>
        <w:rPr>
          <w:rFonts w:ascii="宋体" w:hAnsi="宋体" w:eastAsia="宋体" w:cs="宋体"/>
          <w:color w:val="auto"/>
          <w:lang w:eastAsia="zh-CN"/>
        </w:rPr>
        <w:t>：（</w:t>
      </w:r>
      <w:r>
        <w:rPr>
          <w:rFonts w:ascii="宋体" w:hAnsi="宋体" w:eastAsia="宋体" w:cs="宋体"/>
          <w:color w:val="auto"/>
          <w:spacing w:val="-3"/>
          <w:lang w:eastAsia="zh-CN"/>
        </w:rPr>
        <w:t>盖单位章）</w:t>
      </w:r>
    </w:p>
    <w:p w14:paraId="4E966A21">
      <w:pPr>
        <w:pStyle w:val="8"/>
        <w:spacing w:line="279" w:lineRule="auto"/>
        <w:rPr>
          <w:lang w:eastAsia="zh-CN"/>
        </w:rPr>
      </w:pPr>
    </w:p>
    <w:p w14:paraId="61F3E5CF">
      <w:pPr>
        <w:spacing w:before="69" w:line="220" w:lineRule="auto"/>
        <w:ind w:left="4867"/>
        <w:rPr>
          <w:rFonts w:ascii="宋体" w:hAnsi="宋体" w:eastAsia="宋体" w:cs="宋体"/>
          <w:color w:val="auto"/>
          <w:lang w:eastAsia="zh-CN"/>
        </w:rPr>
      </w:pPr>
      <w:r>
        <w:rPr>
          <w:rFonts w:ascii="宋体" w:hAnsi="宋体" w:eastAsia="宋体" w:cs="宋体"/>
          <w:color w:val="auto"/>
          <w:spacing w:val="-2"/>
          <w:lang w:eastAsia="zh-CN"/>
        </w:rPr>
        <w:t>法定代表人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15AD775A">
      <w:pPr>
        <w:pStyle w:val="8"/>
        <w:spacing w:line="280" w:lineRule="auto"/>
        <w:rPr>
          <w:lang w:eastAsia="zh-CN"/>
        </w:rPr>
      </w:pPr>
    </w:p>
    <w:p w14:paraId="7B5A76B6">
      <w:pPr>
        <w:tabs>
          <w:tab w:val="left" w:pos="8095"/>
        </w:tabs>
        <w:spacing w:before="69" w:line="220" w:lineRule="auto"/>
        <w:ind w:left="7466"/>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2CB638E3">
      <w:pPr>
        <w:spacing w:line="220" w:lineRule="auto"/>
        <w:rPr>
          <w:rFonts w:ascii="宋体" w:hAnsi="宋体" w:eastAsia="宋体" w:cs="宋体"/>
          <w:color w:val="auto"/>
          <w:lang w:eastAsia="zh-CN"/>
        </w:rPr>
        <w:sectPr>
          <w:headerReference r:id="rId43" w:type="default"/>
          <w:footerReference r:id="rId44" w:type="default"/>
          <w:pgSz w:w="11906" w:h="16839"/>
          <w:pgMar w:top="400" w:right="0" w:bottom="1006" w:left="105" w:header="0" w:footer="846" w:gutter="0"/>
          <w:cols w:space="720" w:num="1"/>
        </w:sectPr>
      </w:pPr>
    </w:p>
    <w:p w14:paraId="553D253F">
      <w:pPr>
        <w:pStyle w:val="8"/>
        <w:spacing w:line="316" w:lineRule="auto"/>
        <w:rPr>
          <w:lang w:eastAsia="zh-CN"/>
        </w:rPr>
      </w:pPr>
    </w:p>
    <w:p w14:paraId="620A9FD9">
      <w:pPr>
        <w:pStyle w:val="8"/>
        <w:spacing w:line="316" w:lineRule="auto"/>
        <w:rPr>
          <w:lang w:eastAsia="zh-CN"/>
        </w:rPr>
      </w:pPr>
    </w:p>
    <w:p w14:paraId="03709075">
      <w:pPr>
        <w:pStyle w:val="8"/>
        <w:spacing w:line="316" w:lineRule="auto"/>
        <w:rPr>
          <w:lang w:eastAsia="zh-CN"/>
        </w:rPr>
      </w:pPr>
    </w:p>
    <w:p w14:paraId="53136180">
      <w:pPr>
        <w:spacing w:before="78" w:line="222" w:lineRule="auto"/>
        <w:ind w:left="1356"/>
        <w:outlineLvl w:val="2"/>
        <w:rPr>
          <w:rFonts w:ascii="黑体" w:hAnsi="黑体" w:eastAsia="黑体" w:cs="黑体"/>
          <w:color w:val="auto"/>
          <w:sz w:val="24"/>
          <w:szCs w:val="24"/>
          <w:lang w:eastAsia="zh-CN"/>
        </w:rPr>
      </w:pPr>
      <w:bookmarkStart w:id="215" w:name="bookmark226"/>
      <w:bookmarkEnd w:id="215"/>
      <w:r>
        <w:rPr>
          <w:rFonts w:ascii="黑体" w:hAnsi="黑体" w:eastAsia="黑体" w:cs="黑体"/>
          <w:color w:val="auto"/>
          <w:spacing w:val="-3"/>
          <w:sz w:val="24"/>
          <w:szCs w:val="24"/>
          <w:lang w:eastAsia="zh-CN"/>
        </w:rPr>
        <w:t>附表八：中标通知书</w:t>
      </w:r>
    </w:p>
    <w:p w14:paraId="1E3C85E6">
      <w:pPr>
        <w:pStyle w:val="8"/>
        <w:spacing w:line="416" w:lineRule="auto"/>
        <w:rPr>
          <w:lang w:eastAsia="zh-CN"/>
        </w:rPr>
      </w:pPr>
    </w:p>
    <w:p w14:paraId="132F07A6">
      <w:pPr>
        <w:spacing w:before="104" w:line="221" w:lineRule="auto"/>
        <w:ind w:left="6744"/>
        <w:rPr>
          <w:rFonts w:ascii="黑体" w:hAnsi="黑体" w:eastAsia="黑体" w:cs="黑体"/>
          <w:color w:val="auto"/>
          <w:sz w:val="32"/>
          <w:szCs w:val="32"/>
          <w:lang w:eastAsia="zh-CN"/>
        </w:rPr>
      </w:pPr>
      <w:bookmarkStart w:id="216" w:name="bookmark76"/>
      <w:bookmarkEnd w:id="216"/>
      <w:r>
        <w:rPr>
          <w:rFonts w:ascii="黑体" w:hAnsi="黑体" w:eastAsia="黑体" w:cs="黑体"/>
          <w:b/>
          <w:bCs/>
          <w:color w:val="auto"/>
          <w:spacing w:val="-7"/>
          <w:sz w:val="32"/>
          <w:szCs w:val="32"/>
          <w:lang w:eastAsia="zh-CN"/>
        </w:rPr>
        <w:t>中标通知书（货物类）</w:t>
      </w:r>
    </w:p>
    <w:p w14:paraId="69225CFD">
      <w:pPr>
        <w:spacing w:before="222" w:line="212" w:lineRule="auto"/>
        <w:ind w:left="1332"/>
        <w:rPr>
          <w:rFonts w:ascii="Times New Roman" w:hAnsi="Times New Roman" w:eastAsia="Times New Roman" w:cs="Times New Roman"/>
          <w:color w:val="auto"/>
          <w:lang w:eastAsia="zh-CN"/>
        </w:rPr>
      </w:pPr>
      <w:r>
        <w:rPr>
          <w:rFonts w:ascii="Times New Roman" w:hAnsi="Times New Roman" w:eastAsia="Times New Roman" w:cs="Times New Roman"/>
          <w:color w:val="auto"/>
          <w:lang w:eastAsia="zh-CN"/>
        </w:rPr>
        <w:t>____________</w:t>
      </w:r>
      <w:r>
        <w:rPr>
          <w:rFonts w:ascii="宋体" w:hAnsi="宋体" w:eastAsia="宋体" w:cs="宋体"/>
          <w:color w:val="auto"/>
          <w:lang w:eastAsia="zh-CN"/>
        </w:rPr>
        <w:t>：                                                                                                   编号：</w:t>
      </w:r>
      <w:r>
        <w:rPr>
          <w:rFonts w:ascii="Times New Roman" w:hAnsi="Times New Roman" w:eastAsia="Times New Roman" w:cs="Times New Roman"/>
          <w:color w:val="auto"/>
          <w:lang w:eastAsia="zh-CN"/>
        </w:rPr>
        <w:t>_______</w:t>
      </w:r>
      <w:r>
        <w:rPr>
          <w:rFonts w:ascii="Times New Roman" w:hAnsi="Times New Roman" w:eastAsia="Times New Roman" w:cs="Times New Roman"/>
          <w:color w:val="auto"/>
          <w:spacing w:val="-1"/>
          <w:lang w:eastAsia="zh-CN"/>
        </w:rPr>
        <w:t>_____</w:t>
      </w:r>
    </w:p>
    <w:p w14:paraId="08ABB039">
      <w:pPr>
        <w:spacing w:before="167" w:line="351" w:lineRule="auto"/>
        <w:ind w:left="1341" w:right="904" w:firstLine="421"/>
        <w:rPr>
          <w:rFonts w:ascii="宋体" w:hAnsi="宋体" w:eastAsia="宋体" w:cs="宋体"/>
          <w:color w:val="auto"/>
          <w:lang w:eastAsia="zh-CN"/>
        </w:rPr>
      </w:pPr>
      <w:r>
        <w:rPr>
          <w:rFonts w:ascii="宋体" w:hAnsi="宋体" w:eastAsia="宋体" w:cs="宋体"/>
          <w:color w:val="auto"/>
          <w:spacing w:val="-1"/>
          <w:lang w:eastAsia="zh-CN"/>
        </w:rPr>
        <w:t>你方于</w:t>
      </w:r>
      <w:r>
        <w:rPr>
          <w:rFonts w:ascii="Times New Roman" w:hAnsi="Times New Roman" w:eastAsia="Times New Roman" w:cs="Times New Roman"/>
          <w:color w:val="auto"/>
          <w:spacing w:val="-1"/>
          <w:lang w:eastAsia="zh-CN"/>
        </w:rPr>
        <w:t>_____</w:t>
      </w:r>
      <w:r>
        <w:rPr>
          <w:rFonts w:ascii="宋体" w:hAnsi="宋体" w:eastAsia="宋体" w:cs="宋体"/>
          <w:color w:val="auto"/>
          <w:spacing w:val="-1"/>
          <w:lang w:eastAsia="zh-CN"/>
        </w:rPr>
        <w:t>年</w:t>
      </w:r>
      <w:r>
        <w:rPr>
          <w:rFonts w:ascii="Times New Roman" w:hAnsi="Times New Roman" w:eastAsia="Times New Roman" w:cs="Times New Roman"/>
          <w:color w:val="auto"/>
          <w:spacing w:val="-1"/>
          <w:lang w:eastAsia="zh-CN"/>
        </w:rPr>
        <w:t>____</w:t>
      </w:r>
      <w:r>
        <w:rPr>
          <w:rFonts w:ascii="宋体" w:hAnsi="宋体" w:eastAsia="宋体" w:cs="宋体"/>
          <w:color w:val="auto"/>
          <w:spacing w:val="-1"/>
          <w:lang w:eastAsia="zh-CN"/>
        </w:rPr>
        <w:t>月</w:t>
      </w:r>
      <w:r>
        <w:rPr>
          <w:rFonts w:ascii="Times New Roman" w:hAnsi="Times New Roman" w:eastAsia="Times New Roman" w:cs="Times New Roman"/>
          <w:color w:val="auto"/>
          <w:spacing w:val="-1"/>
          <w:lang w:eastAsia="zh-CN"/>
        </w:rPr>
        <w:t>____</w:t>
      </w:r>
      <w:r>
        <w:rPr>
          <w:rFonts w:ascii="宋体" w:hAnsi="宋体" w:eastAsia="宋体" w:cs="宋体"/>
          <w:color w:val="auto"/>
          <w:spacing w:val="-1"/>
          <w:lang w:eastAsia="zh-CN"/>
        </w:rPr>
        <w:t>日所递交的</w:t>
      </w:r>
      <w:r>
        <w:rPr>
          <w:rFonts w:ascii="宋体" w:hAnsi="宋体" w:eastAsia="宋体" w:cs="宋体"/>
          <w:color w:val="auto"/>
          <w:spacing w:val="-1"/>
          <w:u w:val="single"/>
          <w:lang w:eastAsia="zh-CN"/>
        </w:rPr>
        <w:t xml:space="preserve">    （标段名称）    </w:t>
      </w:r>
      <w:r>
        <w:rPr>
          <w:rFonts w:ascii="宋体" w:hAnsi="宋体" w:eastAsia="宋体" w:cs="宋体"/>
          <w:color w:val="auto"/>
          <w:spacing w:val="-1"/>
          <w:lang w:eastAsia="zh-CN"/>
        </w:rPr>
        <w:t>的投标文件已被我方接受，被确定为中标人，请你单位派代表持</w:t>
      </w:r>
      <w:r>
        <w:rPr>
          <w:rFonts w:ascii="宋体" w:hAnsi="宋体" w:eastAsia="宋体" w:cs="宋体"/>
          <w:color w:val="auto"/>
          <w:spacing w:val="-2"/>
          <w:lang w:eastAsia="zh-CN"/>
        </w:rPr>
        <w:t>本通知书及相关资料在接到本通知书后</w:t>
      </w:r>
      <w:r>
        <w:rPr>
          <w:rFonts w:ascii="Times New Roman" w:hAnsi="Times New Roman" w:eastAsia="Times New Roman" w:cs="Times New Roman"/>
          <w:color w:val="auto"/>
          <w:spacing w:val="-2"/>
          <w:lang w:eastAsia="zh-CN"/>
        </w:rPr>
        <w:t>30</w:t>
      </w:r>
      <w:r>
        <w:rPr>
          <w:rFonts w:ascii="宋体" w:hAnsi="宋体" w:eastAsia="宋体" w:cs="宋体"/>
          <w:color w:val="auto"/>
          <w:spacing w:val="-2"/>
          <w:lang w:eastAsia="zh-CN"/>
        </w:rPr>
        <w:t>日内到与我方签订承包合同。在此之前按照招标文件规定向我方提交履约担保。</w:t>
      </w:r>
    </w:p>
    <w:p w14:paraId="71118C84">
      <w:pPr>
        <w:spacing w:before="18" w:line="220" w:lineRule="auto"/>
        <w:ind w:left="7375"/>
        <w:rPr>
          <w:rFonts w:ascii="宋体" w:hAnsi="宋体" w:eastAsia="宋体" w:cs="宋体"/>
          <w:color w:val="auto"/>
        </w:rPr>
      </w:pPr>
      <w:r>
        <w:rPr>
          <w:rFonts w:ascii="宋体" w:hAnsi="宋体" w:eastAsia="宋体" w:cs="宋体"/>
          <w:b/>
          <w:bCs/>
          <w:color w:val="auto"/>
          <w:spacing w:val="-3"/>
        </w:rPr>
        <w:t>项目概况及中标内容</w:t>
      </w:r>
    </w:p>
    <w:p w14:paraId="39F8C507">
      <w:pPr>
        <w:spacing w:line="125" w:lineRule="exact"/>
        <w:rPr>
          <w:color w:val="auto"/>
        </w:rPr>
      </w:pPr>
    </w:p>
    <w:tbl>
      <w:tblPr>
        <w:tblStyle w:val="20"/>
        <w:tblW w:w="14148" w:type="dxa"/>
        <w:tblInd w:w="12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9"/>
        <w:gridCol w:w="2767"/>
        <w:gridCol w:w="2355"/>
        <w:gridCol w:w="2356"/>
        <w:gridCol w:w="4721"/>
      </w:tblGrid>
      <w:tr w14:paraId="660E4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949" w:type="dxa"/>
          </w:tcPr>
          <w:p w14:paraId="6BFD0933">
            <w:pPr>
              <w:pStyle w:val="21"/>
              <w:spacing w:before="92" w:line="221" w:lineRule="auto"/>
              <w:ind w:left="559"/>
              <w:rPr>
                <w:color w:val="auto"/>
              </w:rPr>
            </w:pPr>
            <w:r>
              <w:rPr>
                <w:color w:val="auto"/>
                <w:spacing w:val="-3"/>
              </w:rPr>
              <w:t>项目名称</w:t>
            </w:r>
          </w:p>
        </w:tc>
        <w:tc>
          <w:tcPr>
            <w:tcW w:w="12199" w:type="dxa"/>
            <w:gridSpan w:val="4"/>
          </w:tcPr>
          <w:p w14:paraId="341CFF58">
            <w:pPr>
              <w:rPr>
                <w:color w:val="auto"/>
              </w:rPr>
            </w:pPr>
          </w:p>
        </w:tc>
      </w:tr>
      <w:tr w14:paraId="40315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tcPr>
          <w:p w14:paraId="15A41384">
            <w:pPr>
              <w:pStyle w:val="21"/>
              <w:spacing w:before="88" w:line="221" w:lineRule="auto"/>
              <w:ind w:left="556"/>
              <w:rPr>
                <w:color w:val="auto"/>
              </w:rPr>
            </w:pPr>
            <w:r>
              <w:rPr>
                <w:color w:val="auto"/>
                <w:spacing w:val="-2"/>
              </w:rPr>
              <w:t>标段名称</w:t>
            </w:r>
          </w:p>
        </w:tc>
        <w:tc>
          <w:tcPr>
            <w:tcW w:w="12199" w:type="dxa"/>
            <w:gridSpan w:val="4"/>
          </w:tcPr>
          <w:p w14:paraId="14DEFC96">
            <w:pPr>
              <w:rPr>
                <w:color w:val="auto"/>
              </w:rPr>
            </w:pPr>
          </w:p>
        </w:tc>
      </w:tr>
      <w:tr w14:paraId="70BA3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tcPr>
          <w:p w14:paraId="1EAA3198">
            <w:pPr>
              <w:pStyle w:val="21"/>
              <w:spacing w:before="88" w:line="220" w:lineRule="auto"/>
              <w:ind w:left="555"/>
              <w:rPr>
                <w:color w:val="auto"/>
              </w:rPr>
            </w:pPr>
            <w:r>
              <w:rPr>
                <w:color w:val="auto"/>
                <w:spacing w:val="-2"/>
              </w:rPr>
              <w:t>供货地址</w:t>
            </w:r>
          </w:p>
        </w:tc>
        <w:tc>
          <w:tcPr>
            <w:tcW w:w="12199" w:type="dxa"/>
            <w:gridSpan w:val="4"/>
          </w:tcPr>
          <w:p w14:paraId="56B20FBB">
            <w:pPr>
              <w:rPr>
                <w:color w:val="auto"/>
              </w:rPr>
            </w:pPr>
          </w:p>
        </w:tc>
      </w:tr>
      <w:tr w14:paraId="7CA5A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1949" w:type="dxa"/>
          </w:tcPr>
          <w:p w14:paraId="5BA66D21">
            <w:pPr>
              <w:pStyle w:val="21"/>
              <w:spacing w:before="90" w:line="220" w:lineRule="auto"/>
              <w:ind w:left="575"/>
              <w:rPr>
                <w:color w:val="auto"/>
              </w:rPr>
            </w:pPr>
            <w:r>
              <w:rPr>
                <w:color w:val="auto"/>
                <w:spacing w:val="-6"/>
              </w:rPr>
              <w:t>中标内容</w:t>
            </w:r>
          </w:p>
        </w:tc>
        <w:tc>
          <w:tcPr>
            <w:tcW w:w="12199" w:type="dxa"/>
            <w:gridSpan w:val="4"/>
          </w:tcPr>
          <w:p w14:paraId="1791EE85">
            <w:pPr>
              <w:rPr>
                <w:color w:val="auto"/>
              </w:rPr>
            </w:pPr>
          </w:p>
        </w:tc>
      </w:tr>
      <w:tr w14:paraId="086EB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949" w:type="dxa"/>
          </w:tcPr>
          <w:p w14:paraId="0AA2A935">
            <w:pPr>
              <w:pStyle w:val="21"/>
              <w:spacing w:before="95" w:line="220" w:lineRule="auto"/>
              <w:ind w:left="450"/>
              <w:rPr>
                <w:color w:val="auto"/>
              </w:rPr>
            </w:pPr>
            <w:r>
              <w:rPr>
                <w:color w:val="auto"/>
                <w:spacing w:val="-2"/>
              </w:rPr>
              <w:t>计划供货期</w:t>
            </w:r>
          </w:p>
        </w:tc>
        <w:tc>
          <w:tcPr>
            <w:tcW w:w="5122" w:type="dxa"/>
            <w:gridSpan w:val="2"/>
          </w:tcPr>
          <w:p w14:paraId="3F91385E">
            <w:pPr>
              <w:rPr>
                <w:color w:val="auto"/>
              </w:rPr>
            </w:pPr>
          </w:p>
        </w:tc>
        <w:tc>
          <w:tcPr>
            <w:tcW w:w="2356" w:type="dxa"/>
          </w:tcPr>
          <w:p w14:paraId="248F7261">
            <w:pPr>
              <w:pStyle w:val="21"/>
              <w:spacing w:before="95" w:line="220" w:lineRule="auto"/>
              <w:ind w:left="239"/>
              <w:rPr>
                <w:color w:val="auto"/>
              </w:rPr>
            </w:pPr>
            <w:r>
              <w:rPr>
                <w:color w:val="auto"/>
                <w:spacing w:val="-3"/>
              </w:rPr>
              <w:t>总供货期（日历天）</w:t>
            </w:r>
          </w:p>
        </w:tc>
        <w:tc>
          <w:tcPr>
            <w:tcW w:w="4721" w:type="dxa"/>
          </w:tcPr>
          <w:p w14:paraId="68B28E36">
            <w:pPr>
              <w:rPr>
                <w:color w:val="auto"/>
              </w:rPr>
            </w:pPr>
          </w:p>
        </w:tc>
      </w:tr>
      <w:tr w14:paraId="56EA0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tcPr>
          <w:p w14:paraId="5A55FC20">
            <w:pPr>
              <w:pStyle w:val="21"/>
              <w:spacing w:before="91" w:line="220" w:lineRule="auto"/>
              <w:ind w:left="564"/>
              <w:rPr>
                <w:color w:val="auto"/>
              </w:rPr>
            </w:pPr>
            <w:r>
              <w:rPr>
                <w:color w:val="auto"/>
                <w:spacing w:val="-4"/>
              </w:rPr>
              <w:t>资质等级</w:t>
            </w:r>
          </w:p>
        </w:tc>
        <w:tc>
          <w:tcPr>
            <w:tcW w:w="5122" w:type="dxa"/>
            <w:gridSpan w:val="2"/>
          </w:tcPr>
          <w:p w14:paraId="35EC149B">
            <w:pPr>
              <w:rPr>
                <w:color w:val="auto"/>
              </w:rPr>
            </w:pPr>
          </w:p>
        </w:tc>
        <w:tc>
          <w:tcPr>
            <w:tcW w:w="2356" w:type="dxa"/>
          </w:tcPr>
          <w:p w14:paraId="64072A5F">
            <w:pPr>
              <w:pStyle w:val="21"/>
              <w:spacing w:before="91" w:line="221" w:lineRule="auto"/>
              <w:ind w:left="763"/>
              <w:rPr>
                <w:color w:val="auto"/>
              </w:rPr>
            </w:pPr>
            <w:r>
              <w:rPr>
                <w:color w:val="auto"/>
                <w:spacing w:val="-2"/>
              </w:rPr>
              <w:t>质量标准</w:t>
            </w:r>
          </w:p>
        </w:tc>
        <w:tc>
          <w:tcPr>
            <w:tcW w:w="4721" w:type="dxa"/>
          </w:tcPr>
          <w:p w14:paraId="10474956">
            <w:pPr>
              <w:rPr>
                <w:color w:val="auto"/>
              </w:rPr>
            </w:pPr>
          </w:p>
        </w:tc>
      </w:tr>
      <w:tr w14:paraId="099C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tcPr>
          <w:p w14:paraId="6070C373">
            <w:pPr>
              <w:pStyle w:val="21"/>
              <w:spacing w:before="92" w:line="220" w:lineRule="auto"/>
              <w:ind w:left="454"/>
              <w:rPr>
                <w:color w:val="auto"/>
              </w:rPr>
            </w:pPr>
            <w:r>
              <w:rPr>
                <w:color w:val="auto"/>
                <w:spacing w:val="-2"/>
              </w:rPr>
              <w:t>项目负责人</w:t>
            </w:r>
          </w:p>
        </w:tc>
        <w:tc>
          <w:tcPr>
            <w:tcW w:w="2767" w:type="dxa"/>
          </w:tcPr>
          <w:p w14:paraId="40D407C0">
            <w:pPr>
              <w:rPr>
                <w:color w:val="auto"/>
              </w:rPr>
            </w:pPr>
          </w:p>
        </w:tc>
        <w:tc>
          <w:tcPr>
            <w:tcW w:w="2355" w:type="dxa"/>
          </w:tcPr>
          <w:p w14:paraId="66A52483">
            <w:pPr>
              <w:pStyle w:val="21"/>
              <w:spacing w:before="91" w:line="220" w:lineRule="auto"/>
              <w:ind w:left="453"/>
              <w:rPr>
                <w:color w:val="auto"/>
              </w:rPr>
            </w:pPr>
            <w:r>
              <w:rPr>
                <w:color w:val="auto"/>
                <w:spacing w:val="-3"/>
              </w:rPr>
              <w:t>资格证书及编号</w:t>
            </w:r>
          </w:p>
        </w:tc>
        <w:tc>
          <w:tcPr>
            <w:tcW w:w="7077" w:type="dxa"/>
            <w:gridSpan w:val="2"/>
          </w:tcPr>
          <w:p w14:paraId="207CA089">
            <w:pPr>
              <w:rPr>
                <w:color w:val="auto"/>
              </w:rPr>
            </w:pPr>
          </w:p>
        </w:tc>
      </w:tr>
      <w:tr w14:paraId="24900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vMerge w:val="restart"/>
            <w:tcBorders>
              <w:bottom w:val="nil"/>
            </w:tcBorders>
          </w:tcPr>
          <w:p w14:paraId="606280CE">
            <w:pPr>
              <w:pStyle w:val="21"/>
              <w:spacing w:before="248" w:line="220" w:lineRule="auto"/>
              <w:ind w:left="575"/>
              <w:rPr>
                <w:color w:val="auto"/>
              </w:rPr>
            </w:pPr>
            <w:r>
              <w:rPr>
                <w:color w:val="auto"/>
                <w:spacing w:val="-6"/>
              </w:rPr>
              <w:t>中标金额</w:t>
            </w:r>
          </w:p>
        </w:tc>
        <w:tc>
          <w:tcPr>
            <w:tcW w:w="12199" w:type="dxa"/>
            <w:gridSpan w:val="4"/>
          </w:tcPr>
          <w:p w14:paraId="4BDA6CC3">
            <w:pPr>
              <w:pStyle w:val="21"/>
              <w:spacing w:before="93" w:line="221" w:lineRule="auto"/>
              <w:ind w:left="109"/>
              <w:rPr>
                <w:color w:val="auto"/>
              </w:rPr>
            </w:pPr>
            <w:r>
              <w:rPr>
                <w:color w:val="auto"/>
                <w:spacing w:val="-14"/>
              </w:rPr>
              <w:t>大写：</w:t>
            </w:r>
          </w:p>
        </w:tc>
      </w:tr>
      <w:tr w14:paraId="6DD01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949" w:type="dxa"/>
            <w:vMerge w:val="continue"/>
            <w:tcBorders>
              <w:top w:val="nil"/>
            </w:tcBorders>
          </w:tcPr>
          <w:p w14:paraId="29BA610B">
            <w:pPr>
              <w:rPr>
                <w:color w:val="auto"/>
              </w:rPr>
            </w:pPr>
          </w:p>
        </w:tc>
        <w:tc>
          <w:tcPr>
            <w:tcW w:w="12199" w:type="dxa"/>
            <w:gridSpan w:val="4"/>
          </w:tcPr>
          <w:p w14:paraId="5ACD1C44">
            <w:pPr>
              <w:pStyle w:val="21"/>
              <w:spacing w:before="48" w:line="212" w:lineRule="auto"/>
              <w:ind w:left="112"/>
              <w:rPr>
                <w:color w:val="auto"/>
              </w:rPr>
            </w:pPr>
            <w:r>
              <w:rPr>
                <w:color w:val="auto"/>
                <w:spacing w:val="-14"/>
              </w:rPr>
              <w:t>小写：</w:t>
            </w:r>
          </w:p>
        </w:tc>
      </w:tr>
      <w:tr w14:paraId="2BF83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949" w:type="dxa"/>
          </w:tcPr>
          <w:p w14:paraId="413EA2EC">
            <w:pPr>
              <w:pStyle w:val="21"/>
              <w:spacing w:before="94" w:line="220" w:lineRule="auto"/>
              <w:ind w:left="250"/>
              <w:rPr>
                <w:color w:val="auto"/>
              </w:rPr>
            </w:pPr>
            <w:r>
              <w:rPr>
                <w:color w:val="auto"/>
                <w:spacing w:val="-3"/>
              </w:rPr>
              <w:t>需要说明的事项</w:t>
            </w:r>
          </w:p>
        </w:tc>
        <w:tc>
          <w:tcPr>
            <w:tcW w:w="12199" w:type="dxa"/>
            <w:gridSpan w:val="4"/>
          </w:tcPr>
          <w:p w14:paraId="5BCCE24D">
            <w:pPr>
              <w:rPr>
                <w:color w:val="auto"/>
              </w:rPr>
            </w:pPr>
          </w:p>
        </w:tc>
      </w:tr>
      <w:tr w14:paraId="742CF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2" w:hRule="atLeast"/>
        </w:trPr>
        <w:tc>
          <w:tcPr>
            <w:tcW w:w="4716" w:type="dxa"/>
            <w:gridSpan w:val="2"/>
          </w:tcPr>
          <w:p w14:paraId="35A90366">
            <w:pPr>
              <w:spacing w:line="470" w:lineRule="auto"/>
              <w:rPr>
                <w:color w:val="auto"/>
                <w:lang w:eastAsia="zh-CN"/>
              </w:rPr>
            </w:pPr>
          </w:p>
          <w:p w14:paraId="63F34363">
            <w:pPr>
              <w:pStyle w:val="21"/>
              <w:spacing w:before="69" w:line="220" w:lineRule="auto"/>
              <w:ind w:left="742"/>
              <w:rPr>
                <w:color w:val="auto"/>
                <w:lang w:eastAsia="zh-CN"/>
              </w:rPr>
            </w:pPr>
            <w:r>
              <w:rPr>
                <w:color w:val="auto"/>
                <w:spacing w:val="-3"/>
                <w:lang w:eastAsia="zh-CN"/>
              </w:rPr>
              <w:t>招标人（盖章）</w:t>
            </w:r>
          </w:p>
          <w:p w14:paraId="7667A492">
            <w:pPr>
              <w:pStyle w:val="21"/>
              <w:spacing w:before="149" w:line="220" w:lineRule="auto"/>
              <w:ind w:left="742"/>
              <w:rPr>
                <w:color w:val="auto"/>
                <w:lang w:eastAsia="zh-CN"/>
              </w:rPr>
            </w:pPr>
            <w:r>
              <w:rPr>
                <w:color w:val="auto"/>
                <w:spacing w:val="-3"/>
                <w:lang w:eastAsia="zh-CN"/>
              </w:rPr>
              <w:t>法定代表人（签章）</w:t>
            </w:r>
          </w:p>
          <w:p w14:paraId="304F46EA">
            <w:pPr>
              <w:pStyle w:val="21"/>
              <w:spacing w:before="150" w:line="219" w:lineRule="auto"/>
              <w:ind w:left="2728"/>
              <w:rPr>
                <w:color w:val="auto"/>
              </w:rPr>
            </w:pPr>
            <w:r>
              <w:rPr>
                <w:color w:val="auto"/>
                <w:spacing w:val="-8"/>
              </w:rPr>
              <w:t>年月日</w:t>
            </w:r>
          </w:p>
        </w:tc>
        <w:tc>
          <w:tcPr>
            <w:tcW w:w="4711" w:type="dxa"/>
            <w:gridSpan w:val="2"/>
          </w:tcPr>
          <w:p w14:paraId="678F4F08">
            <w:pPr>
              <w:spacing w:line="470" w:lineRule="auto"/>
              <w:rPr>
                <w:color w:val="auto"/>
                <w:lang w:eastAsia="zh-CN"/>
              </w:rPr>
            </w:pPr>
          </w:p>
          <w:p w14:paraId="3B8868EA">
            <w:pPr>
              <w:pStyle w:val="21"/>
              <w:spacing w:before="69" w:line="220" w:lineRule="auto"/>
              <w:ind w:left="740"/>
              <w:rPr>
                <w:color w:val="auto"/>
                <w:lang w:eastAsia="zh-CN"/>
              </w:rPr>
            </w:pPr>
            <w:r>
              <w:rPr>
                <w:color w:val="auto"/>
                <w:spacing w:val="-3"/>
                <w:lang w:eastAsia="zh-CN"/>
              </w:rPr>
              <w:t>招标代理（盖章）</w:t>
            </w:r>
          </w:p>
          <w:p w14:paraId="64C3A8F5">
            <w:pPr>
              <w:pStyle w:val="21"/>
              <w:spacing w:before="149" w:line="220" w:lineRule="auto"/>
              <w:ind w:left="740"/>
              <w:rPr>
                <w:color w:val="auto"/>
                <w:lang w:eastAsia="zh-CN"/>
              </w:rPr>
            </w:pPr>
            <w:r>
              <w:rPr>
                <w:color w:val="auto"/>
                <w:spacing w:val="-3"/>
                <w:lang w:eastAsia="zh-CN"/>
              </w:rPr>
              <w:t>法定代表人（签章）</w:t>
            </w:r>
          </w:p>
          <w:p w14:paraId="29B87F9C">
            <w:pPr>
              <w:pStyle w:val="21"/>
              <w:spacing w:before="150" w:line="219" w:lineRule="auto"/>
              <w:ind w:left="2779"/>
              <w:rPr>
                <w:color w:val="auto"/>
              </w:rPr>
            </w:pPr>
            <w:r>
              <w:rPr>
                <w:color w:val="auto"/>
                <w:spacing w:val="-8"/>
              </w:rPr>
              <w:t>年月日</w:t>
            </w:r>
          </w:p>
        </w:tc>
        <w:tc>
          <w:tcPr>
            <w:tcW w:w="4721" w:type="dxa"/>
          </w:tcPr>
          <w:p w14:paraId="77282B9C">
            <w:pPr>
              <w:spacing w:line="470" w:lineRule="auto"/>
              <w:rPr>
                <w:color w:val="auto"/>
                <w:lang w:eastAsia="zh-CN"/>
              </w:rPr>
            </w:pPr>
          </w:p>
          <w:p w14:paraId="42D64ABE">
            <w:pPr>
              <w:pStyle w:val="21"/>
              <w:spacing w:before="69" w:line="220" w:lineRule="auto"/>
              <w:ind w:left="639"/>
              <w:rPr>
                <w:color w:val="auto"/>
                <w:lang w:eastAsia="zh-CN"/>
              </w:rPr>
            </w:pPr>
            <w:r>
              <w:rPr>
                <w:color w:val="auto"/>
                <w:spacing w:val="-3"/>
                <w:lang w:eastAsia="zh-CN"/>
              </w:rPr>
              <w:t>监管部门（盖章）</w:t>
            </w:r>
          </w:p>
          <w:p w14:paraId="7547C215">
            <w:pPr>
              <w:pStyle w:val="21"/>
              <w:spacing w:before="149" w:line="220" w:lineRule="auto"/>
              <w:ind w:left="639"/>
              <w:rPr>
                <w:color w:val="auto"/>
                <w:lang w:eastAsia="zh-CN"/>
              </w:rPr>
            </w:pPr>
            <w:r>
              <w:rPr>
                <w:color w:val="auto"/>
                <w:spacing w:val="-3"/>
                <w:lang w:eastAsia="zh-CN"/>
              </w:rPr>
              <w:t>经办人（签章）</w:t>
            </w:r>
          </w:p>
          <w:p w14:paraId="5807C354">
            <w:pPr>
              <w:pStyle w:val="21"/>
              <w:spacing w:before="150" w:line="219" w:lineRule="auto"/>
              <w:ind w:left="2628"/>
              <w:rPr>
                <w:color w:val="auto"/>
              </w:rPr>
            </w:pPr>
            <w:r>
              <w:rPr>
                <w:color w:val="auto"/>
                <w:spacing w:val="-8"/>
              </w:rPr>
              <w:t>年月日</w:t>
            </w:r>
          </w:p>
        </w:tc>
      </w:tr>
    </w:tbl>
    <w:p w14:paraId="3DA2D762">
      <w:pPr>
        <w:pStyle w:val="8"/>
      </w:pPr>
    </w:p>
    <w:p w14:paraId="00114355">
      <w:pPr>
        <w:rPr>
          <w:color w:val="auto"/>
        </w:rPr>
        <w:sectPr>
          <w:headerReference r:id="rId45" w:type="default"/>
          <w:footerReference r:id="rId46" w:type="default"/>
          <w:pgSz w:w="16839" w:h="11906"/>
          <w:pgMar w:top="400" w:right="535" w:bottom="1006" w:left="105" w:header="0" w:footer="846" w:gutter="0"/>
          <w:cols w:space="720" w:num="1"/>
        </w:sectPr>
      </w:pPr>
    </w:p>
    <w:p w14:paraId="711CF3BF">
      <w:pPr>
        <w:pStyle w:val="8"/>
        <w:spacing w:line="248" w:lineRule="auto"/>
      </w:pPr>
    </w:p>
    <w:p w14:paraId="3E0F5B6D">
      <w:pPr>
        <w:pStyle w:val="8"/>
        <w:spacing w:line="248" w:lineRule="auto"/>
      </w:pPr>
    </w:p>
    <w:p w14:paraId="4F1D2540">
      <w:pPr>
        <w:pStyle w:val="8"/>
        <w:spacing w:line="249" w:lineRule="auto"/>
      </w:pPr>
    </w:p>
    <w:p w14:paraId="07A71322">
      <w:pPr>
        <w:pStyle w:val="8"/>
        <w:spacing w:line="249" w:lineRule="auto"/>
      </w:pPr>
    </w:p>
    <w:p w14:paraId="4DBE463D">
      <w:pPr>
        <w:pStyle w:val="8"/>
        <w:spacing w:line="249" w:lineRule="auto"/>
      </w:pPr>
    </w:p>
    <w:p w14:paraId="13F0FBC0">
      <w:pPr>
        <w:pStyle w:val="8"/>
        <w:spacing w:line="249" w:lineRule="auto"/>
      </w:pPr>
    </w:p>
    <w:p w14:paraId="53FA046B">
      <w:pPr>
        <w:spacing w:before="78" w:line="222" w:lineRule="auto"/>
        <w:ind w:left="1713"/>
        <w:outlineLvl w:val="2"/>
        <w:rPr>
          <w:rFonts w:ascii="黑体" w:hAnsi="黑体" w:eastAsia="黑体" w:cs="黑体"/>
          <w:color w:val="auto"/>
          <w:sz w:val="24"/>
          <w:szCs w:val="24"/>
          <w:lang w:eastAsia="zh-CN"/>
        </w:rPr>
      </w:pPr>
      <w:bookmarkStart w:id="217" w:name="bookmark227"/>
      <w:bookmarkEnd w:id="217"/>
      <w:r>
        <w:rPr>
          <w:rFonts w:ascii="黑体" w:hAnsi="黑体" w:eastAsia="黑体" w:cs="黑体"/>
          <w:color w:val="auto"/>
          <w:spacing w:val="-2"/>
          <w:sz w:val="24"/>
          <w:szCs w:val="24"/>
          <w:lang w:eastAsia="zh-CN"/>
        </w:rPr>
        <w:t>附表九：中标结果通知书</w:t>
      </w:r>
    </w:p>
    <w:p w14:paraId="39CC54D2">
      <w:pPr>
        <w:pStyle w:val="8"/>
        <w:spacing w:line="261" w:lineRule="auto"/>
        <w:rPr>
          <w:lang w:eastAsia="zh-CN"/>
        </w:rPr>
      </w:pPr>
    </w:p>
    <w:p w14:paraId="7416A12A">
      <w:pPr>
        <w:pStyle w:val="8"/>
        <w:spacing w:line="261" w:lineRule="auto"/>
        <w:rPr>
          <w:lang w:eastAsia="zh-CN"/>
        </w:rPr>
      </w:pPr>
    </w:p>
    <w:p w14:paraId="006BBD33">
      <w:pPr>
        <w:spacing w:before="91" w:line="222" w:lineRule="auto"/>
        <w:ind w:left="4899"/>
        <w:rPr>
          <w:rFonts w:ascii="黑体" w:hAnsi="黑体" w:eastAsia="黑体" w:cs="黑体"/>
          <w:color w:val="auto"/>
          <w:sz w:val="28"/>
          <w:szCs w:val="28"/>
          <w:lang w:eastAsia="zh-CN"/>
        </w:rPr>
      </w:pPr>
      <w:bookmarkStart w:id="218" w:name="bookmark77"/>
      <w:bookmarkEnd w:id="218"/>
      <w:r>
        <w:rPr>
          <w:rFonts w:ascii="黑体" w:hAnsi="黑体" w:eastAsia="黑体" w:cs="黑体"/>
          <w:color w:val="auto"/>
          <w:spacing w:val="-5"/>
          <w:sz w:val="28"/>
          <w:szCs w:val="28"/>
          <w:lang w:eastAsia="zh-CN"/>
        </w:rPr>
        <w:t>中标结果通知书</w:t>
      </w:r>
    </w:p>
    <w:p w14:paraId="4997C0D9">
      <w:pPr>
        <w:pStyle w:val="8"/>
        <w:spacing w:line="372" w:lineRule="auto"/>
        <w:rPr>
          <w:lang w:eastAsia="zh-CN"/>
        </w:rPr>
      </w:pPr>
    </w:p>
    <w:p w14:paraId="7BF14680">
      <w:pPr>
        <w:tabs>
          <w:tab w:val="left" w:pos="4001"/>
        </w:tabs>
        <w:spacing w:before="68" w:line="221" w:lineRule="auto"/>
        <w:ind w:left="169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5"/>
          <w:lang w:eastAsia="zh-CN"/>
        </w:rPr>
        <w:t>（未中标人名称</w:t>
      </w:r>
      <w:r>
        <w:rPr>
          <w:rFonts w:ascii="宋体" w:hAnsi="宋体" w:eastAsia="宋体" w:cs="宋体"/>
          <w:color w:val="auto"/>
          <w:spacing w:val="-8"/>
          <w:lang w:eastAsia="zh-CN"/>
        </w:rPr>
        <w:t>）：</w:t>
      </w:r>
    </w:p>
    <w:p w14:paraId="6F6FA047">
      <w:pPr>
        <w:pStyle w:val="8"/>
        <w:spacing w:line="349" w:lineRule="auto"/>
        <w:rPr>
          <w:lang w:eastAsia="zh-CN"/>
        </w:rPr>
      </w:pPr>
    </w:p>
    <w:p w14:paraId="68EFD926">
      <w:pPr>
        <w:pStyle w:val="8"/>
        <w:spacing w:line="350" w:lineRule="auto"/>
        <w:rPr>
          <w:lang w:eastAsia="zh-CN"/>
        </w:rPr>
      </w:pPr>
    </w:p>
    <w:p w14:paraId="50E04B38">
      <w:pPr>
        <w:spacing w:before="68" w:line="494" w:lineRule="auto"/>
        <w:ind w:left="1701" w:right="1814" w:firstLine="419"/>
        <w:jc w:val="both"/>
        <w:rPr>
          <w:rFonts w:ascii="宋体" w:hAnsi="宋体" w:eastAsia="宋体" w:cs="宋体"/>
          <w:color w:val="auto"/>
          <w:lang w:eastAsia="zh-CN"/>
        </w:rPr>
      </w:pPr>
      <w:r>
        <w:rPr>
          <w:rFonts w:ascii="宋体" w:hAnsi="宋体" w:eastAsia="宋体" w:cs="宋体"/>
          <w:color w:val="auto"/>
          <w:spacing w:val="-8"/>
          <w:lang w:eastAsia="zh-CN"/>
        </w:rPr>
        <w:t>我方已接受（中标人名称）于（投标日</w:t>
      </w:r>
      <w:r>
        <w:rPr>
          <w:rFonts w:ascii="宋体" w:hAnsi="宋体" w:eastAsia="宋体" w:cs="宋体"/>
          <w:color w:val="auto"/>
          <w:spacing w:val="-1"/>
          <w:lang w:eastAsia="zh-CN"/>
        </w:rPr>
        <w:t>期）所递交的（标段名称）项目（标段唯一标识码</w:t>
      </w:r>
      <w:r>
        <w:rPr>
          <w:rFonts w:ascii="宋体" w:hAnsi="宋体" w:eastAsia="宋体" w:cs="宋体"/>
          <w:color w:val="auto"/>
          <w:spacing w:val="-2"/>
          <w:lang w:eastAsia="zh-CN"/>
        </w:rPr>
        <w:t>：）</w:t>
      </w:r>
      <w:r>
        <w:rPr>
          <w:rFonts w:ascii="宋体" w:hAnsi="宋体" w:eastAsia="宋体" w:cs="宋体"/>
          <w:color w:val="auto"/>
          <w:spacing w:val="-1"/>
          <w:lang w:eastAsia="zh-CN"/>
        </w:rPr>
        <w:t>投标文件，确</w:t>
      </w:r>
      <w:r>
        <w:rPr>
          <w:rFonts w:ascii="宋体" w:hAnsi="宋体" w:eastAsia="宋体" w:cs="宋体"/>
          <w:color w:val="auto"/>
          <w:spacing w:val="-2"/>
          <w:lang w:eastAsia="zh-CN"/>
        </w:rPr>
        <w:t>定（中标人名称）为中标人。</w:t>
      </w:r>
    </w:p>
    <w:p w14:paraId="0D949B33">
      <w:pPr>
        <w:pStyle w:val="8"/>
        <w:spacing w:line="241" w:lineRule="auto"/>
        <w:rPr>
          <w:lang w:eastAsia="zh-CN"/>
        </w:rPr>
      </w:pPr>
    </w:p>
    <w:p w14:paraId="3A0B24FE">
      <w:pPr>
        <w:pStyle w:val="8"/>
        <w:spacing w:line="242" w:lineRule="auto"/>
        <w:rPr>
          <w:lang w:eastAsia="zh-CN"/>
        </w:rPr>
      </w:pPr>
    </w:p>
    <w:p w14:paraId="26C60CBB">
      <w:pPr>
        <w:spacing w:before="69" w:line="220" w:lineRule="auto"/>
        <w:ind w:left="2120"/>
        <w:rPr>
          <w:rFonts w:ascii="Times New Roman" w:hAnsi="Times New Roman" w:eastAsia="Times New Roman" w:cs="Times New Roman"/>
          <w:color w:val="auto"/>
          <w:lang w:eastAsia="zh-CN"/>
        </w:rPr>
      </w:pPr>
      <w:r>
        <w:rPr>
          <w:rFonts w:ascii="宋体" w:hAnsi="宋体" w:eastAsia="宋体" w:cs="宋体"/>
          <w:color w:val="auto"/>
          <w:spacing w:val="-1"/>
          <w:lang w:eastAsia="zh-CN"/>
        </w:rPr>
        <w:t>感谢你单位对我方工作的大力支持</w:t>
      </w:r>
      <w:r>
        <w:rPr>
          <w:rFonts w:ascii="Times New Roman" w:hAnsi="Times New Roman" w:eastAsia="Times New Roman" w:cs="Times New Roman"/>
          <w:color w:val="auto"/>
          <w:spacing w:val="-1"/>
          <w:lang w:eastAsia="zh-CN"/>
        </w:rPr>
        <w:t>!</w:t>
      </w:r>
    </w:p>
    <w:p w14:paraId="5B9CD62D">
      <w:pPr>
        <w:pStyle w:val="8"/>
        <w:spacing w:line="260" w:lineRule="auto"/>
        <w:rPr>
          <w:lang w:eastAsia="zh-CN"/>
        </w:rPr>
      </w:pPr>
    </w:p>
    <w:p w14:paraId="3E1C8A78">
      <w:pPr>
        <w:pStyle w:val="8"/>
        <w:spacing w:line="260" w:lineRule="auto"/>
        <w:rPr>
          <w:lang w:eastAsia="zh-CN"/>
        </w:rPr>
      </w:pPr>
    </w:p>
    <w:p w14:paraId="4A7B3FD4">
      <w:pPr>
        <w:pStyle w:val="8"/>
        <w:spacing w:line="260" w:lineRule="auto"/>
        <w:rPr>
          <w:lang w:eastAsia="zh-CN"/>
        </w:rPr>
      </w:pPr>
    </w:p>
    <w:p w14:paraId="007DF507">
      <w:pPr>
        <w:pStyle w:val="8"/>
        <w:spacing w:line="260" w:lineRule="auto"/>
        <w:rPr>
          <w:lang w:eastAsia="zh-CN"/>
        </w:rPr>
      </w:pPr>
    </w:p>
    <w:p w14:paraId="5857F0E0">
      <w:pPr>
        <w:pStyle w:val="8"/>
        <w:spacing w:line="260" w:lineRule="auto"/>
        <w:rPr>
          <w:lang w:eastAsia="zh-CN"/>
        </w:rPr>
      </w:pPr>
    </w:p>
    <w:p w14:paraId="321F4366">
      <w:pPr>
        <w:pStyle w:val="8"/>
        <w:spacing w:line="261" w:lineRule="auto"/>
        <w:rPr>
          <w:lang w:eastAsia="zh-CN"/>
        </w:rPr>
      </w:pPr>
    </w:p>
    <w:p w14:paraId="50AE2289">
      <w:pPr>
        <w:pStyle w:val="8"/>
        <w:spacing w:line="261" w:lineRule="auto"/>
        <w:rPr>
          <w:lang w:eastAsia="zh-CN"/>
        </w:rPr>
      </w:pPr>
    </w:p>
    <w:p w14:paraId="2DD33151">
      <w:pPr>
        <w:pStyle w:val="8"/>
        <w:spacing w:line="261" w:lineRule="auto"/>
        <w:rPr>
          <w:lang w:eastAsia="zh-CN"/>
        </w:rPr>
      </w:pPr>
    </w:p>
    <w:p w14:paraId="0B3441C2">
      <w:pPr>
        <w:spacing w:before="69" w:line="220" w:lineRule="auto"/>
        <w:ind w:left="6232"/>
        <w:rPr>
          <w:rFonts w:ascii="宋体" w:hAnsi="宋体" w:eastAsia="宋体" w:cs="宋体"/>
          <w:color w:val="auto"/>
          <w:lang w:eastAsia="zh-CN"/>
        </w:rPr>
      </w:pPr>
      <w:r>
        <w:rPr>
          <w:rFonts w:ascii="宋体" w:hAnsi="宋体" w:eastAsia="宋体" w:cs="宋体"/>
          <w:color w:val="auto"/>
          <w:spacing w:val="-3"/>
          <w:lang w:eastAsia="zh-CN"/>
        </w:rPr>
        <w:t>招标人</w:t>
      </w:r>
      <w:r>
        <w:rPr>
          <w:rFonts w:ascii="宋体" w:hAnsi="宋体" w:eastAsia="宋体" w:cs="宋体"/>
          <w:color w:val="auto"/>
          <w:spacing w:val="1"/>
          <w:lang w:eastAsia="zh-CN"/>
        </w:rPr>
        <w:t>：（</w:t>
      </w:r>
      <w:r>
        <w:rPr>
          <w:rFonts w:ascii="宋体" w:hAnsi="宋体" w:eastAsia="宋体" w:cs="宋体"/>
          <w:color w:val="auto"/>
          <w:spacing w:val="-3"/>
          <w:lang w:eastAsia="zh-CN"/>
        </w:rPr>
        <w:t>盖单位章）</w:t>
      </w:r>
    </w:p>
    <w:p w14:paraId="72E8538F">
      <w:pPr>
        <w:tabs>
          <w:tab w:val="left" w:pos="7692"/>
        </w:tabs>
        <w:spacing w:before="230" w:line="424" w:lineRule="auto"/>
        <w:ind w:left="6957" w:right="1915" w:hanging="725"/>
        <w:rPr>
          <w:rFonts w:ascii="宋体" w:hAnsi="宋体" w:eastAsia="宋体" w:cs="宋体"/>
          <w:color w:val="auto"/>
          <w:lang w:eastAsia="zh-CN"/>
        </w:rPr>
      </w:pPr>
      <w:r>
        <w:rPr>
          <w:rFonts w:ascii="宋体" w:hAnsi="宋体" w:eastAsia="宋体" w:cs="宋体"/>
          <w:color w:val="auto"/>
          <w:spacing w:val="-3"/>
          <w:lang w:eastAsia="zh-CN"/>
        </w:rPr>
        <w:t>法定代表人</w:t>
      </w:r>
      <w:r>
        <w:rPr>
          <w:rFonts w:ascii="宋体" w:hAnsi="宋体" w:eastAsia="宋体" w:cs="宋体"/>
          <w:color w:val="auto"/>
          <w:lang w:eastAsia="zh-CN"/>
        </w:rPr>
        <w:t>： （</w:t>
      </w:r>
      <w:r>
        <w:rPr>
          <w:rFonts w:ascii="宋体" w:hAnsi="宋体" w:eastAsia="宋体" w:cs="宋体"/>
          <w:color w:val="auto"/>
          <w:spacing w:val="-3"/>
          <w:lang w:eastAsia="zh-CN"/>
        </w:rPr>
        <w:t>签章）</w:t>
      </w: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2F51D7FC">
      <w:pPr>
        <w:spacing w:line="424" w:lineRule="auto"/>
        <w:rPr>
          <w:rFonts w:ascii="宋体" w:hAnsi="宋体" w:eastAsia="宋体" w:cs="宋体"/>
          <w:color w:val="auto"/>
          <w:lang w:eastAsia="zh-CN"/>
        </w:rPr>
        <w:sectPr>
          <w:headerReference r:id="rId47" w:type="default"/>
          <w:footerReference r:id="rId48" w:type="default"/>
          <w:pgSz w:w="11906" w:h="16839"/>
          <w:pgMar w:top="400" w:right="0" w:bottom="1006" w:left="105" w:header="0" w:footer="846" w:gutter="0"/>
          <w:cols w:space="720" w:num="1"/>
        </w:sectPr>
      </w:pPr>
    </w:p>
    <w:p w14:paraId="091E4F72">
      <w:pPr>
        <w:pStyle w:val="8"/>
        <w:spacing w:line="250" w:lineRule="auto"/>
        <w:rPr>
          <w:lang w:eastAsia="zh-CN"/>
        </w:rPr>
      </w:pPr>
    </w:p>
    <w:p w14:paraId="00C09F73">
      <w:pPr>
        <w:pStyle w:val="8"/>
        <w:spacing w:line="250" w:lineRule="auto"/>
        <w:rPr>
          <w:lang w:eastAsia="zh-CN"/>
        </w:rPr>
      </w:pPr>
    </w:p>
    <w:p w14:paraId="7710F900">
      <w:pPr>
        <w:pStyle w:val="8"/>
        <w:spacing w:line="250" w:lineRule="auto"/>
        <w:rPr>
          <w:lang w:eastAsia="zh-CN"/>
        </w:rPr>
      </w:pPr>
    </w:p>
    <w:p w14:paraId="3A7FA7BC">
      <w:pPr>
        <w:pStyle w:val="8"/>
        <w:spacing w:line="250" w:lineRule="auto"/>
        <w:rPr>
          <w:lang w:eastAsia="zh-CN"/>
        </w:rPr>
      </w:pPr>
    </w:p>
    <w:p w14:paraId="2D9A4FFF">
      <w:pPr>
        <w:pStyle w:val="8"/>
        <w:spacing w:line="251" w:lineRule="auto"/>
        <w:rPr>
          <w:lang w:eastAsia="zh-CN"/>
        </w:rPr>
      </w:pPr>
    </w:p>
    <w:p w14:paraId="41E868BA">
      <w:pPr>
        <w:spacing w:before="78" w:line="222" w:lineRule="auto"/>
        <w:ind w:left="1713"/>
        <w:outlineLvl w:val="2"/>
        <w:rPr>
          <w:rFonts w:ascii="黑体" w:hAnsi="黑体" w:eastAsia="黑体" w:cs="黑体"/>
          <w:color w:val="auto"/>
          <w:sz w:val="24"/>
          <w:szCs w:val="24"/>
          <w:lang w:eastAsia="zh-CN"/>
        </w:rPr>
      </w:pPr>
      <w:bookmarkStart w:id="219" w:name="bookmark228"/>
      <w:bookmarkEnd w:id="219"/>
      <w:r>
        <w:rPr>
          <w:rFonts w:ascii="黑体" w:hAnsi="黑体" w:eastAsia="黑体" w:cs="黑体"/>
          <w:color w:val="auto"/>
          <w:spacing w:val="-3"/>
          <w:sz w:val="24"/>
          <w:szCs w:val="24"/>
          <w:lang w:eastAsia="zh-CN"/>
        </w:rPr>
        <w:t>附表十：异议书</w:t>
      </w:r>
    </w:p>
    <w:p w14:paraId="0BD75E4B">
      <w:pPr>
        <w:pStyle w:val="8"/>
        <w:spacing w:line="261" w:lineRule="auto"/>
        <w:rPr>
          <w:lang w:eastAsia="zh-CN"/>
        </w:rPr>
      </w:pPr>
    </w:p>
    <w:p w14:paraId="053FC248">
      <w:pPr>
        <w:pStyle w:val="8"/>
        <w:spacing w:line="261" w:lineRule="auto"/>
        <w:rPr>
          <w:lang w:eastAsia="zh-CN"/>
        </w:rPr>
      </w:pPr>
    </w:p>
    <w:p w14:paraId="60D25FCE">
      <w:pPr>
        <w:spacing w:before="91" w:line="222" w:lineRule="auto"/>
        <w:ind w:left="5443"/>
        <w:rPr>
          <w:rFonts w:ascii="黑体" w:hAnsi="黑体" w:eastAsia="黑体" w:cs="黑体"/>
          <w:color w:val="auto"/>
          <w:sz w:val="28"/>
          <w:szCs w:val="28"/>
          <w:lang w:eastAsia="zh-CN"/>
        </w:rPr>
      </w:pPr>
      <w:bookmarkStart w:id="220" w:name="bookmark78"/>
      <w:bookmarkEnd w:id="220"/>
      <w:r>
        <w:rPr>
          <w:rFonts w:ascii="黑体" w:hAnsi="黑体" w:eastAsia="黑体" w:cs="黑体"/>
          <w:color w:val="auto"/>
          <w:spacing w:val="-4"/>
          <w:sz w:val="28"/>
          <w:szCs w:val="28"/>
          <w:lang w:eastAsia="zh-CN"/>
        </w:rPr>
        <w:t>异议书</w:t>
      </w:r>
    </w:p>
    <w:p w14:paraId="460A1849">
      <w:pPr>
        <w:pStyle w:val="8"/>
        <w:spacing w:line="388" w:lineRule="auto"/>
        <w:rPr>
          <w:lang w:eastAsia="zh-CN"/>
        </w:rPr>
      </w:pPr>
    </w:p>
    <w:p w14:paraId="5E1666C6">
      <w:pPr>
        <w:spacing w:before="69" w:line="220" w:lineRule="auto"/>
        <w:ind w:left="1702"/>
        <w:rPr>
          <w:rFonts w:ascii="宋体" w:hAnsi="宋体" w:eastAsia="宋体" w:cs="宋体"/>
          <w:color w:val="auto"/>
          <w:lang w:eastAsia="zh-CN"/>
        </w:rPr>
      </w:pPr>
      <w:r>
        <w:rPr>
          <w:rFonts w:ascii="宋体" w:hAnsi="宋体" w:eastAsia="宋体" w:cs="宋体"/>
          <w:b/>
          <w:bCs/>
          <w:color w:val="auto"/>
          <w:spacing w:val="-3"/>
          <w:lang w:eastAsia="zh-CN"/>
        </w:rPr>
        <w:t>一、异议项目基本情况</w:t>
      </w:r>
    </w:p>
    <w:p w14:paraId="68206290">
      <w:pPr>
        <w:spacing w:before="250" w:line="221" w:lineRule="auto"/>
        <w:ind w:left="2120"/>
        <w:rPr>
          <w:rFonts w:ascii="宋体" w:hAnsi="宋体" w:eastAsia="宋体" w:cs="宋体"/>
          <w:color w:val="auto"/>
          <w:lang w:eastAsia="zh-CN"/>
        </w:rPr>
      </w:pPr>
      <w:r>
        <w:rPr>
          <w:rFonts w:ascii="宋体" w:hAnsi="宋体" w:eastAsia="宋体" w:cs="宋体"/>
          <w:color w:val="auto"/>
          <w:spacing w:val="-1"/>
          <w:lang w:eastAsia="zh-CN"/>
        </w:rPr>
        <w:t>标段名称：</w:t>
      </w:r>
    </w:p>
    <w:p w14:paraId="279F8042">
      <w:pPr>
        <w:tabs>
          <w:tab w:val="left" w:pos="9775"/>
        </w:tabs>
        <w:spacing w:before="247" w:line="440" w:lineRule="auto"/>
        <w:ind w:left="2120" w:right="2023"/>
        <w:jc w:val="both"/>
        <w:rPr>
          <w:rFonts w:ascii="宋体" w:hAnsi="宋体" w:eastAsia="宋体" w:cs="宋体"/>
          <w:color w:val="auto"/>
          <w:lang w:eastAsia="zh-CN"/>
        </w:rPr>
      </w:pPr>
      <w:r>
        <w:rPr>
          <w:rFonts w:ascii="宋体" w:hAnsi="宋体" w:eastAsia="宋体" w:cs="宋体"/>
          <w:color w:val="auto"/>
          <w:spacing w:val="-2"/>
          <w:lang w:eastAsia="zh-CN"/>
        </w:rPr>
        <w:t>标段唯一标识码：</w:t>
      </w:r>
      <w:r>
        <w:rPr>
          <w:rFonts w:ascii="宋体" w:hAnsi="宋体" w:eastAsia="宋体" w:cs="宋体"/>
          <w:color w:val="auto"/>
          <w:u w:val="single"/>
          <w:lang w:eastAsia="zh-CN"/>
        </w:rPr>
        <w:tab/>
      </w:r>
      <w:r>
        <w:rPr>
          <w:rFonts w:ascii="宋体" w:hAnsi="宋体" w:eastAsia="宋体" w:cs="宋体"/>
          <w:color w:val="auto"/>
          <w:spacing w:val="-2"/>
          <w:lang w:eastAsia="zh-CN"/>
        </w:rPr>
        <w:t>招标人名称：</w:t>
      </w:r>
      <w:r>
        <w:rPr>
          <w:rFonts w:ascii="宋体" w:hAnsi="宋体" w:eastAsia="宋体" w:cs="宋体"/>
          <w:color w:val="auto"/>
          <w:u w:val="single"/>
          <w:lang w:eastAsia="zh-CN"/>
        </w:rPr>
        <w:tab/>
      </w:r>
      <w:r>
        <w:rPr>
          <w:rFonts w:ascii="宋体" w:hAnsi="宋体" w:eastAsia="宋体" w:cs="宋体"/>
          <w:color w:val="auto"/>
          <w:spacing w:val="-2"/>
          <w:lang w:eastAsia="zh-CN"/>
        </w:rPr>
        <w:t>招标代理机构名称：</w:t>
      </w:r>
    </w:p>
    <w:p w14:paraId="3D8349E1">
      <w:pPr>
        <w:spacing w:line="219" w:lineRule="auto"/>
        <w:ind w:left="1702"/>
        <w:rPr>
          <w:rFonts w:ascii="宋体" w:hAnsi="宋体" w:eastAsia="宋体" w:cs="宋体"/>
          <w:color w:val="auto"/>
          <w:lang w:eastAsia="zh-CN"/>
        </w:rPr>
      </w:pPr>
      <w:r>
        <w:rPr>
          <w:rFonts w:ascii="宋体" w:hAnsi="宋体" w:eastAsia="宋体" w:cs="宋体"/>
          <w:b/>
          <w:bCs/>
          <w:color w:val="auto"/>
          <w:spacing w:val="-3"/>
          <w:lang w:eastAsia="zh-CN"/>
        </w:rPr>
        <w:t>二、异议人基本情况</w:t>
      </w:r>
    </w:p>
    <w:p w14:paraId="44B7D442">
      <w:pPr>
        <w:spacing w:before="249" w:line="440" w:lineRule="auto"/>
        <w:ind w:left="2118" w:right="2023" w:firstLine="2"/>
        <w:rPr>
          <w:rFonts w:ascii="宋体" w:hAnsi="宋体" w:eastAsia="宋体" w:cs="宋体"/>
          <w:color w:val="auto"/>
          <w:lang w:eastAsia="zh-CN"/>
        </w:rPr>
      </w:pPr>
      <w:r>
        <w:rPr>
          <w:rFonts w:ascii="宋体" w:hAnsi="宋体" w:eastAsia="宋体" w:cs="宋体"/>
          <w:color w:val="auto"/>
          <w:lang w:eastAsia="zh-CN"/>
        </w:rPr>
        <w:t>单位名称：</w:t>
      </w:r>
      <w:r>
        <w:rPr>
          <w:rFonts w:ascii="宋体" w:hAnsi="宋体" w:eastAsia="宋体" w:cs="宋体"/>
          <w:color w:val="auto"/>
          <w:spacing w:val="-5"/>
          <w:lang w:eastAsia="zh-CN"/>
        </w:rPr>
        <w:t>住所地：邮编：</w:t>
      </w:r>
    </w:p>
    <w:p w14:paraId="731322C5">
      <w:pPr>
        <w:spacing w:line="220" w:lineRule="auto"/>
        <w:ind w:left="2120"/>
        <w:rPr>
          <w:rFonts w:ascii="宋体" w:hAnsi="宋体" w:eastAsia="宋体" w:cs="宋体"/>
          <w:color w:val="auto"/>
          <w:lang w:eastAsia="zh-CN"/>
        </w:rPr>
      </w:pPr>
      <w:r>
        <w:rPr>
          <w:rFonts w:ascii="宋体" w:hAnsi="宋体" w:eastAsia="宋体" w:cs="宋体"/>
          <w:color w:val="auto"/>
          <w:spacing w:val="-2"/>
          <w:lang w:eastAsia="zh-CN"/>
        </w:rPr>
        <w:t>法定代表人：联系电话：</w:t>
      </w:r>
    </w:p>
    <w:p w14:paraId="115BBA70">
      <w:pPr>
        <w:spacing w:before="250" w:line="220" w:lineRule="auto"/>
        <w:ind w:left="2121"/>
        <w:rPr>
          <w:rFonts w:ascii="宋体" w:hAnsi="宋体" w:eastAsia="宋体" w:cs="宋体"/>
          <w:color w:val="auto"/>
          <w:lang w:eastAsia="zh-CN"/>
        </w:rPr>
      </w:pPr>
      <w:r>
        <w:rPr>
          <w:rFonts w:ascii="宋体" w:hAnsi="宋体" w:eastAsia="宋体" w:cs="宋体"/>
          <w:color w:val="auto"/>
          <w:spacing w:val="-2"/>
          <w:lang w:eastAsia="zh-CN"/>
        </w:rPr>
        <w:t>异议人授权代表：性别：</w:t>
      </w:r>
    </w:p>
    <w:p w14:paraId="06CBC713">
      <w:pPr>
        <w:spacing w:before="250" w:line="222" w:lineRule="auto"/>
        <w:ind w:left="2119"/>
        <w:rPr>
          <w:rFonts w:ascii="宋体" w:hAnsi="宋体" w:eastAsia="宋体" w:cs="宋体"/>
          <w:color w:val="auto"/>
          <w:lang w:eastAsia="zh-CN"/>
        </w:rPr>
      </w:pPr>
      <w:r>
        <w:rPr>
          <w:rFonts w:ascii="宋体" w:hAnsi="宋体" w:eastAsia="宋体" w:cs="宋体"/>
          <w:color w:val="auto"/>
          <w:spacing w:val="-2"/>
          <w:lang w:eastAsia="zh-CN"/>
        </w:rPr>
        <w:t>地址： 联系电话：</w:t>
      </w:r>
    </w:p>
    <w:p w14:paraId="0E5DDF08">
      <w:pPr>
        <w:spacing w:before="246" w:line="220" w:lineRule="auto"/>
        <w:ind w:left="1699"/>
        <w:rPr>
          <w:rFonts w:ascii="宋体" w:hAnsi="宋体" w:eastAsia="宋体" w:cs="宋体"/>
          <w:color w:val="auto"/>
          <w:lang w:eastAsia="zh-CN"/>
        </w:rPr>
      </w:pPr>
      <w:r>
        <w:rPr>
          <w:rFonts w:ascii="宋体" w:hAnsi="宋体" w:eastAsia="宋体" w:cs="宋体"/>
          <w:b/>
          <w:bCs/>
          <w:color w:val="auto"/>
          <w:spacing w:val="-3"/>
          <w:lang w:eastAsia="zh-CN"/>
        </w:rPr>
        <w:t>三、异议事项基本事实</w:t>
      </w:r>
    </w:p>
    <w:p w14:paraId="753BB778">
      <w:pPr>
        <w:spacing w:before="251" w:line="220" w:lineRule="auto"/>
        <w:ind w:left="2121"/>
        <w:rPr>
          <w:rFonts w:ascii="宋体" w:hAnsi="宋体" w:eastAsia="宋体" w:cs="宋体"/>
          <w:color w:val="auto"/>
          <w:lang w:eastAsia="zh-CN"/>
        </w:rPr>
      </w:pPr>
      <w:r>
        <w:rPr>
          <w:rFonts w:ascii="宋体" w:hAnsi="宋体" w:eastAsia="宋体" w:cs="宋体"/>
          <w:color w:val="auto"/>
          <w:spacing w:val="-8"/>
          <w:lang w:eastAsia="zh-CN"/>
        </w:rPr>
        <w:t>异议事项</w:t>
      </w:r>
      <w:r>
        <w:rPr>
          <w:rFonts w:ascii="Times New Roman" w:hAnsi="Times New Roman" w:eastAsia="Times New Roman" w:cs="Times New Roman"/>
          <w:color w:val="auto"/>
          <w:spacing w:val="-8"/>
          <w:lang w:eastAsia="zh-CN"/>
        </w:rPr>
        <w:t>1</w:t>
      </w:r>
      <w:r>
        <w:rPr>
          <w:rFonts w:ascii="宋体" w:hAnsi="宋体" w:eastAsia="宋体" w:cs="宋体"/>
          <w:color w:val="auto"/>
          <w:spacing w:val="-12"/>
          <w:lang w:eastAsia="zh-CN"/>
        </w:rPr>
        <w:t>：</w:t>
      </w:r>
    </w:p>
    <w:p w14:paraId="46E96731">
      <w:pPr>
        <w:spacing w:before="249" w:line="220" w:lineRule="auto"/>
        <w:ind w:left="2121"/>
        <w:rPr>
          <w:rFonts w:ascii="宋体" w:hAnsi="宋体" w:eastAsia="宋体" w:cs="宋体"/>
          <w:color w:val="auto"/>
          <w:lang w:eastAsia="zh-CN"/>
        </w:rPr>
      </w:pPr>
      <w:r>
        <w:rPr>
          <w:rFonts w:ascii="宋体" w:hAnsi="宋体" w:eastAsia="宋体" w:cs="宋体"/>
          <w:color w:val="auto"/>
          <w:spacing w:val="-4"/>
          <w:lang w:eastAsia="zh-CN"/>
        </w:rPr>
        <w:t>异议事项</w:t>
      </w:r>
      <w:r>
        <w:rPr>
          <w:rFonts w:ascii="Times New Roman" w:hAnsi="Times New Roman" w:eastAsia="Times New Roman" w:cs="Times New Roman"/>
          <w:color w:val="auto"/>
          <w:spacing w:val="-4"/>
          <w:lang w:eastAsia="zh-CN"/>
        </w:rPr>
        <w:t>2</w:t>
      </w:r>
      <w:r>
        <w:rPr>
          <w:rFonts w:ascii="宋体" w:hAnsi="宋体" w:eastAsia="宋体" w:cs="宋体"/>
          <w:color w:val="auto"/>
          <w:spacing w:val="-12"/>
          <w:lang w:eastAsia="zh-CN"/>
        </w:rPr>
        <w:t>：</w:t>
      </w:r>
    </w:p>
    <w:p w14:paraId="45E53232">
      <w:pPr>
        <w:spacing w:before="250" w:line="220" w:lineRule="auto"/>
        <w:ind w:left="2121"/>
        <w:rPr>
          <w:rFonts w:ascii="宋体" w:hAnsi="宋体" w:eastAsia="宋体" w:cs="宋体"/>
          <w:color w:val="auto"/>
          <w:lang w:eastAsia="zh-CN"/>
        </w:rPr>
      </w:pPr>
      <w:r>
        <w:rPr>
          <w:rFonts w:ascii="宋体" w:hAnsi="宋体" w:eastAsia="宋体" w:cs="宋体"/>
          <w:color w:val="auto"/>
          <w:spacing w:val="-3"/>
          <w:lang w:eastAsia="zh-CN"/>
        </w:rPr>
        <w:t>异议事项</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w:t>
      </w:r>
      <w:r>
        <w:rPr>
          <w:rFonts w:ascii="宋体" w:hAnsi="宋体" w:eastAsia="宋体" w:cs="宋体"/>
          <w:color w:val="auto"/>
          <w:spacing w:val="-4"/>
          <w:lang w:eastAsia="zh-CN"/>
        </w:rPr>
        <w:t>。</w:t>
      </w:r>
    </w:p>
    <w:p w14:paraId="4BED8DDF">
      <w:pPr>
        <w:spacing w:before="249" w:line="220" w:lineRule="auto"/>
        <w:ind w:left="1719"/>
        <w:rPr>
          <w:rFonts w:ascii="宋体" w:hAnsi="宋体" w:eastAsia="宋体" w:cs="宋体"/>
          <w:color w:val="auto"/>
          <w:lang w:eastAsia="zh-CN"/>
        </w:rPr>
      </w:pPr>
      <w:r>
        <w:rPr>
          <w:rFonts w:ascii="宋体" w:hAnsi="宋体" w:eastAsia="宋体" w:cs="宋体"/>
          <w:b/>
          <w:bCs/>
          <w:color w:val="auto"/>
          <w:spacing w:val="-4"/>
          <w:lang w:eastAsia="zh-CN"/>
        </w:rPr>
        <w:t>四、有效线索和相关证明材料：见附件</w:t>
      </w:r>
    </w:p>
    <w:p w14:paraId="32386B3E">
      <w:pPr>
        <w:spacing w:before="250" w:line="221" w:lineRule="auto"/>
        <w:ind w:left="1702"/>
        <w:rPr>
          <w:rFonts w:ascii="宋体" w:hAnsi="宋体" w:eastAsia="宋体" w:cs="宋体"/>
          <w:color w:val="auto"/>
          <w:lang w:eastAsia="zh-CN"/>
        </w:rPr>
      </w:pPr>
      <w:r>
        <w:rPr>
          <w:rFonts w:ascii="宋体" w:hAnsi="宋体" w:eastAsia="宋体" w:cs="宋体"/>
          <w:b/>
          <w:bCs/>
          <w:color w:val="auto"/>
          <w:spacing w:val="-3"/>
          <w:lang w:eastAsia="zh-CN"/>
        </w:rPr>
        <w:t>五、相关请求及主张：</w:t>
      </w:r>
    </w:p>
    <w:p w14:paraId="57937435">
      <w:pPr>
        <w:spacing w:before="250" w:line="222" w:lineRule="auto"/>
        <w:ind w:left="2124"/>
        <w:rPr>
          <w:rFonts w:ascii="宋体" w:hAnsi="宋体" w:eastAsia="宋体" w:cs="宋体"/>
          <w:color w:val="auto"/>
          <w:lang w:eastAsia="zh-CN"/>
        </w:rPr>
      </w:pPr>
      <w:r>
        <w:rPr>
          <w:rFonts w:ascii="宋体" w:hAnsi="宋体" w:eastAsia="宋体" w:cs="宋体"/>
          <w:color w:val="auto"/>
          <w:spacing w:val="-7"/>
          <w:lang w:eastAsia="zh-CN"/>
        </w:rPr>
        <w:t>（一</w:t>
      </w:r>
      <w:r>
        <w:rPr>
          <w:rFonts w:ascii="宋体" w:hAnsi="宋体" w:eastAsia="宋体" w:cs="宋体"/>
          <w:color w:val="auto"/>
          <w:lang w:eastAsia="zh-CN"/>
        </w:rPr>
        <w:t>） ；</w:t>
      </w:r>
    </w:p>
    <w:p w14:paraId="5AF0B567">
      <w:pPr>
        <w:spacing w:before="247" w:line="222" w:lineRule="auto"/>
        <w:ind w:left="2124"/>
        <w:rPr>
          <w:rFonts w:ascii="宋体" w:hAnsi="宋体" w:eastAsia="宋体" w:cs="宋体"/>
          <w:color w:val="auto"/>
          <w:lang w:eastAsia="zh-CN"/>
        </w:rPr>
      </w:pPr>
      <w:r>
        <w:rPr>
          <w:rFonts w:ascii="宋体" w:hAnsi="宋体" w:eastAsia="宋体" w:cs="宋体"/>
          <w:color w:val="auto"/>
          <w:spacing w:val="-5"/>
          <w:lang w:eastAsia="zh-CN"/>
        </w:rPr>
        <w:t>（二</w:t>
      </w:r>
      <w:r>
        <w:rPr>
          <w:rFonts w:ascii="宋体" w:hAnsi="宋体" w:eastAsia="宋体" w:cs="宋体"/>
          <w:color w:val="auto"/>
          <w:spacing w:val="-3"/>
          <w:lang w:eastAsia="zh-CN"/>
        </w:rPr>
        <w:t>）；</w:t>
      </w:r>
    </w:p>
    <w:p w14:paraId="6D1124A7">
      <w:pPr>
        <w:spacing w:before="246" w:line="233" w:lineRule="auto"/>
        <w:ind w:left="2124"/>
        <w:rPr>
          <w:rFonts w:ascii="宋体" w:hAnsi="宋体" w:eastAsia="宋体" w:cs="宋体"/>
          <w:color w:val="auto"/>
          <w:lang w:eastAsia="zh-CN"/>
        </w:rPr>
      </w:pPr>
      <w:r>
        <w:rPr>
          <w:rFonts w:ascii="宋体" w:hAnsi="宋体" w:eastAsia="宋体" w:cs="宋体"/>
          <w:color w:val="auto"/>
          <w:spacing w:val="-1"/>
          <w:lang w:eastAsia="zh-CN"/>
        </w:rPr>
        <w:t>（三）</w:t>
      </w:r>
      <w:r>
        <w:rPr>
          <w:rFonts w:ascii="宋体" w:hAnsi="宋体" w:eastAsia="宋体" w:cs="宋体"/>
          <w:color w:val="auto"/>
          <w:spacing w:val="-2"/>
          <w:lang w:eastAsia="zh-CN"/>
        </w:rPr>
        <w:t>。</w:t>
      </w:r>
    </w:p>
    <w:p w14:paraId="12C28A14">
      <w:pPr>
        <w:pStyle w:val="8"/>
        <w:spacing w:line="477" w:lineRule="auto"/>
        <w:rPr>
          <w:lang w:eastAsia="zh-CN"/>
        </w:rPr>
      </w:pPr>
    </w:p>
    <w:p w14:paraId="1706F33F">
      <w:pPr>
        <w:spacing w:before="69" w:line="220" w:lineRule="auto"/>
        <w:ind w:left="6000"/>
        <w:rPr>
          <w:rFonts w:ascii="宋体" w:hAnsi="宋体" w:eastAsia="宋体" w:cs="宋体"/>
          <w:color w:val="auto"/>
          <w:lang w:eastAsia="zh-CN"/>
        </w:rPr>
      </w:pPr>
      <w:r>
        <w:rPr>
          <w:rFonts w:ascii="宋体" w:hAnsi="宋体" w:eastAsia="宋体" w:cs="宋体"/>
          <w:color w:val="auto"/>
          <w:spacing w:val="-19"/>
          <w:lang w:eastAsia="zh-CN"/>
        </w:rPr>
        <w:t>异议人（公章</w:t>
      </w:r>
      <w:r>
        <w:rPr>
          <w:rFonts w:ascii="宋体" w:hAnsi="宋体" w:eastAsia="宋体" w:cs="宋体"/>
          <w:color w:val="auto"/>
          <w:spacing w:val="-2"/>
          <w:lang w:eastAsia="zh-CN"/>
        </w:rPr>
        <w:t>）：</w:t>
      </w:r>
    </w:p>
    <w:p w14:paraId="533715CE">
      <w:pPr>
        <w:spacing w:before="158" w:line="220" w:lineRule="auto"/>
        <w:ind w:left="4318"/>
        <w:rPr>
          <w:rFonts w:ascii="宋体" w:hAnsi="宋体" w:eastAsia="宋体" w:cs="宋体"/>
          <w:color w:val="auto"/>
          <w:lang w:eastAsia="zh-CN"/>
        </w:rPr>
      </w:pPr>
      <w:r>
        <w:rPr>
          <w:rFonts w:ascii="宋体" w:hAnsi="宋体" w:eastAsia="宋体" w:cs="宋体"/>
          <w:color w:val="auto"/>
          <w:spacing w:val="-1"/>
          <w:lang w:eastAsia="zh-CN"/>
        </w:rPr>
        <w:t>法定代表人或授权代表（签字或盖章）</w:t>
      </w:r>
    </w:p>
    <w:p w14:paraId="5E8C0D9C">
      <w:pPr>
        <w:spacing w:before="159" w:line="220" w:lineRule="auto"/>
        <w:ind w:left="5935"/>
        <w:rPr>
          <w:rFonts w:ascii="宋体" w:hAnsi="宋体" w:eastAsia="宋体" w:cs="宋体"/>
          <w:color w:val="auto"/>
          <w:lang w:eastAsia="zh-CN"/>
        </w:rPr>
      </w:pPr>
      <w:r>
        <w:rPr>
          <w:rFonts w:ascii="宋体" w:hAnsi="宋体" w:eastAsia="宋体" w:cs="宋体"/>
          <w:color w:val="auto"/>
          <w:spacing w:val="-13"/>
          <w:lang w:eastAsia="zh-CN"/>
        </w:rPr>
        <w:t>日期：年月日</w:t>
      </w:r>
    </w:p>
    <w:p w14:paraId="31529194">
      <w:pPr>
        <w:spacing w:line="220" w:lineRule="auto"/>
        <w:rPr>
          <w:rFonts w:ascii="宋体" w:hAnsi="宋体" w:eastAsia="宋体" w:cs="宋体"/>
          <w:color w:val="auto"/>
          <w:lang w:eastAsia="zh-CN"/>
        </w:rPr>
        <w:sectPr>
          <w:headerReference r:id="rId49" w:type="default"/>
          <w:footerReference r:id="rId50" w:type="default"/>
          <w:pgSz w:w="11906" w:h="16839"/>
          <w:pgMar w:top="400" w:right="0" w:bottom="1006" w:left="105" w:header="0" w:footer="846" w:gutter="0"/>
          <w:cols w:space="720" w:num="1"/>
        </w:sectPr>
      </w:pPr>
    </w:p>
    <w:p w14:paraId="15A93E2D">
      <w:pPr>
        <w:pStyle w:val="8"/>
        <w:spacing w:line="250" w:lineRule="auto"/>
        <w:rPr>
          <w:lang w:eastAsia="zh-CN"/>
        </w:rPr>
      </w:pPr>
    </w:p>
    <w:p w14:paraId="1F0308BE">
      <w:pPr>
        <w:pStyle w:val="8"/>
        <w:spacing w:line="250" w:lineRule="auto"/>
        <w:rPr>
          <w:lang w:eastAsia="zh-CN"/>
        </w:rPr>
      </w:pPr>
    </w:p>
    <w:p w14:paraId="314DA2F4">
      <w:pPr>
        <w:pStyle w:val="8"/>
        <w:spacing w:line="250" w:lineRule="auto"/>
        <w:rPr>
          <w:lang w:eastAsia="zh-CN"/>
        </w:rPr>
      </w:pPr>
    </w:p>
    <w:p w14:paraId="54FE8E37">
      <w:pPr>
        <w:pStyle w:val="8"/>
        <w:spacing w:line="250" w:lineRule="auto"/>
        <w:rPr>
          <w:lang w:eastAsia="zh-CN"/>
        </w:rPr>
      </w:pPr>
    </w:p>
    <w:p w14:paraId="1A0885BE">
      <w:pPr>
        <w:pStyle w:val="8"/>
        <w:spacing w:line="251" w:lineRule="auto"/>
        <w:rPr>
          <w:lang w:eastAsia="zh-CN"/>
        </w:rPr>
      </w:pPr>
    </w:p>
    <w:p w14:paraId="39036726">
      <w:pPr>
        <w:spacing w:before="78" w:line="222" w:lineRule="auto"/>
        <w:ind w:left="1713"/>
        <w:outlineLvl w:val="2"/>
        <w:rPr>
          <w:rFonts w:ascii="黑体" w:hAnsi="黑体" w:eastAsia="黑体" w:cs="黑体"/>
          <w:color w:val="auto"/>
          <w:sz w:val="24"/>
          <w:szCs w:val="24"/>
          <w:lang w:eastAsia="zh-CN"/>
        </w:rPr>
      </w:pPr>
      <w:bookmarkStart w:id="221" w:name="bookmark229"/>
      <w:bookmarkEnd w:id="221"/>
      <w:r>
        <w:rPr>
          <w:rFonts w:ascii="黑体" w:hAnsi="黑体" w:eastAsia="黑体" w:cs="黑体"/>
          <w:color w:val="auto"/>
          <w:spacing w:val="-5"/>
          <w:sz w:val="24"/>
          <w:szCs w:val="24"/>
          <w:lang w:eastAsia="zh-CN"/>
        </w:rPr>
        <w:t>附表十一：异议答复函</w:t>
      </w:r>
    </w:p>
    <w:p w14:paraId="19684638">
      <w:pPr>
        <w:pStyle w:val="8"/>
        <w:spacing w:line="270" w:lineRule="auto"/>
        <w:rPr>
          <w:lang w:eastAsia="zh-CN"/>
        </w:rPr>
      </w:pPr>
    </w:p>
    <w:p w14:paraId="7FE0342A">
      <w:pPr>
        <w:pStyle w:val="8"/>
        <w:spacing w:line="270" w:lineRule="auto"/>
        <w:rPr>
          <w:lang w:eastAsia="zh-CN"/>
        </w:rPr>
      </w:pPr>
    </w:p>
    <w:p w14:paraId="1BDDE2B4">
      <w:pPr>
        <w:pStyle w:val="8"/>
        <w:spacing w:line="270" w:lineRule="auto"/>
        <w:rPr>
          <w:lang w:eastAsia="zh-CN"/>
        </w:rPr>
      </w:pPr>
    </w:p>
    <w:p w14:paraId="02CD4A47">
      <w:pPr>
        <w:pStyle w:val="8"/>
        <w:spacing w:line="271" w:lineRule="auto"/>
        <w:rPr>
          <w:lang w:eastAsia="zh-CN"/>
        </w:rPr>
      </w:pPr>
    </w:p>
    <w:p w14:paraId="3658BF3E">
      <w:pPr>
        <w:spacing w:before="91" w:line="222" w:lineRule="auto"/>
        <w:ind w:left="5163"/>
        <w:rPr>
          <w:rFonts w:ascii="黑体" w:hAnsi="黑体" w:eastAsia="黑体" w:cs="黑体"/>
          <w:color w:val="auto"/>
          <w:sz w:val="28"/>
          <w:szCs w:val="28"/>
          <w:lang w:eastAsia="zh-CN"/>
        </w:rPr>
      </w:pPr>
      <w:bookmarkStart w:id="222" w:name="bookmark79"/>
      <w:bookmarkEnd w:id="222"/>
      <w:r>
        <w:rPr>
          <w:rFonts w:ascii="黑体" w:hAnsi="黑体" w:eastAsia="黑体" w:cs="黑体"/>
          <w:color w:val="auto"/>
          <w:spacing w:val="-3"/>
          <w:sz w:val="28"/>
          <w:szCs w:val="28"/>
          <w:lang w:eastAsia="zh-CN"/>
        </w:rPr>
        <w:t>异议答复函</w:t>
      </w:r>
    </w:p>
    <w:p w14:paraId="13C58EC3">
      <w:pPr>
        <w:tabs>
          <w:tab w:val="left" w:pos="1808"/>
        </w:tabs>
        <w:spacing w:before="273" w:line="212" w:lineRule="auto"/>
        <w:ind w:left="169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24"/>
          <w:w w:val="95"/>
          <w:u w:val="single"/>
          <w:lang w:eastAsia="zh-CN"/>
        </w:rPr>
        <w:t>（</w:t>
      </w:r>
      <w:r>
        <w:rPr>
          <w:rFonts w:ascii="宋体" w:hAnsi="宋体" w:eastAsia="宋体" w:cs="宋体"/>
          <w:i/>
          <w:iCs/>
          <w:color w:val="auto"/>
          <w:spacing w:val="-24"/>
          <w:w w:val="95"/>
          <w:sz w:val="22"/>
          <w:szCs w:val="22"/>
          <w:u w:val="single"/>
          <w:lang w:eastAsia="zh-CN"/>
        </w:rPr>
        <w:t>异议人名称</w:t>
      </w:r>
      <w:r>
        <w:rPr>
          <w:rFonts w:ascii="宋体" w:hAnsi="宋体" w:eastAsia="宋体" w:cs="宋体"/>
          <w:color w:val="auto"/>
          <w:spacing w:val="-53"/>
          <w:w w:val="95"/>
          <w:u w:val="single"/>
          <w:lang w:eastAsia="zh-CN"/>
        </w:rPr>
        <w:t>）</w:t>
      </w:r>
      <w:r>
        <w:rPr>
          <w:rFonts w:ascii="宋体" w:hAnsi="宋体" w:eastAsia="宋体" w:cs="宋体"/>
          <w:color w:val="auto"/>
          <w:spacing w:val="-53"/>
          <w:w w:val="95"/>
          <w:lang w:eastAsia="zh-CN"/>
        </w:rPr>
        <w:t>：</w:t>
      </w:r>
    </w:p>
    <w:p w14:paraId="4878A7D8">
      <w:pPr>
        <w:pStyle w:val="8"/>
        <w:spacing w:line="312" w:lineRule="auto"/>
        <w:rPr>
          <w:lang w:eastAsia="zh-CN"/>
        </w:rPr>
      </w:pPr>
    </w:p>
    <w:p w14:paraId="08EF2050">
      <w:pPr>
        <w:spacing w:before="68" w:line="359" w:lineRule="auto"/>
        <w:ind w:left="1702" w:right="1811" w:firstLine="418"/>
        <w:rPr>
          <w:rFonts w:ascii="宋体" w:hAnsi="宋体" w:eastAsia="宋体" w:cs="宋体"/>
          <w:color w:val="auto"/>
          <w:lang w:eastAsia="zh-CN"/>
        </w:rPr>
      </w:pPr>
      <w:r>
        <w:rPr>
          <w:rFonts w:ascii="宋体" w:hAnsi="宋体" w:eastAsia="宋体" w:cs="宋体"/>
          <w:color w:val="auto"/>
          <w:spacing w:val="-1"/>
          <w:lang w:eastAsia="zh-CN"/>
        </w:rPr>
        <w:t>您单位对（标段名称）项目（标段唯一标识码</w:t>
      </w:r>
      <w:r>
        <w:rPr>
          <w:rFonts w:ascii="宋体" w:hAnsi="宋体" w:eastAsia="宋体" w:cs="宋体"/>
          <w:color w:val="auto"/>
          <w:spacing w:val="-2"/>
          <w:lang w:eastAsia="zh-CN"/>
        </w:rPr>
        <w:t>：）</w:t>
      </w:r>
      <w:r>
        <w:rPr>
          <w:rFonts w:ascii="宋体" w:hAnsi="宋体" w:eastAsia="宋体" w:cs="宋体"/>
          <w:color w:val="auto"/>
          <w:spacing w:val="-1"/>
          <w:lang w:eastAsia="zh-CN"/>
        </w:rPr>
        <w:t>的异</w:t>
      </w:r>
      <w:r>
        <w:rPr>
          <w:rFonts w:ascii="宋体" w:hAnsi="宋体" w:eastAsia="宋体" w:cs="宋体"/>
          <w:color w:val="auto"/>
          <w:spacing w:val="-2"/>
          <w:lang w:eastAsia="zh-CN"/>
        </w:rPr>
        <w:t>议书</w:t>
      </w:r>
      <w:r>
        <w:rPr>
          <w:rFonts w:ascii="宋体" w:hAnsi="宋体" w:eastAsia="宋体" w:cs="宋体"/>
          <w:color w:val="auto"/>
          <w:spacing w:val="-4"/>
          <w:lang w:eastAsia="zh-CN"/>
        </w:rPr>
        <w:t>于年月日收悉。经查，针对异议内容，现答复如下：</w:t>
      </w:r>
    </w:p>
    <w:p w14:paraId="280080DF">
      <w:pPr>
        <w:spacing w:line="220" w:lineRule="auto"/>
        <w:ind w:left="2121"/>
        <w:rPr>
          <w:rFonts w:ascii="宋体" w:hAnsi="宋体" w:eastAsia="宋体" w:cs="宋体"/>
          <w:color w:val="auto"/>
          <w:lang w:eastAsia="zh-CN"/>
        </w:rPr>
      </w:pPr>
      <w:r>
        <w:rPr>
          <w:rFonts w:ascii="宋体" w:hAnsi="宋体" w:eastAsia="宋体" w:cs="宋体"/>
          <w:color w:val="auto"/>
          <w:spacing w:val="-11"/>
          <w:lang w:eastAsia="zh-CN"/>
        </w:rPr>
        <w:t>异议事项</w:t>
      </w:r>
      <w:r>
        <w:rPr>
          <w:rFonts w:ascii="Times New Roman" w:hAnsi="Times New Roman" w:eastAsia="Times New Roman" w:cs="Times New Roman"/>
          <w:color w:val="auto"/>
          <w:spacing w:val="-11"/>
          <w:lang w:eastAsia="zh-CN"/>
        </w:rPr>
        <w:t>1</w:t>
      </w:r>
      <w:r>
        <w:rPr>
          <w:rFonts w:ascii="宋体" w:hAnsi="宋体" w:eastAsia="宋体" w:cs="宋体"/>
          <w:color w:val="auto"/>
          <w:spacing w:val="-11"/>
          <w:lang w:eastAsia="zh-CN"/>
        </w:rPr>
        <w:t>：</w:t>
      </w:r>
    </w:p>
    <w:p w14:paraId="65A3A3B9">
      <w:pPr>
        <w:pStyle w:val="8"/>
        <w:spacing w:line="449" w:lineRule="auto"/>
        <w:rPr>
          <w:lang w:eastAsia="zh-CN"/>
        </w:rPr>
      </w:pPr>
    </w:p>
    <w:p w14:paraId="70436788">
      <w:pPr>
        <w:spacing w:before="68" w:line="221" w:lineRule="auto"/>
        <w:ind w:left="2119"/>
        <w:rPr>
          <w:rFonts w:ascii="宋体" w:hAnsi="宋体" w:eastAsia="宋体" w:cs="宋体"/>
          <w:color w:val="auto"/>
          <w:lang w:eastAsia="zh-CN"/>
        </w:rPr>
      </w:pPr>
      <w:r>
        <w:rPr>
          <w:rFonts w:ascii="宋体" w:hAnsi="宋体" w:eastAsia="宋体" w:cs="宋体"/>
          <w:color w:val="auto"/>
          <w:spacing w:val="-15"/>
          <w:lang w:eastAsia="zh-CN"/>
        </w:rPr>
        <w:t>答复</w:t>
      </w:r>
      <w:r>
        <w:rPr>
          <w:rFonts w:ascii="Times New Roman" w:hAnsi="Times New Roman" w:eastAsia="Times New Roman" w:cs="Times New Roman"/>
          <w:color w:val="auto"/>
          <w:spacing w:val="-15"/>
          <w:lang w:eastAsia="zh-CN"/>
        </w:rPr>
        <w:t>1</w:t>
      </w:r>
      <w:r>
        <w:rPr>
          <w:rFonts w:ascii="宋体" w:hAnsi="宋体" w:eastAsia="宋体" w:cs="宋体"/>
          <w:color w:val="auto"/>
          <w:spacing w:val="-15"/>
          <w:lang w:eastAsia="zh-CN"/>
        </w:rPr>
        <w:t>：</w:t>
      </w:r>
    </w:p>
    <w:p w14:paraId="3FCC93C4">
      <w:pPr>
        <w:pStyle w:val="8"/>
        <w:spacing w:line="448" w:lineRule="auto"/>
        <w:rPr>
          <w:lang w:eastAsia="zh-CN"/>
        </w:rPr>
      </w:pPr>
    </w:p>
    <w:p w14:paraId="7687B4FC">
      <w:pPr>
        <w:spacing w:before="68" w:line="220" w:lineRule="auto"/>
        <w:ind w:left="2121"/>
        <w:rPr>
          <w:rFonts w:ascii="宋体" w:hAnsi="宋体" w:eastAsia="宋体" w:cs="宋体"/>
          <w:color w:val="auto"/>
          <w:lang w:eastAsia="zh-CN"/>
        </w:rPr>
      </w:pPr>
      <w:r>
        <w:rPr>
          <w:rFonts w:ascii="宋体" w:hAnsi="宋体" w:eastAsia="宋体" w:cs="宋体"/>
          <w:color w:val="auto"/>
          <w:spacing w:val="-7"/>
          <w:lang w:eastAsia="zh-CN"/>
        </w:rPr>
        <w:t>异议事项</w:t>
      </w:r>
      <w:r>
        <w:rPr>
          <w:rFonts w:ascii="Times New Roman" w:hAnsi="Times New Roman" w:eastAsia="Times New Roman" w:cs="Times New Roman"/>
          <w:color w:val="auto"/>
          <w:spacing w:val="-7"/>
          <w:lang w:eastAsia="zh-CN"/>
        </w:rPr>
        <w:t>2</w:t>
      </w:r>
      <w:r>
        <w:rPr>
          <w:rFonts w:ascii="宋体" w:hAnsi="宋体" w:eastAsia="宋体" w:cs="宋体"/>
          <w:color w:val="auto"/>
          <w:spacing w:val="-7"/>
          <w:lang w:eastAsia="zh-CN"/>
        </w:rPr>
        <w:t>：</w:t>
      </w:r>
    </w:p>
    <w:p w14:paraId="0B0799F9">
      <w:pPr>
        <w:pStyle w:val="8"/>
        <w:spacing w:line="449" w:lineRule="auto"/>
        <w:rPr>
          <w:lang w:eastAsia="zh-CN"/>
        </w:rPr>
      </w:pPr>
    </w:p>
    <w:p w14:paraId="0FCAC8BD">
      <w:pPr>
        <w:spacing w:before="68" w:line="221" w:lineRule="auto"/>
        <w:ind w:left="2119"/>
        <w:rPr>
          <w:rFonts w:ascii="宋体" w:hAnsi="宋体" w:eastAsia="宋体" w:cs="宋体"/>
          <w:color w:val="auto"/>
          <w:lang w:eastAsia="zh-CN"/>
        </w:rPr>
      </w:pPr>
      <w:r>
        <w:rPr>
          <w:rFonts w:ascii="宋体" w:hAnsi="宋体" w:eastAsia="宋体" w:cs="宋体"/>
          <w:color w:val="auto"/>
          <w:spacing w:val="-10"/>
          <w:lang w:eastAsia="zh-CN"/>
        </w:rPr>
        <w:t>答复</w:t>
      </w:r>
      <w:r>
        <w:rPr>
          <w:rFonts w:ascii="Times New Roman" w:hAnsi="Times New Roman" w:eastAsia="Times New Roman" w:cs="Times New Roman"/>
          <w:color w:val="auto"/>
          <w:spacing w:val="-10"/>
          <w:lang w:eastAsia="zh-CN"/>
        </w:rPr>
        <w:t>2</w:t>
      </w:r>
      <w:r>
        <w:rPr>
          <w:rFonts w:ascii="宋体" w:hAnsi="宋体" w:eastAsia="宋体" w:cs="宋体"/>
          <w:color w:val="auto"/>
          <w:spacing w:val="-10"/>
          <w:lang w:eastAsia="zh-CN"/>
        </w:rPr>
        <w:t>：</w:t>
      </w:r>
    </w:p>
    <w:p w14:paraId="377026A9">
      <w:pPr>
        <w:pStyle w:val="8"/>
        <w:spacing w:line="448" w:lineRule="auto"/>
        <w:rPr>
          <w:lang w:eastAsia="zh-CN"/>
        </w:rPr>
      </w:pPr>
    </w:p>
    <w:p w14:paraId="24F8E632">
      <w:pPr>
        <w:spacing w:before="69" w:line="220" w:lineRule="auto"/>
        <w:ind w:left="2121"/>
        <w:rPr>
          <w:rFonts w:ascii="宋体" w:hAnsi="宋体" w:eastAsia="宋体" w:cs="宋体"/>
          <w:color w:val="auto"/>
          <w:lang w:eastAsia="zh-CN"/>
        </w:rPr>
      </w:pPr>
      <w:r>
        <w:rPr>
          <w:rFonts w:ascii="宋体" w:hAnsi="宋体" w:eastAsia="宋体" w:cs="宋体"/>
          <w:color w:val="auto"/>
          <w:spacing w:val="-8"/>
          <w:lang w:eastAsia="zh-CN"/>
        </w:rPr>
        <w:t>异议事项</w:t>
      </w:r>
      <w:r>
        <w:rPr>
          <w:rFonts w:ascii="Times New Roman" w:hAnsi="Times New Roman" w:eastAsia="Times New Roman" w:cs="Times New Roman"/>
          <w:color w:val="auto"/>
          <w:spacing w:val="-8"/>
          <w:lang w:eastAsia="zh-CN"/>
        </w:rPr>
        <w:t>3</w:t>
      </w:r>
      <w:r>
        <w:rPr>
          <w:rFonts w:ascii="宋体" w:hAnsi="宋体" w:eastAsia="宋体" w:cs="宋体"/>
          <w:color w:val="auto"/>
          <w:spacing w:val="-8"/>
          <w:lang w:eastAsia="zh-CN"/>
        </w:rPr>
        <w:t>：</w:t>
      </w:r>
    </w:p>
    <w:p w14:paraId="072E1302">
      <w:pPr>
        <w:pStyle w:val="8"/>
        <w:spacing w:line="448" w:lineRule="auto"/>
        <w:rPr>
          <w:lang w:eastAsia="zh-CN"/>
        </w:rPr>
      </w:pPr>
    </w:p>
    <w:p w14:paraId="1866E38E">
      <w:pPr>
        <w:spacing w:before="69" w:line="361" w:lineRule="auto"/>
        <w:ind w:left="2119" w:right="1866"/>
        <w:rPr>
          <w:rFonts w:ascii="宋体" w:hAnsi="宋体" w:eastAsia="宋体" w:cs="宋体"/>
          <w:color w:val="auto"/>
          <w:lang w:eastAsia="zh-CN"/>
        </w:rPr>
      </w:pPr>
      <w:r>
        <w:rPr>
          <w:rFonts w:ascii="宋体" w:hAnsi="宋体" w:eastAsia="宋体" w:cs="宋体"/>
          <w:color w:val="auto"/>
          <w:spacing w:val="-11"/>
          <w:lang w:eastAsia="zh-CN"/>
        </w:rPr>
        <w:t>答复</w:t>
      </w:r>
      <w:r>
        <w:rPr>
          <w:rFonts w:ascii="Times New Roman" w:hAnsi="Times New Roman" w:eastAsia="Times New Roman" w:cs="Times New Roman"/>
          <w:color w:val="auto"/>
          <w:spacing w:val="-11"/>
          <w:lang w:eastAsia="zh-CN"/>
        </w:rPr>
        <w:t>3</w:t>
      </w:r>
      <w:r>
        <w:rPr>
          <w:rFonts w:ascii="宋体" w:hAnsi="宋体" w:eastAsia="宋体" w:cs="宋体"/>
          <w:color w:val="auto"/>
          <w:spacing w:val="-11"/>
          <w:lang w:eastAsia="zh-CN"/>
        </w:rPr>
        <w:t>：</w:t>
      </w:r>
      <w:r>
        <w:rPr>
          <w:rFonts w:ascii="宋体" w:hAnsi="宋体" w:eastAsia="宋体" w:cs="宋体"/>
          <w:b/>
          <w:bCs/>
          <w:color w:val="auto"/>
          <w:spacing w:val="-3"/>
          <w:lang w:eastAsia="zh-CN"/>
        </w:rPr>
        <w:t>相关证明材料：见附件（如有）</w:t>
      </w:r>
    </w:p>
    <w:p w14:paraId="556F74E0">
      <w:pPr>
        <w:spacing w:before="238" w:line="361" w:lineRule="auto"/>
        <w:ind w:left="1698" w:right="1796" w:firstLine="424"/>
        <w:rPr>
          <w:rFonts w:ascii="宋体" w:hAnsi="宋体" w:eastAsia="宋体" w:cs="宋体"/>
          <w:color w:val="auto"/>
          <w:lang w:eastAsia="zh-CN"/>
        </w:rPr>
      </w:pPr>
      <w:r>
        <w:rPr>
          <w:rFonts w:ascii="宋体" w:hAnsi="宋体" w:eastAsia="宋体" w:cs="宋体"/>
          <w:color w:val="auto"/>
          <w:spacing w:val="-3"/>
          <w:lang w:eastAsia="zh-CN"/>
        </w:rPr>
        <w:t>如您单位对本答复不满意，可以在异议答复期满十日内向有关行政监督部门依法提起投诉。感谢您对我们工作的监督和支持。</w:t>
      </w:r>
    </w:p>
    <w:p w14:paraId="42F8A32F">
      <w:pPr>
        <w:pStyle w:val="8"/>
        <w:spacing w:line="251" w:lineRule="auto"/>
        <w:rPr>
          <w:lang w:eastAsia="zh-CN"/>
        </w:rPr>
      </w:pPr>
    </w:p>
    <w:p w14:paraId="059E076C">
      <w:pPr>
        <w:pStyle w:val="8"/>
        <w:spacing w:line="252" w:lineRule="auto"/>
        <w:rPr>
          <w:lang w:eastAsia="zh-CN"/>
        </w:rPr>
      </w:pPr>
    </w:p>
    <w:p w14:paraId="7B9B9857">
      <w:pPr>
        <w:pStyle w:val="8"/>
        <w:spacing w:line="252" w:lineRule="auto"/>
        <w:rPr>
          <w:lang w:eastAsia="zh-CN"/>
        </w:rPr>
      </w:pPr>
    </w:p>
    <w:p w14:paraId="6C07E198">
      <w:pPr>
        <w:pStyle w:val="8"/>
        <w:spacing w:line="252" w:lineRule="auto"/>
        <w:rPr>
          <w:lang w:eastAsia="zh-CN"/>
        </w:rPr>
      </w:pPr>
    </w:p>
    <w:p w14:paraId="7761D7C0">
      <w:pPr>
        <w:spacing w:before="69" w:line="359" w:lineRule="auto"/>
        <w:ind w:left="5578" w:right="1796" w:firstLine="321"/>
        <w:rPr>
          <w:rFonts w:ascii="宋体" w:hAnsi="宋体" w:eastAsia="宋体" w:cs="宋体"/>
          <w:color w:val="auto"/>
          <w:lang w:eastAsia="zh-CN"/>
        </w:rPr>
      </w:pPr>
      <w:r>
        <w:rPr>
          <w:rFonts w:ascii="宋体" w:hAnsi="宋体" w:eastAsia="宋体" w:cs="宋体"/>
          <w:color w:val="auto"/>
          <w:spacing w:val="-10"/>
          <w:lang w:eastAsia="zh-CN"/>
        </w:rPr>
        <w:t>招标人或招标代理机构（公章</w:t>
      </w:r>
      <w:r>
        <w:rPr>
          <w:rFonts w:ascii="宋体" w:hAnsi="宋体" w:eastAsia="宋体" w:cs="宋体"/>
          <w:color w:val="auto"/>
          <w:spacing w:val="7"/>
          <w:lang w:eastAsia="zh-CN"/>
        </w:rPr>
        <w:t>）：</w:t>
      </w:r>
      <w:r>
        <w:rPr>
          <w:rFonts w:ascii="宋体" w:hAnsi="宋体" w:eastAsia="宋体" w:cs="宋体"/>
          <w:color w:val="auto"/>
          <w:spacing w:val="-8"/>
          <w:lang w:eastAsia="zh-CN"/>
        </w:rPr>
        <w:t>法定代表人或授权代表（签字或盖章</w:t>
      </w:r>
      <w:r>
        <w:rPr>
          <w:rFonts w:ascii="宋体" w:hAnsi="宋体" w:eastAsia="宋体" w:cs="宋体"/>
          <w:color w:val="auto"/>
          <w:spacing w:val="6"/>
          <w:lang w:eastAsia="zh-CN"/>
        </w:rPr>
        <w:t>）：</w:t>
      </w:r>
    </w:p>
    <w:p w14:paraId="6EBC02CB">
      <w:pPr>
        <w:spacing w:before="1" w:line="220" w:lineRule="auto"/>
        <w:ind w:left="5935"/>
        <w:rPr>
          <w:rFonts w:ascii="宋体" w:hAnsi="宋体" w:eastAsia="宋体" w:cs="宋体"/>
          <w:color w:val="auto"/>
          <w:lang w:eastAsia="zh-CN"/>
        </w:rPr>
      </w:pPr>
      <w:r>
        <w:rPr>
          <w:rFonts w:ascii="宋体" w:hAnsi="宋体" w:eastAsia="宋体" w:cs="宋体"/>
          <w:color w:val="auto"/>
          <w:spacing w:val="-13"/>
          <w:lang w:eastAsia="zh-CN"/>
        </w:rPr>
        <w:t>日期：年月日</w:t>
      </w:r>
    </w:p>
    <w:p w14:paraId="05513CC5">
      <w:pPr>
        <w:spacing w:line="220" w:lineRule="auto"/>
        <w:rPr>
          <w:rFonts w:ascii="宋体" w:hAnsi="宋体" w:eastAsia="宋体" w:cs="宋体"/>
          <w:color w:val="auto"/>
          <w:lang w:eastAsia="zh-CN"/>
        </w:rPr>
        <w:sectPr>
          <w:footerReference r:id="rId51" w:type="default"/>
          <w:pgSz w:w="11906" w:h="16839"/>
          <w:pgMar w:top="400" w:right="0" w:bottom="1006" w:left="105" w:header="0" w:footer="846" w:gutter="0"/>
          <w:cols w:space="720" w:num="1"/>
        </w:sectPr>
      </w:pPr>
    </w:p>
    <w:p w14:paraId="32226184">
      <w:pPr>
        <w:pStyle w:val="8"/>
        <w:rPr>
          <w:lang w:eastAsia="zh-CN"/>
        </w:rPr>
      </w:pPr>
    </w:p>
    <w:p w14:paraId="3B56660C">
      <w:pPr>
        <w:pStyle w:val="8"/>
        <w:rPr>
          <w:lang w:eastAsia="zh-CN"/>
        </w:rPr>
      </w:pPr>
    </w:p>
    <w:p w14:paraId="3854763C">
      <w:pPr>
        <w:pStyle w:val="8"/>
        <w:rPr>
          <w:lang w:eastAsia="zh-CN"/>
        </w:rPr>
      </w:pPr>
    </w:p>
    <w:p w14:paraId="6E2AE17F">
      <w:pPr>
        <w:pStyle w:val="8"/>
        <w:rPr>
          <w:lang w:eastAsia="zh-CN"/>
        </w:rPr>
      </w:pPr>
    </w:p>
    <w:p w14:paraId="764C8851">
      <w:pPr>
        <w:pStyle w:val="8"/>
        <w:spacing w:line="241" w:lineRule="auto"/>
        <w:rPr>
          <w:lang w:eastAsia="zh-CN"/>
        </w:rPr>
      </w:pPr>
    </w:p>
    <w:p w14:paraId="2952EB1E">
      <w:pPr>
        <w:pStyle w:val="8"/>
        <w:spacing w:line="241" w:lineRule="auto"/>
        <w:rPr>
          <w:lang w:eastAsia="zh-CN"/>
        </w:rPr>
      </w:pPr>
    </w:p>
    <w:p w14:paraId="2CD9594E">
      <w:pPr>
        <w:pStyle w:val="8"/>
        <w:spacing w:line="241" w:lineRule="auto"/>
        <w:rPr>
          <w:lang w:eastAsia="zh-CN"/>
        </w:rPr>
      </w:pPr>
    </w:p>
    <w:p w14:paraId="1B2EE8A5">
      <w:pPr>
        <w:pStyle w:val="8"/>
        <w:spacing w:line="241" w:lineRule="auto"/>
        <w:rPr>
          <w:lang w:eastAsia="zh-CN"/>
        </w:rPr>
      </w:pPr>
    </w:p>
    <w:p w14:paraId="498BCCBC">
      <w:pPr>
        <w:pStyle w:val="8"/>
        <w:spacing w:line="241" w:lineRule="auto"/>
        <w:rPr>
          <w:lang w:eastAsia="zh-CN"/>
        </w:rPr>
      </w:pPr>
    </w:p>
    <w:p w14:paraId="5D6A4A0A">
      <w:pPr>
        <w:pStyle w:val="8"/>
        <w:spacing w:line="241" w:lineRule="auto"/>
        <w:rPr>
          <w:lang w:eastAsia="zh-CN"/>
        </w:rPr>
      </w:pPr>
    </w:p>
    <w:p w14:paraId="4F0B7371">
      <w:pPr>
        <w:pStyle w:val="8"/>
        <w:spacing w:line="241" w:lineRule="auto"/>
        <w:rPr>
          <w:lang w:eastAsia="zh-CN"/>
        </w:rPr>
      </w:pPr>
    </w:p>
    <w:p w14:paraId="52B8A8FE">
      <w:pPr>
        <w:pStyle w:val="8"/>
        <w:spacing w:line="241" w:lineRule="auto"/>
        <w:rPr>
          <w:lang w:eastAsia="zh-CN"/>
        </w:rPr>
      </w:pPr>
    </w:p>
    <w:p w14:paraId="7C6AD9DA">
      <w:pPr>
        <w:pStyle w:val="8"/>
        <w:spacing w:line="241" w:lineRule="auto"/>
        <w:rPr>
          <w:lang w:eastAsia="zh-CN"/>
        </w:rPr>
      </w:pPr>
    </w:p>
    <w:p w14:paraId="3CB61C2A">
      <w:pPr>
        <w:pStyle w:val="8"/>
        <w:spacing w:line="241" w:lineRule="auto"/>
        <w:rPr>
          <w:lang w:eastAsia="zh-CN"/>
        </w:rPr>
      </w:pPr>
    </w:p>
    <w:p w14:paraId="33368FC5">
      <w:pPr>
        <w:pStyle w:val="8"/>
        <w:spacing w:line="241" w:lineRule="auto"/>
        <w:rPr>
          <w:lang w:eastAsia="zh-CN"/>
        </w:rPr>
      </w:pPr>
    </w:p>
    <w:p w14:paraId="056FA1D5">
      <w:pPr>
        <w:pStyle w:val="8"/>
        <w:spacing w:line="241" w:lineRule="auto"/>
        <w:rPr>
          <w:lang w:eastAsia="zh-CN"/>
        </w:rPr>
      </w:pPr>
    </w:p>
    <w:p w14:paraId="167AE440">
      <w:pPr>
        <w:pStyle w:val="8"/>
        <w:spacing w:line="241" w:lineRule="auto"/>
        <w:rPr>
          <w:lang w:eastAsia="zh-CN"/>
        </w:rPr>
      </w:pPr>
    </w:p>
    <w:p w14:paraId="52E19F3A">
      <w:pPr>
        <w:pStyle w:val="8"/>
        <w:spacing w:line="241" w:lineRule="auto"/>
        <w:rPr>
          <w:lang w:eastAsia="zh-CN"/>
        </w:rPr>
      </w:pPr>
    </w:p>
    <w:p w14:paraId="3246A149">
      <w:pPr>
        <w:pStyle w:val="8"/>
        <w:spacing w:line="241" w:lineRule="auto"/>
        <w:rPr>
          <w:lang w:eastAsia="zh-CN"/>
        </w:rPr>
      </w:pPr>
    </w:p>
    <w:p w14:paraId="4376B67A">
      <w:pPr>
        <w:pStyle w:val="8"/>
        <w:spacing w:line="241" w:lineRule="auto"/>
        <w:rPr>
          <w:lang w:eastAsia="zh-CN"/>
        </w:rPr>
      </w:pPr>
    </w:p>
    <w:p w14:paraId="454B1FF8">
      <w:pPr>
        <w:pStyle w:val="8"/>
        <w:spacing w:line="241" w:lineRule="auto"/>
        <w:rPr>
          <w:lang w:eastAsia="zh-CN"/>
        </w:rPr>
      </w:pPr>
    </w:p>
    <w:p w14:paraId="26191967">
      <w:pPr>
        <w:pStyle w:val="8"/>
        <w:spacing w:line="241" w:lineRule="auto"/>
        <w:rPr>
          <w:lang w:eastAsia="zh-CN"/>
        </w:rPr>
      </w:pPr>
    </w:p>
    <w:p w14:paraId="0D5A4A6F">
      <w:pPr>
        <w:pStyle w:val="8"/>
        <w:spacing w:line="241" w:lineRule="auto"/>
        <w:rPr>
          <w:lang w:eastAsia="zh-CN"/>
        </w:rPr>
      </w:pPr>
    </w:p>
    <w:p w14:paraId="6539F314">
      <w:pPr>
        <w:pStyle w:val="8"/>
        <w:spacing w:line="241" w:lineRule="auto"/>
        <w:rPr>
          <w:lang w:eastAsia="zh-CN"/>
        </w:rPr>
      </w:pPr>
    </w:p>
    <w:p w14:paraId="59DA957D">
      <w:pPr>
        <w:pStyle w:val="8"/>
        <w:spacing w:line="241" w:lineRule="auto"/>
        <w:rPr>
          <w:lang w:eastAsia="zh-CN"/>
        </w:rPr>
      </w:pPr>
    </w:p>
    <w:p w14:paraId="581A68F4">
      <w:pPr>
        <w:pStyle w:val="8"/>
        <w:spacing w:line="241" w:lineRule="auto"/>
        <w:rPr>
          <w:lang w:eastAsia="zh-CN"/>
        </w:rPr>
      </w:pPr>
    </w:p>
    <w:p w14:paraId="1CB302EB">
      <w:pPr>
        <w:pStyle w:val="8"/>
        <w:spacing w:line="241" w:lineRule="auto"/>
        <w:rPr>
          <w:lang w:eastAsia="zh-CN"/>
        </w:rPr>
      </w:pPr>
    </w:p>
    <w:p w14:paraId="495832DE">
      <w:pPr>
        <w:pStyle w:val="8"/>
        <w:spacing w:line="241" w:lineRule="auto"/>
        <w:rPr>
          <w:lang w:eastAsia="zh-CN"/>
        </w:rPr>
      </w:pPr>
    </w:p>
    <w:p w14:paraId="320FECA8">
      <w:pPr>
        <w:pStyle w:val="8"/>
        <w:spacing w:line="241" w:lineRule="auto"/>
        <w:rPr>
          <w:lang w:eastAsia="zh-CN"/>
        </w:rPr>
      </w:pPr>
    </w:p>
    <w:p w14:paraId="68FDC96D">
      <w:pPr>
        <w:spacing w:before="104" w:line="221" w:lineRule="auto"/>
        <w:ind w:left="4579"/>
        <w:outlineLvl w:val="0"/>
        <w:rPr>
          <w:rFonts w:ascii="黑体" w:hAnsi="黑体" w:eastAsia="黑体" w:cs="黑体"/>
          <w:color w:val="auto"/>
          <w:sz w:val="32"/>
          <w:szCs w:val="32"/>
          <w:lang w:eastAsia="zh-CN"/>
        </w:rPr>
      </w:pPr>
      <w:bookmarkStart w:id="223" w:name="bookmark80"/>
      <w:bookmarkEnd w:id="223"/>
      <w:bookmarkStart w:id="224" w:name="_Toc5977"/>
      <w:bookmarkStart w:id="225" w:name="_Toc13206"/>
      <w:bookmarkStart w:id="226" w:name="_Toc14668"/>
      <w:bookmarkStart w:id="227" w:name="_Toc28937"/>
      <w:bookmarkStart w:id="228" w:name="_Toc24384"/>
      <w:bookmarkStart w:id="229" w:name="_Toc5096"/>
      <w:r>
        <w:rPr>
          <w:rFonts w:ascii="黑体" w:hAnsi="黑体" w:eastAsia="黑体" w:cs="黑体"/>
          <w:color w:val="auto"/>
          <w:spacing w:val="-2"/>
          <w:sz w:val="32"/>
          <w:szCs w:val="32"/>
          <w:lang w:eastAsia="zh-CN"/>
        </w:rPr>
        <w:t>第三章  评标办法</w:t>
      </w:r>
      <w:bookmarkEnd w:id="224"/>
      <w:bookmarkEnd w:id="225"/>
      <w:bookmarkEnd w:id="226"/>
      <w:bookmarkEnd w:id="227"/>
      <w:bookmarkEnd w:id="228"/>
      <w:bookmarkEnd w:id="229"/>
    </w:p>
    <w:p w14:paraId="04A1567A">
      <w:pPr>
        <w:pStyle w:val="8"/>
        <w:spacing w:line="247" w:lineRule="auto"/>
        <w:rPr>
          <w:lang w:eastAsia="zh-CN"/>
        </w:rPr>
      </w:pPr>
    </w:p>
    <w:p w14:paraId="6545F39A">
      <w:pPr>
        <w:pStyle w:val="8"/>
        <w:spacing w:line="247" w:lineRule="auto"/>
        <w:rPr>
          <w:lang w:eastAsia="zh-CN"/>
        </w:rPr>
      </w:pPr>
    </w:p>
    <w:p w14:paraId="4B9710E2">
      <w:pPr>
        <w:pStyle w:val="8"/>
        <w:spacing w:line="247" w:lineRule="auto"/>
        <w:rPr>
          <w:lang w:eastAsia="zh-CN"/>
        </w:rPr>
      </w:pPr>
    </w:p>
    <w:p w14:paraId="01C5B902">
      <w:pPr>
        <w:pStyle w:val="8"/>
        <w:spacing w:line="247" w:lineRule="auto"/>
        <w:rPr>
          <w:lang w:eastAsia="zh-CN"/>
        </w:rPr>
      </w:pPr>
    </w:p>
    <w:p w14:paraId="0AC5C791">
      <w:pPr>
        <w:pStyle w:val="8"/>
        <w:spacing w:line="247" w:lineRule="auto"/>
        <w:rPr>
          <w:lang w:eastAsia="zh-CN"/>
        </w:rPr>
      </w:pPr>
    </w:p>
    <w:p w14:paraId="4D5D74FD">
      <w:pPr>
        <w:pStyle w:val="8"/>
        <w:spacing w:line="247" w:lineRule="auto"/>
        <w:rPr>
          <w:lang w:eastAsia="zh-CN"/>
        </w:rPr>
      </w:pPr>
    </w:p>
    <w:p w14:paraId="12CB1373">
      <w:pPr>
        <w:pStyle w:val="8"/>
        <w:spacing w:line="247" w:lineRule="auto"/>
        <w:rPr>
          <w:lang w:eastAsia="zh-CN"/>
        </w:rPr>
      </w:pPr>
    </w:p>
    <w:p w14:paraId="31512CB8">
      <w:pPr>
        <w:pStyle w:val="8"/>
        <w:spacing w:line="247" w:lineRule="auto"/>
        <w:rPr>
          <w:lang w:eastAsia="zh-CN"/>
        </w:rPr>
      </w:pPr>
    </w:p>
    <w:p w14:paraId="08EAF1D9">
      <w:pPr>
        <w:pStyle w:val="8"/>
        <w:spacing w:line="247" w:lineRule="auto"/>
        <w:rPr>
          <w:lang w:eastAsia="zh-CN"/>
        </w:rPr>
      </w:pPr>
    </w:p>
    <w:p w14:paraId="6650B66A">
      <w:pPr>
        <w:pStyle w:val="8"/>
        <w:spacing w:line="247" w:lineRule="auto"/>
        <w:rPr>
          <w:lang w:eastAsia="zh-CN"/>
        </w:rPr>
      </w:pPr>
    </w:p>
    <w:p w14:paraId="25397748">
      <w:pPr>
        <w:pStyle w:val="8"/>
        <w:spacing w:line="247" w:lineRule="auto"/>
        <w:rPr>
          <w:lang w:eastAsia="zh-CN"/>
        </w:rPr>
      </w:pPr>
    </w:p>
    <w:p w14:paraId="28E9C546">
      <w:pPr>
        <w:pStyle w:val="8"/>
        <w:spacing w:line="247" w:lineRule="auto"/>
        <w:rPr>
          <w:lang w:eastAsia="zh-CN"/>
        </w:rPr>
      </w:pPr>
    </w:p>
    <w:p w14:paraId="40FE52C0">
      <w:pPr>
        <w:pStyle w:val="8"/>
        <w:spacing w:line="247" w:lineRule="auto"/>
        <w:rPr>
          <w:lang w:eastAsia="zh-CN"/>
        </w:rPr>
      </w:pPr>
    </w:p>
    <w:p w14:paraId="6579E538">
      <w:pPr>
        <w:pStyle w:val="8"/>
        <w:spacing w:line="248" w:lineRule="auto"/>
        <w:rPr>
          <w:lang w:eastAsia="zh-CN"/>
        </w:rPr>
      </w:pPr>
    </w:p>
    <w:p w14:paraId="049F2E5F">
      <w:pPr>
        <w:pStyle w:val="8"/>
        <w:spacing w:line="248" w:lineRule="auto"/>
        <w:rPr>
          <w:lang w:eastAsia="zh-CN"/>
        </w:rPr>
      </w:pPr>
    </w:p>
    <w:p w14:paraId="4E161987">
      <w:pPr>
        <w:pStyle w:val="8"/>
        <w:spacing w:line="248" w:lineRule="auto"/>
        <w:rPr>
          <w:lang w:eastAsia="zh-CN"/>
        </w:rPr>
      </w:pPr>
    </w:p>
    <w:p w14:paraId="094FB1F7">
      <w:pPr>
        <w:pStyle w:val="8"/>
        <w:spacing w:line="248" w:lineRule="auto"/>
        <w:rPr>
          <w:lang w:eastAsia="zh-CN"/>
        </w:rPr>
      </w:pPr>
    </w:p>
    <w:p w14:paraId="086660F6">
      <w:pPr>
        <w:pStyle w:val="8"/>
        <w:spacing w:line="248" w:lineRule="auto"/>
        <w:rPr>
          <w:lang w:eastAsia="zh-CN"/>
        </w:rPr>
      </w:pPr>
    </w:p>
    <w:p w14:paraId="0A7A4396">
      <w:pPr>
        <w:pStyle w:val="8"/>
        <w:spacing w:line="248" w:lineRule="auto"/>
        <w:rPr>
          <w:lang w:eastAsia="zh-CN"/>
        </w:rPr>
      </w:pPr>
    </w:p>
    <w:p w14:paraId="414DBF13">
      <w:pPr>
        <w:pStyle w:val="8"/>
        <w:spacing w:line="248" w:lineRule="auto"/>
        <w:rPr>
          <w:lang w:eastAsia="zh-CN"/>
        </w:rPr>
      </w:pPr>
    </w:p>
    <w:p w14:paraId="6CB42170">
      <w:pPr>
        <w:pStyle w:val="8"/>
        <w:spacing w:line="248" w:lineRule="auto"/>
        <w:rPr>
          <w:lang w:eastAsia="zh-CN"/>
        </w:rPr>
      </w:pPr>
    </w:p>
    <w:p w14:paraId="601916D1">
      <w:pPr>
        <w:pStyle w:val="8"/>
        <w:spacing w:line="248" w:lineRule="auto"/>
        <w:rPr>
          <w:lang w:eastAsia="zh-CN"/>
        </w:rPr>
      </w:pPr>
    </w:p>
    <w:p w14:paraId="5D2AF1FD">
      <w:pPr>
        <w:pStyle w:val="8"/>
        <w:spacing w:line="248" w:lineRule="auto"/>
        <w:rPr>
          <w:lang w:eastAsia="zh-CN"/>
        </w:rPr>
      </w:pPr>
    </w:p>
    <w:p w14:paraId="1015CE13">
      <w:pPr>
        <w:pStyle w:val="8"/>
        <w:spacing w:line="248" w:lineRule="auto"/>
        <w:rPr>
          <w:lang w:eastAsia="zh-CN"/>
        </w:rPr>
      </w:pPr>
    </w:p>
    <w:p w14:paraId="674693EF">
      <w:pPr>
        <w:pStyle w:val="8"/>
        <w:spacing w:line="248" w:lineRule="auto"/>
        <w:rPr>
          <w:lang w:eastAsia="zh-CN"/>
        </w:rPr>
      </w:pPr>
    </w:p>
    <w:p w14:paraId="68902ECE">
      <w:pPr>
        <w:pStyle w:val="8"/>
        <w:spacing w:line="248" w:lineRule="auto"/>
        <w:rPr>
          <w:lang w:eastAsia="zh-CN"/>
        </w:rPr>
      </w:pPr>
    </w:p>
    <w:p w14:paraId="51D37A20">
      <w:pPr>
        <w:pStyle w:val="8"/>
        <w:spacing w:line="248" w:lineRule="auto"/>
        <w:rPr>
          <w:lang w:eastAsia="zh-CN"/>
        </w:rPr>
      </w:pPr>
    </w:p>
    <w:p w14:paraId="68F5B656">
      <w:pPr>
        <w:pStyle w:val="8"/>
        <w:spacing w:line="248" w:lineRule="auto"/>
        <w:rPr>
          <w:lang w:eastAsia="zh-CN"/>
        </w:rPr>
      </w:pPr>
    </w:p>
    <w:p w14:paraId="11ED109F">
      <w:pPr>
        <w:pStyle w:val="8"/>
        <w:spacing w:line="248" w:lineRule="auto"/>
        <w:rPr>
          <w:lang w:eastAsia="zh-CN"/>
        </w:rPr>
      </w:pPr>
    </w:p>
    <w:p w14:paraId="1C28E343">
      <w:pPr>
        <w:pStyle w:val="8"/>
        <w:spacing w:line="248" w:lineRule="auto"/>
        <w:rPr>
          <w:lang w:eastAsia="zh-CN"/>
        </w:rPr>
      </w:pPr>
    </w:p>
    <w:p w14:paraId="48C8F5A5">
      <w:pPr>
        <w:spacing w:line="186" w:lineRule="auto"/>
        <w:rPr>
          <w:rFonts w:ascii="Times New Roman" w:hAnsi="Times New Roman" w:eastAsia="Times New Roman" w:cs="Times New Roman"/>
          <w:color w:val="auto"/>
          <w:sz w:val="18"/>
          <w:szCs w:val="18"/>
          <w:lang w:eastAsia="zh-CN"/>
        </w:rPr>
        <w:sectPr>
          <w:headerReference r:id="rId52" w:type="default"/>
          <w:footerReference r:id="rId53" w:type="default"/>
          <w:pgSz w:w="11906" w:h="16839"/>
          <w:pgMar w:top="400" w:right="0" w:bottom="400" w:left="105" w:header="0" w:footer="0" w:gutter="0"/>
          <w:cols w:space="720" w:num="1"/>
        </w:sectPr>
      </w:pPr>
    </w:p>
    <w:p w14:paraId="7F0A40D6">
      <w:pPr>
        <w:pStyle w:val="8"/>
        <w:spacing w:line="256" w:lineRule="auto"/>
        <w:rPr>
          <w:lang w:eastAsia="zh-CN"/>
        </w:rPr>
      </w:pPr>
    </w:p>
    <w:p w14:paraId="229459AE">
      <w:pPr>
        <w:spacing w:before="91" w:line="221" w:lineRule="auto"/>
        <w:jc w:val="center"/>
        <w:outlineLvl w:val="1"/>
        <w:rPr>
          <w:rFonts w:ascii="黑体" w:hAnsi="黑体" w:eastAsia="黑体" w:cs="黑体"/>
          <w:color w:val="auto"/>
          <w:sz w:val="28"/>
          <w:szCs w:val="28"/>
          <w:lang w:eastAsia="zh-CN"/>
        </w:rPr>
      </w:pPr>
      <w:bookmarkStart w:id="230" w:name="bookmark81"/>
      <w:bookmarkEnd w:id="230"/>
      <w:bookmarkStart w:id="231" w:name="_Toc10204"/>
      <w:bookmarkStart w:id="232" w:name="_Toc14330"/>
      <w:bookmarkStart w:id="233" w:name="_Toc28463"/>
      <w:bookmarkStart w:id="234" w:name="_Toc14378"/>
      <w:bookmarkStart w:id="235" w:name="_Toc30796"/>
      <w:bookmarkStart w:id="236" w:name="_Toc27812"/>
      <w:r>
        <w:rPr>
          <w:rFonts w:ascii="黑体" w:hAnsi="黑体" w:eastAsia="黑体" w:cs="黑体"/>
          <w:color w:val="auto"/>
          <w:spacing w:val="-2"/>
          <w:sz w:val="28"/>
          <w:szCs w:val="28"/>
          <w:lang w:eastAsia="zh-CN"/>
        </w:rPr>
        <w:t>评标办法前附表（</w:t>
      </w:r>
      <w:r>
        <w:rPr>
          <w:rFonts w:hint="eastAsia" w:ascii="黑体" w:hAnsi="黑体" w:eastAsia="黑体" w:cs="黑体"/>
          <w:color w:val="auto"/>
          <w:spacing w:val="-2"/>
          <w:sz w:val="28"/>
          <w:szCs w:val="28"/>
          <w:lang w:eastAsia="zh-CN"/>
        </w:rPr>
        <w:t>综合评估法</w:t>
      </w:r>
      <w:r>
        <w:rPr>
          <w:rFonts w:ascii="黑体" w:hAnsi="黑体" w:eastAsia="黑体" w:cs="黑体"/>
          <w:color w:val="auto"/>
          <w:spacing w:val="-2"/>
          <w:sz w:val="28"/>
          <w:szCs w:val="28"/>
          <w:lang w:eastAsia="zh-CN"/>
        </w:rPr>
        <w:t>）</w:t>
      </w:r>
      <w:bookmarkEnd w:id="231"/>
      <w:bookmarkEnd w:id="232"/>
      <w:bookmarkEnd w:id="233"/>
      <w:bookmarkEnd w:id="234"/>
      <w:bookmarkEnd w:id="235"/>
      <w:bookmarkEnd w:id="236"/>
    </w:p>
    <w:p w14:paraId="2C8E4E18">
      <w:pPr>
        <w:spacing w:before="107"/>
        <w:rPr>
          <w:color w:val="auto"/>
          <w:lang w:eastAsia="zh-CN"/>
        </w:rPr>
      </w:pPr>
    </w:p>
    <w:tbl>
      <w:tblPr>
        <w:tblStyle w:val="20"/>
        <w:tblW w:w="89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5"/>
        <w:gridCol w:w="1058"/>
        <w:gridCol w:w="2337"/>
        <w:gridCol w:w="4790"/>
      </w:tblGrid>
      <w:tr w14:paraId="75F0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1803" w:type="dxa"/>
            <w:gridSpan w:val="2"/>
          </w:tcPr>
          <w:p w14:paraId="6D037472">
            <w:pPr>
              <w:pStyle w:val="21"/>
              <w:spacing w:before="172" w:line="220" w:lineRule="auto"/>
              <w:ind w:left="588"/>
              <w:rPr>
                <w:color w:val="auto"/>
              </w:rPr>
            </w:pPr>
            <w:r>
              <w:rPr>
                <w:b/>
                <w:bCs/>
                <w:color w:val="auto"/>
                <w:spacing w:val="-5"/>
              </w:rPr>
              <w:t>条款号</w:t>
            </w:r>
          </w:p>
        </w:tc>
        <w:tc>
          <w:tcPr>
            <w:tcW w:w="2337" w:type="dxa"/>
          </w:tcPr>
          <w:p w14:paraId="3A14F90A">
            <w:pPr>
              <w:pStyle w:val="21"/>
              <w:spacing w:before="172" w:line="220" w:lineRule="auto"/>
              <w:ind w:left="747"/>
              <w:rPr>
                <w:color w:val="auto"/>
              </w:rPr>
            </w:pPr>
            <w:r>
              <w:rPr>
                <w:b/>
                <w:bCs/>
                <w:color w:val="auto"/>
                <w:spacing w:val="-4"/>
              </w:rPr>
              <w:t>评审因素</w:t>
            </w:r>
          </w:p>
        </w:tc>
        <w:tc>
          <w:tcPr>
            <w:tcW w:w="4790" w:type="dxa"/>
          </w:tcPr>
          <w:p w14:paraId="699481FF">
            <w:pPr>
              <w:pStyle w:val="21"/>
              <w:spacing w:before="172" w:line="221" w:lineRule="auto"/>
              <w:ind w:left="1976"/>
              <w:rPr>
                <w:color w:val="auto"/>
              </w:rPr>
            </w:pPr>
            <w:r>
              <w:rPr>
                <w:b/>
                <w:bCs/>
                <w:color w:val="auto"/>
                <w:spacing w:val="-4"/>
              </w:rPr>
              <w:t>评审标准</w:t>
            </w:r>
          </w:p>
        </w:tc>
      </w:tr>
      <w:tr w14:paraId="3C79C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restart"/>
            <w:tcBorders>
              <w:bottom w:val="nil"/>
            </w:tcBorders>
          </w:tcPr>
          <w:p w14:paraId="661CA79F">
            <w:pPr>
              <w:spacing w:line="257" w:lineRule="auto"/>
              <w:rPr>
                <w:color w:val="auto"/>
              </w:rPr>
            </w:pPr>
          </w:p>
          <w:p w14:paraId="5E7AD725">
            <w:pPr>
              <w:spacing w:line="257" w:lineRule="auto"/>
              <w:rPr>
                <w:color w:val="auto"/>
              </w:rPr>
            </w:pPr>
          </w:p>
          <w:p w14:paraId="39DADBCB">
            <w:pPr>
              <w:spacing w:line="257" w:lineRule="auto"/>
              <w:rPr>
                <w:color w:val="auto"/>
              </w:rPr>
            </w:pPr>
          </w:p>
          <w:p w14:paraId="68BD4156">
            <w:pPr>
              <w:spacing w:line="257" w:lineRule="auto"/>
              <w:rPr>
                <w:color w:val="auto"/>
              </w:rPr>
            </w:pPr>
          </w:p>
          <w:p w14:paraId="32897DF2">
            <w:pPr>
              <w:spacing w:line="257" w:lineRule="auto"/>
              <w:rPr>
                <w:color w:val="auto"/>
              </w:rPr>
            </w:pPr>
          </w:p>
          <w:p w14:paraId="03139804">
            <w:pPr>
              <w:spacing w:line="257" w:lineRule="auto"/>
              <w:rPr>
                <w:color w:val="auto"/>
              </w:rPr>
            </w:pPr>
          </w:p>
          <w:p w14:paraId="2EE398C3">
            <w:pPr>
              <w:spacing w:line="258" w:lineRule="auto"/>
              <w:rPr>
                <w:color w:val="auto"/>
              </w:rPr>
            </w:pPr>
          </w:p>
          <w:p w14:paraId="292BB1CE">
            <w:pPr>
              <w:spacing w:line="258" w:lineRule="auto"/>
              <w:rPr>
                <w:color w:val="auto"/>
              </w:rPr>
            </w:pPr>
          </w:p>
          <w:p w14:paraId="61AF21B9">
            <w:pPr>
              <w:pStyle w:val="21"/>
              <w:spacing w:before="68"/>
              <w:ind w:left="113"/>
              <w:rPr>
                <w:color w:val="auto"/>
              </w:rPr>
            </w:pPr>
            <w:r>
              <w:rPr>
                <w:color w:val="auto"/>
                <w:spacing w:val="-2"/>
              </w:rPr>
              <w:t>2.1.1</w:t>
            </w:r>
          </w:p>
        </w:tc>
        <w:tc>
          <w:tcPr>
            <w:tcW w:w="1058" w:type="dxa"/>
            <w:vMerge w:val="restart"/>
            <w:tcBorders>
              <w:bottom w:val="nil"/>
            </w:tcBorders>
          </w:tcPr>
          <w:p w14:paraId="5EC76AFD">
            <w:pPr>
              <w:spacing w:line="264" w:lineRule="auto"/>
              <w:rPr>
                <w:color w:val="auto"/>
              </w:rPr>
            </w:pPr>
          </w:p>
          <w:p w14:paraId="700152E3">
            <w:pPr>
              <w:spacing w:line="264" w:lineRule="auto"/>
              <w:rPr>
                <w:color w:val="auto"/>
              </w:rPr>
            </w:pPr>
          </w:p>
          <w:p w14:paraId="1119781F">
            <w:pPr>
              <w:spacing w:line="264" w:lineRule="auto"/>
              <w:rPr>
                <w:color w:val="auto"/>
              </w:rPr>
            </w:pPr>
          </w:p>
          <w:p w14:paraId="28F87035">
            <w:pPr>
              <w:spacing w:line="264" w:lineRule="auto"/>
              <w:rPr>
                <w:color w:val="auto"/>
              </w:rPr>
            </w:pPr>
          </w:p>
          <w:p w14:paraId="12AD4D90">
            <w:pPr>
              <w:spacing w:line="264" w:lineRule="auto"/>
              <w:rPr>
                <w:color w:val="auto"/>
              </w:rPr>
            </w:pPr>
          </w:p>
          <w:p w14:paraId="62F5F6BA">
            <w:pPr>
              <w:spacing w:line="264" w:lineRule="auto"/>
              <w:rPr>
                <w:color w:val="auto"/>
              </w:rPr>
            </w:pPr>
          </w:p>
          <w:p w14:paraId="2F963650">
            <w:pPr>
              <w:spacing w:line="265" w:lineRule="auto"/>
              <w:rPr>
                <w:color w:val="auto"/>
              </w:rPr>
            </w:pPr>
          </w:p>
          <w:p w14:paraId="218C139F">
            <w:pPr>
              <w:pStyle w:val="21"/>
              <w:spacing w:before="68" w:line="372" w:lineRule="auto"/>
              <w:ind w:left="319" w:right="107" w:hanging="208"/>
              <w:rPr>
                <w:color w:val="auto"/>
              </w:rPr>
            </w:pPr>
            <w:r>
              <w:rPr>
                <w:color w:val="auto"/>
                <w:spacing w:val="-3"/>
              </w:rPr>
              <w:t>形式评审标准</w:t>
            </w:r>
          </w:p>
        </w:tc>
        <w:tc>
          <w:tcPr>
            <w:tcW w:w="2337" w:type="dxa"/>
          </w:tcPr>
          <w:p w14:paraId="10679FBC">
            <w:pPr>
              <w:pStyle w:val="21"/>
              <w:spacing w:before="168" w:line="221" w:lineRule="auto"/>
              <w:ind w:left="647"/>
              <w:rPr>
                <w:color w:val="auto"/>
              </w:rPr>
            </w:pPr>
            <w:r>
              <w:rPr>
                <w:color w:val="auto"/>
                <w:spacing w:val="-2"/>
              </w:rPr>
              <w:t>投标人名称</w:t>
            </w:r>
          </w:p>
        </w:tc>
        <w:tc>
          <w:tcPr>
            <w:tcW w:w="4790" w:type="dxa"/>
          </w:tcPr>
          <w:p w14:paraId="7BE9279A">
            <w:pPr>
              <w:pStyle w:val="21"/>
              <w:spacing w:before="168" w:line="220" w:lineRule="auto"/>
              <w:ind w:left="115"/>
              <w:rPr>
                <w:color w:val="auto"/>
                <w:lang w:eastAsia="zh-CN"/>
              </w:rPr>
            </w:pPr>
            <w:r>
              <w:rPr>
                <w:color w:val="auto"/>
                <w:spacing w:val="-2"/>
                <w:lang w:eastAsia="zh-CN"/>
              </w:rPr>
              <w:t>与营业执照、资质证书一致</w:t>
            </w:r>
          </w:p>
        </w:tc>
      </w:tr>
      <w:tr w14:paraId="56D70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0F176D87">
            <w:pPr>
              <w:rPr>
                <w:color w:val="auto"/>
                <w:lang w:eastAsia="zh-CN"/>
              </w:rPr>
            </w:pPr>
          </w:p>
        </w:tc>
        <w:tc>
          <w:tcPr>
            <w:tcW w:w="1058" w:type="dxa"/>
            <w:vMerge w:val="continue"/>
            <w:tcBorders>
              <w:top w:val="nil"/>
              <w:bottom w:val="nil"/>
            </w:tcBorders>
          </w:tcPr>
          <w:p w14:paraId="6CCCD9A0">
            <w:pPr>
              <w:rPr>
                <w:color w:val="auto"/>
                <w:lang w:eastAsia="zh-CN"/>
              </w:rPr>
            </w:pPr>
          </w:p>
        </w:tc>
        <w:tc>
          <w:tcPr>
            <w:tcW w:w="2337" w:type="dxa"/>
          </w:tcPr>
          <w:p w14:paraId="7BC0077C">
            <w:pPr>
              <w:pStyle w:val="21"/>
              <w:spacing w:before="168" w:line="220" w:lineRule="auto"/>
              <w:ind w:left="332"/>
              <w:rPr>
                <w:color w:val="auto"/>
              </w:rPr>
            </w:pPr>
            <w:r>
              <w:rPr>
                <w:color w:val="auto"/>
                <w:spacing w:val="-2"/>
              </w:rPr>
              <w:t>投标文件签字盖章</w:t>
            </w:r>
          </w:p>
        </w:tc>
        <w:tc>
          <w:tcPr>
            <w:tcW w:w="4790" w:type="dxa"/>
          </w:tcPr>
          <w:p w14:paraId="3A030BA2">
            <w:pPr>
              <w:pStyle w:val="21"/>
              <w:spacing w:before="168" w:line="220" w:lineRule="auto"/>
              <w:ind w:left="112"/>
              <w:rPr>
                <w:color w:val="auto"/>
                <w:lang w:eastAsia="zh-CN"/>
              </w:rPr>
            </w:pPr>
            <w:r>
              <w:rPr>
                <w:color w:val="auto"/>
                <w:spacing w:val="-3"/>
                <w:lang w:eastAsia="zh-CN"/>
              </w:rPr>
              <w:t>符合第二章“投标人须知”第3.7.3（4）目规定</w:t>
            </w:r>
          </w:p>
        </w:tc>
      </w:tr>
      <w:tr w14:paraId="21199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bottom w:val="nil"/>
            </w:tcBorders>
          </w:tcPr>
          <w:p w14:paraId="07E5FCC6">
            <w:pPr>
              <w:rPr>
                <w:color w:val="auto"/>
                <w:lang w:eastAsia="zh-CN"/>
              </w:rPr>
            </w:pPr>
          </w:p>
        </w:tc>
        <w:tc>
          <w:tcPr>
            <w:tcW w:w="1058" w:type="dxa"/>
            <w:vMerge w:val="continue"/>
            <w:tcBorders>
              <w:top w:val="nil"/>
              <w:bottom w:val="nil"/>
            </w:tcBorders>
          </w:tcPr>
          <w:p w14:paraId="7BB8572A">
            <w:pPr>
              <w:rPr>
                <w:color w:val="auto"/>
                <w:lang w:eastAsia="zh-CN"/>
              </w:rPr>
            </w:pPr>
          </w:p>
        </w:tc>
        <w:tc>
          <w:tcPr>
            <w:tcW w:w="2337" w:type="dxa"/>
          </w:tcPr>
          <w:p w14:paraId="4B57DB21">
            <w:pPr>
              <w:spacing w:line="291" w:lineRule="auto"/>
              <w:rPr>
                <w:color w:val="auto"/>
                <w:lang w:eastAsia="zh-CN"/>
              </w:rPr>
            </w:pPr>
          </w:p>
          <w:p w14:paraId="6984AB73">
            <w:pPr>
              <w:pStyle w:val="21"/>
              <w:spacing w:before="69" w:line="220" w:lineRule="auto"/>
              <w:ind w:left="227"/>
              <w:rPr>
                <w:color w:val="auto"/>
              </w:rPr>
            </w:pPr>
            <w:r>
              <w:rPr>
                <w:color w:val="auto"/>
                <w:spacing w:val="-2"/>
              </w:rPr>
              <w:t>投标文件格式、内容</w:t>
            </w:r>
          </w:p>
        </w:tc>
        <w:tc>
          <w:tcPr>
            <w:tcW w:w="4790" w:type="dxa"/>
          </w:tcPr>
          <w:p w14:paraId="574B6CF5">
            <w:pPr>
              <w:pStyle w:val="21"/>
              <w:spacing w:before="151" w:line="298" w:lineRule="auto"/>
              <w:ind w:left="111" w:right="101" w:firstLine="1"/>
              <w:rPr>
                <w:color w:val="auto"/>
                <w:lang w:eastAsia="zh-CN"/>
              </w:rPr>
            </w:pPr>
            <w:r>
              <w:rPr>
                <w:color w:val="auto"/>
                <w:spacing w:val="-4"/>
                <w:lang w:eastAsia="zh-CN"/>
              </w:rPr>
              <w:t>符合第六章“投标文件格式”的要求且实质性内容</w:t>
            </w:r>
            <w:r>
              <w:rPr>
                <w:color w:val="auto"/>
                <w:spacing w:val="-3"/>
                <w:lang w:eastAsia="zh-CN"/>
              </w:rPr>
              <w:t>齐全</w:t>
            </w:r>
          </w:p>
        </w:tc>
      </w:tr>
      <w:tr w14:paraId="6A276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bottom w:val="nil"/>
            </w:tcBorders>
          </w:tcPr>
          <w:p w14:paraId="2F2C122A">
            <w:pPr>
              <w:rPr>
                <w:color w:val="auto"/>
                <w:lang w:eastAsia="zh-CN"/>
              </w:rPr>
            </w:pPr>
          </w:p>
        </w:tc>
        <w:tc>
          <w:tcPr>
            <w:tcW w:w="1058" w:type="dxa"/>
            <w:vMerge w:val="continue"/>
            <w:tcBorders>
              <w:top w:val="nil"/>
              <w:bottom w:val="nil"/>
            </w:tcBorders>
          </w:tcPr>
          <w:p w14:paraId="2F50DAC5">
            <w:pPr>
              <w:rPr>
                <w:color w:val="auto"/>
                <w:lang w:eastAsia="zh-CN"/>
              </w:rPr>
            </w:pPr>
          </w:p>
        </w:tc>
        <w:tc>
          <w:tcPr>
            <w:tcW w:w="2337" w:type="dxa"/>
          </w:tcPr>
          <w:p w14:paraId="5E07B75C">
            <w:pPr>
              <w:spacing w:line="292" w:lineRule="auto"/>
              <w:rPr>
                <w:color w:val="auto"/>
                <w:lang w:eastAsia="zh-CN"/>
              </w:rPr>
            </w:pPr>
          </w:p>
          <w:p w14:paraId="6138D90B">
            <w:pPr>
              <w:pStyle w:val="21"/>
              <w:spacing w:before="68" w:line="219" w:lineRule="auto"/>
              <w:ind w:left="748"/>
              <w:rPr>
                <w:color w:val="auto"/>
              </w:rPr>
            </w:pPr>
            <w:r>
              <w:rPr>
                <w:color w:val="auto"/>
                <w:spacing w:val="1"/>
              </w:rPr>
              <w:t>报价唯一</w:t>
            </w:r>
          </w:p>
        </w:tc>
        <w:tc>
          <w:tcPr>
            <w:tcW w:w="4790" w:type="dxa"/>
          </w:tcPr>
          <w:p w14:paraId="2BDFD4AC">
            <w:pPr>
              <w:pStyle w:val="21"/>
              <w:spacing w:before="153" w:line="297" w:lineRule="auto"/>
              <w:ind w:left="113" w:right="101"/>
              <w:rPr>
                <w:color w:val="auto"/>
                <w:lang w:eastAsia="zh-CN"/>
              </w:rPr>
            </w:pPr>
            <w:r>
              <w:rPr>
                <w:color w:val="auto"/>
                <w:spacing w:val="-3"/>
                <w:lang w:eastAsia="zh-CN"/>
              </w:rPr>
              <w:t>投标报价文件（包括投标函）中的任何单价、合价</w:t>
            </w:r>
            <w:r>
              <w:rPr>
                <w:color w:val="auto"/>
                <w:spacing w:val="-1"/>
                <w:lang w:eastAsia="zh-CN"/>
              </w:rPr>
              <w:t>或总价只能有一个有效报价</w:t>
            </w:r>
          </w:p>
        </w:tc>
      </w:tr>
      <w:tr w14:paraId="0860F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bottom w:val="nil"/>
            </w:tcBorders>
          </w:tcPr>
          <w:p w14:paraId="5D8FFBAC">
            <w:pPr>
              <w:rPr>
                <w:color w:val="auto"/>
                <w:lang w:eastAsia="zh-CN"/>
              </w:rPr>
            </w:pPr>
          </w:p>
        </w:tc>
        <w:tc>
          <w:tcPr>
            <w:tcW w:w="1058" w:type="dxa"/>
            <w:vMerge w:val="continue"/>
            <w:tcBorders>
              <w:top w:val="nil"/>
              <w:bottom w:val="nil"/>
            </w:tcBorders>
          </w:tcPr>
          <w:p w14:paraId="3DDAED79">
            <w:pPr>
              <w:rPr>
                <w:color w:val="auto"/>
                <w:lang w:eastAsia="zh-CN"/>
              </w:rPr>
            </w:pPr>
          </w:p>
        </w:tc>
        <w:tc>
          <w:tcPr>
            <w:tcW w:w="2337" w:type="dxa"/>
          </w:tcPr>
          <w:p w14:paraId="2AB1A4CB">
            <w:pPr>
              <w:pStyle w:val="21"/>
              <w:spacing w:before="153" w:line="297" w:lineRule="auto"/>
              <w:ind w:left="646" w:right="115" w:hanging="525"/>
              <w:rPr>
                <w:color w:val="auto"/>
                <w:lang w:eastAsia="zh-CN"/>
              </w:rPr>
            </w:pPr>
            <w:r>
              <w:rPr>
                <w:color w:val="auto"/>
                <w:spacing w:val="-1"/>
                <w:lang w:eastAsia="zh-CN"/>
              </w:rPr>
              <w:t>法定代表人或授权委托</w:t>
            </w:r>
            <w:r>
              <w:rPr>
                <w:color w:val="auto"/>
                <w:spacing w:val="-2"/>
                <w:lang w:eastAsia="zh-CN"/>
              </w:rPr>
              <w:t>人实名认证</w:t>
            </w:r>
          </w:p>
        </w:tc>
        <w:tc>
          <w:tcPr>
            <w:tcW w:w="4790" w:type="dxa"/>
          </w:tcPr>
          <w:p w14:paraId="1483F722">
            <w:pPr>
              <w:spacing w:line="293" w:lineRule="auto"/>
              <w:rPr>
                <w:color w:val="auto"/>
                <w:lang w:eastAsia="zh-CN"/>
              </w:rPr>
            </w:pPr>
          </w:p>
          <w:p w14:paraId="6CBD1E59">
            <w:pPr>
              <w:pStyle w:val="21"/>
              <w:spacing w:before="69" w:line="220" w:lineRule="auto"/>
              <w:ind w:left="112"/>
              <w:rPr>
                <w:color w:val="auto"/>
                <w:lang w:eastAsia="zh-CN"/>
              </w:rPr>
            </w:pPr>
            <w:r>
              <w:rPr>
                <w:color w:val="auto"/>
                <w:spacing w:val="-1"/>
                <w:lang w:eastAsia="zh-CN"/>
              </w:rPr>
              <w:t>法定代表人或授权委托人完成实名认证</w:t>
            </w:r>
          </w:p>
        </w:tc>
      </w:tr>
      <w:tr w14:paraId="72130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76F22F63">
            <w:pPr>
              <w:rPr>
                <w:color w:val="auto"/>
                <w:lang w:eastAsia="zh-CN"/>
              </w:rPr>
            </w:pPr>
          </w:p>
        </w:tc>
        <w:tc>
          <w:tcPr>
            <w:tcW w:w="1058" w:type="dxa"/>
            <w:vMerge w:val="continue"/>
            <w:tcBorders>
              <w:top w:val="nil"/>
              <w:bottom w:val="nil"/>
            </w:tcBorders>
          </w:tcPr>
          <w:p w14:paraId="41A4F5E2">
            <w:pPr>
              <w:rPr>
                <w:color w:val="auto"/>
                <w:lang w:eastAsia="zh-CN"/>
              </w:rPr>
            </w:pPr>
          </w:p>
        </w:tc>
        <w:tc>
          <w:tcPr>
            <w:tcW w:w="2337" w:type="dxa"/>
          </w:tcPr>
          <w:p w14:paraId="29FED9E8">
            <w:pPr>
              <w:pStyle w:val="21"/>
              <w:spacing w:before="171" w:line="220" w:lineRule="auto"/>
              <w:ind w:left="644"/>
              <w:rPr>
                <w:color w:val="auto"/>
              </w:rPr>
            </w:pPr>
            <w:r>
              <w:rPr>
                <w:color w:val="auto"/>
                <w:spacing w:val="-2"/>
              </w:rPr>
              <w:t>模块化暗标</w:t>
            </w:r>
          </w:p>
        </w:tc>
        <w:tc>
          <w:tcPr>
            <w:tcW w:w="4790" w:type="dxa"/>
          </w:tcPr>
          <w:p w14:paraId="5FA5F017">
            <w:pPr>
              <w:pStyle w:val="21"/>
              <w:spacing w:before="171" w:line="220" w:lineRule="auto"/>
              <w:ind w:left="112"/>
              <w:rPr>
                <w:color w:val="auto"/>
                <w:lang w:eastAsia="zh-CN"/>
              </w:rPr>
            </w:pPr>
            <w:r>
              <w:rPr>
                <w:color w:val="auto"/>
                <w:spacing w:val="-3"/>
                <w:lang w:eastAsia="zh-CN"/>
              </w:rPr>
              <w:t>符合第二章“投标人须知”第3.7.4项规定</w:t>
            </w:r>
          </w:p>
        </w:tc>
      </w:tr>
      <w:tr w14:paraId="586B8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tcBorders>
          </w:tcPr>
          <w:p w14:paraId="405A0FB3">
            <w:pPr>
              <w:rPr>
                <w:color w:val="auto"/>
                <w:lang w:eastAsia="zh-CN"/>
              </w:rPr>
            </w:pPr>
          </w:p>
        </w:tc>
        <w:tc>
          <w:tcPr>
            <w:tcW w:w="1058" w:type="dxa"/>
            <w:vMerge w:val="continue"/>
            <w:tcBorders>
              <w:top w:val="nil"/>
            </w:tcBorders>
          </w:tcPr>
          <w:p w14:paraId="56C8AC72">
            <w:pPr>
              <w:rPr>
                <w:color w:val="auto"/>
                <w:lang w:eastAsia="zh-CN"/>
              </w:rPr>
            </w:pPr>
          </w:p>
        </w:tc>
        <w:tc>
          <w:tcPr>
            <w:tcW w:w="2337" w:type="dxa"/>
          </w:tcPr>
          <w:p w14:paraId="451CBFED">
            <w:pPr>
              <w:pStyle w:val="21"/>
              <w:spacing w:before="171" w:line="221" w:lineRule="auto"/>
              <w:ind w:left="543"/>
              <w:rPr>
                <w:color w:val="auto"/>
              </w:rPr>
            </w:pPr>
            <w:r>
              <w:rPr>
                <w:color w:val="auto"/>
                <w:spacing w:val="-2"/>
              </w:rPr>
              <w:t>行为雷同分析</w:t>
            </w:r>
          </w:p>
        </w:tc>
        <w:tc>
          <w:tcPr>
            <w:tcW w:w="4790" w:type="dxa"/>
          </w:tcPr>
          <w:p w14:paraId="0220DDBF">
            <w:pPr>
              <w:pStyle w:val="21"/>
              <w:spacing w:before="171" w:line="220" w:lineRule="auto"/>
              <w:ind w:left="114"/>
              <w:rPr>
                <w:color w:val="auto"/>
                <w:lang w:eastAsia="zh-CN"/>
              </w:rPr>
            </w:pPr>
            <w:r>
              <w:rPr>
                <w:color w:val="auto"/>
                <w:spacing w:val="-1"/>
                <w:lang w:eastAsia="zh-CN"/>
              </w:rPr>
              <w:t>不存在投标行为雷同情形</w:t>
            </w:r>
          </w:p>
        </w:tc>
      </w:tr>
      <w:tr w14:paraId="4A246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45" w:type="dxa"/>
            <w:vMerge w:val="restart"/>
            <w:tcBorders>
              <w:bottom w:val="nil"/>
            </w:tcBorders>
          </w:tcPr>
          <w:p w14:paraId="38EE9DD8">
            <w:pPr>
              <w:spacing w:line="243" w:lineRule="auto"/>
              <w:rPr>
                <w:color w:val="auto"/>
                <w:lang w:eastAsia="zh-CN"/>
              </w:rPr>
            </w:pPr>
          </w:p>
          <w:p w14:paraId="7F541464">
            <w:pPr>
              <w:spacing w:line="243" w:lineRule="auto"/>
              <w:rPr>
                <w:color w:val="auto"/>
                <w:lang w:eastAsia="zh-CN"/>
              </w:rPr>
            </w:pPr>
          </w:p>
          <w:p w14:paraId="06853591">
            <w:pPr>
              <w:spacing w:line="243" w:lineRule="auto"/>
              <w:rPr>
                <w:color w:val="auto"/>
                <w:lang w:eastAsia="zh-CN"/>
              </w:rPr>
            </w:pPr>
          </w:p>
          <w:p w14:paraId="5EC00DE0">
            <w:pPr>
              <w:spacing w:line="243" w:lineRule="auto"/>
              <w:rPr>
                <w:color w:val="auto"/>
                <w:lang w:eastAsia="zh-CN"/>
              </w:rPr>
            </w:pPr>
          </w:p>
          <w:p w14:paraId="7E8C456D">
            <w:pPr>
              <w:spacing w:line="244" w:lineRule="auto"/>
              <w:rPr>
                <w:color w:val="auto"/>
                <w:lang w:eastAsia="zh-CN"/>
              </w:rPr>
            </w:pPr>
          </w:p>
          <w:p w14:paraId="37524572">
            <w:pPr>
              <w:pStyle w:val="21"/>
              <w:spacing w:before="68"/>
              <w:ind w:left="113"/>
              <w:rPr>
                <w:color w:val="auto"/>
              </w:rPr>
            </w:pPr>
            <w:r>
              <w:rPr>
                <w:color w:val="auto"/>
                <w:spacing w:val="-2"/>
              </w:rPr>
              <w:t>2.1.2</w:t>
            </w:r>
          </w:p>
        </w:tc>
        <w:tc>
          <w:tcPr>
            <w:tcW w:w="1058" w:type="dxa"/>
            <w:vMerge w:val="restart"/>
            <w:tcBorders>
              <w:bottom w:val="nil"/>
            </w:tcBorders>
          </w:tcPr>
          <w:p w14:paraId="13B6E0B7">
            <w:pPr>
              <w:spacing w:line="251" w:lineRule="auto"/>
              <w:rPr>
                <w:color w:val="auto"/>
              </w:rPr>
            </w:pPr>
          </w:p>
          <w:p w14:paraId="4FE90758">
            <w:pPr>
              <w:spacing w:line="252" w:lineRule="auto"/>
              <w:rPr>
                <w:color w:val="auto"/>
              </w:rPr>
            </w:pPr>
          </w:p>
          <w:p w14:paraId="372AAB67">
            <w:pPr>
              <w:spacing w:line="252" w:lineRule="auto"/>
              <w:rPr>
                <w:color w:val="auto"/>
              </w:rPr>
            </w:pPr>
          </w:p>
          <w:p w14:paraId="3E7217B1">
            <w:pPr>
              <w:spacing w:line="252" w:lineRule="auto"/>
              <w:rPr>
                <w:color w:val="auto"/>
              </w:rPr>
            </w:pPr>
          </w:p>
          <w:p w14:paraId="6B1D5304">
            <w:pPr>
              <w:pStyle w:val="21"/>
              <w:spacing w:before="68" w:line="372" w:lineRule="auto"/>
              <w:ind w:left="318" w:right="107" w:hanging="201"/>
              <w:rPr>
                <w:color w:val="auto"/>
              </w:rPr>
            </w:pPr>
            <w:r>
              <w:rPr>
                <w:color w:val="auto"/>
                <w:spacing w:val="-5"/>
              </w:rPr>
              <w:t>资格评审</w:t>
            </w:r>
            <w:r>
              <w:rPr>
                <w:color w:val="auto"/>
                <w:spacing w:val="-3"/>
              </w:rPr>
              <w:t>标准</w:t>
            </w:r>
          </w:p>
        </w:tc>
        <w:tc>
          <w:tcPr>
            <w:tcW w:w="2337" w:type="dxa"/>
          </w:tcPr>
          <w:p w14:paraId="2C896678">
            <w:pPr>
              <w:pStyle w:val="21"/>
              <w:spacing w:before="171" w:line="220" w:lineRule="auto"/>
              <w:ind w:left="756"/>
              <w:rPr>
                <w:color w:val="auto"/>
              </w:rPr>
            </w:pPr>
            <w:r>
              <w:rPr>
                <w:color w:val="auto"/>
                <w:spacing w:val="-3"/>
              </w:rPr>
              <w:t>营业执照</w:t>
            </w:r>
          </w:p>
        </w:tc>
        <w:tc>
          <w:tcPr>
            <w:tcW w:w="4790" w:type="dxa"/>
          </w:tcPr>
          <w:p w14:paraId="0511C3E0">
            <w:pPr>
              <w:pStyle w:val="21"/>
              <w:spacing w:before="171" w:line="220" w:lineRule="auto"/>
              <w:ind w:left="115"/>
              <w:rPr>
                <w:color w:val="auto"/>
              </w:rPr>
            </w:pPr>
            <w:r>
              <w:rPr>
                <w:color w:val="auto"/>
                <w:spacing w:val="-2"/>
              </w:rPr>
              <w:t>具备有效的营业执照</w:t>
            </w:r>
          </w:p>
        </w:tc>
      </w:tr>
      <w:tr w14:paraId="7FBA7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45" w:type="dxa"/>
            <w:vMerge w:val="continue"/>
            <w:tcBorders>
              <w:top w:val="nil"/>
              <w:bottom w:val="nil"/>
            </w:tcBorders>
          </w:tcPr>
          <w:p w14:paraId="448414C9">
            <w:pPr>
              <w:rPr>
                <w:color w:val="auto"/>
              </w:rPr>
            </w:pPr>
          </w:p>
        </w:tc>
        <w:tc>
          <w:tcPr>
            <w:tcW w:w="1058" w:type="dxa"/>
            <w:vMerge w:val="continue"/>
            <w:tcBorders>
              <w:top w:val="nil"/>
              <w:bottom w:val="nil"/>
            </w:tcBorders>
          </w:tcPr>
          <w:p w14:paraId="5E38858E">
            <w:pPr>
              <w:rPr>
                <w:color w:val="auto"/>
              </w:rPr>
            </w:pPr>
          </w:p>
        </w:tc>
        <w:tc>
          <w:tcPr>
            <w:tcW w:w="2337" w:type="dxa"/>
          </w:tcPr>
          <w:p w14:paraId="105CD2C0">
            <w:pPr>
              <w:pStyle w:val="21"/>
              <w:spacing w:before="172" w:line="221" w:lineRule="auto"/>
              <w:ind w:left="759"/>
              <w:rPr>
                <w:color w:val="auto"/>
              </w:rPr>
            </w:pPr>
            <w:r>
              <w:rPr>
                <w:color w:val="auto"/>
                <w:spacing w:val="-4"/>
              </w:rPr>
              <w:t>资质要求</w:t>
            </w:r>
          </w:p>
        </w:tc>
        <w:tc>
          <w:tcPr>
            <w:tcW w:w="4790" w:type="dxa"/>
          </w:tcPr>
          <w:p w14:paraId="6DEE23F2">
            <w:pPr>
              <w:pStyle w:val="21"/>
              <w:spacing w:before="172" w:line="220" w:lineRule="auto"/>
              <w:ind w:left="112"/>
              <w:rPr>
                <w:color w:val="auto"/>
                <w:lang w:eastAsia="zh-CN"/>
              </w:rPr>
            </w:pPr>
            <w:r>
              <w:rPr>
                <w:color w:val="auto"/>
                <w:spacing w:val="-4"/>
                <w:lang w:eastAsia="zh-CN"/>
              </w:rPr>
              <w:t>符合第二章“投标人须知”第1.4.1项规定</w:t>
            </w:r>
          </w:p>
        </w:tc>
      </w:tr>
      <w:tr w14:paraId="7428B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45" w:type="dxa"/>
            <w:vMerge w:val="continue"/>
            <w:tcBorders>
              <w:top w:val="nil"/>
              <w:bottom w:val="nil"/>
            </w:tcBorders>
          </w:tcPr>
          <w:p w14:paraId="38511233">
            <w:pPr>
              <w:rPr>
                <w:color w:val="auto"/>
                <w:lang w:eastAsia="zh-CN"/>
              </w:rPr>
            </w:pPr>
          </w:p>
        </w:tc>
        <w:tc>
          <w:tcPr>
            <w:tcW w:w="1058" w:type="dxa"/>
            <w:vMerge w:val="continue"/>
            <w:tcBorders>
              <w:top w:val="nil"/>
              <w:bottom w:val="nil"/>
            </w:tcBorders>
          </w:tcPr>
          <w:p w14:paraId="67316AE7">
            <w:pPr>
              <w:rPr>
                <w:color w:val="auto"/>
                <w:lang w:eastAsia="zh-CN"/>
              </w:rPr>
            </w:pPr>
          </w:p>
        </w:tc>
        <w:tc>
          <w:tcPr>
            <w:tcW w:w="2337" w:type="dxa"/>
          </w:tcPr>
          <w:p w14:paraId="0CC259E2">
            <w:pPr>
              <w:pStyle w:val="21"/>
              <w:spacing w:before="172" w:line="220" w:lineRule="auto"/>
              <w:ind w:left="960"/>
              <w:rPr>
                <w:color w:val="auto"/>
              </w:rPr>
            </w:pPr>
            <w:r>
              <w:rPr>
                <w:color w:val="auto"/>
                <w:spacing w:val="-3"/>
              </w:rPr>
              <w:t>信誉</w:t>
            </w:r>
          </w:p>
        </w:tc>
        <w:tc>
          <w:tcPr>
            <w:tcW w:w="4790" w:type="dxa"/>
          </w:tcPr>
          <w:p w14:paraId="458C9476">
            <w:pPr>
              <w:pStyle w:val="21"/>
              <w:spacing w:before="172" w:line="220" w:lineRule="auto"/>
              <w:ind w:left="112"/>
              <w:rPr>
                <w:color w:val="auto"/>
                <w:lang w:eastAsia="zh-CN"/>
              </w:rPr>
            </w:pPr>
            <w:r>
              <w:rPr>
                <w:color w:val="auto"/>
                <w:spacing w:val="-4"/>
                <w:lang w:eastAsia="zh-CN"/>
              </w:rPr>
              <w:t>符合第二章“投标人须知”第1.4.1项规定</w:t>
            </w:r>
          </w:p>
        </w:tc>
      </w:tr>
      <w:tr w14:paraId="3FE49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4997837C">
            <w:pPr>
              <w:rPr>
                <w:color w:val="auto"/>
                <w:lang w:eastAsia="zh-CN"/>
              </w:rPr>
            </w:pPr>
          </w:p>
        </w:tc>
        <w:tc>
          <w:tcPr>
            <w:tcW w:w="1058" w:type="dxa"/>
            <w:vMerge w:val="continue"/>
            <w:tcBorders>
              <w:top w:val="nil"/>
              <w:bottom w:val="nil"/>
            </w:tcBorders>
          </w:tcPr>
          <w:p w14:paraId="4CD67FA3">
            <w:pPr>
              <w:rPr>
                <w:color w:val="auto"/>
                <w:lang w:eastAsia="zh-CN"/>
              </w:rPr>
            </w:pPr>
          </w:p>
        </w:tc>
        <w:tc>
          <w:tcPr>
            <w:tcW w:w="2337" w:type="dxa"/>
          </w:tcPr>
          <w:p w14:paraId="7B4A8DE3">
            <w:pPr>
              <w:pStyle w:val="21"/>
              <w:spacing w:before="173" w:line="221" w:lineRule="auto"/>
              <w:ind w:left="751"/>
              <w:rPr>
                <w:color w:val="auto"/>
              </w:rPr>
            </w:pPr>
            <w:r>
              <w:rPr>
                <w:color w:val="auto"/>
                <w:spacing w:val="-2"/>
              </w:rPr>
              <w:t>其他要求</w:t>
            </w:r>
          </w:p>
        </w:tc>
        <w:tc>
          <w:tcPr>
            <w:tcW w:w="4790" w:type="dxa"/>
          </w:tcPr>
          <w:p w14:paraId="06F2D34D">
            <w:pPr>
              <w:pStyle w:val="21"/>
              <w:spacing w:before="173" w:line="220" w:lineRule="auto"/>
              <w:ind w:left="112"/>
              <w:rPr>
                <w:color w:val="auto"/>
                <w:lang w:eastAsia="zh-CN"/>
              </w:rPr>
            </w:pPr>
            <w:r>
              <w:rPr>
                <w:color w:val="auto"/>
                <w:spacing w:val="-4"/>
                <w:lang w:eastAsia="zh-CN"/>
              </w:rPr>
              <w:t>符合第二章“投标人须知”第1.4.1项规定</w:t>
            </w:r>
          </w:p>
        </w:tc>
      </w:tr>
      <w:tr w14:paraId="7CDF1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tcBorders>
          </w:tcPr>
          <w:p w14:paraId="26680997">
            <w:pPr>
              <w:rPr>
                <w:color w:val="auto"/>
                <w:lang w:eastAsia="zh-CN"/>
              </w:rPr>
            </w:pPr>
          </w:p>
        </w:tc>
        <w:tc>
          <w:tcPr>
            <w:tcW w:w="1058" w:type="dxa"/>
            <w:vMerge w:val="continue"/>
            <w:tcBorders>
              <w:top w:val="nil"/>
            </w:tcBorders>
          </w:tcPr>
          <w:p w14:paraId="079E301A">
            <w:pPr>
              <w:rPr>
                <w:color w:val="auto"/>
                <w:lang w:eastAsia="zh-CN"/>
              </w:rPr>
            </w:pPr>
          </w:p>
        </w:tc>
        <w:tc>
          <w:tcPr>
            <w:tcW w:w="2337" w:type="dxa"/>
          </w:tcPr>
          <w:p w14:paraId="6F2C2070">
            <w:pPr>
              <w:spacing w:line="296" w:lineRule="auto"/>
              <w:rPr>
                <w:color w:val="auto"/>
                <w:lang w:eastAsia="zh-CN"/>
              </w:rPr>
            </w:pPr>
          </w:p>
          <w:p w14:paraId="6737D5E9">
            <w:pPr>
              <w:pStyle w:val="21"/>
              <w:spacing w:before="69" w:line="220" w:lineRule="auto"/>
              <w:ind w:left="123"/>
              <w:rPr>
                <w:color w:val="auto"/>
                <w:lang w:eastAsia="zh-CN"/>
              </w:rPr>
            </w:pPr>
            <w:r>
              <w:rPr>
                <w:color w:val="auto"/>
                <w:spacing w:val="-2"/>
                <w:lang w:eastAsia="zh-CN"/>
              </w:rPr>
              <w:t>不存在禁止投标的情形</w:t>
            </w:r>
          </w:p>
        </w:tc>
        <w:tc>
          <w:tcPr>
            <w:tcW w:w="4790" w:type="dxa"/>
          </w:tcPr>
          <w:p w14:paraId="559156BD">
            <w:pPr>
              <w:pStyle w:val="21"/>
              <w:spacing w:before="155" w:line="296" w:lineRule="auto"/>
              <w:ind w:left="114" w:right="101"/>
              <w:rPr>
                <w:color w:val="auto"/>
                <w:lang w:eastAsia="zh-CN"/>
              </w:rPr>
            </w:pPr>
            <w:r>
              <w:rPr>
                <w:color w:val="auto"/>
                <w:spacing w:val="-5"/>
                <w:lang w:eastAsia="zh-CN"/>
              </w:rPr>
              <w:t>不存在第二章“投标人须知”第1.4.3项规定的任</w:t>
            </w:r>
            <w:r>
              <w:rPr>
                <w:color w:val="auto"/>
                <w:spacing w:val="-3"/>
                <w:lang w:eastAsia="zh-CN"/>
              </w:rPr>
              <w:t>何一种情形</w:t>
            </w:r>
          </w:p>
        </w:tc>
      </w:tr>
      <w:tr w14:paraId="3B15C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restart"/>
            <w:tcBorders>
              <w:bottom w:val="nil"/>
            </w:tcBorders>
          </w:tcPr>
          <w:p w14:paraId="35CC1825">
            <w:pPr>
              <w:spacing w:line="256" w:lineRule="auto"/>
              <w:rPr>
                <w:color w:val="auto"/>
                <w:lang w:eastAsia="zh-CN"/>
              </w:rPr>
            </w:pPr>
          </w:p>
          <w:p w14:paraId="54D57D96">
            <w:pPr>
              <w:spacing w:line="256" w:lineRule="auto"/>
              <w:rPr>
                <w:color w:val="auto"/>
                <w:lang w:eastAsia="zh-CN"/>
              </w:rPr>
            </w:pPr>
          </w:p>
          <w:p w14:paraId="4185E5A2">
            <w:pPr>
              <w:spacing w:line="256" w:lineRule="auto"/>
              <w:rPr>
                <w:color w:val="auto"/>
                <w:lang w:eastAsia="zh-CN"/>
              </w:rPr>
            </w:pPr>
          </w:p>
          <w:p w14:paraId="6DFFF3A3">
            <w:pPr>
              <w:spacing w:line="256" w:lineRule="auto"/>
              <w:rPr>
                <w:color w:val="auto"/>
                <w:lang w:eastAsia="zh-CN"/>
              </w:rPr>
            </w:pPr>
          </w:p>
          <w:p w14:paraId="3353CA5C">
            <w:pPr>
              <w:spacing w:line="256" w:lineRule="auto"/>
              <w:rPr>
                <w:color w:val="auto"/>
                <w:lang w:eastAsia="zh-CN"/>
              </w:rPr>
            </w:pPr>
          </w:p>
          <w:p w14:paraId="4D108BC3">
            <w:pPr>
              <w:spacing w:line="256" w:lineRule="auto"/>
              <w:rPr>
                <w:color w:val="auto"/>
                <w:lang w:eastAsia="zh-CN"/>
              </w:rPr>
            </w:pPr>
          </w:p>
          <w:p w14:paraId="79247AC8">
            <w:pPr>
              <w:spacing w:line="257" w:lineRule="auto"/>
              <w:rPr>
                <w:color w:val="auto"/>
                <w:lang w:eastAsia="zh-CN"/>
              </w:rPr>
            </w:pPr>
          </w:p>
          <w:p w14:paraId="68DC70D2">
            <w:pPr>
              <w:spacing w:line="257" w:lineRule="auto"/>
              <w:rPr>
                <w:color w:val="auto"/>
                <w:lang w:eastAsia="zh-CN"/>
              </w:rPr>
            </w:pPr>
          </w:p>
          <w:p w14:paraId="285D70DA">
            <w:pPr>
              <w:spacing w:line="257" w:lineRule="auto"/>
              <w:rPr>
                <w:color w:val="auto"/>
                <w:lang w:eastAsia="zh-CN"/>
              </w:rPr>
            </w:pPr>
          </w:p>
          <w:p w14:paraId="3AF8EDB4">
            <w:pPr>
              <w:spacing w:line="257" w:lineRule="auto"/>
              <w:rPr>
                <w:color w:val="auto"/>
                <w:lang w:eastAsia="zh-CN"/>
              </w:rPr>
            </w:pPr>
          </w:p>
          <w:p w14:paraId="2FB64AE2">
            <w:pPr>
              <w:pStyle w:val="21"/>
              <w:spacing w:before="68"/>
              <w:ind w:left="113"/>
              <w:rPr>
                <w:color w:val="auto"/>
              </w:rPr>
            </w:pPr>
            <w:r>
              <w:rPr>
                <w:color w:val="auto"/>
                <w:spacing w:val="-2"/>
              </w:rPr>
              <w:t>2.1.3</w:t>
            </w:r>
          </w:p>
        </w:tc>
        <w:tc>
          <w:tcPr>
            <w:tcW w:w="1058" w:type="dxa"/>
            <w:vMerge w:val="restart"/>
            <w:tcBorders>
              <w:bottom w:val="nil"/>
            </w:tcBorders>
          </w:tcPr>
          <w:p w14:paraId="272827DE">
            <w:pPr>
              <w:spacing w:line="261" w:lineRule="auto"/>
              <w:rPr>
                <w:color w:val="auto"/>
              </w:rPr>
            </w:pPr>
          </w:p>
          <w:p w14:paraId="02F7BE8A">
            <w:pPr>
              <w:spacing w:line="261" w:lineRule="auto"/>
              <w:rPr>
                <w:color w:val="auto"/>
              </w:rPr>
            </w:pPr>
          </w:p>
          <w:p w14:paraId="22984A48">
            <w:pPr>
              <w:spacing w:line="261" w:lineRule="auto"/>
              <w:rPr>
                <w:color w:val="auto"/>
              </w:rPr>
            </w:pPr>
          </w:p>
          <w:p w14:paraId="0BB56B6A">
            <w:pPr>
              <w:spacing w:line="261" w:lineRule="auto"/>
              <w:rPr>
                <w:color w:val="auto"/>
              </w:rPr>
            </w:pPr>
          </w:p>
          <w:p w14:paraId="21AA6EEE">
            <w:pPr>
              <w:spacing w:line="262" w:lineRule="auto"/>
              <w:rPr>
                <w:color w:val="auto"/>
              </w:rPr>
            </w:pPr>
          </w:p>
          <w:p w14:paraId="1E7D93E5">
            <w:pPr>
              <w:spacing w:line="262" w:lineRule="auto"/>
              <w:rPr>
                <w:color w:val="auto"/>
              </w:rPr>
            </w:pPr>
          </w:p>
          <w:p w14:paraId="2E703214">
            <w:pPr>
              <w:spacing w:line="262" w:lineRule="auto"/>
              <w:rPr>
                <w:color w:val="auto"/>
              </w:rPr>
            </w:pPr>
          </w:p>
          <w:p w14:paraId="3B72FE6E">
            <w:pPr>
              <w:spacing w:line="262" w:lineRule="auto"/>
              <w:rPr>
                <w:color w:val="auto"/>
              </w:rPr>
            </w:pPr>
          </w:p>
          <w:p w14:paraId="660AD919">
            <w:pPr>
              <w:spacing w:line="262" w:lineRule="auto"/>
              <w:rPr>
                <w:color w:val="auto"/>
              </w:rPr>
            </w:pPr>
          </w:p>
          <w:p w14:paraId="46B1660B">
            <w:pPr>
              <w:pStyle w:val="21"/>
              <w:spacing w:before="69" w:line="372" w:lineRule="auto"/>
              <w:ind w:left="219" w:right="107" w:hanging="100"/>
              <w:rPr>
                <w:color w:val="auto"/>
              </w:rPr>
            </w:pPr>
            <w:r>
              <w:rPr>
                <w:color w:val="auto"/>
                <w:spacing w:val="-5"/>
              </w:rPr>
              <w:t>响应性评</w:t>
            </w:r>
            <w:r>
              <w:rPr>
                <w:color w:val="auto"/>
                <w:spacing w:val="-4"/>
              </w:rPr>
              <w:t>审标准</w:t>
            </w:r>
          </w:p>
        </w:tc>
        <w:tc>
          <w:tcPr>
            <w:tcW w:w="2337" w:type="dxa"/>
          </w:tcPr>
          <w:p w14:paraId="3F2D36CE">
            <w:pPr>
              <w:pStyle w:val="21"/>
              <w:spacing w:before="174" w:line="220" w:lineRule="auto"/>
              <w:ind w:left="752"/>
              <w:rPr>
                <w:color w:val="auto"/>
              </w:rPr>
            </w:pPr>
            <w:r>
              <w:rPr>
                <w:color w:val="auto"/>
                <w:spacing w:val="-3"/>
              </w:rPr>
              <w:t>投标内容</w:t>
            </w:r>
          </w:p>
        </w:tc>
        <w:tc>
          <w:tcPr>
            <w:tcW w:w="4790" w:type="dxa"/>
          </w:tcPr>
          <w:p w14:paraId="6F372220">
            <w:pPr>
              <w:pStyle w:val="21"/>
              <w:spacing w:before="174" w:line="220" w:lineRule="auto"/>
              <w:ind w:left="112"/>
              <w:rPr>
                <w:color w:val="auto"/>
                <w:lang w:eastAsia="zh-CN"/>
              </w:rPr>
            </w:pPr>
            <w:r>
              <w:rPr>
                <w:color w:val="auto"/>
                <w:spacing w:val="-4"/>
                <w:lang w:eastAsia="zh-CN"/>
              </w:rPr>
              <w:t>符合第二章“投标人须知”第1.3.1项规定</w:t>
            </w:r>
          </w:p>
        </w:tc>
      </w:tr>
      <w:tr w14:paraId="16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113A2277">
            <w:pPr>
              <w:rPr>
                <w:color w:val="auto"/>
                <w:lang w:eastAsia="zh-CN"/>
              </w:rPr>
            </w:pPr>
          </w:p>
        </w:tc>
        <w:tc>
          <w:tcPr>
            <w:tcW w:w="1058" w:type="dxa"/>
            <w:vMerge w:val="continue"/>
            <w:tcBorders>
              <w:top w:val="nil"/>
              <w:bottom w:val="nil"/>
            </w:tcBorders>
          </w:tcPr>
          <w:p w14:paraId="6F29C030">
            <w:pPr>
              <w:rPr>
                <w:color w:val="auto"/>
                <w:lang w:eastAsia="zh-CN"/>
              </w:rPr>
            </w:pPr>
          </w:p>
        </w:tc>
        <w:tc>
          <w:tcPr>
            <w:tcW w:w="2337" w:type="dxa"/>
          </w:tcPr>
          <w:p w14:paraId="76025FC2">
            <w:pPr>
              <w:pStyle w:val="21"/>
              <w:spacing w:before="174" w:line="220" w:lineRule="auto"/>
              <w:ind w:left="750"/>
              <w:rPr>
                <w:color w:val="auto"/>
              </w:rPr>
            </w:pPr>
            <w:r>
              <w:rPr>
                <w:color w:val="auto"/>
                <w:spacing w:val="-2"/>
              </w:rPr>
              <w:t>供货期限</w:t>
            </w:r>
          </w:p>
        </w:tc>
        <w:tc>
          <w:tcPr>
            <w:tcW w:w="4790" w:type="dxa"/>
          </w:tcPr>
          <w:p w14:paraId="75777FF8">
            <w:pPr>
              <w:pStyle w:val="21"/>
              <w:spacing w:before="174" w:line="220" w:lineRule="auto"/>
              <w:ind w:left="112"/>
              <w:rPr>
                <w:color w:val="auto"/>
                <w:lang w:eastAsia="zh-CN"/>
              </w:rPr>
            </w:pPr>
            <w:r>
              <w:rPr>
                <w:color w:val="auto"/>
                <w:spacing w:val="-4"/>
                <w:lang w:eastAsia="zh-CN"/>
              </w:rPr>
              <w:t>符合第二章“投标人须知”第1.3.2项规定</w:t>
            </w:r>
          </w:p>
        </w:tc>
      </w:tr>
      <w:tr w14:paraId="226FB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284464A9">
            <w:pPr>
              <w:rPr>
                <w:color w:val="auto"/>
                <w:lang w:eastAsia="zh-CN"/>
              </w:rPr>
            </w:pPr>
          </w:p>
        </w:tc>
        <w:tc>
          <w:tcPr>
            <w:tcW w:w="1058" w:type="dxa"/>
            <w:vMerge w:val="continue"/>
            <w:tcBorders>
              <w:top w:val="nil"/>
              <w:bottom w:val="nil"/>
            </w:tcBorders>
          </w:tcPr>
          <w:p w14:paraId="101EF088">
            <w:pPr>
              <w:rPr>
                <w:color w:val="auto"/>
                <w:lang w:eastAsia="zh-CN"/>
              </w:rPr>
            </w:pPr>
          </w:p>
        </w:tc>
        <w:tc>
          <w:tcPr>
            <w:tcW w:w="2337" w:type="dxa"/>
          </w:tcPr>
          <w:p w14:paraId="3F3F76E2">
            <w:pPr>
              <w:pStyle w:val="21"/>
              <w:spacing w:before="174" w:line="221" w:lineRule="auto"/>
              <w:ind w:left="751"/>
              <w:rPr>
                <w:color w:val="auto"/>
              </w:rPr>
            </w:pPr>
            <w:r>
              <w:rPr>
                <w:color w:val="auto"/>
                <w:spacing w:val="-2"/>
              </w:rPr>
              <w:t>质量标准</w:t>
            </w:r>
          </w:p>
        </w:tc>
        <w:tc>
          <w:tcPr>
            <w:tcW w:w="4790" w:type="dxa"/>
          </w:tcPr>
          <w:p w14:paraId="72FAFDD4">
            <w:pPr>
              <w:pStyle w:val="21"/>
              <w:spacing w:before="174" w:line="220" w:lineRule="auto"/>
              <w:ind w:left="112"/>
              <w:rPr>
                <w:color w:val="auto"/>
                <w:lang w:eastAsia="zh-CN"/>
              </w:rPr>
            </w:pPr>
            <w:r>
              <w:rPr>
                <w:color w:val="auto"/>
                <w:spacing w:val="-4"/>
                <w:lang w:eastAsia="zh-CN"/>
              </w:rPr>
              <w:t>符合第二章“投标人须知”第1.3.4项规定</w:t>
            </w:r>
          </w:p>
        </w:tc>
      </w:tr>
      <w:tr w14:paraId="1F314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73F878A7">
            <w:pPr>
              <w:rPr>
                <w:color w:val="auto"/>
                <w:lang w:eastAsia="zh-CN"/>
              </w:rPr>
            </w:pPr>
          </w:p>
        </w:tc>
        <w:tc>
          <w:tcPr>
            <w:tcW w:w="1058" w:type="dxa"/>
            <w:vMerge w:val="continue"/>
            <w:tcBorders>
              <w:top w:val="nil"/>
              <w:bottom w:val="nil"/>
            </w:tcBorders>
          </w:tcPr>
          <w:p w14:paraId="548F130E">
            <w:pPr>
              <w:rPr>
                <w:color w:val="auto"/>
                <w:lang w:eastAsia="zh-CN"/>
              </w:rPr>
            </w:pPr>
          </w:p>
        </w:tc>
        <w:tc>
          <w:tcPr>
            <w:tcW w:w="2337" w:type="dxa"/>
          </w:tcPr>
          <w:p w14:paraId="00BBE583">
            <w:pPr>
              <w:pStyle w:val="21"/>
              <w:spacing w:before="174" w:line="220" w:lineRule="auto"/>
              <w:ind w:left="754"/>
              <w:rPr>
                <w:color w:val="auto"/>
              </w:rPr>
            </w:pPr>
            <w:r>
              <w:rPr>
                <w:color w:val="auto"/>
                <w:spacing w:val="-3"/>
              </w:rPr>
              <w:t>交货地点</w:t>
            </w:r>
          </w:p>
        </w:tc>
        <w:tc>
          <w:tcPr>
            <w:tcW w:w="4790" w:type="dxa"/>
          </w:tcPr>
          <w:p w14:paraId="4F1B6359">
            <w:pPr>
              <w:pStyle w:val="21"/>
              <w:spacing w:before="174" w:line="220" w:lineRule="auto"/>
              <w:ind w:left="112"/>
              <w:rPr>
                <w:color w:val="auto"/>
                <w:lang w:eastAsia="zh-CN"/>
              </w:rPr>
            </w:pPr>
            <w:r>
              <w:rPr>
                <w:color w:val="auto"/>
                <w:spacing w:val="-4"/>
                <w:lang w:eastAsia="zh-CN"/>
              </w:rPr>
              <w:t>符合第二章“投标人须知”第1.3.3项规定</w:t>
            </w:r>
          </w:p>
        </w:tc>
      </w:tr>
      <w:tr w14:paraId="54C20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4C5991BF">
            <w:pPr>
              <w:rPr>
                <w:color w:val="auto"/>
                <w:lang w:eastAsia="zh-CN"/>
              </w:rPr>
            </w:pPr>
          </w:p>
        </w:tc>
        <w:tc>
          <w:tcPr>
            <w:tcW w:w="1058" w:type="dxa"/>
            <w:vMerge w:val="continue"/>
            <w:tcBorders>
              <w:top w:val="nil"/>
              <w:bottom w:val="nil"/>
            </w:tcBorders>
          </w:tcPr>
          <w:p w14:paraId="588E1FD1">
            <w:pPr>
              <w:rPr>
                <w:color w:val="auto"/>
                <w:lang w:eastAsia="zh-CN"/>
              </w:rPr>
            </w:pPr>
          </w:p>
        </w:tc>
        <w:tc>
          <w:tcPr>
            <w:tcW w:w="2337" w:type="dxa"/>
          </w:tcPr>
          <w:p w14:paraId="3AC51ED9">
            <w:pPr>
              <w:pStyle w:val="21"/>
              <w:spacing w:before="174" w:line="221" w:lineRule="auto"/>
              <w:ind w:left="647"/>
              <w:rPr>
                <w:color w:val="auto"/>
              </w:rPr>
            </w:pPr>
            <w:r>
              <w:rPr>
                <w:color w:val="auto"/>
                <w:spacing w:val="-2"/>
              </w:rPr>
              <w:t>投标有效期</w:t>
            </w:r>
          </w:p>
        </w:tc>
        <w:tc>
          <w:tcPr>
            <w:tcW w:w="4790" w:type="dxa"/>
          </w:tcPr>
          <w:p w14:paraId="1689B878">
            <w:pPr>
              <w:pStyle w:val="21"/>
              <w:spacing w:before="174" w:line="220" w:lineRule="auto"/>
              <w:ind w:left="112"/>
              <w:rPr>
                <w:color w:val="auto"/>
                <w:lang w:eastAsia="zh-CN"/>
              </w:rPr>
            </w:pPr>
            <w:r>
              <w:rPr>
                <w:color w:val="auto"/>
                <w:spacing w:val="-3"/>
                <w:lang w:eastAsia="zh-CN"/>
              </w:rPr>
              <w:t>符合第二章“投标人须知”第3.3.1项规定</w:t>
            </w:r>
          </w:p>
        </w:tc>
      </w:tr>
      <w:tr w14:paraId="5F588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7F54ED47">
            <w:pPr>
              <w:rPr>
                <w:color w:val="auto"/>
                <w:lang w:eastAsia="zh-CN"/>
              </w:rPr>
            </w:pPr>
          </w:p>
        </w:tc>
        <w:tc>
          <w:tcPr>
            <w:tcW w:w="1058" w:type="dxa"/>
            <w:vMerge w:val="continue"/>
            <w:tcBorders>
              <w:top w:val="nil"/>
              <w:bottom w:val="nil"/>
            </w:tcBorders>
          </w:tcPr>
          <w:p w14:paraId="323364DE">
            <w:pPr>
              <w:rPr>
                <w:color w:val="auto"/>
                <w:lang w:eastAsia="zh-CN"/>
              </w:rPr>
            </w:pPr>
          </w:p>
        </w:tc>
        <w:tc>
          <w:tcPr>
            <w:tcW w:w="2337" w:type="dxa"/>
          </w:tcPr>
          <w:p w14:paraId="23A189BB">
            <w:pPr>
              <w:pStyle w:val="21"/>
              <w:spacing w:before="174" w:line="221" w:lineRule="auto"/>
              <w:ind w:left="647"/>
              <w:rPr>
                <w:color w:val="auto"/>
              </w:rPr>
            </w:pPr>
            <w:r>
              <w:rPr>
                <w:color w:val="auto"/>
                <w:spacing w:val="-2"/>
              </w:rPr>
              <w:t>投标保证金</w:t>
            </w:r>
          </w:p>
        </w:tc>
        <w:tc>
          <w:tcPr>
            <w:tcW w:w="4790" w:type="dxa"/>
          </w:tcPr>
          <w:p w14:paraId="2D78F78D">
            <w:pPr>
              <w:pStyle w:val="21"/>
              <w:spacing w:before="174" w:line="220" w:lineRule="auto"/>
              <w:ind w:left="112"/>
              <w:rPr>
                <w:color w:val="auto"/>
                <w:lang w:eastAsia="zh-CN"/>
              </w:rPr>
            </w:pPr>
            <w:r>
              <w:rPr>
                <w:color w:val="auto"/>
                <w:spacing w:val="-3"/>
                <w:lang w:eastAsia="zh-CN"/>
              </w:rPr>
              <w:t>符合第二章“投标人须知”第3.4.1项规定</w:t>
            </w:r>
          </w:p>
        </w:tc>
      </w:tr>
      <w:tr w14:paraId="1A67C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bottom w:val="nil"/>
            </w:tcBorders>
          </w:tcPr>
          <w:p w14:paraId="5ABA2350">
            <w:pPr>
              <w:rPr>
                <w:color w:val="auto"/>
                <w:lang w:eastAsia="zh-CN"/>
              </w:rPr>
            </w:pPr>
          </w:p>
        </w:tc>
        <w:tc>
          <w:tcPr>
            <w:tcW w:w="1058" w:type="dxa"/>
            <w:vMerge w:val="continue"/>
            <w:tcBorders>
              <w:top w:val="nil"/>
              <w:bottom w:val="nil"/>
            </w:tcBorders>
          </w:tcPr>
          <w:p w14:paraId="21C3C392">
            <w:pPr>
              <w:rPr>
                <w:color w:val="auto"/>
                <w:lang w:eastAsia="zh-CN"/>
              </w:rPr>
            </w:pPr>
          </w:p>
        </w:tc>
        <w:tc>
          <w:tcPr>
            <w:tcW w:w="2337" w:type="dxa"/>
          </w:tcPr>
          <w:p w14:paraId="01D290E8">
            <w:pPr>
              <w:spacing w:line="297" w:lineRule="auto"/>
              <w:rPr>
                <w:color w:val="auto"/>
                <w:lang w:eastAsia="zh-CN"/>
              </w:rPr>
            </w:pPr>
          </w:p>
          <w:p w14:paraId="47C8D8E6">
            <w:pPr>
              <w:pStyle w:val="21"/>
              <w:spacing w:before="69" w:line="220" w:lineRule="auto"/>
              <w:ind w:left="749"/>
              <w:rPr>
                <w:color w:val="auto"/>
              </w:rPr>
            </w:pPr>
            <w:r>
              <w:rPr>
                <w:color w:val="auto"/>
                <w:spacing w:val="-2"/>
              </w:rPr>
              <w:t>权利义务</w:t>
            </w:r>
          </w:p>
        </w:tc>
        <w:tc>
          <w:tcPr>
            <w:tcW w:w="4790" w:type="dxa"/>
          </w:tcPr>
          <w:p w14:paraId="3D92D99B">
            <w:pPr>
              <w:pStyle w:val="21"/>
              <w:spacing w:before="157" w:line="295" w:lineRule="auto"/>
              <w:ind w:left="111" w:right="101"/>
              <w:rPr>
                <w:color w:val="auto"/>
                <w:lang w:eastAsia="zh-CN"/>
              </w:rPr>
            </w:pPr>
            <w:r>
              <w:rPr>
                <w:color w:val="auto"/>
                <w:spacing w:val="-4"/>
                <w:lang w:eastAsia="zh-CN"/>
              </w:rPr>
              <w:t>相关承诺符合或优于第四章“合同条款及格式”的</w:t>
            </w:r>
            <w:r>
              <w:rPr>
                <w:color w:val="auto"/>
                <w:spacing w:val="-2"/>
                <w:lang w:eastAsia="zh-CN"/>
              </w:rPr>
              <w:t>相关规定</w:t>
            </w:r>
          </w:p>
        </w:tc>
      </w:tr>
      <w:tr w14:paraId="393E5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745" w:type="dxa"/>
            <w:vMerge w:val="continue"/>
            <w:tcBorders>
              <w:top w:val="nil"/>
              <w:bottom w:val="nil"/>
            </w:tcBorders>
          </w:tcPr>
          <w:p w14:paraId="4706993D">
            <w:pPr>
              <w:rPr>
                <w:color w:val="auto"/>
                <w:lang w:eastAsia="zh-CN"/>
              </w:rPr>
            </w:pPr>
          </w:p>
        </w:tc>
        <w:tc>
          <w:tcPr>
            <w:tcW w:w="1058" w:type="dxa"/>
            <w:vMerge w:val="continue"/>
            <w:tcBorders>
              <w:top w:val="nil"/>
              <w:bottom w:val="nil"/>
            </w:tcBorders>
          </w:tcPr>
          <w:p w14:paraId="514CDE4F">
            <w:pPr>
              <w:rPr>
                <w:color w:val="auto"/>
                <w:lang w:eastAsia="zh-CN"/>
              </w:rPr>
            </w:pPr>
          </w:p>
        </w:tc>
        <w:tc>
          <w:tcPr>
            <w:tcW w:w="2337" w:type="dxa"/>
          </w:tcPr>
          <w:p w14:paraId="5E73232C">
            <w:pPr>
              <w:pStyle w:val="21"/>
              <w:spacing w:before="157" w:line="295" w:lineRule="auto"/>
              <w:ind w:left="750" w:right="115" w:hanging="628"/>
              <w:rPr>
                <w:color w:val="auto"/>
                <w:lang w:eastAsia="zh-CN"/>
              </w:rPr>
            </w:pPr>
            <w:r>
              <w:rPr>
                <w:color w:val="auto"/>
                <w:spacing w:val="-2"/>
                <w:lang w:eastAsia="zh-CN"/>
              </w:rPr>
              <w:t>投标材料技术服务和质保期服务</w:t>
            </w:r>
          </w:p>
        </w:tc>
        <w:tc>
          <w:tcPr>
            <w:tcW w:w="4790" w:type="dxa"/>
          </w:tcPr>
          <w:p w14:paraId="3B8B0872">
            <w:pPr>
              <w:spacing w:line="297" w:lineRule="auto"/>
              <w:rPr>
                <w:color w:val="auto"/>
                <w:lang w:eastAsia="zh-CN"/>
              </w:rPr>
            </w:pPr>
          </w:p>
          <w:p w14:paraId="63FE4B33">
            <w:pPr>
              <w:pStyle w:val="21"/>
              <w:spacing w:before="69" w:line="220" w:lineRule="auto"/>
              <w:ind w:left="112"/>
              <w:rPr>
                <w:color w:val="auto"/>
                <w:lang w:eastAsia="zh-CN"/>
              </w:rPr>
            </w:pPr>
            <w:r>
              <w:rPr>
                <w:color w:val="auto"/>
                <w:spacing w:val="-2"/>
                <w:lang w:eastAsia="zh-CN"/>
              </w:rPr>
              <w:t>符合第五章“供货要求”中的实质性要求和条件</w:t>
            </w:r>
          </w:p>
        </w:tc>
      </w:tr>
      <w:tr w14:paraId="73AAF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45" w:type="dxa"/>
            <w:vMerge w:val="continue"/>
            <w:tcBorders>
              <w:top w:val="nil"/>
              <w:bottom w:val="nil"/>
            </w:tcBorders>
          </w:tcPr>
          <w:p w14:paraId="454C4358">
            <w:pPr>
              <w:rPr>
                <w:color w:val="auto"/>
                <w:lang w:eastAsia="zh-CN"/>
              </w:rPr>
            </w:pPr>
          </w:p>
        </w:tc>
        <w:tc>
          <w:tcPr>
            <w:tcW w:w="1058" w:type="dxa"/>
            <w:vMerge w:val="continue"/>
            <w:tcBorders>
              <w:top w:val="nil"/>
              <w:bottom w:val="nil"/>
            </w:tcBorders>
          </w:tcPr>
          <w:p w14:paraId="58ECEE57">
            <w:pPr>
              <w:rPr>
                <w:color w:val="auto"/>
                <w:lang w:eastAsia="zh-CN"/>
              </w:rPr>
            </w:pPr>
          </w:p>
        </w:tc>
        <w:tc>
          <w:tcPr>
            <w:tcW w:w="2337" w:type="dxa"/>
          </w:tcPr>
          <w:p w14:paraId="31A31640">
            <w:pPr>
              <w:pStyle w:val="21"/>
              <w:spacing w:before="176" w:line="220" w:lineRule="auto"/>
              <w:ind w:left="541"/>
              <w:rPr>
                <w:color w:val="auto"/>
              </w:rPr>
            </w:pPr>
            <w:r>
              <w:rPr>
                <w:color w:val="auto"/>
                <w:spacing w:val="-2"/>
              </w:rPr>
              <w:t>技术支持资料</w:t>
            </w:r>
          </w:p>
        </w:tc>
        <w:tc>
          <w:tcPr>
            <w:tcW w:w="4790" w:type="dxa"/>
          </w:tcPr>
          <w:p w14:paraId="2AEFCD92">
            <w:pPr>
              <w:pStyle w:val="21"/>
              <w:spacing w:before="176" w:line="220" w:lineRule="auto"/>
              <w:ind w:left="112"/>
              <w:rPr>
                <w:color w:val="auto"/>
                <w:lang w:eastAsia="zh-CN"/>
              </w:rPr>
            </w:pPr>
            <w:r>
              <w:rPr>
                <w:color w:val="auto"/>
                <w:spacing w:val="-4"/>
                <w:lang w:eastAsia="zh-CN"/>
              </w:rPr>
              <w:t>符合第二章“投标人须知”第1.11.3项规定</w:t>
            </w:r>
          </w:p>
        </w:tc>
      </w:tr>
      <w:tr w14:paraId="34B05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745" w:type="dxa"/>
            <w:vMerge w:val="continue"/>
            <w:tcBorders>
              <w:top w:val="nil"/>
            </w:tcBorders>
          </w:tcPr>
          <w:p w14:paraId="3C3EBFCB">
            <w:pPr>
              <w:rPr>
                <w:color w:val="auto"/>
                <w:lang w:eastAsia="zh-CN"/>
              </w:rPr>
            </w:pPr>
          </w:p>
        </w:tc>
        <w:tc>
          <w:tcPr>
            <w:tcW w:w="1058" w:type="dxa"/>
            <w:vMerge w:val="continue"/>
            <w:tcBorders>
              <w:top w:val="nil"/>
            </w:tcBorders>
          </w:tcPr>
          <w:p w14:paraId="379F0C49">
            <w:pPr>
              <w:rPr>
                <w:color w:val="auto"/>
                <w:lang w:eastAsia="zh-CN"/>
              </w:rPr>
            </w:pPr>
          </w:p>
        </w:tc>
        <w:tc>
          <w:tcPr>
            <w:tcW w:w="2337" w:type="dxa"/>
          </w:tcPr>
          <w:p w14:paraId="489EB110">
            <w:pPr>
              <w:pStyle w:val="21"/>
              <w:spacing w:before="176" w:line="220" w:lineRule="auto"/>
              <w:ind w:left="541"/>
              <w:rPr>
                <w:color w:val="auto"/>
              </w:rPr>
            </w:pPr>
            <w:r>
              <w:rPr>
                <w:color w:val="auto"/>
                <w:spacing w:val="-2"/>
              </w:rPr>
              <w:t>算术错误修正</w:t>
            </w:r>
          </w:p>
        </w:tc>
        <w:tc>
          <w:tcPr>
            <w:tcW w:w="4790" w:type="dxa"/>
          </w:tcPr>
          <w:p w14:paraId="2366922D">
            <w:pPr>
              <w:pStyle w:val="21"/>
              <w:spacing w:before="176" w:line="219" w:lineRule="auto"/>
              <w:ind w:left="113"/>
              <w:rPr>
                <w:color w:val="auto"/>
                <w:lang w:eastAsia="zh-CN"/>
              </w:rPr>
            </w:pPr>
            <w:r>
              <w:rPr>
                <w:color w:val="auto"/>
                <w:spacing w:val="-1"/>
                <w:lang w:eastAsia="zh-CN"/>
              </w:rPr>
              <w:t>投标人接受算术错误修正后的报价</w:t>
            </w:r>
          </w:p>
        </w:tc>
      </w:tr>
    </w:tbl>
    <w:p w14:paraId="428E7312">
      <w:pPr>
        <w:rPr>
          <w:color w:val="auto"/>
          <w:lang w:eastAsia="zh-CN"/>
        </w:rPr>
        <w:sectPr>
          <w:headerReference r:id="rId54" w:type="default"/>
          <w:footerReference r:id="rId55" w:type="default"/>
          <w:pgSz w:w="11906" w:h="16839"/>
          <w:pgMar w:top="1134" w:right="1803" w:bottom="1134" w:left="1803" w:header="0" w:footer="793" w:gutter="0"/>
          <w:cols w:space="720" w:num="1"/>
        </w:sectPr>
      </w:pPr>
    </w:p>
    <w:p w14:paraId="15126693">
      <w:pPr>
        <w:spacing w:before="18"/>
        <w:rPr>
          <w:color w:val="auto"/>
          <w:lang w:eastAsia="zh-CN"/>
        </w:rPr>
      </w:pPr>
    </w:p>
    <w:tbl>
      <w:tblPr>
        <w:tblStyle w:val="20"/>
        <w:tblW w:w="92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5"/>
        <w:gridCol w:w="745"/>
        <w:gridCol w:w="743"/>
        <w:gridCol w:w="315"/>
        <w:gridCol w:w="195"/>
        <w:gridCol w:w="2142"/>
        <w:gridCol w:w="16"/>
        <w:gridCol w:w="4459"/>
        <w:gridCol w:w="315"/>
      </w:tblGrid>
      <w:tr w14:paraId="19C78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Before w:val="1"/>
          <w:wBefore w:w="315" w:type="dxa"/>
          <w:trHeight w:val="459" w:hRule="atLeast"/>
          <w:jc w:val="center"/>
        </w:trPr>
        <w:tc>
          <w:tcPr>
            <w:tcW w:w="745" w:type="dxa"/>
            <w:vMerge w:val="restart"/>
            <w:tcBorders>
              <w:bottom w:val="nil"/>
            </w:tcBorders>
          </w:tcPr>
          <w:p w14:paraId="35D59299">
            <w:pPr>
              <w:rPr>
                <w:color w:val="auto"/>
                <w:lang w:eastAsia="zh-CN"/>
              </w:rPr>
            </w:pPr>
          </w:p>
        </w:tc>
        <w:tc>
          <w:tcPr>
            <w:tcW w:w="1058" w:type="dxa"/>
            <w:gridSpan w:val="2"/>
            <w:vMerge w:val="restart"/>
            <w:tcBorders>
              <w:bottom w:val="nil"/>
            </w:tcBorders>
          </w:tcPr>
          <w:p w14:paraId="69A9B9A8">
            <w:pPr>
              <w:rPr>
                <w:color w:val="auto"/>
                <w:lang w:eastAsia="zh-CN"/>
              </w:rPr>
            </w:pPr>
          </w:p>
        </w:tc>
        <w:tc>
          <w:tcPr>
            <w:tcW w:w="2337" w:type="dxa"/>
            <w:gridSpan w:val="2"/>
          </w:tcPr>
          <w:p w14:paraId="4EDA275F">
            <w:pPr>
              <w:pStyle w:val="21"/>
              <w:spacing w:before="151" w:line="298" w:lineRule="auto"/>
              <w:ind w:left="113" w:right="27" w:firstLine="20"/>
              <w:jc w:val="center"/>
              <w:rPr>
                <w:color w:val="auto"/>
                <w:spacing w:val="-4"/>
              </w:rPr>
            </w:pPr>
            <w:r>
              <w:rPr>
                <w:color w:val="auto"/>
                <w:spacing w:val="-4"/>
              </w:rPr>
              <w:t>投标价格</w:t>
            </w:r>
          </w:p>
        </w:tc>
        <w:tc>
          <w:tcPr>
            <w:tcW w:w="4790" w:type="dxa"/>
            <w:gridSpan w:val="3"/>
          </w:tcPr>
          <w:p w14:paraId="4E185373">
            <w:pPr>
              <w:pStyle w:val="21"/>
              <w:spacing w:before="151" w:line="298" w:lineRule="auto"/>
              <w:ind w:left="113" w:right="27" w:firstLine="20"/>
              <w:rPr>
                <w:color w:val="auto"/>
                <w:spacing w:val="-4"/>
                <w:lang w:eastAsia="zh-CN"/>
              </w:rPr>
            </w:pPr>
            <w:r>
              <w:rPr>
                <w:color w:val="auto"/>
                <w:spacing w:val="-4"/>
                <w:lang w:eastAsia="zh-CN"/>
              </w:rPr>
              <w:t>投标报价（含修正后）不大于本标段最高投标限价</w:t>
            </w:r>
          </w:p>
        </w:tc>
      </w:tr>
      <w:tr w14:paraId="67FE9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15" w:type="dxa"/>
          <w:trHeight w:val="839" w:hRule="atLeast"/>
          <w:jc w:val="center"/>
        </w:trPr>
        <w:tc>
          <w:tcPr>
            <w:tcW w:w="745" w:type="dxa"/>
            <w:vMerge w:val="continue"/>
            <w:tcBorders>
              <w:top w:val="nil"/>
            </w:tcBorders>
          </w:tcPr>
          <w:p w14:paraId="51D5FF8F">
            <w:pPr>
              <w:rPr>
                <w:color w:val="auto"/>
                <w:lang w:eastAsia="zh-CN"/>
              </w:rPr>
            </w:pPr>
          </w:p>
        </w:tc>
        <w:tc>
          <w:tcPr>
            <w:tcW w:w="1058" w:type="dxa"/>
            <w:gridSpan w:val="2"/>
            <w:vMerge w:val="continue"/>
            <w:tcBorders>
              <w:top w:val="nil"/>
            </w:tcBorders>
          </w:tcPr>
          <w:p w14:paraId="11F7DF15">
            <w:pPr>
              <w:rPr>
                <w:color w:val="auto"/>
                <w:lang w:eastAsia="zh-CN"/>
              </w:rPr>
            </w:pPr>
          </w:p>
        </w:tc>
        <w:tc>
          <w:tcPr>
            <w:tcW w:w="2337" w:type="dxa"/>
            <w:gridSpan w:val="2"/>
          </w:tcPr>
          <w:p w14:paraId="6E4DE14E">
            <w:pPr>
              <w:spacing w:line="290" w:lineRule="auto"/>
              <w:rPr>
                <w:color w:val="auto"/>
                <w:lang w:eastAsia="zh-CN"/>
              </w:rPr>
            </w:pPr>
          </w:p>
          <w:p w14:paraId="69EFACC4">
            <w:pPr>
              <w:pStyle w:val="21"/>
              <w:spacing w:before="68" w:line="219" w:lineRule="auto"/>
              <w:ind w:left="751"/>
              <w:rPr>
                <w:color w:val="auto"/>
              </w:rPr>
            </w:pPr>
            <w:r>
              <w:rPr>
                <w:color w:val="auto"/>
                <w:spacing w:val="-2"/>
              </w:rPr>
              <w:t>价格清单</w:t>
            </w:r>
          </w:p>
        </w:tc>
        <w:tc>
          <w:tcPr>
            <w:tcW w:w="4790" w:type="dxa"/>
            <w:gridSpan w:val="3"/>
          </w:tcPr>
          <w:p w14:paraId="270D1446">
            <w:pPr>
              <w:pStyle w:val="21"/>
              <w:spacing w:before="151" w:line="298" w:lineRule="auto"/>
              <w:ind w:left="113" w:right="27" w:firstLine="20"/>
              <w:rPr>
                <w:color w:val="auto"/>
                <w:lang w:eastAsia="zh-CN"/>
              </w:rPr>
            </w:pPr>
            <w:r>
              <w:rPr>
                <w:color w:val="auto"/>
                <w:spacing w:val="-11"/>
                <w:lang w:eastAsia="zh-CN"/>
              </w:rPr>
              <w:t>已标价价格清单符合第六章“投标文件格式”“五、</w:t>
            </w:r>
            <w:r>
              <w:rPr>
                <w:color w:val="auto"/>
                <w:spacing w:val="-4"/>
                <w:lang w:eastAsia="zh-CN"/>
              </w:rPr>
              <w:t>分项报价表”的有关要求</w:t>
            </w:r>
          </w:p>
        </w:tc>
      </w:tr>
      <w:tr w14:paraId="16D76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15" w:type="dxa"/>
          <w:trHeight w:val="1259" w:hRule="atLeast"/>
          <w:jc w:val="center"/>
        </w:trPr>
        <w:tc>
          <w:tcPr>
            <w:tcW w:w="1803" w:type="dxa"/>
            <w:gridSpan w:val="3"/>
          </w:tcPr>
          <w:p w14:paraId="5BF6FA10">
            <w:pPr>
              <w:spacing w:line="273" w:lineRule="auto"/>
              <w:rPr>
                <w:color w:val="auto"/>
                <w:lang w:eastAsia="zh-CN"/>
              </w:rPr>
            </w:pPr>
          </w:p>
          <w:p w14:paraId="688B77C4">
            <w:pPr>
              <w:spacing w:line="273" w:lineRule="auto"/>
              <w:rPr>
                <w:color w:val="auto"/>
                <w:lang w:eastAsia="zh-CN"/>
              </w:rPr>
            </w:pPr>
          </w:p>
          <w:p w14:paraId="3CE47CFA">
            <w:pPr>
              <w:spacing w:before="60" w:line="186" w:lineRule="auto"/>
              <w:ind w:left="693"/>
              <w:rPr>
                <w:rFonts w:ascii="Times New Roman" w:hAnsi="Times New Roman" w:eastAsia="Times New Roman" w:cs="Times New Roman"/>
                <w:color w:val="auto"/>
              </w:rPr>
            </w:pPr>
            <w:r>
              <w:rPr>
                <w:rFonts w:ascii="Times New Roman" w:hAnsi="Times New Roman" w:eastAsia="Times New Roman" w:cs="Times New Roman"/>
                <w:color w:val="auto"/>
                <w:spacing w:val="-2"/>
              </w:rPr>
              <w:t>3.1.2</w:t>
            </w:r>
          </w:p>
        </w:tc>
        <w:tc>
          <w:tcPr>
            <w:tcW w:w="7127" w:type="dxa"/>
            <w:gridSpan w:val="5"/>
          </w:tcPr>
          <w:p w14:paraId="61835B78">
            <w:pPr>
              <w:pStyle w:val="21"/>
              <w:spacing w:before="151" w:line="220" w:lineRule="auto"/>
              <w:ind w:left="110"/>
              <w:rPr>
                <w:color w:val="auto"/>
                <w:lang w:eastAsia="zh-CN"/>
              </w:rPr>
            </w:pPr>
            <w:r>
              <w:rPr>
                <w:color w:val="auto"/>
                <w:spacing w:val="-5"/>
                <w:lang w:eastAsia="zh-CN"/>
              </w:rPr>
              <w:t>投标人不得存在的其他情形：</w:t>
            </w:r>
          </w:p>
          <w:p w14:paraId="32C80459">
            <w:pPr>
              <w:pStyle w:val="21"/>
              <w:spacing w:before="168" w:line="220" w:lineRule="auto"/>
              <w:ind w:left="113"/>
              <w:rPr>
                <w:color w:val="auto"/>
                <w:lang w:eastAsia="zh-CN"/>
              </w:rPr>
            </w:pPr>
            <w:r>
              <w:rPr>
                <w:color w:val="auto"/>
                <w:spacing w:val="-3"/>
                <w:lang w:eastAsia="zh-CN"/>
              </w:rPr>
              <w:t>（1）不按评标委员会要求澄清、说明或补正；</w:t>
            </w:r>
          </w:p>
          <w:p w14:paraId="549119B5">
            <w:pPr>
              <w:pStyle w:val="21"/>
              <w:spacing w:before="169" w:line="220" w:lineRule="auto"/>
              <w:ind w:left="113"/>
              <w:rPr>
                <w:color w:val="auto"/>
                <w:lang w:eastAsia="zh-CN"/>
              </w:rPr>
            </w:pPr>
            <w:r>
              <w:rPr>
                <w:color w:val="auto"/>
                <w:spacing w:val="-2"/>
                <w:lang w:eastAsia="zh-CN"/>
              </w:rPr>
              <w:t>（2）有串通投标、弄虚作假、行贿或有其他违法行为。</w:t>
            </w:r>
          </w:p>
        </w:tc>
      </w:tr>
      <w:tr w14:paraId="58BD9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15" w:type="dxa"/>
          <w:trHeight w:val="2518" w:hRule="atLeast"/>
          <w:jc w:val="center"/>
        </w:trPr>
        <w:tc>
          <w:tcPr>
            <w:tcW w:w="1803" w:type="dxa"/>
            <w:gridSpan w:val="3"/>
          </w:tcPr>
          <w:p w14:paraId="1E80C0EC">
            <w:pPr>
              <w:spacing w:line="293" w:lineRule="auto"/>
              <w:rPr>
                <w:color w:val="auto"/>
                <w:lang w:eastAsia="zh-CN"/>
              </w:rPr>
            </w:pPr>
          </w:p>
          <w:p w14:paraId="06BCC53C">
            <w:pPr>
              <w:spacing w:line="293" w:lineRule="auto"/>
              <w:rPr>
                <w:color w:val="auto"/>
                <w:lang w:eastAsia="zh-CN"/>
              </w:rPr>
            </w:pPr>
          </w:p>
          <w:p w14:paraId="0F6D7CBA">
            <w:pPr>
              <w:spacing w:line="293" w:lineRule="auto"/>
              <w:rPr>
                <w:color w:val="auto"/>
                <w:lang w:eastAsia="zh-CN"/>
              </w:rPr>
            </w:pPr>
          </w:p>
          <w:p w14:paraId="65EE291A">
            <w:pPr>
              <w:spacing w:line="294" w:lineRule="auto"/>
              <w:rPr>
                <w:color w:val="auto"/>
                <w:lang w:eastAsia="zh-CN"/>
              </w:rPr>
            </w:pPr>
          </w:p>
          <w:p w14:paraId="01AC6276">
            <w:pPr>
              <w:spacing w:before="60" w:line="186" w:lineRule="auto"/>
              <w:ind w:left="693"/>
              <w:rPr>
                <w:rFonts w:ascii="Times New Roman" w:hAnsi="Times New Roman" w:eastAsia="Times New Roman" w:cs="Times New Roman"/>
                <w:color w:val="auto"/>
              </w:rPr>
            </w:pPr>
            <w:r>
              <w:rPr>
                <w:rFonts w:ascii="Times New Roman" w:hAnsi="Times New Roman" w:eastAsia="Times New Roman" w:cs="Times New Roman"/>
                <w:color w:val="auto"/>
                <w:spacing w:val="-2"/>
              </w:rPr>
              <w:t>3.1.4</w:t>
            </w:r>
          </w:p>
        </w:tc>
        <w:tc>
          <w:tcPr>
            <w:tcW w:w="7127" w:type="dxa"/>
            <w:gridSpan w:val="5"/>
          </w:tcPr>
          <w:p w14:paraId="78915D78">
            <w:pPr>
              <w:pStyle w:val="21"/>
              <w:spacing w:before="152" w:line="220" w:lineRule="auto"/>
              <w:ind w:left="107"/>
              <w:rPr>
                <w:color w:val="auto"/>
                <w:lang w:eastAsia="zh-CN"/>
              </w:rPr>
            </w:pPr>
            <w:r>
              <w:rPr>
                <w:color w:val="auto"/>
                <w:spacing w:val="-7"/>
                <w:lang w:eastAsia="zh-CN"/>
              </w:rPr>
              <w:t>低于成本评审：</w:t>
            </w:r>
          </w:p>
          <w:p w14:paraId="0A5A36EC">
            <w:pPr>
              <w:pStyle w:val="21"/>
              <w:spacing w:before="170" w:line="369" w:lineRule="auto"/>
              <w:ind w:left="110" w:right="101" w:firstLine="416"/>
              <w:rPr>
                <w:color w:val="auto"/>
                <w:lang w:eastAsia="zh-CN"/>
              </w:rPr>
            </w:pPr>
            <w:r>
              <w:rPr>
                <w:color w:val="auto"/>
                <w:spacing w:val="-1"/>
                <w:lang w:eastAsia="zh-CN"/>
              </w:rPr>
              <w:t>评标委员会发现投标人的报价明显低于其他投标报价，或者在设有最高</w:t>
            </w:r>
            <w:r>
              <w:rPr>
                <w:color w:val="auto"/>
                <w:lang w:eastAsia="zh-CN"/>
              </w:rPr>
              <w:t>投标限价时明显低于最高投标限价，使得其投</w:t>
            </w:r>
            <w:r>
              <w:rPr>
                <w:color w:val="auto"/>
                <w:spacing w:val="-1"/>
                <w:lang w:eastAsia="zh-CN"/>
              </w:rPr>
              <w:t>标报价可能低于其个别成本</w:t>
            </w:r>
          </w:p>
          <w:p w14:paraId="32E06516">
            <w:pPr>
              <w:pStyle w:val="21"/>
              <w:spacing w:before="3" w:line="320" w:lineRule="auto"/>
              <w:ind w:left="109" w:right="101" w:firstLine="16"/>
              <w:rPr>
                <w:color w:val="auto"/>
                <w:lang w:eastAsia="zh-CN"/>
              </w:rPr>
            </w:pPr>
            <w:r>
              <w:rPr>
                <w:color w:val="auto"/>
                <w:spacing w:val="-1"/>
                <w:lang w:eastAsia="zh-CN"/>
              </w:rPr>
              <w:t>的，应当要求该投标人作出书面说明并提供相应的证明</w:t>
            </w:r>
            <w:r>
              <w:rPr>
                <w:color w:val="auto"/>
                <w:spacing w:val="-2"/>
                <w:lang w:eastAsia="zh-CN"/>
              </w:rPr>
              <w:t>材料。投标人不能合</w:t>
            </w:r>
            <w:r>
              <w:rPr>
                <w:color w:val="auto"/>
                <w:spacing w:val="-1"/>
                <w:lang w:eastAsia="zh-CN"/>
              </w:rPr>
              <w:t>理说明或者不能提供相应证明材料的，由评标委员会认定该投标人以低于成</w:t>
            </w:r>
            <w:r>
              <w:rPr>
                <w:color w:val="auto"/>
                <w:spacing w:val="-3"/>
                <w:lang w:eastAsia="zh-CN"/>
              </w:rPr>
              <w:t>本报价竞标，否决其投标。</w:t>
            </w:r>
          </w:p>
        </w:tc>
      </w:tr>
      <w:tr w14:paraId="27FA4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15" w:type="dxa"/>
          <w:trHeight w:val="949" w:hRule="atLeast"/>
          <w:jc w:val="center"/>
        </w:trPr>
        <w:tc>
          <w:tcPr>
            <w:tcW w:w="1803" w:type="dxa"/>
            <w:gridSpan w:val="3"/>
          </w:tcPr>
          <w:p w14:paraId="1191B632">
            <w:pPr>
              <w:spacing w:line="395" w:lineRule="auto"/>
              <w:rPr>
                <w:color w:val="auto"/>
                <w:lang w:eastAsia="zh-CN"/>
              </w:rPr>
            </w:pPr>
          </w:p>
          <w:p w14:paraId="14187091">
            <w:pPr>
              <w:spacing w:before="60" w:line="186" w:lineRule="auto"/>
              <w:ind w:left="693"/>
              <w:rPr>
                <w:rFonts w:ascii="Times New Roman" w:hAnsi="Times New Roman" w:eastAsia="Times New Roman" w:cs="Times New Roman"/>
                <w:color w:val="auto"/>
              </w:rPr>
            </w:pPr>
            <w:r>
              <w:rPr>
                <w:rFonts w:ascii="Times New Roman" w:hAnsi="Times New Roman" w:eastAsia="Times New Roman" w:cs="Times New Roman"/>
                <w:color w:val="auto"/>
                <w:spacing w:val="-2"/>
              </w:rPr>
              <w:t>3.2.1</w:t>
            </w:r>
          </w:p>
        </w:tc>
        <w:tc>
          <w:tcPr>
            <w:tcW w:w="7127" w:type="dxa"/>
            <w:gridSpan w:val="5"/>
          </w:tcPr>
          <w:p w14:paraId="0C510E89">
            <w:pPr>
              <w:spacing w:line="348" w:lineRule="auto"/>
              <w:rPr>
                <w:color w:val="auto"/>
                <w:lang w:eastAsia="zh-CN"/>
              </w:rPr>
            </w:pPr>
          </w:p>
          <w:p w14:paraId="6D5F6000">
            <w:pPr>
              <w:pStyle w:val="21"/>
              <w:spacing w:before="68" w:line="220" w:lineRule="auto"/>
              <w:ind w:left="113"/>
              <w:rPr>
                <w:color w:val="auto"/>
                <w:lang w:eastAsia="zh-CN"/>
              </w:rPr>
            </w:pPr>
            <w:r>
              <w:rPr>
                <w:color w:val="auto"/>
                <w:spacing w:val="-3"/>
                <w:lang w:eastAsia="zh-CN"/>
              </w:rPr>
              <w:t>（1）是否采用入围：否</w:t>
            </w:r>
          </w:p>
        </w:tc>
      </w:tr>
      <w:tr w14:paraId="505D4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15" w:type="dxa"/>
          <w:trHeight w:val="3266" w:hRule="atLeast"/>
          <w:jc w:val="center"/>
        </w:trPr>
        <w:tc>
          <w:tcPr>
            <w:tcW w:w="1803" w:type="dxa"/>
            <w:gridSpan w:val="3"/>
          </w:tcPr>
          <w:p w14:paraId="75CCCE77">
            <w:pPr>
              <w:spacing w:line="258" w:lineRule="auto"/>
              <w:rPr>
                <w:color w:val="auto"/>
                <w:lang w:eastAsia="zh-CN"/>
              </w:rPr>
            </w:pPr>
          </w:p>
          <w:p w14:paraId="37DD80C3">
            <w:pPr>
              <w:spacing w:line="258" w:lineRule="auto"/>
              <w:rPr>
                <w:color w:val="auto"/>
                <w:lang w:eastAsia="zh-CN"/>
              </w:rPr>
            </w:pPr>
          </w:p>
          <w:p w14:paraId="172222C0">
            <w:pPr>
              <w:spacing w:line="258" w:lineRule="auto"/>
              <w:rPr>
                <w:color w:val="auto"/>
                <w:lang w:eastAsia="zh-CN"/>
              </w:rPr>
            </w:pPr>
          </w:p>
          <w:p w14:paraId="587533B0">
            <w:pPr>
              <w:spacing w:line="258" w:lineRule="auto"/>
              <w:rPr>
                <w:color w:val="auto"/>
                <w:lang w:eastAsia="zh-CN"/>
              </w:rPr>
            </w:pPr>
          </w:p>
          <w:p w14:paraId="5E30DE7A">
            <w:pPr>
              <w:spacing w:line="258" w:lineRule="auto"/>
              <w:rPr>
                <w:color w:val="auto"/>
                <w:lang w:eastAsia="zh-CN"/>
              </w:rPr>
            </w:pPr>
          </w:p>
          <w:p w14:paraId="2089370B">
            <w:pPr>
              <w:spacing w:line="258" w:lineRule="auto"/>
              <w:rPr>
                <w:color w:val="auto"/>
                <w:lang w:eastAsia="zh-CN"/>
              </w:rPr>
            </w:pPr>
          </w:p>
          <w:p w14:paraId="2937C0A4">
            <w:pPr>
              <w:spacing w:before="60" w:line="186" w:lineRule="auto"/>
              <w:ind w:left="772"/>
              <w:rPr>
                <w:rFonts w:ascii="Times New Roman" w:hAnsi="Times New Roman" w:eastAsia="Times New Roman" w:cs="Times New Roman"/>
                <w:color w:val="auto"/>
              </w:rPr>
            </w:pPr>
            <w:r>
              <w:rPr>
                <w:rFonts w:ascii="Times New Roman" w:hAnsi="Times New Roman" w:eastAsia="Times New Roman" w:cs="Times New Roman"/>
                <w:color w:val="auto"/>
                <w:spacing w:val="-2"/>
              </w:rPr>
              <w:t>3.3</w:t>
            </w:r>
          </w:p>
        </w:tc>
        <w:tc>
          <w:tcPr>
            <w:tcW w:w="7127" w:type="dxa"/>
            <w:gridSpan w:val="5"/>
          </w:tcPr>
          <w:p w14:paraId="37634013">
            <w:pPr>
              <w:pStyle w:val="21"/>
              <w:spacing w:before="33" w:line="359" w:lineRule="auto"/>
              <w:ind w:left="109" w:right="101" w:firstLine="417"/>
              <w:rPr>
                <w:color w:val="auto"/>
                <w:lang w:eastAsia="zh-CN"/>
              </w:rPr>
            </w:pPr>
            <w:r>
              <w:rPr>
                <w:color w:val="auto"/>
                <w:spacing w:val="-1"/>
                <w:lang w:eastAsia="zh-CN"/>
              </w:rPr>
              <w:t>评标委员会在评标过程中，如要求投标人澄清或说明的，评标委员会要</w:t>
            </w:r>
            <w:r>
              <w:rPr>
                <w:color w:val="auto"/>
                <w:lang w:eastAsia="zh-CN"/>
              </w:rPr>
              <w:t>求投标人在线澄清或说明的时间距投标人收到评</w:t>
            </w:r>
            <w:r>
              <w:rPr>
                <w:color w:val="auto"/>
                <w:spacing w:val="-1"/>
                <w:lang w:eastAsia="zh-CN"/>
              </w:rPr>
              <w:t>标委员会通知的时间不得</w:t>
            </w:r>
          </w:p>
          <w:p w14:paraId="0C241A68">
            <w:pPr>
              <w:pStyle w:val="21"/>
              <w:spacing w:before="1" w:line="220" w:lineRule="auto"/>
              <w:ind w:left="109"/>
              <w:rPr>
                <w:color w:val="auto"/>
                <w:lang w:eastAsia="zh-CN"/>
              </w:rPr>
            </w:pPr>
            <w:r>
              <w:rPr>
                <w:color w:val="auto"/>
                <w:spacing w:val="-7"/>
                <w:lang w:eastAsia="zh-CN"/>
              </w:rPr>
              <w:t>少于</w:t>
            </w:r>
            <w:r>
              <w:rPr>
                <w:color w:val="auto"/>
                <w:spacing w:val="-7"/>
                <w:u w:val="single"/>
                <w:lang w:eastAsia="zh-CN"/>
              </w:rPr>
              <w:t>30</w:t>
            </w:r>
            <w:r>
              <w:rPr>
                <w:color w:val="auto"/>
                <w:spacing w:val="-7"/>
                <w:lang w:eastAsia="zh-CN"/>
              </w:rPr>
              <w:t>分钟。</w:t>
            </w:r>
          </w:p>
          <w:p w14:paraId="020F80ED">
            <w:pPr>
              <w:pStyle w:val="21"/>
              <w:spacing w:before="157" w:line="359" w:lineRule="auto"/>
              <w:ind w:left="118" w:right="101" w:firstLine="409"/>
              <w:jc w:val="both"/>
              <w:rPr>
                <w:color w:val="auto"/>
                <w:lang w:eastAsia="zh-CN"/>
              </w:rPr>
            </w:pPr>
            <w:r>
              <w:rPr>
                <w:color w:val="auto"/>
                <w:spacing w:val="-1"/>
                <w:lang w:eastAsia="zh-CN"/>
              </w:rPr>
              <w:t>评标委员会认为投标人的澄清或说明不够明确，应再次要求投标人对不明确的内容进行澄清或说明，评标委员会要求投标人再次在线澄清或说明的</w:t>
            </w:r>
            <w:r>
              <w:rPr>
                <w:color w:val="auto"/>
                <w:spacing w:val="-2"/>
                <w:lang w:eastAsia="zh-CN"/>
              </w:rPr>
              <w:t>时间距投标人收到评标委员会通知的时间不得少于</w:t>
            </w:r>
            <w:r>
              <w:rPr>
                <w:color w:val="auto"/>
                <w:spacing w:val="-3"/>
                <w:u w:val="single"/>
                <w:lang w:eastAsia="zh-CN"/>
              </w:rPr>
              <w:t>30</w:t>
            </w:r>
            <w:r>
              <w:rPr>
                <w:color w:val="auto"/>
                <w:spacing w:val="-3"/>
                <w:lang w:eastAsia="zh-CN"/>
              </w:rPr>
              <w:t>分钟。</w:t>
            </w:r>
          </w:p>
          <w:p w14:paraId="52D344BD">
            <w:pPr>
              <w:pStyle w:val="21"/>
              <w:spacing w:line="339" w:lineRule="auto"/>
              <w:ind w:left="110" w:right="101" w:firstLine="420"/>
              <w:rPr>
                <w:color w:val="auto"/>
                <w:lang w:eastAsia="zh-CN"/>
              </w:rPr>
            </w:pPr>
            <w:r>
              <w:rPr>
                <w:color w:val="auto"/>
                <w:spacing w:val="-1"/>
                <w:lang w:eastAsia="zh-CN"/>
              </w:rPr>
              <w:t>投标人未在规定时间内作出澄清或说明的，或者评标委员会</w:t>
            </w:r>
            <w:r>
              <w:rPr>
                <w:rFonts w:hint="eastAsia"/>
                <w:color w:val="auto"/>
                <w:spacing w:val="-1"/>
                <w:lang w:eastAsia="zh-CN"/>
              </w:rPr>
              <w:t>成员</w:t>
            </w:r>
            <w:r>
              <w:rPr>
                <w:color w:val="auto"/>
                <w:spacing w:val="-1"/>
                <w:lang w:eastAsia="zh-CN"/>
              </w:rPr>
              <w:t>认为该投标人的澄清或说明始终都不符合评标委员会要求的</w:t>
            </w:r>
            <w:r>
              <w:rPr>
                <w:color w:val="auto"/>
                <w:spacing w:val="-2"/>
                <w:lang w:eastAsia="zh-CN"/>
              </w:rPr>
              <w:t>，作否决投标处理。</w:t>
            </w:r>
          </w:p>
        </w:tc>
      </w:tr>
      <w:tr w14:paraId="27766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447" w:hRule="atLeast"/>
          <w:jc w:val="center"/>
        </w:trPr>
        <w:tc>
          <w:tcPr>
            <w:tcW w:w="1803" w:type="dxa"/>
            <w:gridSpan w:val="3"/>
            <w:tcBorders>
              <w:left w:val="single" w:color="000000" w:sz="4" w:space="0"/>
            </w:tcBorders>
            <w:vAlign w:val="center"/>
          </w:tcPr>
          <w:p w14:paraId="52DAD569">
            <w:pPr>
              <w:pStyle w:val="21"/>
              <w:spacing w:before="176" w:line="219" w:lineRule="auto"/>
              <w:ind w:left="113"/>
              <w:rPr>
                <w:color w:val="auto"/>
                <w:spacing w:val="-1"/>
              </w:rPr>
            </w:pPr>
            <w:r>
              <w:rPr>
                <w:rFonts w:hint="eastAsia"/>
                <w:color w:val="auto"/>
                <w:spacing w:val="-1"/>
              </w:rPr>
              <w:t>条款号</w:t>
            </w:r>
          </w:p>
        </w:tc>
        <w:tc>
          <w:tcPr>
            <w:tcW w:w="2668" w:type="dxa"/>
            <w:gridSpan w:val="4"/>
            <w:vAlign w:val="center"/>
          </w:tcPr>
          <w:p w14:paraId="1A81F034">
            <w:pPr>
              <w:pStyle w:val="21"/>
              <w:spacing w:before="176" w:line="219" w:lineRule="auto"/>
              <w:ind w:left="113"/>
              <w:rPr>
                <w:color w:val="auto"/>
                <w:spacing w:val="-1"/>
              </w:rPr>
            </w:pPr>
            <w:r>
              <w:rPr>
                <w:rFonts w:hint="eastAsia"/>
                <w:color w:val="auto"/>
                <w:spacing w:val="-1"/>
              </w:rPr>
              <w:t>条款内容</w:t>
            </w:r>
          </w:p>
        </w:tc>
        <w:tc>
          <w:tcPr>
            <w:tcW w:w="4459" w:type="dxa"/>
            <w:tcBorders>
              <w:right w:val="single" w:color="000000" w:sz="4" w:space="0"/>
            </w:tcBorders>
            <w:vAlign w:val="center"/>
          </w:tcPr>
          <w:p w14:paraId="594E4438">
            <w:pPr>
              <w:pStyle w:val="21"/>
              <w:spacing w:before="176" w:line="219" w:lineRule="auto"/>
              <w:ind w:left="113"/>
              <w:rPr>
                <w:color w:val="auto"/>
                <w:spacing w:val="-1"/>
              </w:rPr>
            </w:pPr>
            <w:r>
              <w:rPr>
                <w:rFonts w:hint="eastAsia"/>
                <w:color w:val="auto"/>
                <w:spacing w:val="-1"/>
              </w:rPr>
              <w:t>编列内容</w:t>
            </w:r>
          </w:p>
        </w:tc>
      </w:tr>
      <w:tr w14:paraId="37306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1226" w:hRule="atLeast"/>
          <w:jc w:val="center"/>
        </w:trPr>
        <w:tc>
          <w:tcPr>
            <w:tcW w:w="1803" w:type="dxa"/>
            <w:gridSpan w:val="3"/>
            <w:tcBorders>
              <w:left w:val="single" w:color="000000" w:sz="4" w:space="0"/>
            </w:tcBorders>
            <w:vAlign w:val="center"/>
          </w:tcPr>
          <w:p w14:paraId="1BD68893">
            <w:pPr>
              <w:pStyle w:val="21"/>
              <w:spacing w:before="176" w:line="219" w:lineRule="auto"/>
              <w:ind w:left="113"/>
              <w:rPr>
                <w:color w:val="auto"/>
                <w:spacing w:val="-1"/>
              </w:rPr>
            </w:pPr>
            <w:r>
              <w:rPr>
                <w:rFonts w:hint="eastAsia"/>
                <w:color w:val="auto"/>
                <w:spacing w:val="-1"/>
              </w:rPr>
              <w:t>2.2.1</w:t>
            </w:r>
          </w:p>
        </w:tc>
        <w:tc>
          <w:tcPr>
            <w:tcW w:w="2668" w:type="dxa"/>
            <w:gridSpan w:val="4"/>
            <w:vAlign w:val="center"/>
          </w:tcPr>
          <w:p w14:paraId="395853B5">
            <w:pPr>
              <w:pStyle w:val="21"/>
              <w:spacing w:before="176" w:line="219" w:lineRule="auto"/>
              <w:ind w:left="113"/>
              <w:rPr>
                <w:color w:val="auto"/>
                <w:spacing w:val="-1"/>
              </w:rPr>
            </w:pPr>
            <w:r>
              <w:rPr>
                <w:rFonts w:hint="eastAsia"/>
                <w:color w:val="auto"/>
                <w:spacing w:val="-1"/>
              </w:rPr>
              <w:t>分值构成</w:t>
            </w:r>
          </w:p>
          <w:p w14:paraId="1CA90D62">
            <w:pPr>
              <w:pStyle w:val="21"/>
              <w:spacing w:before="176" w:line="219" w:lineRule="auto"/>
              <w:rPr>
                <w:color w:val="auto"/>
                <w:spacing w:val="-1"/>
              </w:rPr>
            </w:pPr>
            <w:r>
              <w:rPr>
                <w:rFonts w:hint="eastAsia"/>
                <w:color w:val="auto"/>
                <w:spacing w:val="-1"/>
              </w:rPr>
              <w:t>（总分 100 分）</w:t>
            </w:r>
          </w:p>
        </w:tc>
        <w:tc>
          <w:tcPr>
            <w:tcW w:w="4459" w:type="dxa"/>
            <w:tcBorders>
              <w:right w:val="single" w:color="000000" w:sz="4" w:space="0"/>
            </w:tcBorders>
            <w:vAlign w:val="center"/>
          </w:tcPr>
          <w:p w14:paraId="67E052AB">
            <w:pPr>
              <w:pStyle w:val="21"/>
              <w:spacing w:before="176" w:line="219" w:lineRule="auto"/>
              <w:ind w:left="113"/>
              <w:rPr>
                <w:color w:val="auto"/>
                <w:spacing w:val="-1"/>
                <w:lang w:eastAsia="zh-CN"/>
              </w:rPr>
            </w:pPr>
            <w:r>
              <w:rPr>
                <w:rFonts w:hint="eastAsia"/>
                <w:color w:val="auto"/>
                <w:spacing w:val="-1"/>
                <w:lang w:eastAsia="zh-CN"/>
              </w:rPr>
              <w:t>经济标： 20 分；</w:t>
            </w:r>
          </w:p>
          <w:p w14:paraId="5F7E021A">
            <w:pPr>
              <w:pStyle w:val="21"/>
              <w:spacing w:before="176" w:line="219" w:lineRule="auto"/>
              <w:ind w:left="113"/>
              <w:rPr>
                <w:color w:val="auto"/>
                <w:spacing w:val="-1"/>
                <w:lang w:eastAsia="zh-CN"/>
              </w:rPr>
            </w:pPr>
            <w:r>
              <w:rPr>
                <w:rFonts w:hint="eastAsia"/>
                <w:color w:val="auto"/>
                <w:spacing w:val="-1"/>
                <w:lang w:eastAsia="zh-CN"/>
              </w:rPr>
              <w:t>技术标： 59 分；</w:t>
            </w:r>
          </w:p>
          <w:p w14:paraId="6EC4562A">
            <w:pPr>
              <w:pStyle w:val="21"/>
              <w:spacing w:before="176" w:line="219" w:lineRule="auto"/>
              <w:ind w:left="113"/>
              <w:rPr>
                <w:color w:val="auto"/>
                <w:spacing w:val="-1"/>
              </w:rPr>
            </w:pPr>
            <w:r>
              <w:rPr>
                <w:rFonts w:hint="eastAsia"/>
                <w:color w:val="auto"/>
                <w:spacing w:val="-1"/>
              </w:rPr>
              <w:t xml:space="preserve">资信标： </w:t>
            </w:r>
            <w:r>
              <w:rPr>
                <w:rFonts w:hint="eastAsia"/>
                <w:color w:val="auto"/>
                <w:spacing w:val="-1"/>
                <w:lang w:eastAsia="zh-CN"/>
              </w:rPr>
              <w:t xml:space="preserve">21 </w:t>
            </w:r>
            <w:r>
              <w:rPr>
                <w:rFonts w:hint="eastAsia"/>
                <w:color w:val="auto"/>
                <w:spacing w:val="-1"/>
              </w:rPr>
              <w:t>分；</w:t>
            </w:r>
          </w:p>
        </w:tc>
      </w:tr>
      <w:tr w14:paraId="2301A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4232" w:hRule="atLeast"/>
          <w:jc w:val="center"/>
        </w:trPr>
        <w:tc>
          <w:tcPr>
            <w:tcW w:w="1803" w:type="dxa"/>
            <w:gridSpan w:val="3"/>
            <w:tcBorders>
              <w:left w:val="single" w:color="000000" w:sz="4" w:space="0"/>
              <w:bottom w:val="single" w:color="000000" w:sz="4" w:space="0"/>
            </w:tcBorders>
            <w:vAlign w:val="center"/>
          </w:tcPr>
          <w:p w14:paraId="78C7345E">
            <w:pPr>
              <w:pStyle w:val="21"/>
              <w:spacing w:before="176" w:line="219" w:lineRule="auto"/>
              <w:ind w:left="113"/>
              <w:rPr>
                <w:color w:val="auto"/>
                <w:spacing w:val="-1"/>
              </w:rPr>
            </w:pPr>
            <w:r>
              <w:rPr>
                <w:rFonts w:hint="eastAsia"/>
                <w:color w:val="auto"/>
                <w:spacing w:val="-1"/>
              </w:rPr>
              <w:t>2.2.2</w:t>
            </w:r>
          </w:p>
        </w:tc>
        <w:tc>
          <w:tcPr>
            <w:tcW w:w="2668" w:type="dxa"/>
            <w:gridSpan w:val="4"/>
            <w:tcBorders>
              <w:bottom w:val="single" w:color="000000" w:sz="4" w:space="0"/>
            </w:tcBorders>
            <w:vAlign w:val="center"/>
          </w:tcPr>
          <w:p w14:paraId="3A4673B4">
            <w:pPr>
              <w:pStyle w:val="21"/>
              <w:spacing w:before="176" w:line="219" w:lineRule="auto"/>
              <w:ind w:left="113"/>
              <w:rPr>
                <w:color w:val="auto"/>
                <w:spacing w:val="-1"/>
              </w:rPr>
            </w:pPr>
            <w:r>
              <w:rPr>
                <w:rFonts w:hint="eastAsia"/>
                <w:color w:val="auto"/>
                <w:spacing w:val="-1"/>
              </w:rPr>
              <w:t>评标基准价计算方法</w:t>
            </w:r>
          </w:p>
        </w:tc>
        <w:tc>
          <w:tcPr>
            <w:tcW w:w="4459" w:type="dxa"/>
            <w:tcBorders>
              <w:bottom w:val="single" w:color="000000" w:sz="4" w:space="0"/>
              <w:right w:val="single" w:color="000000" w:sz="4" w:space="0"/>
            </w:tcBorders>
            <w:vAlign w:val="center"/>
          </w:tcPr>
          <w:p w14:paraId="3328927C">
            <w:pPr>
              <w:pStyle w:val="21"/>
              <w:spacing w:before="176" w:line="219" w:lineRule="auto"/>
              <w:ind w:left="113"/>
              <w:rPr>
                <w:color w:val="auto"/>
                <w:spacing w:val="-1"/>
                <w:lang w:eastAsia="zh-CN"/>
              </w:rPr>
            </w:pPr>
            <w:r>
              <w:rPr>
                <w:rFonts w:hint="eastAsia"/>
                <w:color w:val="auto"/>
                <w:spacing w:val="-1"/>
                <w:lang w:eastAsia="zh-CN"/>
              </w:rPr>
              <w:t>评标价＝投标函大写人民币投标报价或投标人须知前附表报价说明规定的参与评审的投标报价（或经投标人书面确认的算术错误修正后的投标报价） 。说明： 除招标文件特殊规定外，有关报价入围基准值、评标基准价的计算应用的投标报价一般均指评标价。</w:t>
            </w:r>
          </w:p>
          <w:p w14:paraId="20DC371B">
            <w:pPr>
              <w:pStyle w:val="21"/>
              <w:spacing w:before="176" w:line="219" w:lineRule="auto"/>
              <w:ind w:left="113"/>
              <w:rPr>
                <w:color w:val="auto"/>
                <w:spacing w:val="-1"/>
                <w:lang w:eastAsia="zh-CN"/>
              </w:rPr>
            </w:pPr>
            <w:r>
              <w:rPr>
                <w:rFonts w:hint="eastAsia"/>
                <w:color w:val="auto"/>
                <w:spacing w:val="-1"/>
                <w:lang w:eastAsia="zh-CN"/>
              </w:rPr>
              <w:t>基准价计算方法：</w:t>
            </w:r>
          </w:p>
          <w:p w14:paraId="6CC1B650">
            <w:pPr>
              <w:pStyle w:val="21"/>
              <w:spacing w:before="176" w:line="219" w:lineRule="auto"/>
              <w:ind w:left="113"/>
              <w:rPr>
                <w:color w:val="auto"/>
                <w:spacing w:val="-1"/>
                <w:lang w:eastAsia="zh-CN"/>
              </w:rPr>
            </w:pPr>
            <w:r>
              <w:rPr>
                <w:rFonts w:hint="eastAsia"/>
                <w:color w:val="auto"/>
                <w:spacing w:val="-1"/>
                <w:lang w:eastAsia="zh-CN"/>
              </w:rPr>
              <w:t>（1）最高投标限价是否参与基准价计算：否</w:t>
            </w:r>
          </w:p>
          <w:p w14:paraId="7C23F10D">
            <w:pPr>
              <w:pStyle w:val="21"/>
              <w:spacing w:before="176" w:line="219" w:lineRule="auto"/>
              <w:ind w:left="113"/>
              <w:rPr>
                <w:color w:val="auto"/>
                <w:spacing w:val="-1"/>
                <w:lang w:eastAsia="zh-CN"/>
              </w:rPr>
            </w:pPr>
            <w:r>
              <w:rPr>
                <w:rFonts w:hint="eastAsia"/>
                <w:color w:val="auto"/>
                <w:spacing w:val="-1"/>
                <w:lang w:eastAsia="zh-CN"/>
              </w:rPr>
              <w:t>（2）参与基准价计算范围：</w:t>
            </w:r>
          </w:p>
          <w:p w14:paraId="348A0A78">
            <w:pPr>
              <w:pStyle w:val="21"/>
              <w:spacing w:before="176" w:line="219" w:lineRule="auto"/>
              <w:ind w:left="113"/>
              <w:rPr>
                <w:color w:val="auto"/>
                <w:spacing w:val="-1"/>
                <w:lang w:eastAsia="zh-CN"/>
              </w:rPr>
            </w:pPr>
            <w:r>
              <w:rPr>
                <w:rFonts w:hint="eastAsia"/>
                <w:color w:val="auto"/>
                <w:spacing w:val="-1"/>
                <w:lang w:eastAsia="zh-CN"/>
              </w:rPr>
              <w:t>通过初步评审的投标人投标报价参与基准价得分计算。</w:t>
            </w:r>
          </w:p>
          <w:p w14:paraId="2893A517">
            <w:pPr>
              <w:pStyle w:val="21"/>
              <w:spacing w:before="176" w:line="219" w:lineRule="auto"/>
              <w:ind w:left="113"/>
              <w:rPr>
                <w:color w:val="auto"/>
                <w:spacing w:val="-1"/>
                <w:lang w:eastAsia="zh-CN"/>
              </w:rPr>
            </w:pPr>
            <w:r>
              <w:rPr>
                <w:rFonts w:hint="eastAsia"/>
                <w:color w:val="auto"/>
                <w:spacing w:val="-1"/>
                <w:lang w:eastAsia="zh-CN"/>
              </w:rPr>
              <w:t>（3）基准价计算规则：</w:t>
            </w:r>
          </w:p>
          <w:p w14:paraId="5A414F84">
            <w:pPr>
              <w:pStyle w:val="21"/>
              <w:spacing w:before="176" w:line="219" w:lineRule="auto"/>
              <w:ind w:left="113"/>
              <w:rPr>
                <w:color w:val="auto"/>
                <w:spacing w:val="-1"/>
                <w:lang w:eastAsia="zh-CN"/>
              </w:rPr>
            </w:pPr>
            <w:r>
              <w:rPr>
                <w:rFonts w:hint="eastAsia"/>
                <w:color w:val="auto"/>
                <w:spacing w:val="-1"/>
                <w:lang w:eastAsia="zh-CN"/>
              </w:rPr>
              <w:t>通过初步评审的投标人超过5家（包含5家） ，去掉1个最高投标报价，1个最低投标报价；若小于5家，则不去；将其投标报价取算术平均值下浮（5）%。</w:t>
            </w:r>
          </w:p>
        </w:tc>
      </w:tr>
      <w:tr w14:paraId="2265B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1652" w:hRule="atLeast"/>
          <w:jc w:val="center"/>
        </w:trPr>
        <w:tc>
          <w:tcPr>
            <w:tcW w:w="1803" w:type="dxa"/>
            <w:gridSpan w:val="3"/>
            <w:tcBorders>
              <w:top w:val="single" w:color="000000" w:sz="4" w:space="0"/>
              <w:left w:val="single" w:color="000000" w:sz="4" w:space="0"/>
            </w:tcBorders>
            <w:vAlign w:val="center"/>
          </w:tcPr>
          <w:p w14:paraId="31F5F441">
            <w:pPr>
              <w:pStyle w:val="21"/>
              <w:spacing w:before="176" w:line="219" w:lineRule="auto"/>
              <w:ind w:left="113"/>
              <w:rPr>
                <w:color w:val="auto"/>
                <w:spacing w:val="-1"/>
              </w:rPr>
            </w:pPr>
            <w:r>
              <w:rPr>
                <w:rFonts w:hint="eastAsia"/>
                <w:color w:val="auto"/>
                <w:spacing w:val="-1"/>
              </w:rPr>
              <w:t>2.2.3</w:t>
            </w:r>
          </w:p>
        </w:tc>
        <w:tc>
          <w:tcPr>
            <w:tcW w:w="2668" w:type="dxa"/>
            <w:gridSpan w:val="4"/>
            <w:tcBorders>
              <w:top w:val="single" w:color="000000" w:sz="4" w:space="0"/>
            </w:tcBorders>
            <w:vAlign w:val="center"/>
          </w:tcPr>
          <w:p w14:paraId="2A925CE9">
            <w:pPr>
              <w:pStyle w:val="21"/>
              <w:spacing w:before="176" w:line="219" w:lineRule="auto"/>
              <w:ind w:left="113"/>
              <w:rPr>
                <w:color w:val="auto"/>
                <w:spacing w:val="-1"/>
                <w:lang w:eastAsia="zh-CN"/>
              </w:rPr>
            </w:pPr>
            <w:r>
              <w:rPr>
                <w:rFonts w:hint="eastAsia"/>
                <w:color w:val="auto"/>
                <w:spacing w:val="-1"/>
                <w:lang w:eastAsia="zh-CN"/>
              </w:rPr>
              <w:t>投标报价的偏差率计算公式</w:t>
            </w:r>
          </w:p>
        </w:tc>
        <w:tc>
          <w:tcPr>
            <w:tcW w:w="4459" w:type="dxa"/>
            <w:tcBorders>
              <w:top w:val="single" w:color="000000" w:sz="4" w:space="0"/>
              <w:right w:val="single" w:color="000000" w:sz="4" w:space="0"/>
            </w:tcBorders>
            <w:vAlign w:val="center"/>
          </w:tcPr>
          <w:p w14:paraId="3678EA8F">
            <w:pPr>
              <w:pStyle w:val="21"/>
              <w:spacing w:before="176" w:line="219" w:lineRule="auto"/>
              <w:ind w:left="113"/>
              <w:rPr>
                <w:color w:val="auto"/>
                <w:spacing w:val="-1"/>
                <w:lang w:eastAsia="zh-CN"/>
              </w:rPr>
            </w:pPr>
            <w:r>
              <w:rPr>
                <w:rFonts w:hint="eastAsia"/>
                <w:color w:val="auto"/>
                <w:spacing w:val="-1"/>
                <w:lang w:eastAsia="zh-CN"/>
              </w:rPr>
              <w:t>偏差绝对值=|投标人评标价-评标基准价|</w:t>
            </w:r>
          </w:p>
          <w:p w14:paraId="1B5C15CB">
            <w:pPr>
              <w:pStyle w:val="21"/>
              <w:spacing w:before="176" w:line="219" w:lineRule="auto"/>
              <w:ind w:left="113"/>
              <w:rPr>
                <w:color w:val="auto"/>
                <w:spacing w:val="-1"/>
                <w:lang w:eastAsia="zh-CN"/>
              </w:rPr>
            </w:pPr>
            <w:r>
              <w:rPr>
                <w:rFonts w:hint="eastAsia"/>
                <w:color w:val="auto"/>
                <w:spacing w:val="-1"/>
                <w:lang w:eastAsia="zh-CN"/>
              </w:rPr>
              <w:t>偏差率=100%×（|投标人评标价－评标基准价|）÷评标基准价</w:t>
            </w:r>
          </w:p>
          <w:p w14:paraId="58DFD102">
            <w:pPr>
              <w:pStyle w:val="21"/>
              <w:spacing w:before="176" w:line="219" w:lineRule="auto"/>
              <w:ind w:left="113"/>
              <w:rPr>
                <w:color w:val="auto"/>
                <w:spacing w:val="-1"/>
                <w:lang w:eastAsia="zh-CN"/>
              </w:rPr>
            </w:pPr>
            <w:r>
              <w:rPr>
                <w:rFonts w:hint="eastAsia"/>
                <w:color w:val="auto"/>
                <w:spacing w:val="-1"/>
                <w:lang w:eastAsia="zh-CN"/>
              </w:rPr>
              <w:t>扣分标准：每低1%扣0.1分；每高1%扣0.2分。</w:t>
            </w:r>
          </w:p>
          <w:p w14:paraId="772A3D02">
            <w:pPr>
              <w:pStyle w:val="21"/>
              <w:spacing w:before="176" w:line="219" w:lineRule="auto"/>
              <w:ind w:left="113"/>
              <w:rPr>
                <w:color w:val="auto"/>
                <w:spacing w:val="-1"/>
                <w:lang w:eastAsia="zh-CN"/>
              </w:rPr>
            </w:pPr>
            <w:r>
              <w:rPr>
                <w:rFonts w:hint="eastAsia"/>
                <w:color w:val="auto"/>
                <w:spacing w:val="-1"/>
                <w:lang w:eastAsia="zh-CN"/>
              </w:rPr>
              <w:t>注：中间值采用插入法计算，小数点后保留两位。</w:t>
            </w:r>
          </w:p>
        </w:tc>
      </w:tr>
      <w:tr w14:paraId="05EE3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872" w:hRule="atLeast"/>
          <w:jc w:val="center"/>
        </w:trPr>
        <w:tc>
          <w:tcPr>
            <w:tcW w:w="1803" w:type="dxa"/>
            <w:gridSpan w:val="3"/>
            <w:tcBorders>
              <w:left w:val="single" w:color="000000" w:sz="4" w:space="0"/>
            </w:tcBorders>
            <w:vAlign w:val="center"/>
          </w:tcPr>
          <w:p w14:paraId="6732F61B">
            <w:pPr>
              <w:pStyle w:val="21"/>
              <w:spacing w:before="176" w:line="219" w:lineRule="auto"/>
              <w:ind w:left="113"/>
              <w:rPr>
                <w:color w:val="auto"/>
                <w:spacing w:val="-1"/>
                <w:lang w:eastAsia="zh-CN"/>
              </w:rPr>
            </w:pPr>
            <w:r>
              <w:rPr>
                <w:rFonts w:hint="eastAsia"/>
                <w:color w:val="auto"/>
                <w:spacing w:val="-1"/>
              </w:rPr>
              <w:t>2.2.4</w:t>
            </w:r>
            <w:r>
              <w:rPr>
                <w:rFonts w:hint="eastAsia"/>
                <w:color w:val="auto"/>
                <w:spacing w:val="-1"/>
                <w:lang w:eastAsia="zh-CN"/>
              </w:rPr>
              <w:t>(</w:t>
            </w:r>
            <w:r>
              <w:rPr>
                <w:rFonts w:hint="eastAsia"/>
                <w:color w:val="auto"/>
                <w:spacing w:val="-1"/>
              </w:rPr>
              <w:t>1</w:t>
            </w:r>
            <w:r>
              <w:rPr>
                <w:rFonts w:hint="eastAsia"/>
                <w:color w:val="auto"/>
                <w:spacing w:val="-1"/>
                <w:lang w:eastAsia="zh-CN"/>
              </w:rPr>
              <w:t>)</w:t>
            </w:r>
          </w:p>
          <w:p w14:paraId="65AA2F64">
            <w:pPr>
              <w:pStyle w:val="21"/>
              <w:spacing w:before="176" w:line="219" w:lineRule="auto"/>
              <w:ind w:left="113"/>
              <w:rPr>
                <w:color w:val="auto"/>
                <w:spacing w:val="-1"/>
              </w:rPr>
            </w:pPr>
            <w:r>
              <w:rPr>
                <w:rFonts w:hint="eastAsia"/>
                <w:color w:val="auto"/>
                <w:spacing w:val="-1"/>
                <w:lang w:eastAsia="zh-CN"/>
              </w:rPr>
              <w:tab/>
            </w:r>
          </w:p>
        </w:tc>
        <w:tc>
          <w:tcPr>
            <w:tcW w:w="510" w:type="dxa"/>
            <w:gridSpan w:val="2"/>
            <w:vAlign w:val="center"/>
          </w:tcPr>
          <w:p w14:paraId="46509F72">
            <w:pPr>
              <w:pStyle w:val="21"/>
              <w:spacing w:before="176" w:line="219" w:lineRule="auto"/>
              <w:ind w:left="113"/>
              <w:rPr>
                <w:color w:val="auto"/>
                <w:spacing w:val="-1"/>
              </w:rPr>
            </w:pPr>
            <w:r>
              <w:rPr>
                <w:rFonts w:hint="eastAsia"/>
                <w:color w:val="auto"/>
                <w:spacing w:val="-1"/>
              </w:rPr>
              <w:t>资信业绩评分标准</w:t>
            </w:r>
          </w:p>
        </w:tc>
        <w:tc>
          <w:tcPr>
            <w:tcW w:w="2158" w:type="dxa"/>
            <w:gridSpan w:val="2"/>
            <w:vAlign w:val="center"/>
          </w:tcPr>
          <w:p w14:paraId="44E5124D">
            <w:pPr>
              <w:pStyle w:val="21"/>
              <w:spacing w:before="176" w:line="219" w:lineRule="auto"/>
              <w:ind w:left="113"/>
              <w:rPr>
                <w:color w:val="auto"/>
                <w:spacing w:val="-1"/>
              </w:rPr>
            </w:pPr>
            <w:r>
              <w:rPr>
                <w:rFonts w:hint="eastAsia"/>
                <w:color w:val="auto"/>
                <w:spacing w:val="-1"/>
              </w:rPr>
              <w:t>企业业绩（10分）</w:t>
            </w:r>
          </w:p>
        </w:tc>
        <w:tc>
          <w:tcPr>
            <w:tcW w:w="4459" w:type="dxa"/>
            <w:tcBorders>
              <w:right w:val="single" w:color="000000" w:sz="4" w:space="0"/>
            </w:tcBorders>
            <w:vAlign w:val="center"/>
          </w:tcPr>
          <w:p w14:paraId="5F4A295A">
            <w:pPr>
              <w:pStyle w:val="21"/>
              <w:spacing w:before="176" w:line="219" w:lineRule="auto"/>
              <w:ind w:left="113"/>
              <w:rPr>
                <w:color w:val="auto"/>
                <w:spacing w:val="-1"/>
                <w:lang w:eastAsia="zh-CN"/>
              </w:rPr>
            </w:pPr>
            <w:r>
              <w:rPr>
                <w:rFonts w:hint="eastAsia"/>
                <w:color w:val="auto"/>
                <w:spacing w:val="-1"/>
                <w:lang w:eastAsia="zh-CN"/>
              </w:rPr>
              <w:t>投标人/制造厂家提供2023年1月1日至今项目业绩，合同金额大于等于1000万，每提供一份得2分，最多得10分，须提供合同、竣工验收报告复印件加盖公章，不提供不得分。</w:t>
            </w:r>
          </w:p>
        </w:tc>
      </w:tr>
      <w:tr w14:paraId="3F58D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1847" w:hRule="atLeast"/>
          <w:jc w:val="center"/>
        </w:trPr>
        <w:tc>
          <w:tcPr>
            <w:tcW w:w="1803" w:type="dxa"/>
            <w:gridSpan w:val="3"/>
            <w:vMerge w:val="restart"/>
            <w:tcBorders>
              <w:left w:val="single" w:color="000000" w:sz="4" w:space="0"/>
            </w:tcBorders>
            <w:vAlign w:val="center"/>
          </w:tcPr>
          <w:p w14:paraId="580593EA">
            <w:pPr>
              <w:pStyle w:val="21"/>
              <w:spacing w:before="176" w:line="219" w:lineRule="auto"/>
              <w:ind w:left="113"/>
              <w:rPr>
                <w:color w:val="auto"/>
                <w:spacing w:val="-1"/>
                <w:lang w:eastAsia="zh-CN"/>
              </w:rPr>
            </w:pPr>
          </w:p>
        </w:tc>
        <w:tc>
          <w:tcPr>
            <w:tcW w:w="510" w:type="dxa"/>
            <w:gridSpan w:val="2"/>
            <w:vMerge w:val="restart"/>
            <w:vAlign w:val="center"/>
          </w:tcPr>
          <w:p w14:paraId="34434952">
            <w:pPr>
              <w:pStyle w:val="21"/>
              <w:spacing w:before="176" w:line="219" w:lineRule="auto"/>
              <w:ind w:left="113"/>
              <w:rPr>
                <w:color w:val="auto"/>
                <w:spacing w:val="-1"/>
                <w:lang w:eastAsia="zh-CN"/>
              </w:rPr>
            </w:pPr>
          </w:p>
        </w:tc>
        <w:tc>
          <w:tcPr>
            <w:tcW w:w="2158" w:type="dxa"/>
            <w:gridSpan w:val="2"/>
            <w:vAlign w:val="center"/>
          </w:tcPr>
          <w:p w14:paraId="115004AE">
            <w:pPr>
              <w:pStyle w:val="21"/>
              <w:spacing w:before="176" w:line="219" w:lineRule="auto"/>
              <w:ind w:left="113"/>
              <w:rPr>
                <w:color w:val="auto"/>
                <w:spacing w:val="-1"/>
              </w:rPr>
            </w:pPr>
            <w:r>
              <w:rPr>
                <w:rFonts w:hint="eastAsia"/>
                <w:color w:val="auto"/>
                <w:spacing w:val="-1"/>
              </w:rPr>
              <w:t>体系认证（3分）</w:t>
            </w:r>
          </w:p>
        </w:tc>
        <w:tc>
          <w:tcPr>
            <w:tcW w:w="4459" w:type="dxa"/>
            <w:tcBorders>
              <w:right w:val="single" w:color="000000" w:sz="4" w:space="0"/>
            </w:tcBorders>
            <w:vAlign w:val="center"/>
          </w:tcPr>
          <w:p w14:paraId="07A38D41">
            <w:pPr>
              <w:pStyle w:val="21"/>
              <w:spacing w:before="176" w:line="219" w:lineRule="auto"/>
              <w:ind w:left="113"/>
              <w:rPr>
                <w:color w:val="auto"/>
                <w:spacing w:val="-1"/>
                <w:lang w:eastAsia="zh-CN"/>
              </w:rPr>
            </w:pPr>
            <w:r>
              <w:rPr>
                <w:rFonts w:hint="eastAsia"/>
                <w:color w:val="auto"/>
                <w:spacing w:val="-1"/>
                <w:lang w:eastAsia="zh-CN"/>
              </w:rPr>
              <w:t>投标人所投品牌电梯制造商具有 ISO14001 环境管理体系认证、ISO45001 职业健康安全证书、ISO9001 质量管理体系认证，证书处于有效期内，每提供一（注：提供有效的证书扫描件和对应证书在全国认证认可信息公 共 服 务 平台（http://cx.cnca.cn/CertECloud/index/index/page）查询截图并加盖投标人公章，否则不计分。每提供一项得1分最高3分  。缺少一项扣1分，扣完为止。</w:t>
            </w:r>
          </w:p>
        </w:tc>
      </w:tr>
      <w:tr w14:paraId="340C3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699" w:hRule="atLeast"/>
          <w:jc w:val="center"/>
        </w:trPr>
        <w:tc>
          <w:tcPr>
            <w:tcW w:w="1803" w:type="dxa"/>
            <w:gridSpan w:val="3"/>
            <w:vMerge w:val="continue"/>
            <w:tcBorders>
              <w:left w:val="single" w:color="000000" w:sz="4" w:space="0"/>
            </w:tcBorders>
            <w:vAlign w:val="center"/>
          </w:tcPr>
          <w:p w14:paraId="247DFA67">
            <w:pPr>
              <w:pStyle w:val="21"/>
              <w:spacing w:before="176" w:line="219" w:lineRule="auto"/>
              <w:ind w:left="113"/>
              <w:rPr>
                <w:color w:val="auto"/>
                <w:spacing w:val="-1"/>
                <w:lang w:eastAsia="zh-CN"/>
              </w:rPr>
            </w:pPr>
          </w:p>
        </w:tc>
        <w:tc>
          <w:tcPr>
            <w:tcW w:w="510" w:type="dxa"/>
            <w:gridSpan w:val="2"/>
            <w:vMerge w:val="continue"/>
            <w:vAlign w:val="center"/>
          </w:tcPr>
          <w:p w14:paraId="2FBBF52B">
            <w:pPr>
              <w:pStyle w:val="21"/>
              <w:spacing w:before="176" w:line="219" w:lineRule="auto"/>
              <w:ind w:left="113"/>
              <w:rPr>
                <w:color w:val="auto"/>
                <w:spacing w:val="-1"/>
                <w:lang w:eastAsia="zh-CN"/>
              </w:rPr>
            </w:pPr>
          </w:p>
        </w:tc>
        <w:tc>
          <w:tcPr>
            <w:tcW w:w="2158" w:type="dxa"/>
            <w:gridSpan w:val="2"/>
            <w:vAlign w:val="center"/>
          </w:tcPr>
          <w:p w14:paraId="7D48C4BB">
            <w:pPr>
              <w:pStyle w:val="21"/>
              <w:spacing w:before="176" w:line="219" w:lineRule="auto"/>
              <w:ind w:left="113"/>
              <w:rPr>
                <w:color w:val="auto"/>
                <w:spacing w:val="-1"/>
                <w:lang w:eastAsia="zh-CN"/>
              </w:rPr>
            </w:pPr>
            <w:r>
              <w:rPr>
                <w:rFonts w:hint="eastAsia"/>
                <w:color w:val="auto"/>
                <w:spacing w:val="-1"/>
                <w:lang w:eastAsia="zh-CN"/>
              </w:rPr>
              <w:t>企业实力及企业信</w:t>
            </w:r>
          </w:p>
          <w:p w14:paraId="7B6F1637">
            <w:pPr>
              <w:pStyle w:val="21"/>
              <w:spacing w:before="176" w:line="219" w:lineRule="auto"/>
              <w:ind w:left="113"/>
              <w:rPr>
                <w:color w:val="auto"/>
                <w:spacing w:val="-1"/>
                <w:lang w:eastAsia="zh-CN"/>
              </w:rPr>
            </w:pPr>
            <w:r>
              <w:rPr>
                <w:rFonts w:hint="eastAsia"/>
                <w:color w:val="auto"/>
                <w:spacing w:val="-1"/>
                <w:lang w:eastAsia="zh-CN"/>
              </w:rPr>
              <w:t>誉（8分）</w:t>
            </w:r>
          </w:p>
        </w:tc>
        <w:tc>
          <w:tcPr>
            <w:tcW w:w="4459" w:type="dxa"/>
            <w:tcBorders>
              <w:right w:val="single" w:color="000000" w:sz="4" w:space="0"/>
            </w:tcBorders>
            <w:vAlign w:val="center"/>
          </w:tcPr>
          <w:p w14:paraId="6640A9F6">
            <w:pPr>
              <w:pStyle w:val="21"/>
              <w:spacing w:before="176" w:line="219" w:lineRule="auto"/>
              <w:ind w:left="113"/>
              <w:rPr>
                <w:color w:val="auto"/>
                <w:spacing w:val="-1"/>
                <w:lang w:eastAsia="zh-CN"/>
              </w:rPr>
            </w:pPr>
            <w:r>
              <w:rPr>
                <w:rFonts w:hint="eastAsia"/>
                <w:color w:val="auto"/>
                <w:spacing w:val="-1"/>
                <w:lang w:eastAsia="zh-CN"/>
              </w:rPr>
              <w:t>1、投标人所投电梯品牌制造商获得中国合格评定国家认可委员会（CNAS）实验室认可证书且在有效期内的，得5分。</w:t>
            </w:r>
          </w:p>
          <w:p w14:paraId="3896C4B9">
            <w:pPr>
              <w:pStyle w:val="21"/>
              <w:spacing w:before="176" w:line="219" w:lineRule="auto"/>
              <w:ind w:left="113"/>
              <w:rPr>
                <w:color w:val="auto"/>
                <w:spacing w:val="-1"/>
                <w:lang w:eastAsia="zh-CN"/>
              </w:rPr>
            </w:pPr>
            <w:r>
              <w:rPr>
                <w:rFonts w:hint="eastAsia"/>
                <w:color w:val="auto"/>
                <w:spacing w:val="-1"/>
                <w:lang w:eastAsia="zh-CN"/>
              </w:rPr>
              <w:t>评审依据：提供CNAS实验室认可证书扫描件加盖单位公章，否则不得分。</w:t>
            </w:r>
          </w:p>
          <w:p w14:paraId="7C94BEF1">
            <w:pPr>
              <w:pStyle w:val="21"/>
              <w:spacing w:before="176" w:line="219" w:lineRule="auto"/>
              <w:ind w:left="113"/>
              <w:rPr>
                <w:color w:val="auto"/>
                <w:spacing w:val="-1"/>
                <w:lang w:eastAsia="zh-CN"/>
              </w:rPr>
            </w:pPr>
            <w:r>
              <w:rPr>
                <w:rFonts w:hint="eastAsia"/>
                <w:color w:val="auto"/>
                <w:spacing w:val="-1"/>
                <w:lang w:eastAsia="zh-CN"/>
              </w:rPr>
              <w:t>2、投标人所投电梯品牌制造商获得省级及以上政府部门颁发的“高新技术企业证书 ”且在有效期内，得3分；</w:t>
            </w:r>
          </w:p>
          <w:p w14:paraId="3AC3FDD7">
            <w:pPr>
              <w:pStyle w:val="21"/>
              <w:spacing w:before="176" w:line="219" w:lineRule="auto"/>
              <w:ind w:left="113"/>
              <w:rPr>
                <w:color w:val="auto"/>
                <w:spacing w:val="-1"/>
                <w:lang w:eastAsia="zh-CN"/>
              </w:rPr>
            </w:pPr>
            <w:r>
              <w:rPr>
                <w:rFonts w:hint="eastAsia"/>
                <w:color w:val="auto"/>
                <w:spacing w:val="-1"/>
                <w:lang w:eastAsia="zh-CN"/>
              </w:rPr>
              <w:t>评审依据：提供相应证明材料复印件并加盖单位公章 ，否则不得分。</w:t>
            </w:r>
          </w:p>
        </w:tc>
      </w:tr>
      <w:tr w14:paraId="3CE64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2566" w:hRule="atLeast"/>
          <w:jc w:val="center"/>
        </w:trPr>
        <w:tc>
          <w:tcPr>
            <w:tcW w:w="1803" w:type="dxa"/>
            <w:gridSpan w:val="3"/>
            <w:vMerge w:val="restart"/>
            <w:tcBorders>
              <w:bottom w:val="nil"/>
            </w:tcBorders>
            <w:vAlign w:val="center"/>
          </w:tcPr>
          <w:p w14:paraId="5908C014">
            <w:pPr>
              <w:pStyle w:val="21"/>
              <w:spacing w:before="176" w:line="219" w:lineRule="auto"/>
              <w:ind w:left="113"/>
              <w:rPr>
                <w:color w:val="auto"/>
                <w:spacing w:val="-1"/>
              </w:rPr>
            </w:pPr>
            <w:r>
              <w:rPr>
                <w:rFonts w:hint="eastAsia"/>
                <w:color w:val="auto"/>
                <w:spacing w:val="-1"/>
              </w:rPr>
              <w:t>2.2.4</w:t>
            </w:r>
            <w:r>
              <w:rPr>
                <w:rFonts w:hint="eastAsia"/>
                <w:color w:val="auto"/>
                <w:spacing w:val="-1"/>
                <w:lang w:eastAsia="zh-CN"/>
              </w:rPr>
              <w:t>(</w:t>
            </w:r>
            <w:r>
              <w:rPr>
                <w:rFonts w:hint="eastAsia"/>
                <w:color w:val="auto"/>
                <w:spacing w:val="-1"/>
              </w:rPr>
              <w:t>2</w:t>
            </w:r>
            <w:r>
              <w:rPr>
                <w:rFonts w:hint="eastAsia"/>
                <w:color w:val="auto"/>
                <w:spacing w:val="-1"/>
                <w:lang w:eastAsia="zh-CN"/>
              </w:rPr>
              <w:t>)</w:t>
            </w:r>
          </w:p>
        </w:tc>
        <w:tc>
          <w:tcPr>
            <w:tcW w:w="510" w:type="dxa"/>
            <w:gridSpan w:val="2"/>
            <w:vMerge w:val="restart"/>
            <w:tcBorders>
              <w:bottom w:val="nil"/>
            </w:tcBorders>
            <w:vAlign w:val="center"/>
          </w:tcPr>
          <w:p w14:paraId="3894EDFC">
            <w:pPr>
              <w:pStyle w:val="21"/>
              <w:spacing w:before="176" w:line="219" w:lineRule="auto"/>
              <w:ind w:left="113"/>
              <w:rPr>
                <w:color w:val="auto"/>
                <w:spacing w:val="-1"/>
              </w:rPr>
            </w:pPr>
            <w:r>
              <w:rPr>
                <w:rFonts w:hint="eastAsia"/>
                <w:color w:val="auto"/>
                <w:spacing w:val="-1"/>
              </w:rPr>
              <w:t>技术文件部分</w:t>
            </w:r>
          </w:p>
        </w:tc>
        <w:tc>
          <w:tcPr>
            <w:tcW w:w="2158" w:type="dxa"/>
            <w:gridSpan w:val="2"/>
            <w:vAlign w:val="center"/>
          </w:tcPr>
          <w:p w14:paraId="3D83C836">
            <w:pPr>
              <w:pStyle w:val="21"/>
              <w:spacing w:before="176" w:line="219" w:lineRule="auto"/>
              <w:ind w:left="113"/>
              <w:rPr>
                <w:color w:val="auto"/>
                <w:spacing w:val="-1"/>
              </w:rPr>
            </w:pPr>
            <w:r>
              <w:rPr>
                <w:rFonts w:hint="eastAsia"/>
                <w:color w:val="auto"/>
                <w:spacing w:val="-1"/>
              </w:rPr>
              <w:t>拆除方案（</w:t>
            </w:r>
            <w:r>
              <w:rPr>
                <w:rFonts w:hint="eastAsia"/>
                <w:color w:val="auto"/>
                <w:spacing w:val="-1"/>
                <w:lang w:eastAsia="zh-CN"/>
              </w:rPr>
              <w:t>9</w:t>
            </w:r>
            <w:r>
              <w:rPr>
                <w:rFonts w:hint="eastAsia"/>
                <w:color w:val="auto"/>
                <w:spacing w:val="-1"/>
              </w:rPr>
              <w:t>分）</w:t>
            </w:r>
          </w:p>
        </w:tc>
        <w:tc>
          <w:tcPr>
            <w:tcW w:w="4459" w:type="dxa"/>
            <w:vAlign w:val="center"/>
          </w:tcPr>
          <w:p w14:paraId="0EE9F056">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投标人需针对本项目采购需求制定相应的拆除方案，方案包括但不限于以下内容拆除工序计划、安全保障措施、施工设备和人员配置、环境保护、废弃物处理方案等：</w:t>
            </w:r>
          </w:p>
          <w:p w14:paraId="3151AE05">
            <w:pPr>
              <w:pStyle w:val="21"/>
              <w:spacing w:before="176" w:line="219" w:lineRule="auto"/>
              <w:ind w:left="113"/>
              <w:rPr>
                <w:color w:val="auto"/>
                <w:spacing w:val="-1"/>
                <w:lang w:eastAsia="zh-CN"/>
              </w:rPr>
            </w:pPr>
            <w:r>
              <w:rPr>
                <w:rFonts w:hint="eastAsia"/>
                <w:color w:val="auto"/>
                <w:spacing w:val="-1"/>
                <w:lang w:eastAsia="zh-CN"/>
              </w:rPr>
              <w:t>方案内容完整合理、详实、全面细致、逻辑性强、可行性强与项目相适应得9分；</w:t>
            </w:r>
          </w:p>
          <w:p w14:paraId="538AC03F">
            <w:pPr>
              <w:pStyle w:val="21"/>
              <w:spacing w:before="176" w:line="219" w:lineRule="auto"/>
              <w:ind w:left="113"/>
              <w:rPr>
                <w:color w:val="auto"/>
                <w:spacing w:val="-1"/>
                <w:lang w:eastAsia="zh-CN"/>
              </w:rPr>
            </w:pPr>
            <w:r>
              <w:rPr>
                <w:rFonts w:hint="eastAsia"/>
                <w:color w:val="auto"/>
                <w:spacing w:val="-1"/>
                <w:lang w:eastAsia="zh-CN"/>
              </w:rPr>
              <w:t>方案内容相对简洁、条理较清晰、基本满足实际要求得7分；方案内容笼统有欠缺、勉强达到实际要求4分；</w:t>
            </w:r>
          </w:p>
          <w:p w14:paraId="0415C01C">
            <w:pPr>
              <w:pStyle w:val="21"/>
              <w:spacing w:before="176" w:line="219" w:lineRule="auto"/>
              <w:ind w:left="113"/>
              <w:rPr>
                <w:color w:val="auto"/>
                <w:spacing w:val="-1"/>
                <w:lang w:eastAsia="zh-CN"/>
              </w:rPr>
            </w:pPr>
            <w:r>
              <w:rPr>
                <w:rFonts w:hint="eastAsia"/>
                <w:color w:val="auto"/>
                <w:spacing w:val="-1"/>
                <w:lang w:eastAsia="zh-CN"/>
              </w:rPr>
              <w:t>方案内容达不到实际要求得1分；</w:t>
            </w:r>
          </w:p>
          <w:p w14:paraId="41E5A47E">
            <w:pPr>
              <w:pStyle w:val="21"/>
              <w:spacing w:before="176" w:line="219" w:lineRule="auto"/>
              <w:ind w:left="113"/>
              <w:rPr>
                <w:color w:val="auto"/>
                <w:spacing w:val="-1"/>
              </w:rPr>
            </w:pPr>
            <w:r>
              <w:rPr>
                <w:rFonts w:hint="eastAsia"/>
                <w:color w:val="auto"/>
                <w:spacing w:val="-1"/>
              </w:rPr>
              <w:t>不提供不得分。</w:t>
            </w:r>
          </w:p>
        </w:tc>
      </w:tr>
      <w:tr w14:paraId="4BD33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2656" w:hRule="atLeast"/>
          <w:jc w:val="center"/>
        </w:trPr>
        <w:tc>
          <w:tcPr>
            <w:tcW w:w="1803" w:type="dxa"/>
            <w:gridSpan w:val="3"/>
            <w:vMerge w:val="continue"/>
            <w:tcBorders>
              <w:top w:val="nil"/>
              <w:bottom w:val="nil"/>
            </w:tcBorders>
            <w:vAlign w:val="center"/>
          </w:tcPr>
          <w:p w14:paraId="57701A8F">
            <w:pPr>
              <w:pStyle w:val="21"/>
              <w:spacing w:before="176" w:line="219" w:lineRule="auto"/>
              <w:ind w:left="113"/>
              <w:rPr>
                <w:color w:val="auto"/>
                <w:spacing w:val="-1"/>
              </w:rPr>
            </w:pPr>
          </w:p>
        </w:tc>
        <w:tc>
          <w:tcPr>
            <w:tcW w:w="510" w:type="dxa"/>
            <w:gridSpan w:val="2"/>
            <w:vMerge w:val="continue"/>
            <w:tcBorders>
              <w:top w:val="nil"/>
              <w:bottom w:val="nil"/>
            </w:tcBorders>
            <w:vAlign w:val="center"/>
          </w:tcPr>
          <w:p w14:paraId="3DA17B79">
            <w:pPr>
              <w:pStyle w:val="21"/>
              <w:spacing w:before="176" w:line="219" w:lineRule="auto"/>
              <w:ind w:left="113"/>
              <w:rPr>
                <w:color w:val="auto"/>
                <w:spacing w:val="-1"/>
              </w:rPr>
            </w:pPr>
          </w:p>
        </w:tc>
        <w:tc>
          <w:tcPr>
            <w:tcW w:w="2158" w:type="dxa"/>
            <w:gridSpan w:val="2"/>
            <w:vAlign w:val="center"/>
          </w:tcPr>
          <w:p w14:paraId="160BD007">
            <w:pPr>
              <w:pStyle w:val="21"/>
              <w:spacing w:before="176" w:line="219" w:lineRule="auto"/>
              <w:ind w:left="113"/>
              <w:rPr>
                <w:color w:val="auto"/>
                <w:spacing w:val="-1"/>
                <w:lang w:eastAsia="zh-CN"/>
              </w:rPr>
            </w:pPr>
            <w:r>
              <w:rPr>
                <w:rFonts w:hint="eastAsia"/>
                <w:color w:val="auto"/>
                <w:spacing w:val="-1"/>
                <w:lang w:eastAsia="zh-CN"/>
              </w:rPr>
              <w:t>供货及运输方案（9分）</w:t>
            </w:r>
          </w:p>
        </w:tc>
        <w:tc>
          <w:tcPr>
            <w:tcW w:w="4459" w:type="dxa"/>
            <w:tcBorders>
              <w:right w:val="single" w:color="000000" w:sz="4" w:space="0"/>
            </w:tcBorders>
            <w:vAlign w:val="center"/>
          </w:tcPr>
          <w:p w14:paraId="6F34AF9D">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投标人需针对本项目采购需求制定相应的供货及运输方案，方案包括但不限于以下内容供货保障、运输配送方案、供货检验及验收、现场服务措施及处理方案等：</w:t>
            </w:r>
          </w:p>
          <w:p w14:paraId="32F5E2AE">
            <w:pPr>
              <w:pStyle w:val="21"/>
              <w:spacing w:before="176" w:line="219" w:lineRule="auto"/>
              <w:ind w:left="113"/>
              <w:rPr>
                <w:color w:val="auto"/>
                <w:spacing w:val="-1"/>
                <w:lang w:eastAsia="zh-CN"/>
              </w:rPr>
            </w:pPr>
            <w:r>
              <w:rPr>
                <w:rFonts w:hint="eastAsia"/>
                <w:color w:val="auto"/>
                <w:spacing w:val="-1"/>
                <w:lang w:eastAsia="zh-CN"/>
              </w:rPr>
              <w:t>方案内容完整合理、详实、全面细致、逻辑性强、可行性强与项目相适应得9分；</w:t>
            </w:r>
          </w:p>
          <w:p w14:paraId="03C9DD10">
            <w:pPr>
              <w:pStyle w:val="21"/>
              <w:spacing w:before="176" w:line="219" w:lineRule="auto"/>
              <w:ind w:left="113"/>
              <w:rPr>
                <w:color w:val="auto"/>
                <w:spacing w:val="-1"/>
                <w:lang w:eastAsia="zh-CN"/>
              </w:rPr>
            </w:pPr>
            <w:r>
              <w:rPr>
                <w:rFonts w:hint="eastAsia"/>
                <w:color w:val="auto"/>
                <w:spacing w:val="-1"/>
                <w:lang w:eastAsia="zh-CN"/>
              </w:rPr>
              <w:t>方案内容相对简洁、条理较清晰、基本满足实际要求得7分；方案内容笼统有欠缺、勉强达到实际要求4分；</w:t>
            </w:r>
          </w:p>
          <w:p w14:paraId="001006DF">
            <w:pPr>
              <w:pStyle w:val="21"/>
              <w:spacing w:before="176" w:line="219" w:lineRule="auto"/>
              <w:ind w:left="113"/>
              <w:rPr>
                <w:color w:val="auto"/>
                <w:spacing w:val="-1"/>
                <w:lang w:eastAsia="zh-CN"/>
              </w:rPr>
            </w:pPr>
            <w:r>
              <w:rPr>
                <w:rFonts w:hint="eastAsia"/>
                <w:color w:val="auto"/>
                <w:spacing w:val="-1"/>
                <w:lang w:eastAsia="zh-CN"/>
              </w:rPr>
              <w:t>方案内容达不到实际要求得1分；</w:t>
            </w:r>
          </w:p>
          <w:p w14:paraId="34213EAA">
            <w:pPr>
              <w:pStyle w:val="21"/>
              <w:spacing w:before="176" w:line="219" w:lineRule="auto"/>
              <w:ind w:left="113"/>
              <w:rPr>
                <w:color w:val="auto"/>
                <w:spacing w:val="-1"/>
              </w:rPr>
            </w:pPr>
            <w:r>
              <w:rPr>
                <w:rFonts w:hint="eastAsia"/>
                <w:color w:val="auto"/>
                <w:spacing w:val="-1"/>
              </w:rPr>
              <w:t>不提供不得分。</w:t>
            </w:r>
          </w:p>
        </w:tc>
      </w:tr>
      <w:tr w14:paraId="71935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266" w:hRule="atLeast"/>
          <w:jc w:val="center"/>
        </w:trPr>
        <w:tc>
          <w:tcPr>
            <w:tcW w:w="1803" w:type="dxa"/>
            <w:gridSpan w:val="3"/>
            <w:vMerge w:val="continue"/>
            <w:tcBorders>
              <w:top w:val="nil"/>
            </w:tcBorders>
            <w:vAlign w:val="center"/>
          </w:tcPr>
          <w:p w14:paraId="0E78574E">
            <w:pPr>
              <w:pStyle w:val="21"/>
              <w:spacing w:before="176" w:line="219" w:lineRule="auto"/>
              <w:ind w:left="113"/>
              <w:rPr>
                <w:color w:val="auto"/>
                <w:spacing w:val="-1"/>
              </w:rPr>
            </w:pPr>
          </w:p>
        </w:tc>
        <w:tc>
          <w:tcPr>
            <w:tcW w:w="510" w:type="dxa"/>
            <w:gridSpan w:val="2"/>
            <w:vMerge w:val="continue"/>
            <w:tcBorders>
              <w:top w:val="nil"/>
            </w:tcBorders>
            <w:vAlign w:val="center"/>
          </w:tcPr>
          <w:p w14:paraId="28B5D4F6">
            <w:pPr>
              <w:pStyle w:val="21"/>
              <w:spacing w:before="176" w:line="219" w:lineRule="auto"/>
              <w:ind w:left="113"/>
              <w:rPr>
                <w:color w:val="auto"/>
                <w:spacing w:val="-1"/>
              </w:rPr>
            </w:pPr>
          </w:p>
        </w:tc>
        <w:tc>
          <w:tcPr>
            <w:tcW w:w="2158" w:type="dxa"/>
            <w:gridSpan w:val="2"/>
            <w:vAlign w:val="center"/>
          </w:tcPr>
          <w:p w14:paraId="0211355E">
            <w:pPr>
              <w:pStyle w:val="21"/>
              <w:spacing w:before="176" w:line="219" w:lineRule="auto"/>
              <w:ind w:left="113"/>
              <w:rPr>
                <w:color w:val="auto"/>
                <w:spacing w:val="-1"/>
              </w:rPr>
            </w:pPr>
            <w:r>
              <w:rPr>
                <w:rFonts w:hint="eastAsia"/>
                <w:color w:val="auto"/>
                <w:spacing w:val="-1"/>
              </w:rPr>
              <w:t>质量保障方案（8分）</w:t>
            </w:r>
          </w:p>
        </w:tc>
        <w:tc>
          <w:tcPr>
            <w:tcW w:w="4459" w:type="dxa"/>
            <w:tcBorders>
              <w:right w:val="single" w:color="000000" w:sz="4" w:space="0"/>
            </w:tcBorders>
            <w:vAlign w:val="center"/>
          </w:tcPr>
          <w:p w14:paraId="5895C4BD">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投标人需针对本项目采购需求制定相应的质量保障方案，方案包括但不限于质量保障措施、质量检测、质量保障计划、质量保证承诺、质量问题的处理等：</w:t>
            </w:r>
          </w:p>
          <w:p w14:paraId="638C6BCB">
            <w:pPr>
              <w:pStyle w:val="21"/>
              <w:spacing w:before="176" w:line="219" w:lineRule="auto"/>
              <w:ind w:left="113"/>
              <w:rPr>
                <w:color w:val="auto"/>
                <w:spacing w:val="-1"/>
                <w:lang w:eastAsia="zh-CN"/>
              </w:rPr>
            </w:pPr>
            <w:r>
              <w:rPr>
                <w:rFonts w:hint="eastAsia"/>
                <w:color w:val="auto"/>
                <w:spacing w:val="-1"/>
                <w:lang w:eastAsia="zh-CN"/>
              </w:rPr>
              <w:t>方案内容完整合理、详实、全面细致、逻辑性强、可行性强与项目相适应得8分；</w:t>
            </w:r>
          </w:p>
          <w:p w14:paraId="6F20D4D1">
            <w:pPr>
              <w:pStyle w:val="21"/>
              <w:spacing w:before="176" w:line="219" w:lineRule="auto"/>
              <w:ind w:left="113"/>
              <w:rPr>
                <w:color w:val="auto"/>
                <w:spacing w:val="-1"/>
                <w:lang w:eastAsia="zh-CN"/>
              </w:rPr>
            </w:pPr>
            <w:r>
              <w:rPr>
                <w:rFonts w:hint="eastAsia"/>
                <w:color w:val="auto"/>
                <w:spacing w:val="-1"/>
                <w:lang w:eastAsia="zh-CN"/>
              </w:rPr>
              <w:t>方案内容相对简洁、条理较清晰、基本满足实际要求得5分；方案内容笼统有欠缺、勉强达到实际要求2分；</w:t>
            </w:r>
          </w:p>
          <w:p w14:paraId="23C96E59">
            <w:pPr>
              <w:pStyle w:val="21"/>
              <w:spacing w:before="176" w:line="219" w:lineRule="auto"/>
              <w:ind w:left="113"/>
              <w:rPr>
                <w:color w:val="auto"/>
                <w:spacing w:val="-1"/>
                <w:lang w:eastAsia="zh-CN"/>
              </w:rPr>
            </w:pPr>
            <w:r>
              <w:rPr>
                <w:rFonts w:hint="eastAsia"/>
                <w:color w:val="auto"/>
                <w:spacing w:val="-1"/>
                <w:lang w:eastAsia="zh-CN"/>
              </w:rPr>
              <w:t>方案内容达不到实际要求得1分；</w:t>
            </w:r>
          </w:p>
          <w:p w14:paraId="227EF0C6">
            <w:pPr>
              <w:pStyle w:val="21"/>
              <w:spacing w:before="176" w:line="219" w:lineRule="auto"/>
              <w:ind w:left="113"/>
              <w:rPr>
                <w:color w:val="auto"/>
                <w:spacing w:val="-1"/>
              </w:rPr>
            </w:pPr>
            <w:r>
              <w:rPr>
                <w:rFonts w:hint="eastAsia"/>
                <w:color w:val="auto"/>
                <w:spacing w:val="-1"/>
              </w:rPr>
              <w:t>不提供不得分。</w:t>
            </w:r>
          </w:p>
        </w:tc>
      </w:tr>
      <w:tr w14:paraId="08457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08" w:hRule="atLeast"/>
          <w:jc w:val="center"/>
        </w:trPr>
        <w:tc>
          <w:tcPr>
            <w:tcW w:w="1803" w:type="dxa"/>
            <w:gridSpan w:val="3"/>
            <w:vMerge w:val="restart"/>
            <w:tcBorders>
              <w:bottom w:val="single" w:color="000000" w:sz="2" w:space="0"/>
            </w:tcBorders>
            <w:vAlign w:val="center"/>
          </w:tcPr>
          <w:p w14:paraId="2E18887E">
            <w:pPr>
              <w:pStyle w:val="21"/>
              <w:spacing w:before="176" w:line="219" w:lineRule="auto"/>
              <w:ind w:left="113"/>
              <w:rPr>
                <w:color w:val="auto"/>
                <w:spacing w:val="-1"/>
              </w:rPr>
            </w:pPr>
          </w:p>
        </w:tc>
        <w:tc>
          <w:tcPr>
            <w:tcW w:w="510" w:type="dxa"/>
            <w:gridSpan w:val="2"/>
            <w:vMerge w:val="restart"/>
            <w:tcBorders>
              <w:bottom w:val="single" w:color="000000" w:sz="2" w:space="0"/>
            </w:tcBorders>
            <w:vAlign w:val="center"/>
          </w:tcPr>
          <w:p w14:paraId="028DAE0B">
            <w:pPr>
              <w:pStyle w:val="21"/>
              <w:spacing w:before="176" w:line="219" w:lineRule="auto"/>
              <w:ind w:left="113"/>
              <w:rPr>
                <w:color w:val="auto"/>
                <w:spacing w:val="-1"/>
              </w:rPr>
            </w:pPr>
          </w:p>
        </w:tc>
        <w:tc>
          <w:tcPr>
            <w:tcW w:w="2158" w:type="dxa"/>
            <w:gridSpan w:val="2"/>
            <w:vAlign w:val="center"/>
          </w:tcPr>
          <w:p w14:paraId="75CAFD5C">
            <w:pPr>
              <w:pStyle w:val="21"/>
              <w:spacing w:before="176" w:line="219" w:lineRule="auto"/>
              <w:ind w:left="113"/>
              <w:rPr>
                <w:color w:val="auto"/>
                <w:spacing w:val="-1"/>
              </w:rPr>
            </w:pPr>
            <w:r>
              <w:rPr>
                <w:rFonts w:hint="eastAsia"/>
                <w:color w:val="auto"/>
                <w:spacing w:val="-1"/>
              </w:rPr>
              <w:t>安装方案（</w:t>
            </w:r>
            <w:r>
              <w:rPr>
                <w:rFonts w:hint="eastAsia"/>
                <w:color w:val="auto"/>
                <w:spacing w:val="-1"/>
                <w:lang w:eastAsia="zh-CN"/>
              </w:rPr>
              <w:t>9</w:t>
            </w:r>
            <w:r>
              <w:rPr>
                <w:rFonts w:hint="eastAsia"/>
                <w:color w:val="auto"/>
                <w:spacing w:val="-1"/>
              </w:rPr>
              <w:t>分）</w:t>
            </w:r>
          </w:p>
        </w:tc>
        <w:tc>
          <w:tcPr>
            <w:tcW w:w="4459" w:type="dxa"/>
            <w:tcBorders>
              <w:right w:val="single" w:color="000000" w:sz="4" w:space="0"/>
            </w:tcBorders>
            <w:vAlign w:val="center"/>
          </w:tcPr>
          <w:p w14:paraId="121D4D27">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投标人需针对本项目采购需求制定相应的安装方案，方案包括但不限于以下内容安装工艺流程、安全保障措施、具体安装步骤、安装人员配置、安装进度等：</w:t>
            </w:r>
          </w:p>
          <w:p w14:paraId="70BEAE9D">
            <w:pPr>
              <w:pStyle w:val="21"/>
              <w:spacing w:before="176" w:line="219" w:lineRule="auto"/>
              <w:ind w:left="113"/>
              <w:rPr>
                <w:color w:val="auto"/>
                <w:spacing w:val="-1"/>
                <w:lang w:eastAsia="zh-CN"/>
              </w:rPr>
            </w:pPr>
            <w:r>
              <w:rPr>
                <w:rFonts w:hint="eastAsia"/>
                <w:color w:val="auto"/>
                <w:spacing w:val="-1"/>
                <w:lang w:eastAsia="zh-CN"/>
              </w:rPr>
              <w:t>方案内容完整合理、详实、全面细致、逻辑性强、可行性强与项目相适应得9分；</w:t>
            </w:r>
          </w:p>
          <w:p w14:paraId="48CF89E4">
            <w:pPr>
              <w:pStyle w:val="21"/>
              <w:spacing w:before="176" w:line="219" w:lineRule="auto"/>
              <w:ind w:left="113"/>
              <w:rPr>
                <w:color w:val="auto"/>
                <w:spacing w:val="-1"/>
                <w:lang w:eastAsia="zh-CN"/>
              </w:rPr>
            </w:pPr>
            <w:r>
              <w:rPr>
                <w:rFonts w:hint="eastAsia"/>
                <w:color w:val="auto"/>
                <w:spacing w:val="-1"/>
                <w:lang w:eastAsia="zh-CN"/>
              </w:rPr>
              <w:t>方案内容相对简洁、条理较清晰、基本满足实际要求得7分；方案内容笼统有欠缺、勉强达到实际要求4分；</w:t>
            </w:r>
          </w:p>
          <w:p w14:paraId="55B55804">
            <w:pPr>
              <w:pStyle w:val="21"/>
              <w:spacing w:before="176" w:line="219" w:lineRule="auto"/>
              <w:ind w:left="113"/>
              <w:rPr>
                <w:color w:val="auto"/>
                <w:spacing w:val="-1"/>
                <w:lang w:eastAsia="zh-CN"/>
              </w:rPr>
            </w:pPr>
            <w:r>
              <w:rPr>
                <w:rFonts w:hint="eastAsia"/>
                <w:color w:val="auto"/>
                <w:spacing w:val="-1"/>
                <w:lang w:eastAsia="zh-CN"/>
              </w:rPr>
              <w:t>方案内容达不到实际要求得1分；</w:t>
            </w:r>
          </w:p>
          <w:p w14:paraId="2858F08E">
            <w:pPr>
              <w:pStyle w:val="21"/>
              <w:spacing w:before="176" w:line="219" w:lineRule="auto"/>
              <w:ind w:left="113"/>
              <w:rPr>
                <w:color w:val="auto"/>
                <w:spacing w:val="-1"/>
              </w:rPr>
            </w:pPr>
            <w:r>
              <w:rPr>
                <w:rFonts w:hint="eastAsia"/>
                <w:color w:val="auto"/>
                <w:spacing w:val="-1"/>
              </w:rPr>
              <w:t>不提供不得分。</w:t>
            </w:r>
          </w:p>
        </w:tc>
      </w:tr>
      <w:tr w14:paraId="2CEA6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509" w:hRule="atLeast"/>
          <w:jc w:val="center"/>
        </w:trPr>
        <w:tc>
          <w:tcPr>
            <w:tcW w:w="1803" w:type="dxa"/>
            <w:gridSpan w:val="3"/>
            <w:vMerge w:val="continue"/>
            <w:tcBorders>
              <w:top w:val="single" w:color="000000" w:sz="2" w:space="0"/>
              <w:bottom w:val="single" w:color="000000" w:sz="2" w:space="0"/>
            </w:tcBorders>
            <w:vAlign w:val="center"/>
          </w:tcPr>
          <w:p w14:paraId="781E3B41">
            <w:pPr>
              <w:pStyle w:val="21"/>
              <w:spacing w:before="176" w:line="219" w:lineRule="auto"/>
              <w:ind w:left="113"/>
              <w:rPr>
                <w:color w:val="auto"/>
                <w:spacing w:val="-1"/>
              </w:rPr>
            </w:pPr>
          </w:p>
        </w:tc>
        <w:tc>
          <w:tcPr>
            <w:tcW w:w="510" w:type="dxa"/>
            <w:gridSpan w:val="2"/>
            <w:vMerge w:val="continue"/>
            <w:tcBorders>
              <w:top w:val="single" w:color="000000" w:sz="2" w:space="0"/>
              <w:bottom w:val="single" w:color="000000" w:sz="2" w:space="0"/>
            </w:tcBorders>
            <w:vAlign w:val="center"/>
          </w:tcPr>
          <w:p w14:paraId="43AB97CC">
            <w:pPr>
              <w:pStyle w:val="21"/>
              <w:spacing w:before="176" w:line="219" w:lineRule="auto"/>
              <w:ind w:left="113"/>
              <w:rPr>
                <w:color w:val="auto"/>
                <w:spacing w:val="-1"/>
              </w:rPr>
            </w:pPr>
          </w:p>
        </w:tc>
        <w:tc>
          <w:tcPr>
            <w:tcW w:w="2158" w:type="dxa"/>
            <w:gridSpan w:val="2"/>
            <w:vAlign w:val="center"/>
          </w:tcPr>
          <w:p w14:paraId="182CC813">
            <w:pPr>
              <w:pStyle w:val="21"/>
              <w:spacing w:before="176" w:line="219" w:lineRule="auto"/>
              <w:ind w:left="113"/>
              <w:rPr>
                <w:color w:val="auto"/>
                <w:spacing w:val="-1"/>
              </w:rPr>
            </w:pPr>
            <w:r>
              <w:rPr>
                <w:rFonts w:hint="eastAsia"/>
                <w:color w:val="auto"/>
                <w:spacing w:val="-1"/>
              </w:rPr>
              <w:t>应急方案（8分）</w:t>
            </w:r>
          </w:p>
        </w:tc>
        <w:tc>
          <w:tcPr>
            <w:tcW w:w="4459" w:type="dxa"/>
            <w:tcBorders>
              <w:right w:val="single" w:color="000000" w:sz="4" w:space="0"/>
            </w:tcBorders>
            <w:vAlign w:val="center"/>
          </w:tcPr>
          <w:p w14:paraId="1373C754">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投标人需针对本项目采购需求制定相应的应急方案，方案包括但不限于管理架构及职责、应急预案、应急措施、应急响应时间、突发事件处理流程等：</w:t>
            </w:r>
          </w:p>
          <w:p w14:paraId="5E17316E">
            <w:pPr>
              <w:pStyle w:val="21"/>
              <w:spacing w:before="176" w:line="219" w:lineRule="auto"/>
              <w:ind w:left="113"/>
              <w:rPr>
                <w:color w:val="auto"/>
                <w:spacing w:val="-1"/>
                <w:lang w:eastAsia="zh-CN"/>
              </w:rPr>
            </w:pPr>
            <w:r>
              <w:rPr>
                <w:rFonts w:hint="eastAsia"/>
                <w:color w:val="auto"/>
                <w:spacing w:val="-1"/>
                <w:lang w:eastAsia="zh-CN"/>
              </w:rPr>
              <w:t>完全满足或优于采购人使用要求，内容详实、切实可行且针对性强得8分 ;</w:t>
            </w:r>
          </w:p>
          <w:p w14:paraId="7DD27D16">
            <w:pPr>
              <w:pStyle w:val="21"/>
              <w:spacing w:before="176" w:line="219" w:lineRule="auto"/>
              <w:ind w:left="113"/>
              <w:rPr>
                <w:color w:val="auto"/>
                <w:spacing w:val="-1"/>
                <w:lang w:eastAsia="zh-CN"/>
              </w:rPr>
            </w:pPr>
            <w:r>
              <w:rPr>
                <w:rFonts w:hint="eastAsia"/>
                <w:color w:val="auto"/>
                <w:spacing w:val="-1"/>
                <w:lang w:eastAsia="zh-CN"/>
              </w:rPr>
              <w:t>基本满足采购人使用要求，内容简洁，具有实际的操作性得5分；</w:t>
            </w:r>
          </w:p>
          <w:p w14:paraId="7920B3D7">
            <w:pPr>
              <w:pStyle w:val="21"/>
              <w:spacing w:before="176" w:line="219" w:lineRule="auto"/>
              <w:ind w:left="113"/>
              <w:rPr>
                <w:color w:val="auto"/>
                <w:spacing w:val="-1"/>
                <w:lang w:eastAsia="zh-CN"/>
              </w:rPr>
            </w:pPr>
            <w:r>
              <w:rPr>
                <w:rFonts w:hint="eastAsia"/>
                <w:color w:val="auto"/>
                <w:spacing w:val="-1"/>
                <w:lang w:eastAsia="zh-CN"/>
              </w:rPr>
              <w:t>勉强达到使用要求，内容有欠缺得2分；</w:t>
            </w:r>
          </w:p>
          <w:p w14:paraId="4A52C16F">
            <w:pPr>
              <w:pStyle w:val="21"/>
              <w:spacing w:before="176" w:line="219" w:lineRule="auto"/>
              <w:ind w:left="113"/>
              <w:rPr>
                <w:color w:val="auto"/>
                <w:spacing w:val="-1"/>
                <w:lang w:eastAsia="zh-CN"/>
              </w:rPr>
            </w:pPr>
            <w:r>
              <w:rPr>
                <w:rFonts w:hint="eastAsia"/>
                <w:color w:val="auto"/>
                <w:spacing w:val="-1"/>
                <w:lang w:eastAsia="zh-CN"/>
              </w:rPr>
              <w:t>不能达到使用要求得1分；</w:t>
            </w:r>
          </w:p>
          <w:p w14:paraId="7A4C6D86">
            <w:pPr>
              <w:pStyle w:val="21"/>
              <w:spacing w:before="176" w:line="219" w:lineRule="auto"/>
              <w:ind w:left="113"/>
              <w:rPr>
                <w:color w:val="auto"/>
                <w:spacing w:val="-1"/>
              </w:rPr>
            </w:pPr>
            <w:r>
              <w:rPr>
                <w:rFonts w:hint="eastAsia"/>
                <w:color w:val="auto"/>
                <w:spacing w:val="-1"/>
              </w:rPr>
              <w:t>不提供不得分。</w:t>
            </w:r>
          </w:p>
        </w:tc>
      </w:tr>
      <w:tr w14:paraId="57B3E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091" w:hRule="atLeast"/>
          <w:jc w:val="center"/>
        </w:trPr>
        <w:tc>
          <w:tcPr>
            <w:tcW w:w="1803" w:type="dxa"/>
            <w:gridSpan w:val="3"/>
            <w:vMerge w:val="continue"/>
            <w:tcBorders>
              <w:top w:val="single" w:color="000000" w:sz="2" w:space="0"/>
              <w:bottom w:val="single" w:color="000000" w:sz="2" w:space="0"/>
            </w:tcBorders>
            <w:vAlign w:val="center"/>
          </w:tcPr>
          <w:p w14:paraId="50CCC4A7">
            <w:pPr>
              <w:pStyle w:val="21"/>
              <w:spacing w:before="176" w:line="219" w:lineRule="auto"/>
              <w:ind w:left="113"/>
              <w:rPr>
                <w:color w:val="auto"/>
                <w:spacing w:val="-1"/>
              </w:rPr>
            </w:pPr>
          </w:p>
        </w:tc>
        <w:tc>
          <w:tcPr>
            <w:tcW w:w="510" w:type="dxa"/>
            <w:gridSpan w:val="2"/>
            <w:vMerge w:val="continue"/>
            <w:tcBorders>
              <w:top w:val="single" w:color="000000" w:sz="2" w:space="0"/>
              <w:bottom w:val="single" w:color="000000" w:sz="2" w:space="0"/>
            </w:tcBorders>
            <w:vAlign w:val="center"/>
          </w:tcPr>
          <w:p w14:paraId="6B29F07D">
            <w:pPr>
              <w:pStyle w:val="21"/>
              <w:spacing w:before="176" w:line="219" w:lineRule="auto"/>
              <w:ind w:left="113"/>
              <w:rPr>
                <w:color w:val="auto"/>
                <w:spacing w:val="-1"/>
              </w:rPr>
            </w:pPr>
          </w:p>
        </w:tc>
        <w:tc>
          <w:tcPr>
            <w:tcW w:w="2158" w:type="dxa"/>
            <w:gridSpan w:val="2"/>
            <w:vAlign w:val="center"/>
          </w:tcPr>
          <w:p w14:paraId="1C0D57C1">
            <w:pPr>
              <w:pStyle w:val="21"/>
              <w:spacing w:before="176" w:line="219" w:lineRule="auto"/>
              <w:ind w:left="113"/>
              <w:rPr>
                <w:color w:val="auto"/>
                <w:spacing w:val="-1"/>
                <w:lang w:eastAsia="zh-CN"/>
              </w:rPr>
            </w:pPr>
            <w:r>
              <w:rPr>
                <w:rFonts w:hint="eastAsia"/>
                <w:color w:val="auto"/>
                <w:spacing w:val="-1"/>
                <w:lang w:eastAsia="zh-CN"/>
              </w:rPr>
              <w:t>进度计划及保证措施</w:t>
            </w:r>
          </w:p>
          <w:p w14:paraId="238FDC30">
            <w:pPr>
              <w:pStyle w:val="21"/>
              <w:spacing w:before="176" w:line="219" w:lineRule="auto"/>
              <w:ind w:left="113"/>
              <w:rPr>
                <w:color w:val="auto"/>
                <w:spacing w:val="-1"/>
                <w:lang w:eastAsia="zh-CN"/>
              </w:rPr>
            </w:pPr>
            <w:r>
              <w:rPr>
                <w:rFonts w:hint="eastAsia"/>
                <w:color w:val="auto"/>
                <w:spacing w:val="-1"/>
                <w:lang w:eastAsia="zh-CN"/>
              </w:rPr>
              <w:t>（8分）</w:t>
            </w:r>
          </w:p>
        </w:tc>
        <w:tc>
          <w:tcPr>
            <w:tcW w:w="4459" w:type="dxa"/>
            <w:tcBorders>
              <w:right w:val="single" w:color="000000" w:sz="4" w:space="0"/>
            </w:tcBorders>
            <w:vAlign w:val="center"/>
          </w:tcPr>
          <w:p w14:paraId="0118EB51">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投标人需针对本项目采购需求制定相应的进度计划方案，方案包括但不限于以下内容进度目标、进度计划、进度管理、资源配备、保证措施等：</w:t>
            </w:r>
          </w:p>
          <w:p w14:paraId="4C2863CB">
            <w:pPr>
              <w:pStyle w:val="21"/>
              <w:spacing w:before="176" w:line="219" w:lineRule="auto"/>
              <w:ind w:left="113"/>
              <w:rPr>
                <w:color w:val="auto"/>
                <w:spacing w:val="-1"/>
                <w:lang w:eastAsia="zh-CN"/>
              </w:rPr>
            </w:pPr>
            <w:r>
              <w:rPr>
                <w:rFonts w:hint="eastAsia"/>
                <w:color w:val="auto"/>
                <w:spacing w:val="-1"/>
                <w:lang w:eastAsia="zh-CN"/>
              </w:rPr>
              <w:t>方案内容完整合理、详实、全面细致、逻辑性强、可行性强与项目相适应得8分；</w:t>
            </w:r>
          </w:p>
          <w:p w14:paraId="493268E4">
            <w:pPr>
              <w:pStyle w:val="21"/>
              <w:spacing w:before="176" w:line="219" w:lineRule="auto"/>
              <w:ind w:left="113"/>
              <w:rPr>
                <w:color w:val="auto"/>
                <w:spacing w:val="-1"/>
                <w:lang w:eastAsia="zh-CN"/>
              </w:rPr>
            </w:pPr>
            <w:r>
              <w:rPr>
                <w:rFonts w:hint="eastAsia"/>
                <w:color w:val="auto"/>
                <w:spacing w:val="-1"/>
                <w:lang w:eastAsia="zh-CN"/>
              </w:rPr>
              <w:t>方案内容相对简洁、条理较清晰、基本满足实际要求得5分；方案内容笼统有欠缺、勉强达到实际要求2分；</w:t>
            </w:r>
          </w:p>
          <w:p w14:paraId="3F294A6B">
            <w:pPr>
              <w:pStyle w:val="21"/>
              <w:spacing w:before="176" w:line="219" w:lineRule="auto"/>
              <w:ind w:left="113"/>
              <w:rPr>
                <w:color w:val="auto"/>
                <w:spacing w:val="-1"/>
                <w:lang w:eastAsia="zh-CN"/>
              </w:rPr>
            </w:pPr>
            <w:r>
              <w:rPr>
                <w:rFonts w:hint="eastAsia"/>
                <w:color w:val="auto"/>
                <w:spacing w:val="-1"/>
                <w:lang w:eastAsia="zh-CN"/>
              </w:rPr>
              <w:t>方案内容达不到实际要求得1分；</w:t>
            </w:r>
          </w:p>
          <w:p w14:paraId="1365EA10">
            <w:pPr>
              <w:pStyle w:val="21"/>
              <w:spacing w:before="176" w:line="219" w:lineRule="auto"/>
              <w:ind w:left="113"/>
              <w:rPr>
                <w:color w:val="auto"/>
                <w:spacing w:val="-1"/>
              </w:rPr>
            </w:pPr>
            <w:r>
              <w:rPr>
                <w:rFonts w:hint="eastAsia"/>
                <w:color w:val="auto"/>
                <w:spacing w:val="-1"/>
              </w:rPr>
              <w:t>不提供不得分。</w:t>
            </w:r>
          </w:p>
        </w:tc>
      </w:tr>
      <w:tr w14:paraId="6DA03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52" w:hRule="atLeast"/>
          <w:jc w:val="center"/>
        </w:trPr>
        <w:tc>
          <w:tcPr>
            <w:tcW w:w="1803" w:type="dxa"/>
            <w:gridSpan w:val="3"/>
            <w:vMerge w:val="continue"/>
            <w:tcBorders>
              <w:top w:val="single" w:color="000000" w:sz="2" w:space="0"/>
              <w:bottom w:val="single" w:color="000000" w:sz="2" w:space="0"/>
            </w:tcBorders>
            <w:vAlign w:val="center"/>
          </w:tcPr>
          <w:p w14:paraId="69DB2315">
            <w:pPr>
              <w:pStyle w:val="21"/>
              <w:spacing w:before="176" w:line="219" w:lineRule="auto"/>
              <w:ind w:left="113"/>
              <w:rPr>
                <w:color w:val="auto"/>
                <w:spacing w:val="-1"/>
              </w:rPr>
            </w:pPr>
          </w:p>
        </w:tc>
        <w:tc>
          <w:tcPr>
            <w:tcW w:w="510" w:type="dxa"/>
            <w:gridSpan w:val="2"/>
            <w:vMerge w:val="continue"/>
            <w:tcBorders>
              <w:top w:val="single" w:color="000000" w:sz="2" w:space="0"/>
              <w:bottom w:val="single" w:color="000000" w:sz="2" w:space="0"/>
            </w:tcBorders>
            <w:vAlign w:val="center"/>
          </w:tcPr>
          <w:p w14:paraId="50E46D06">
            <w:pPr>
              <w:pStyle w:val="21"/>
              <w:spacing w:before="176" w:line="219" w:lineRule="auto"/>
              <w:ind w:left="113"/>
              <w:rPr>
                <w:color w:val="auto"/>
                <w:spacing w:val="-1"/>
              </w:rPr>
            </w:pPr>
          </w:p>
        </w:tc>
        <w:tc>
          <w:tcPr>
            <w:tcW w:w="2158" w:type="dxa"/>
            <w:gridSpan w:val="2"/>
            <w:vAlign w:val="center"/>
          </w:tcPr>
          <w:p w14:paraId="280CBF20">
            <w:pPr>
              <w:pStyle w:val="21"/>
              <w:spacing w:before="176" w:line="219" w:lineRule="auto"/>
              <w:ind w:left="113"/>
              <w:rPr>
                <w:color w:val="auto"/>
                <w:spacing w:val="-1"/>
              </w:rPr>
            </w:pPr>
            <w:r>
              <w:rPr>
                <w:rFonts w:hint="eastAsia"/>
                <w:color w:val="auto"/>
                <w:spacing w:val="-1"/>
              </w:rPr>
              <w:t>售后服务（8分）</w:t>
            </w:r>
          </w:p>
        </w:tc>
        <w:tc>
          <w:tcPr>
            <w:tcW w:w="4459" w:type="dxa"/>
            <w:tcBorders>
              <w:right w:val="single" w:color="000000" w:sz="4" w:space="0"/>
            </w:tcBorders>
            <w:vAlign w:val="center"/>
          </w:tcPr>
          <w:p w14:paraId="1F4E18B7">
            <w:pPr>
              <w:pStyle w:val="21"/>
              <w:spacing w:before="176" w:line="219" w:lineRule="auto"/>
              <w:ind w:left="113"/>
              <w:rPr>
                <w:color w:val="auto"/>
                <w:spacing w:val="-1"/>
                <w:lang w:eastAsia="zh-CN"/>
              </w:rPr>
            </w:pPr>
            <w:r>
              <w:rPr>
                <w:rFonts w:hint="eastAsia"/>
                <w:color w:val="auto"/>
                <w:spacing w:val="-1"/>
                <w:lang w:eastAsia="zh-CN"/>
              </w:rPr>
              <w:t>投标人需针对本项目采购需求制定相应的售后服务，包括但不限于售后服务承诺、售后服务维修、维护保障方案、设备出现故障时的技术支持快速响应方案、备品备件维修更换方案等：</w:t>
            </w:r>
          </w:p>
          <w:p w14:paraId="58B8C813">
            <w:pPr>
              <w:pStyle w:val="21"/>
              <w:spacing w:before="176" w:line="219" w:lineRule="auto"/>
              <w:ind w:left="113"/>
              <w:rPr>
                <w:color w:val="auto"/>
                <w:spacing w:val="-1"/>
                <w:lang w:eastAsia="zh-CN"/>
              </w:rPr>
            </w:pPr>
            <w:r>
              <w:rPr>
                <w:rFonts w:hint="eastAsia"/>
                <w:color w:val="auto"/>
                <w:spacing w:val="-1"/>
                <w:lang w:eastAsia="zh-CN"/>
              </w:rPr>
              <w:t>完全满足或优于采购人使用要求，内容详实、切实可行且针对性强得8分 ;</w:t>
            </w:r>
          </w:p>
          <w:p w14:paraId="13038D15">
            <w:pPr>
              <w:pStyle w:val="21"/>
              <w:spacing w:before="176" w:line="219" w:lineRule="auto"/>
              <w:ind w:left="113"/>
              <w:rPr>
                <w:color w:val="auto"/>
                <w:spacing w:val="-1"/>
                <w:lang w:eastAsia="zh-CN"/>
              </w:rPr>
            </w:pPr>
            <w:r>
              <w:rPr>
                <w:rFonts w:hint="eastAsia"/>
                <w:color w:val="auto"/>
                <w:spacing w:val="-1"/>
                <w:lang w:eastAsia="zh-CN"/>
              </w:rPr>
              <w:t>基本满足采购人使用要求， 内容简洁，具有实际的操作性得5分；</w:t>
            </w:r>
          </w:p>
          <w:p w14:paraId="5B4D7BBB">
            <w:pPr>
              <w:pStyle w:val="21"/>
              <w:spacing w:before="176" w:line="219" w:lineRule="auto"/>
              <w:ind w:left="113"/>
              <w:rPr>
                <w:color w:val="auto"/>
                <w:spacing w:val="-1"/>
                <w:lang w:eastAsia="zh-CN"/>
              </w:rPr>
            </w:pPr>
            <w:r>
              <w:rPr>
                <w:rFonts w:hint="eastAsia"/>
                <w:color w:val="auto"/>
                <w:spacing w:val="-1"/>
                <w:lang w:eastAsia="zh-CN"/>
              </w:rPr>
              <w:t>勉强达到使用要求，内容有欠缺得2分；</w:t>
            </w:r>
          </w:p>
          <w:p w14:paraId="433629D9">
            <w:pPr>
              <w:pStyle w:val="21"/>
              <w:spacing w:before="176" w:line="219" w:lineRule="auto"/>
              <w:ind w:left="113"/>
              <w:rPr>
                <w:color w:val="auto"/>
                <w:spacing w:val="-1"/>
                <w:lang w:eastAsia="zh-CN"/>
              </w:rPr>
            </w:pPr>
            <w:r>
              <w:rPr>
                <w:rFonts w:hint="eastAsia"/>
                <w:color w:val="auto"/>
                <w:spacing w:val="-1"/>
                <w:lang w:eastAsia="zh-CN"/>
              </w:rPr>
              <w:t>不能达到使用要求得1分；</w:t>
            </w:r>
          </w:p>
          <w:p w14:paraId="14AD24D0">
            <w:pPr>
              <w:pStyle w:val="21"/>
              <w:spacing w:before="176" w:line="219" w:lineRule="auto"/>
              <w:ind w:left="113"/>
              <w:rPr>
                <w:color w:val="auto"/>
                <w:spacing w:val="-1"/>
              </w:rPr>
            </w:pPr>
            <w:r>
              <w:rPr>
                <w:rFonts w:hint="eastAsia"/>
                <w:color w:val="auto"/>
                <w:spacing w:val="-1"/>
              </w:rPr>
              <w:t>不提供不得分。</w:t>
            </w:r>
          </w:p>
        </w:tc>
      </w:tr>
      <w:tr w14:paraId="10A3E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1637" w:hRule="atLeast"/>
          <w:jc w:val="center"/>
        </w:trPr>
        <w:tc>
          <w:tcPr>
            <w:tcW w:w="1803" w:type="dxa"/>
            <w:gridSpan w:val="3"/>
            <w:tcBorders>
              <w:top w:val="single" w:color="000000" w:sz="2" w:space="0"/>
              <w:left w:val="single" w:color="000000" w:sz="4" w:space="0"/>
              <w:bottom w:val="single" w:color="000000" w:sz="4" w:space="0"/>
            </w:tcBorders>
            <w:vAlign w:val="center"/>
          </w:tcPr>
          <w:p w14:paraId="035C09A9">
            <w:pPr>
              <w:pStyle w:val="21"/>
              <w:spacing w:before="176" w:line="219" w:lineRule="auto"/>
              <w:ind w:left="113"/>
              <w:rPr>
                <w:color w:val="auto"/>
                <w:spacing w:val="-1"/>
              </w:rPr>
            </w:pPr>
            <w:r>
              <w:rPr>
                <w:rFonts w:hint="eastAsia"/>
                <w:color w:val="auto"/>
                <w:spacing w:val="-1"/>
              </w:rPr>
              <w:t>2.2.4</w:t>
            </w:r>
            <w:r>
              <w:rPr>
                <w:rFonts w:hint="eastAsia"/>
                <w:color w:val="auto"/>
                <w:spacing w:val="-1"/>
                <w:lang w:eastAsia="zh-CN"/>
              </w:rPr>
              <w:t>(</w:t>
            </w:r>
            <w:r>
              <w:rPr>
                <w:rFonts w:hint="eastAsia"/>
                <w:color w:val="auto"/>
                <w:spacing w:val="-1"/>
              </w:rPr>
              <w:t>3)</w:t>
            </w:r>
          </w:p>
        </w:tc>
        <w:tc>
          <w:tcPr>
            <w:tcW w:w="510" w:type="dxa"/>
            <w:gridSpan w:val="2"/>
            <w:tcBorders>
              <w:top w:val="single" w:color="000000" w:sz="2" w:space="0"/>
              <w:bottom w:val="single" w:color="000000" w:sz="4" w:space="0"/>
            </w:tcBorders>
            <w:vAlign w:val="center"/>
          </w:tcPr>
          <w:p w14:paraId="69AC0C17">
            <w:pPr>
              <w:pStyle w:val="21"/>
              <w:spacing w:before="176" w:line="219" w:lineRule="auto"/>
              <w:ind w:left="113"/>
              <w:rPr>
                <w:color w:val="auto"/>
                <w:spacing w:val="-1"/>
              </w:rPr>
            </w:pPr>
            <w:r>
              <w:rPr>
                <w:rFonts w:hint="eastAsia"/>
                <w:color w:val="auto"/>
                <w:spacing w:val="-1"/>
              </w:rPr>
              <w:t>报价文件部分</w:t>
            </w:r>
          </w:p>
        </w:tc>
        <w:tc>
          <w:tcPr>
            <w:tcW w:w="2158" w:type="dxa"/>
            <w:gridSpan w:val="2"/>
            <w:tcBorders>
              <w:bottom w:val="single" w:color="000000" w:sz="4" w:space="0"/>
            </w:tcBorders>
            <w:vAlign w:val="center"/>
          </w:tcPr>
          <w:p w14:paraId="3862BCE6">
            <w:pPr>
              <w:pStyle w:val="21"/>
              <w:spacing w:before="176" w:line="219" w:lineRule="auto"/>
              <w:ind w:left="113"/>
              <w:rPr>
                <w:color w:val="auto"/>
                <w:spacing w:val="-1"/>
              </w:rPr>
            </w:pPr>
            <w:r>
              <w:rPr>
                <w:rFonts w:hint="eastAsia"/>
                <w:color w:val="auto"/>
                <w:spacing w:val="-1"/>
              </w:rPr>
              <w:t>评标价（20分）</w:t>
            </w:r>
          </w:p>
        </w:tc>
        <w:tc>
          <w:tcPr>
            <w:tcW w:w="4459" w:type="dxa"/>
            <w:tcBorders>
              <w:bottom w:val="single" w:color="000000" w:sz="4" w:space="0"/>
              <w:right w:val="single" w:color="000000" w:sz="4" w:space="0"/>
            </w:tcBorders>
            <w:vAlign w:val="center"/>
          </w:tcPr>
          <w:p w14:paraId="01012F21">
            <w:pPr>
              <w:pStyle w:val="21"/>
              <w:spacing w:before="176" w:line="219" w:lineRule="auto"/>
              <w:ind w:left="113"/>
              <w:rPr>
                <w:color w:val="auto"/>
                <w:spacing w:val="-1"/>
                <w:lang w:eastAsia="zh-CN"/>
              </w:rPr>
            </w:pPr>
            <w:r>
              <w:rPr>
                <w:rFonts w:hint="eastAsia"/>
                <w:color w:val="auto"/>
                <w:spacing w:val="-1"/>
                <w:lang w:eastAsia="zh-CN"/>
              </w:rPr>
              <w:t>F＝20-（投标人评标价－评标基准价） ÷评标基准价× 100× 0.2（评标价＞基准价时）</w:t>
            </w:r>
          </w:p>
          <w:p w14:paraId="19C15A63">
            <w:pPr>
              <w:pStyle w:val="21"/>
              <w:spacing w:before="176" w:line="219" w:lineRule="auto"/>
              <w:ind w:left="113"/>
              <w:rPr>
                <w:color w:val="auto"/>
                <w:spacing w:val="-1"/>
                <w:lang w:eastAsia="zh-CN"/>
              </w:rPr>
            </w:pPr>
            <w:r>
              <w:rPr>
                <w:rFonts w:hint="eastAsia"/>
                <w:color w:val="auto"/>
                <w:spacing w:val="-1"/>
                <w:lang w:eastAsia="zh-CN"/>
              </w:rPr>
              <w:t>F＝20-（评标基准价－投标人评标价） ÷评标基准价× 100× 0.1（评标价≤基准价时）</w:t>
            </w:r>
          </w:p>
        </w:tc>
      </w:tr>
      <w:tr w14:paraId="16C90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408" w:hRule="atLeast"/>
          <w:jc w:val="center"/>
        </w:trPr>
        <w:tc>
          <w:tcPr>
            <w:tcW w:w="8930" w:type="dxa"/>
            <w:gridSpan w:val="8"/>
            <w:tcBorders>
              <w:top w:val="single" w:color="000000" w:sz="4" w:space="0"/>
              <w:left w:val="single" w:color="000000" w:sz="4" w:space="0"/>
              <w:right w:val="single" w:color="000000" w:sz="4" w:space="0"/>
            </w:tcBorders>
            <w:vAlign w:val="center"/>
          </w:tcPr>
          <w:p w14:paraId="13A33806">
            <w:pPr>
              <w:pStyle w:val="21"/>
              <w:spacing w:before="176" w:line="219" w:lineRule="auto"/>
              <w:ind w:left="113"/>
              <w:rPr>
                <w:color w:val="auto"/>
                <w:spacing w:val="-1"/>
                <w:lang w:eastAsia="zh-CN"/>
              </w:rPr>
            </w:pPr>
            <w:r>
              <w:rPr>
                <w:rFonts w:hint="eastAsia"/>
                <w:color w:val="auto"/>
                <w:spacing w:val="-1"/>
                <w:lang w:eastAsia="zh-CN"/>
              </w:rPr>
              <w:t>需要补充的其他内容：</w:t>
            </w:r>
          </w:p>
        </w:tc>
      </w:tr>
      <w:tr w14:paraId="1A7A4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408" w:hRule="atLeast"/>
          <w:jc w:val="center"/>
        </w:trPr>
        <w:tc>
          <w:tcPr>
            <w:tcW w:w="1803" w:type="dxa"/>
            <w:gridSpan w:val="3"/>
            <w:tcBorders>
              <w:left w:val="single" w:color="000000" w:sz="4" w:space="0"/>
            </w:tcBorders>
            <w:vAlign w:val="center"/>
          </w:tcPr>
          <w:p w14:paraId="16C3A5D9">
            <w:pPr>
              <w:pStyle w:val="21"/>
              <w:spacing w:before="176" w:line="219" w:lineRule="auto"/>
              <w:ind w:left="113"/>
              <w:rPr>
                <w:color w:val="auto"/>
                <w:spacing w:val="-1"/>
              </w:rPr>
            </w:pPr>
            <w:r>
              <w:rPr>
                <w:rFonts w:hint="eastAsia"/>
                <w:color w:val="auto"/>
                <w:spacing w:val="-1"/>
              </w:rPr>
              <w:t>条款号</w:t>
            </w:r>
          </w:p>
        </w:tc>
        <w:tc>
          <w:tcPr>
            <w:tcW w:w="7127" w:type="dxa"/>
            <w:gridSpan w:val="5"/>
            <w:tcBorders>
              <w:right w:val="single" w:color="000000" w:sz="4" w:space="0"/>
            </w:tcBorders>
            <w:vAlign w:val="center"/>
          </w:tcPr>
          <w:p w14:paraId="2F061C2E">
            <w:pPr>
              <w:pStyle w:val="21"/>
              <w:spacing w:before="176" w:line="219" w:lineRule="auto"/>
              <w:ind w:left="113"/>
              <w:rPr>
                <w:color w:val="auto"/>
                <w:spacing w:val="-1"/>
              </w:rPr>
            </w:pPr>
            <w:r>
              <w:rPr>
                <w:rFonts w:hint="eastAsia"/>
                <w:color w:val="auto"/>
                <w:spacing w:val="-1"/>
              </w:rPr>
              <w:t>编列内容</w:t>
            </w:r>
          </w:p>
        </w:tc>
      </w:tr>
      <w:tr w14:paraId="2498D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1650" w:hRule="atLeast"/>
          <w:jc w:val="center"/>
        </w:trPr>
        <w:tc>
          <w:tcPr>
            <w:tcW w:w="1803" w:type="dxa"/>
            <w:gridSpan w:val="3"/>
            <w:tcBorders>
              <w:left w:val="single" w:color="000000" w:sz="4" w:space="0"/>
            </w:tcBorders>
            <w:vAlign w:val="center"/>
          </w:tcPr>
          <w:p w14:paraId="41B4C926">
            <w:pPr>
              <w:pStyle w:val="21"/>
              <w:spacing w:before="176" w:line="219" w:lineRule="auto"/>
              <w:ind w:left="113"/>
              <w:rPr>
                <w:color w:val="auto"/>
                <w:spacing w:val="-1"/>
              </w:rPr>
            </w:pPr>
            <w:r>
              <w:rPr>
                <w:rFonts w:hint="eastAsia"/>
                <w:color w:val="auto"/>
                <w:spacing w:val="-1"/>
              </w:rPr>
              <w:t>1.评分结果汇总</w:t>
            </w:r>
          </w:p>
        </w:tc>
        <w:tc>
          <w:tcPr>
            <w:tcW w:w="7127" w:type="dxa"/>
            <w:gridSpan w:val="5"/>
            <w:tcBorders>
              <w:right w:val="single" w:color="000000" w:sz="4" w:space="0"/>
            </w:tcBorders>
            <w:vAlign w:val="center"/>
          </w:tcPr>
          <w:p w14:paraId="58A0474C">
            <w:pPr>
              <w:pStyle w:val="21"/>
              <w:spacing w:before="176" w:line="219" w:lineRule="auto"/>
              <w:ind w:left="113"/>
              <w:rPr>
                <w:color w:val="auto"/>
                <w:spacing w:val="-1"/>
                <w:lang w:eastAsia="zh-CN"/>
              </w:rPr>
            </w:pPr>
            <w:r>
              <w:rPr>
                <w:rFonts w:hint="eastAsia"/>
                <w:color w:val="auto"/>
                <w:spacing w:val="-1"/>
                <w:lang w:eastAsia="zh-CN"/>
              </w:rPr>
              <w:t>最终（含分项）评分结果汇总确定办法：</w:t>
            </w:r>
          </w:p>
          <w:p w14:paraId="00BF99CB">
            <w:pPr>
              <w:pStyle w:val="21"/>
              <w:spacing w:before="176" w:line="219" w:lineRule="auto"/>
              <w:ind w:left="113"/>
              <w:rPr>
                <w:color w:val="auto"/>
                <w:spacing w:val="-1"/>
                <w:lang w:eastAsia="zh-CN"/>
              </w:rPr>
            </w:pPr>
            <w:r>
              <w:rPr>
                <w:rFonts w:hint="eastAsia"/>
                <w:color w:val="auto"/>
                <w:spacing w:val="-1"/>
                <w:lang w:eastAsia="zh-CN"/>
              </w:rPr>
              <w:t>☑所有评标委员会成员评分的算术平均值。</w:t>
            </w:r>
          </w:p>
          <w:p w14:paraId="5E401975">
            <w:pPr>
              <w:pStyle w:val="21"/>
              <w:spacing w:before="176" w:line="219" w:lineRule="auto"/>
              <w:ind w:left="113"/>
              <w:rPr>
                <w:color w:val="auto"/>
                <w:spacing w:val="-1"/>
                <w:lang w:eastAsia="zh-CN"/>
              </w:rPr>
            </w:pPr>
            <w:r>
              <w:rPr>
                <w:rFonts w:hint="eastAsia"/>
                <w:color w:val="auto"/>
                <w:spacing w:val="-1"/>
                <w:lang w:eastAsia="zh-CN"/>
              </w:rPr>
              <w:t>□所有评标委员会成员评分去掉一个最高分和一个最低分后计算平均值（分项评审成员3名（含3名） 以下时，按照算术平均值进行计算）。</w:t>
            </w:r>
          </w:p>
        </w:tc>
      </w:tr>
      <w:tr w14:paraId="43064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315" w:type="dxa"/>
          <w:trHeight w:val="3276" w:hRule="atLeast"/>
          <w:jc w:val="center"/>
        </w:trPr>
        <w:tc>
          <w:tcPr>
            <w:tcW w:w="1803" w:type="dxa"/>
            <w:gridSpan w:val="3"/>
            <w:tcBorders>
              <w:left w:val="single" w:color="000000" w:sz="4" w:space="0"/>
              <w:bottom w:val="single" w:color="000000" w:sz="4" w:space="0"/>
            </w:tcBorders>
            <w:vAlign w:val="center"/>
          </w:tcPr>
          <w:p w14:paraId="42D5C654">
            <w:pPr>
              <w:pStyle w:val="21"/>
              <w:spacing w:before="176" w:line="219" w:lineRule="auto"/>
              <w:ind w:left="113"/>
              <w:rPr>
                <w:color w:val="auto"/>
                <w:spacing w:val="-1"/>
              </w:rPr>
            </w:pPr>
            <w:r>
              <w:rPr>
                <w:rFonts w:hint="eastAsia"/>
                <w:color w:val="auto"/>
                <w:spacing w:val="-1"/>
              </w:rPr>
              <w:t>2.推荐中标候选人</w:t>
            </w:r>
          </w:p>
        </w:tc>
        <w:tc>
          <w:tcPr>
            <w:tcW w:w="7127" w:type="dxa"/>
            <w:gridSpan w:val="5"/>
            <w:tcBorders>
              <w:bottom w:val="single" w:color="000000" w:sz="4" w:space="0"/>
              <w:right w:val="single" w:color="000000" w:sz="4" w:space="0"/>
            </w:tcBorders>
            <w:vAlign w:val="center"/>
          </w:tcPr>
          <w:p w14:paraId="3B2986E7">
            <w:pPr>
              <w:pStyle w:val="21"/>
              <w:spacing w:before="176" w:line="219" w:lineRule="auto"/>
              <w:ind w:left="113"/>
              <w:rPr>
                <w:color w:val="auto"/>
                <w:spacing w:val="-1"/>
                <w:lang w:eastAsia="zh-CN"/>
              </w:rPr>
            </w:pPr>
            <w:r>
              <w:rPr>
                <w:rFonts w:hint="eastAsia"/>
                <w:color w:val="auto"/>
                <w:spacing w:val="-1"/>
                <w:lang w:eastAsia="zh-CN"/>
              </w:rPr>
              <w:t>（1）评标委员会向招标人推荐不超过3家的合格的中标候选人，且对每个中标候选人的技术咨询建议、优势、不足、风险等情况进行说明，提出推荐意见和建议。</w:t>
            </w:r>
          </w:p>
          <w:p w14:paraId="01F991F0">
            <w:pPr>
              <w:pStyle w:val="21"/>
              <w:spacing w:before="176" w:line="219" w:lineRule="auto"/>
              <w:ind w:left="113"/>
              <w:rPr>
                <w:color w:val="auto"/>
                <w:spacing w:val="-1"/>
                <w:lang w:eastAsia="zh-CN"/>
              </w:rPr>
            </w:pPr>
            <w:r>
              <w:rPr>
                <w:rFonts w:hint="eastAsia"/>
                <w:color w:val="auto"/>
                <w:spacing w:val="-1"/>
                <w:lang w:eastAsia="zh-CN"/>
              </w:rPr>
              <w:t>（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 , 但投标报价低于其成本的除外。综合评分相等时，依次按下列因素排序：（1）投标报价由低到高（2）技术标得分由高到低（3）资信标得分由高到低（4）其他因素得分由高到低；上述因素仍不能排定顺序的， 由招标人或者招标人授权的评标委员会自行确定。</w:t>
            </w:r>
          </w:p>
        </w:tc>
      </w:tr>
    </w:tbl>
    <w:p w14:paraId="06D9415C">
      <w:pPr>
        <w:pStyle w:val="21"/>
        <w:spacing w:before="176" w:line="219" w:lineRule="auto"/>
        <w:ind w:left="113"/>
        <w:rPr>
          <w:color w:val="auto"/>
          <w:spacing w:val="-1"/>
          <w:lang w:eastAsia="zh-CN"/>
        </w:rPr>
      </w:pPr>
    </w:p>
    <w:p w14:paraId="41AD05D5">
      <w:pPr>
        <w:rPr>
          <w:color w:val="auto"/>
          <w:lang w:eastAsia="zh-CN"/>
        </w:rPr>
        <w:sectPr>
          <w:headerReference r:id="rId56" w:type="default"/>
          <w:footerReference r:id="rId57" w:type="default"/>
          <w:pgSz w:w="11906" w:h="16839"/>
          <w:pgMar w:top="1440" w:right="1803" w:bottom="1440" w:left="1803" w:header="0" w:footer="846" w:gutter="0"/>
          <w:cols w:space="720" w:num="1"/>
        </w:sectPr>
      </w:pPr>
    </w:p>
    <w:p w14:paraId="40461284">
      <w:pPr>
        <w:pStyle w:val="8"/>
        <w:spacing w:line="248" w:lineRule="auto"/>
        <w:rPr>
          <w:lang w:eastAsia="zh-CN"/>
        </w:rPr>
      </w:pPr>
    </w:p>
    <w:p w14:paraId="40181393">
      <w:pPr>
        <w:pStyle w:val="8"/>
        <w:spacing w:line="243" w:lineRule="auto"/>
        <w:rPr>
          <w:lang w:eastAsia="zh-CN"/>
        </w:rPr>
      </w:pPr>
      <w:bookmarkStart w:id="237" w:name="bookmark83"/>
      <w:bookmarkEnd w:id="237"/>
      <w:bookmarkStart w:id="238" w:name="bookmark82"/>
      <w:bookmarkEnd w:id="238"/>
    </w:p>
    <w:p w14:paraId="51512A83">
      <w:pPr>
        <w:spacing w:before="91" w:line="221" w:lineRule="auto"/>
        <w:ind w:left="1700"/>
        <w:outlineLvl w:val="1"/>
        <w:rPr>
          <w:rFonts w:ascii="黑体" w:hAnsi="黑体" w:eastAsia="黑体" w:cs="黑体"/>
          <w:color w:val="auto"/>
          <w:sz w:val="28"/>
          <w:szCs w:val="28"/>
          <w:lang w:eastAsia="zh-CN"/>
        </w:rPr>
      </w:pPr>
      <w:bookmarkStart w:id="239" w:name="_Toc19616"/>
      <w:bookmarkStart w:id="240" w:name="_Toc22496"/>
      <w:bookmarkStart w:id="241" w:name="_Toc23202"/>
      <w:bookmarkStart w:id="242" w:name="_Toc6262"/>
      <w:bookmarkStart w:id="243" w:name="_Toc24595"/>
      <w:bookmarkStart w:id="244" w:name="_Toc30424"/>
      <w:r>
        <w:rPr>
          <w:rFonts w:ascii="黑体" w:hAnsi="黑体" w:eastAsia="黑体" w:cs="黑体"/>
          <w:color w:val="auto"/>
          <w:spacing w:val="-2"/>
          <w:sz w:val="28"/>
          <w:szCs w:val="28"/>
          <w:lang w:eastAsia="zh-CN"/>
        </w:rPr>
        <w:t>评标办法正文部分</w:t>
      </w:r>
      <w:bookmarkEnd w:id="239"/>
      <w:bookmarkEnd w:id="240"/>
      <w:bookmarkEnd w:id="241"/>
      <w:bookmarkEnd w:id="242"/>
      <w:bookmarkEnd w:id="243"/>
      <w:bookmarkEnd w:id="244"/>
    </w:p>
    <w:p w14:paraId="1632B2BD">
      <w:pPr>
        <w:spacing w:before="124" w:line="221" w:lineRule="auto"/>
        <w:ind w:left="1716"/>
        <w:outlineLvl w:val="1"/>
        <w:rPr>
          <w:rFonts w:ascii="黑体" w:hAnsi="黑体" w:eastAsia="黑体" w:cs="黑体"/>
          <w:color w:val="auto"/>
          <w:sz w:val="28"/>
          <w:szCs w:val="28"/>
          <w:lang w:eastAsia="zh-CN"/>
        </w:rPr>
      </w:pPr>
      <w:bookmarkStart w:id="245" w:name="_Toc27879"/>
      <w:bookmarkStart w:id="246" w:name="_Toc18026"/>
      <w:bookmarkStart w:id="247" w:name="_Toc24942"/>
      <w:bookmarkStart w:id="248" w:name="_Toc5038"/>
      <w:bookmarkStart w:id="249" w:name="_Toc27126"/>
      <w:bookmarkStart w:id="250" w:name="_Toc18009"/>
      <w:r>
        <w:rPr>
          <w:rFonts w:ascii="黑体" w:hAnsi="黑体" w:eastAsia="黑体" w:cs="黑体"/>
          <w:color w:val="auto"/>
          <w:spacing w:val="-5"/>
          <w:sz w:val="28"/>
          <w:szCs w:val="28"/>
          <w:lang w:eastAsia="zh-CN"/>
        </w:rPr>
        <w:t>1.评标方法</w:t>
      </w:r>
      <w:bookmarkEnd w:id="245"/>
      <w:bookmarkEnd w:id="246"/>
      <w:bookmarkEnd w:id="247"/>
      <w:bookmarkEnd w:id="248"/>
      <w:bookmarkEnd w:id="249"/>
      <w:bookmarkEnd w:id="250"/>
    </w:p>
    <w:p w14:paraId="42568966">
      <w:pPr>
        <w:spacing w:before="85" w:line="318" w:lineRule="auto"/>
        <w:ind w:left="1706" w:right="1796" w:firstLine="413"/>
        <w:rPr>
          <w:rFonts w:ascii="宋体" w:hAnsi="宋体" w:eastAsia="宋体" w:cs="宋体"/>
          <w:color w:val="auto"/>
          <w:lang w:eastAsia="zh-CN"/>
        </w:rPr>
      </w:pPr>
      <w:r>
        <w:rPr>
          <w:rFonts w:ascii="宋体" w:hAnsi="宋体" w:eastAsia="宋体" w:cs="宋体"/>
          <w:color w:val="auto"/>
          <w:spacing w:val="-4"/>
          <w:lang w:eastAsia="zh-CN"/>
        </w:rPr>
        <w:t>本次评标采用综合评估法。评标委员会对满足招标文件实质性要求的投标文件，</w:t>
      </w:r>
      <w:r>
        <w:rPr>
          <w:rFonts w:ascii="宋体" w:hAnsi="宋体" w:eastAsia="宋体" w:cs="宋体"/>
          <w:color w:val="auto"/>
          <w:spacing w:val="-5"/>
          <w:lang w:eastAsia="zh-CN"/>
        </w:rPr>
        <w:t>按照本</w:t>
      </w:r>
      <w:r>
        <w:rPr>
          <w:rFonts w:ascii="宋体" w:hAnsi="宋体" w:eastAsia="宋体" w:cs="宋体"/>
          <w:color w:val="auto"/>
          <w:spacing w:val="-1"/>
          <w:lang w:eastAsia="zh-CN"/>
        </w:rPr>
        <w:t>章</w:t>
      </w:r>
      <w:r>
        <w:rPr>
          <w:rFonts w:ascii="Times New Roman" w:hAnsi="Times New Roman" w:eastAsia="Times New Roman" w:cs="Times New Roman"/>
          <w:color w:val="auto"/>
          <w:spacing w:val="-1"/>
          <w:lang w:eastAsia="zh-CN"/>
        </w:rPr>
        <w:t xml:space="preserve">2.2  </w:t>
      </w:r>
      <w:r>
        <w:rPr>
          <w:rFonts w:ascii="宋体" w:hAnsi="宋体" w:eastAsia="宋体" w:cs="宋体"/>
          <w:color w:val="auto"/>
          <w:spacing w:val="-1"/>
          <w:lang w:eastAsia="zh-CN"/>
        </w:rPr>
        <w:t>款规定的评分标准进行打分，并按评标办法前附表</w:t>
      </w:r>
      <w:r>
        <w:rPr>
          <w:rFonts w:ascii="宋体" w:hAnsi="宋体" w:eastAsia="宋体" w:cs="宋体"/>
          <w:color w:val="auto"/>
          <w:spacing w:val="-2"/>
          <w:lang w:eastAsia="zh-CN"/>
        </w:rPr>
        <w:t>的规定推荐中标候选人。</w:t>
      </w:r>
    </w:p>
    <w:p w14:paraId="5BA5D0A7">
      <w:pPr>
        <w:spacing w:before="35" w:line="222" w:lineRule="auto"/>
        <w:ind w:left="1699"/>
        <w:outlineLvl w:val="1"/>
        <w:rPr>
          <w:rFonts w:ascii="黑体" w:hAnsi="黑体" w:eastAsia="黑体" w:cs="黑体"/>
          <w:color w:val="auto"/>
          <w:sz w:val="28"/>
          <w:szCs w:val="28"/>
          <w:lang w:eastAsia="zh-CN"/>
        </w:rPr>
      </w:pPr>
      <w:bookmarkStart w:id="251" w:name="bookmark85"/>
      <w:bookmarkEnd w:id="251"/>
      <w:bookmarkStart w:id="252" w:name="bookmark84"/>
      <w:bookmarkEnd w:id="252"/>
      <w:bookmarkStart w:id="253" w:name="_Toc22115"/>
      <w:bookmarkStart w:id="254" w:name="_Toc4423"/>
      <w:bookmarkStart w:id="255" w:name="_Toc146"/>
      <w:bookmarkStart w:id="256" w:name="_Toc15663"/>
      <w:bookmarkStart w:id="257" w:name="_Toc9265"/>
      <w:bookmarkStart w:id="258" w:name="_Toc11930"/>
      <w:r>
        <w:rPr>
          <w:rFonts w:ascii="黑体" w:hAnsi="黑体" w:eastAsia="黑体" w:cs="黑体"/>
          <w:color w:val="auto"/>
          <w:spacing w:val="-2"/>
          <w:sz w:val="28"/>
          <w:szCs w:val="28"/>
          <w:lang w:eastAsia="zh-CN"/>
        </w:rPr>
        <w:t>2.评审标准</w:t>
      </w:r>
      <w:bookmarkEnd w:id="253"/>
      <w:bookmarkEnd w:id="254"/>
      <w:bookmarkEnd w:id="255"/>
      <w:bookmarkEnd w:id="256"/>
      <w:bookmarkEnd w:id="257"/>
      <w:bookmarkEnd w:id="258"/>
    </w:p>
    <w:p w14:paraId="7D414382">
      <w:pPr>
        <w:spacing w:before="57" w:line="222" w:lineRule="auto"/>
        <w:ind w:left="1696"/>
        <w:outlineLvl w:val="2"/>
        <w:rPr>
          <w:rFonts w:ascii="黑体" w:hAnsi="黑体" w:eastAsia="黑体" w:cs="黑体"/>
          <w:color w:val="auto"/>
          <w:sz w:val="24"/>
          <w:szCs w:val="24"/>
          <w:lang w:eastAsia="zh-CN"/>
        </w:rPr>
      </w:pPr>
      <w:r>
        <w:rPr>
          <w:rFonts w:ascii="Times New Roman" w:hAnsi="Times New Roman" w:eastAsia="Times New Roman" w:cs="Times New Roman"/>
          <w:color w:val="auto"/>
          <w:spacing w:val="-1"/>
          <w:sz w:val="24"/>
          <w:szCs w:val="24"/>
          <w:lang w:eastAsia="zh-CN"/>
        </w:rPr>
        <w:t xml:space="preserve">2.1  </w:t>
      </w:r>
      <w:r>
        <w:rPr>
          <w:rFonts w:ascii="黑体" w:hAnsi="黑体" w:eastAsia="黑体" w:cs="黑体"/>
          <w:color w:val="auto"/>
          <w:spacing w:val="-1"/>
          <w:sz w:val="24"/>
          <w:szCs w:val="24"/>
          <w:lang w:eastAsia="zh-CN"/>
        </w:rPr>
        <w:t>初步评审标准</w:t>
      </w:r>
    </w:p>
    <w:p w14:paraId="487DD00F">
      <w:pPr>
        <w:spacing w:before="97" w:line="220"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2.1.1  </w:t>
      </w:r>
      <w:r>
        <w:rPr>
          <w:rFonts w:ascii="宋体" w:hAnsi="宋体" w:eastAsia="宋体" w:cs="宋体"/>
          <w:color w:val="auto"/>
          <w:spacing w:val="-2"/>
          <w:lang w:eastAsia="zh-CN"/>
        </w:rPr>
        <w:t>形式评审标准：见评标办法前附表。</w:t>
      </w:r>
    </w:p>
    <w:p w14:paraId="7AA28DA8">
      <w:pPr>
        <w:spacing w:before="110" w:line="220"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2.1.2  </w:t>
      </w:r>
      <w:r>
        <w:rPr>
          <w:rFonts w:ascii="宋体" w:hAnsi="宋体" w:eastAsia="宋体" w:cs="宋体"/>
          <w:color w:val="auto"/>
          <w:spacing w:val="-2"/>
          <w:lang w:eastAsia="zh-CN"/>
        </w:rPr>
        <w:t>资格评审标准：见评标办法前附表。</w:t>
      </w:r>
    </w:p>
    <w:p w14:paraId="4D749E09">
      <w:pPr>
        <w:spacing w:before="110" w:line="220" w:lineRule="auto"/>
        <w:ind w:left="2115"/>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2.1.3  </w:t>
      </w:r>
      <w:r>
        <w:rPr>
          <w:rFonts w:ascii="宋体" w:hAnsi="宋体" w:eastAsia="宋体" w:cs="宋体"/>
          <w:color w:val="auto"/>
          <w:spacing w:val="-2"/>
          <w:lang w:eastAsia="zh-CN"/>
        </w:rPr>
        <w:t>响应性评审标准：见评标办法前附表。</w:t>
      </w:r>
    </w:p>
    <w:p w14:paraId="6A1BB1A7">
      <w:pPr>
        <w:spacing w:before="84" w:line="222" w:lineRule="auto"/>
        <w:ind w:left="1696"/>
        <w:outlineLvl w:val="2"/>
        <w:rPr>
          <w:rFonts w:ascii="黑体" w:hAnsi="黑体" w:eastAsia="黑体" w:cs="黑体"/>
          <w:color w:val="auto"/>
          <w:sz w:val="24"/>
          <w:szCs w:val="24"/>
          <w:lang w:eastAsia="zh-CN"/>
        </w:rPr>
      </w:pPr>
      <w:bookmarkStart w:id="259" w:name="bookmark86"/>
      <w:bookmarkEnd w:id="259"/>
      <w:r>
        <w:rPr>
          <w:rFonts w:ascii="Times New Roman" w:hAnsi="Times New Roman" w:eastAsia="Times New Roman" w:cs="Times New Roman"/>
          <w:color w:val="auto"/>
          <w:spacing w:val="-1"/>
          <w:sz w:val="24"/>
          <w:szCs w:val="24"/>
          <w:lang w:eastAsia="zh-CN"/>
        </w:rPr>
        <w:t xml:space="preserve">2.2  </w:t>
      </w:r>
      <w:r>
        <w:rPr>
          <w:rFonts w:ascii="黑体" w:hAnsi="黑体" w:eastAsia="黑体" w:cs="黑体"/>
          <w:color w:val="auto"/>
          <w:spacing w:val="-1"/>
          <w:sz w:val="24"/>
          <w:szCs w:val="24"/>
          <w:lang w:eastAsia="zh-CN"/>
        </w:rPr>
        <w:t>分值构成与评分标准</w:t>
      </w:r>
    </w:p>
    <w:p w14:paraId="69F7D101">
      <w:pPr>
        <w:spacing w:before="98" w:line="220" w:lineRule="auto"/>
        <w:ind w:left="21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2.2.1  </w:t>
      </w:r>
      <w:r>
        <w:rPr>
          <w:rFonts w:ascii="宋体" w:hAnsi="宋体" w:eastAsia="宋体" w:cs="宋体"/>
          <w:color w:val="auto"/>
          <w:spacing w:val="-1"/>
          <w:lang w:eastAsia="zh-CN"/>
        </w:rPr>
        <w:t>分值构成</w:t>
      </w:r>
    </w:p>
    <w:p w14:paraId="28B0521D">
      <w:pPr>
        <w:spacing w:before="109" w:line="219"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w:t>
      </w:r>
      <w:r>
        <w:rPr>
          <w:rFonts w:ascii="宋体" w:hAnsi="宋体" w:eastAsia="宋体" w:cs="宋体"/>
          <w:color w:val="auto"/>
          <w:spacing w:val="-4"/>
          <w:lang w:eastAsia="zh-CN"/>
        </w:rPr>
        <w:t>）投标报价：见评标办法前附表；</w:t>
      </w:r>
    </w:p>
    <w:p w14:paraId="2BF6F5D8">
      <w:pPr>
        <w:spacing w:before="111"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2</w:t>
      </w:r>
      <w:r>
        <w:rPr>
          <w:rFonts w:ascii="宋体" w:hAnsi="宋体" w:eastAsia="宋体" w:cs="宋体"/>
          <w:color w:val="auto"/>
          <w:spacing w:val="-4"/>
          <w:lang w:eastAsia="zh-CN"/>
        </w:rPr>
        <w:t>）技术部分：见评标办法前附表；</w:t>
      </w:r>
    </w:p>
    <w:p w14:paraId="012D89AA">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）商务（资信业绩）部分：见评标办法前附表；</w:t>
      </w:r>
    </w:p>
    <w:p w14:paraId="441A6DF5">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4</w:t>
      </w:r>
      <w:r>
        <w:rPr>
          <w:rFonts w:ascii="宋体" w:hAnsi="宋体" w:eastAsia="宋体" w:cs="宋体"/>
          <w:color w:val="auto"/>
          <w:spacing w:val="-3"/>
          <w:lang w:eastAsia="zh-CN"/>
        </w:rPr>
        <w:t>）其他评分因素：见评标办法前附表。</w:t>
      </w:r>
    </w:p>
    <w:p w14:paraId="12A2A7A1">
      <w:pPr>
        <w:spacing w:before="110" w:line="219" w:lineRule="auto"/>
        <w:ind w:left="21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2.2.2  </w:t>
      </w:r>
      <w:r>
        <w:rPr>
          <w:rFonts w:ascii="宋体" w:hAnsi="宋体" w:eastAsia="宋体" w:cs="宋体"/>
          <w:color w:val="auto"/>
          <w:spacing w:val="-1"/>
          <w:lang w:eastAsia="zh-CN"/>
        </w:rPr>
        <w:t>评标基准价计算</w:t>
      </w:r>
    </w:p>
    <w:p w14:paraId="6DD472EF">
      <w:pPr>
        <w:spacing w:before="111" w:line="219" w:lineRule="auto"/>
        <w:ind w:left="2118"/>
        <w:rPr>
          <w:rFonts w:ascii="宋体" w:hAnsi="宋体" w:eastAsia="宋体" w:cs="宋体"/>
          <w:color w:val="auto"/>
          <w:lang w:eastAsia="zh-CN"/>
        </w:rPr>
      </w:pPr>
      <w:r>
        <w:rPr>
          <w:rFonts w:ascii="宋体" w:hAnsi="宋体" w:eastAsia="宋体" w:cs="宋体"/>
          <w:color w:val="auto"/>
          <w:spacing w:val="-2"/>
          <w:lang w:eastAsia="zh-CN"/>
        </w:rPr>
        <w:t>评标基准价计算方法：见评标办法前附表。</w:t>
      </w:r>
    </w:p>
    <w:p w14:paraId="315BC3C7">
      <w:pPr>
        <w:spacing w:before="111" w:line="219" w:lineRule="auto"/>
        <w:ind w:left="21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2.2.3  </w:t>
      </w:r>
      <w:r>
        <w:rPr>
          <w:rFonts w:ascii="宋体" w:hAnsi="宋体" w:eastAsia="宋体" w:cs="宋体"/>
          <w:color w:val="auto"/>
          <w:spacing w:val="-1"/>
          <w:lang w:eastAsia="zh-CN"/>
        </w:rPr>
        <w:t>投标报价的偏差率计算</w:t>
      </w:r>
    </w:p>
    <w:p w14:paraId="22B39173">
      <w:pPr>
        <w:spacing w:before="111" w:line="219" w:lineRule="auto"/>
        <w:ind w:left="2121"/>
        <w:rPr>
          <w:rFonts w:ascii="宋体" w:hAnsi="宋体" w:eastAsia="宋体" w:cs="宋体"/>
          <w:color w:val="auto"/>
          <w:lang w:eastAsia="zh-CN"/>
        </w:rPr>
      </w:pPr>
      <w:r>
        <w:rPr>
          <w:rFonts w:ascii="宋体" w:hAnsi="宋体" w:eastAsia="宋体" w:cs="宋体"/>
          <w:color w:val="auto"/>
          <w:spacing w:val="-2"/>
          <w:lang w:eastAsia="zh-CN"/>
        </w:rPr>
        <w:t>投标报价的偏差率计算公式：见评标办法前附表。</w:t>
      </w:r>
    </w:p>
    <w:p w14:paraId="62FE78BF">
      <w:pPr>
        <w:spacing w:before="111" w:line="221" w:lineRule="auto"/>
        <w:ind w:left="21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2.2.4  </w:t>
      </w:r>
      <w:r>
        <w:rPr>
          <w:rFonts w:ascii="宋体" w:hAnsi="宋体" w:eastAsia="宋体" w:cs="宋体"/>
          <w:color w:val="auto"/>
          <w:spacing w:val="-1"/>
          <w:lang w:eastAsia="zh-CN"/>
        </w:rPr>
        <w:t>评分标准</w:t>
      </w:r>
    </w:p>
    <w:p w14:paraId="5E2B4E79">
      <w:pPr>
        <w:spacing w:before="108" w:line="219"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）投标报价评分标准：见评标办法前附表；</w:t>
      </w:r>
    </w:p>
    <w:p w14:paraId="648AA8E9">
      <w:pPr>
        <w:spacing w:before="111"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）技术标评分标准：见评标办法前附表；</w:t>
      </w:r>
    </w:p>
    <w:p w14:paraId="67927B71">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）商务（资信业绩）评分标准：见评标办法前附表；</w:t>
      </w:r>
    </w:p>
    <w:p w14:paraId="49F89016">
      <w:pPr>
        <w:spacing w:before="10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）其他因素评分标准：见评标办法前附表。</w:t>
      </w:r>
    </w:p>
    <w:p w14:paraId="3152B9CF">
      <w:pPr>
        <w:spacing w:before="150" w:line="222" w:lineRule="auto"/>
        <w:ind w:left="1702"/>
        <w:outlineLvl w:val="1"/>
        <w:rPr>
          <w:rFonts w:ascii="黑体" w:hAnsi="黑体" w:eastAsia="黑体" w:cs="黑体"/>
          <w:color w:val="auto"/>
          <w:sz w:val="28"/>
          <w:szCs w:val="28"/>
          <w:lang w:eastAsia="zh-CN"/>
        </w:rPr>
      </w:pPr>
      <w:bookmarkStart w:id="260" w:name="bookmark88"/>
      <w:bookmarkEnd w:id="260"/>
      <w:bookmarkStart w:id="261" w:name="bookmark87"/>
      <w:bookmarkEnd w:id="261"/>
      <w:bookmarkStart w:id="262" w:name="_Toc2348"/>
      <w:bookmarkStart w:id="263" w:name="_Toc19746"/>
      <w:bookmarkStart w:id="264" w:name="_Toc31231"/>
      <w:bookmarkStart w:id="265" w:name="_Toc25629"/>
      <w:bookmarkStart w:id="266" w:name="_Toc26147"/>
      <w:bookmarkStart w:id="267" w:name="_Toc19886"/>
      <w:r>
        <w:rPr>
          <w:rFonts w:ascii="黑体" w:hAnsi="黑体" w:eastAsia="黑体" w:cs="黑体"/>
          <w:color w:val="auto"/>
          <w:spacing w:val="-2"/>
          <w:sz w:val="28"/>
          <w:szCs w:val="28"/>
          <w:lang w:eastAsia="zh-CN"/>
        </w:rPr>
        <w:t>3.评标程序</w:t>
      </w:r>
      <w:bookmarkEnd w:id="262"/>
      <w:bookmarkEnd w:id="263"/>
      <w:bookmarkEnd w:id="264"/>
      <w:bookmarkEnd w:id="265"/>
      <w:bookmarkEnd w:id="266"/>
      <w:bookmarkEnd w:id="267"/>
    </w:p>
    <w:p w14:paraId="23910F1E">
      <w:pPr>
        <w:spacing w:before="58" w:line="222" w:lineRule="auto"/>
        <w:ind w:left="1700"/>
        <w:outlineLvl w:val="2"/>
        <w:rPr>
          <w:rFonts w:ascii="黑体" w:hAnsi="黑体" w:eastAsia="黑体" w:cs="黑体"/>
          <w:color w:val="auto"/>
          <w:sz w:val="24"/>
          <w:szCs w:val="24"/>
          <w:lang w:eastAsia="zh-CN"/>
        </w:rPr>
      </w:pPr>
      <w:r>
        <w:rPr>
          <w:rFonts w:ascii="Times New Roman" w:hAnsi="Times New Roman" w:eastAsia="Times New Roman" w:cs="Times New Roman"/>
          <w:color w:val="auto"/>
          <w:spacing w:val="-1"/>
          <w:sz w:val="24"/>
          <w:szCs w:val="24"/>
          <w:lang w:eastAsia="zh-CN"/>
        </w:rPr>
        <w:t xml:space="preserve">3.1  </w:t>
      </w:r>
      <w:r>
        <w:rPr>
          <w:rFonts w:ascii="黑体" w:hAnsi="黑体" w:eastAsia="黑体" w:cs="黑体"/>
          <w:color w:val="auto"/>
          <w:spacing w:val="-1"/>
          <w:sz w:val="24"/>
          <w:szCs w:val="24"/>
          <w:lang w:eastAsia="zh-CN"/>
        </w:rPr>
        <w:t>初步评审</w:t>
      </w:r>
    </w:p>
    <w:p w14:paraId="679E7720">
      <w:pPr>
        <w:spacing w:before="97" w:line="268" w:lineRule="auto"/>
        <w:ind w:left="1700" w:right="1797" w:firstLine="419"/>
        <w:rPr>
          <w:rFonts w:ascii="宋体" w:hAnsi="宋体" w:eastAsia="宋体" w:cs="宋体"/>
          <w:color w:val="auto"/>
          <w:lang w:eastAsia="zh-CN"/>
        </w:rPr>
      </w:pPr>
      <w:r>
        <w:rPr>
          <w:rFonts w:ascii="Times New Roman" w:hAnsi="Times New Roman" w:eastAsia="Times New Roman" w:cs="Times New Roman"/>
          <w:color w:val="auto"/>
          <w:lang w:eastAsia="zh-CN"/>
        </w:rPr>
        <w:t xml:space="preserve">3.1.1 </w:t>
      </w:r>
      <w:r>
        <w:rPr>
          <w:rFonts w:ascii="宋体" w:hAnsi="宋体" w:eastAsia="宋体" w:cs="宋体"/>
          <w:color w:val="auto"/>
          <w:lang w:eastAsia="zh-CN"/>
        </w:rPr>
        <w:t xml:space="preserve">评标委员会依据本章第 </w:t>
      </w:r>
      <w:r>
        <w:rPr>
          <w:rFonts w:ascii="Times New Roman" w:hAnsi="Times New Roman" w:eastAsia="Times New Roman" w:cs="Times New Roman"/>
          <w:color w:val="auto"/>
          <w:lang w:eastAsia="zh-CN"/>
        </w:rPr>
        <w:t xml:space="preserve">2.1  </w:t>
      </w:r>
      <w:r>
        <w:rPr>
          <w:rFonts w:ascii="宋体" w:hAnsi="宋体" w:eastAsia="宋体" w:cs="宋体"/>
          <w:color w:val="auto"/>
          <w:lang w:eastAsia="zh-CN"/>
        </w:rPr>
        <w:t>款规定的标准对投标文件进行初步评审。有一项不符</w:t>
      </w:r>
      <w:r>
        <w:rPr>
          <w:rFonts w:ascii="宋体" w:hAnsi="宋体" w:eastAsia="宋体" w:cs="宋体"/>
          <w:color w:val="auto"/>
          <w:spacing w:val="-2"/>
          <w:lang w:eastAsia="zh-CN"/>
        </w:rPr>
        <w:t>合评审标准的，评标委员会应当否决其投标。</w:t>
      </w:r>
    </w:p>
    <w:p w14:paraId="56A1E82A">
      <w:pPr>
        <w:spacing w:before="110"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3.1.2  </w:t>
      </w:r>
      <w:r>
        <w:rPr>
          <w:rFonts w:ascii="宋体" w:hAnsi="宋体" w:eastAsia="宋体" w:cs="宋体"/>
          <w:color w:val="auto"/>
          <w:spacing w:val="-2"/>
          <w:lang w:eastAsia="zh-CN"/>
        </w:rPr>
        <w:t>投标人有以下情形之一的，评标委员会应当否决其投标：</w:t>
      </w:r>
    </w:p>
    <w:p w14:paraId="5CE8855F">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）不按评标委员会要求澄清、说明或补正。</w:t>
      </w:r>
    </w:p>
    <w:p w14:paraId="376D689C">
      <w:pPr>
        <w:spacing w:before="11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）有串通投标、弄虚作假、行贿等违法行为；</w:t>
      </w:r>
    </w:p>
    <w:p w14:paraId="2D152ED3">
      <w:pPr>
        <w:spacing w:before="110" w:line="221" w:lineRule="auto"/>
        <w:ind w:left="2135"/>
        <w:rPr>
          <w:rFonts w:ascii="宋体" w:hAnsi="宋体" w:eastAsia="宋体" w:cs="宋体"/>
          <w:color w:val="auto"/>
          <w:lang w:eastAsia="zh-CN"/>
        </w:rPr>
      </w:pP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）有下列情形之一的，视为投标人相互串通投</w:t>
      </w:r>
      <w:r>
        <w:rPr>
          <w:rFonts w:ascii="宋体" w:hAnsi="宋体" w:eastAsia="宋体" w:cs="宋体"/>
          <w:color w:val="auto"/>
          <w:spacing w:val="-4"/>
          <w:lang w:eastAsia="zh-CN"/>
        </w:rPr>
        <w:t>标：</w:t>
      </w:r>
    </w:p>
    <w:p w14:paraId="71E5A3D6">
      <w:pPr>
        <w:spacing w:before="109" w:line="218" w:lineRule="auto"/>
        <w:ind w:left="2118"/>
        <w:rPr>
          <w:rFonts w:ascii="宋体" w:hAnsi="宋体" w:eastAsia="宋体" w:cs="宋体"/>
          <w:color w:val="auto"/>
          <w:lang w:eastAsia="zh-CN"/>
        </w:rPr>
      </w:pPr>
      <w:r>
        <w:rPr>
          <w:rFonts w:ascii="宋体" w:hAnsi="宋体" w:eastAsia="宋体" w:cs="宋体"/>
          <w:color w:val="auto"/>
          <w:spacing w:val="-2"/>
          <w:lang w:eastAsia="zh-CN"/>
        </w:rPr>
        <w:t>① 不同投标人的投标文件由同一单位或者个</w:t>
      </w:r>
      <w:r>
        <w:rPr>
          <w:rFonts w:ascii="宋体" w:hAnsi="宋体" w:eastAsia="宋体" w:cs="宋体"/>
          <w:color w:val="auto"/>
          <w:spacing w:val="-3"/>
          <w:lang w:eastAsia="zh-CN"/>
        </w:rPr>
        <w:t>人编制；</w:t>
      </w:r>
    </w:p>
    <w:p w14:paraId="47148318">
      <w:pPr>
        <w:spacing w:before="112" w:line="218" w:lineRule="auto"/>
        <w:ind w:left="2117"/>
        <w:rPr>
          <w:rFonts w:ascii="宋体" w:hAnsi="宋体" w:eastAsia="宋体" w:cs="宋体"/>
          <w:color w:val="auto"/>
          <w:lang w:eastAsia="zh-CN"/>
        </w:rPr>
      </w:pPr>
      <w:r>
        <w:rPr>
          <w:rFonts w:ascii="宋体" w:hAnsi="宋体" w:eastAsia="宋体" w:cs="宋体"/>
          <w:color w:val="auto"/>
          <w:spacing w:val="-2"/>
          <w:lang w:eastAsia="zh-CN"/>
        </w:rPr>
        <w:t>② 不同投标人委托同一单位或者个人办理</w:t>
      </w:r>
      <w:r>
        <w:rPr>
          <w:rFonts w:ascii="宋体" w:hAnsi="宋体" w:eastAsia="宋体" w:cs="宋体"/>
          <w:color w:val="auto"/>
          <w:spacing w:val="-3"/>
          <w:lang w:eastAsia="zh-CN"/>
        </w:rPr>
        <w:t>投标事宜；</w:t>
      </w:r>
    </w:p>
    <w:p w14:paraId="4BA2D4ED">
      <w:pPr>
        <w:spacing w:before="112" w:line="268" w:lineRule="auto"/>
        <w:ind w:left="1698" w:right="1617" w:firstLine="419"/>
        <w:rPr>
          <w:rFonts w:ascii="宋体" w:hAnsi="宋体" w:eastAsia="宋体" w:cs="宋体"/>
          <w:color w:val="auto"/>
          <w:lang w:eastAsia="zh-CN"/>
        </w:rPr>
      </w:pPr>
      <w:r>
        <w:rPr>
          <w:rFonts w:ascii="宋体" w:hAnsi="宋体" w:eastAsia="宋体" w:cs="宋体"/>
          <w:color w:val="auto"/>
          <w:spacing w:val="-1"/>
          <w:lang w:eastAsia="zh-CN"/>
        </w:rPr>
        <w:t xml:space="preserve">③ </w:t>
      </w:r>
      <w:r>
        <w:rPr>
          <w:rFonts w:hint="eastAsia" w:ascii="宋体" w:hAnsi="宋体" w:eastAsia="宋体" w:cs="宋体"/>
          <w:color w:val="auto"/>
          <w:spacing w:val="-1"/>
          <w:lang w:eastAsia="zh-CN"/>
        </w:rPr>
        <w:t>不同</w:t>
      </w:r>
      <w:r>
        <w:rPr>
          <w:rFonts w:ascii="宋体" w:hAnsi="宋体" w:eastAsia="宋体" w:cs="宋体"/>
          <w:color w:val="auto"/>
          <w:spacing w:val="-1"/>
          <w:lang w:eastAsia="zh-CN"/>
        </w:rPr>
        <w:t>投标人使用同一电脑等电子设备办理投标事宜（下载招标文件、上传投标文件、</w:t>
      </w:r>
      <w:r>
        <w:rPr>
          <w:rFonts w:ascii="宋体" w:hAnsi="宋体" w:eastAsia="宋体" w:cs="宋体"/>
          <w:color w:val="auto"/>
          <w:spacing w:val="-9"/>
          <w:lang w:eastAsia="zh-CN"/>
        </w:rPr>
        <w:t>授权委托人实名认证等关键环节</w:t>
      </w:r>
      <w:r>
        <w:rPr>
          <w:rFonts w:ascii="宋体" w:hAnsi="宋体" w:eastAsia="宋体" w:cs="宋体"/>
          <w:color w:val="auto"/>
          <w:spacing w:val="-1"/>
          <w:lang w:eastAsia="zh-CN"/>
        </w:rPr>
        <w:t>）；</w:t>
      </w:r>
    </w:p>
    <w:p w14:paraId="09721611">
      <w:pPr>
        <w:spacing w:before="110" w:line="218" w:lineRule="auto"/>
        <w:ind w:left="2117"/>
        <w:rPr>
          <w:rFonts w:ascii="宋体" w:hAnsi="宋体" w:eastAsia="宋体" w:cs="宋体"/>
          <w:color w:val="auto"/>
          <w:lang w:eastAsia="zh-CN"/>
        </w:rPr>
      </w:pPr>
      <w:r>
        <w:rPr>
          <w:rFonts w:ascii="宋体" w:hAnsi="宋体" w:eastAsia="宋体" w:cs="宋体"/>
          <w:color w:val="auto"/>
          <w:spacing w:val="-1"/>
          <w:lang w:eastAsia="zh-CN"/>
        </w:rPr>
        <w:t>④ 不同投标人的投标文件载明的项目管理成</w:t>
      </w:r>
      <w:r>
        <w:rPr>
          <w:rFonts w:ascii="宋体" w:hAnsi="宋体" w:eastAsia="宋体" w:cs="宋体"/>
          <w:color w:val="auto"/>
          <w:spacing w:val="-2"/>
          <w:lang w:eastAsia="zh-CN"/>
        </w:rPr>
        <w:t>员为同一人；</w:t>
      </w:r>
    </w:p>
    <w:p w14:paraId="7C1D90CE">
      <w:pPr>
        <w:spacing w:line="218" w:lineRule="auto"/>
        <w:rPr>
          <w:rFonts w:ascii="宋体" w:hAnsi="宋体" w:eastAsia="宋体" w:cs="宋体"/>
          <w:color w:val="auto"/>
          <w:lang w:eastAsia="zh-CN"/>
        </w:rPr>
        <w:sectPr>
          <w:headerReference r:id="rId58" w:type="default"/>
          <w:footerReference r:id="rId59" w:type="default"/>
          <w:pgSz w:w="11906" w:h="16839"/>
          <w:pgMar w:top="400" w:right="0" w:bottom="1024" w:left="105" w:header="0" w:footer="793" w:gutter="0"/>
          <w:cols w:space="720" w:num="1"/>
        </w:sectPr>
      </w:pPr>
    </w:p>
    <w:p w14:paraId="5921FFE9">
      <w:pPr>
        <w:pStyle w:val="8"/>
        <w:spacing w:line="268" w:lineRule="auto"/>
        <w:rPr>
          <w:lang w:eastAsia="zh-CN"/>
        </w:rPr>
      </w:pPr>
    </w:p>
    <w:p w14:paraId="46B1E319">
      <w:pPr>
        <w:pStyle w:val="8"/>
        <w:spacing w:line="268" w:lineRule="auto"/>
        <w:rPr>
          <w:lang w:eastAsia="zh-CN"/>
        </w:rPr>
      </w:pPr>
    </w:p>
    <w:p w14:paraId="07524CC7">
      <w:pPr>
        <w:pStyle w:val="8"/>
        <w:spacing w:line="268" w:lineRule="auto"/>
        <w:rPr>
          <w:lang w:eastAsia="zh-CN"/>
        </w:rPr>
      </w:pPr>
    </w:p>
    <w:p w14:paraId="1B3B976C">
      <w:pPr>
        <w:pStyle w:val="8"/>
        <w:spacing w:line="268" w:lineRule="auto"/>
        <w:rPr>
          <w:lang w:eastAsia="zh-CN"/>
        </w:rPr>
      </w:pPr>
    </w:p>
    <w:p w14:paraId="57E97A21">
      <w:pPr>
        <w:spacing w:before="69" w:line="218" w:lineRule="auto"/>
        <w:ind w:left="2117"/>
        <w:rPr>
          <w:rFonts w:ascii="宋体" w:hAnsi="宋体" w:eastAsia="宋体" w:cs="宋体"/>
          <w:color w:val="auto"/>
          <w:lang w:eastAsia="zh-CN"/>
        </w:rPr>
      </w:pPr>
      <w:r>
        <w:rPr>
          <w:rFonts w:ascii="宋体" w:hAnsi="宋体" w:eastAsia="宋体" w:cs="宋体"/>
          <w:color w:val="auto"/>
          <w:spacing w:val="-2"/>
          <w:lang w:eastAsia="zh-CN"/>
        </w:rPr>
        <w:t>⑤ 不同投标人的投标文件非典型一致或者投标报价呈规律性差异；</w:t>
      </w:r>
    </w:p>
    <w:p w14:paraId="6D6700DD">
      <w:pPr>
        <w:spacing w:before="112" w:line="218" w:lineRule="auto"/>
        <w:ind w:left="2117"/>
        <w:rPr>
          <w:rFonts w:ascii="宋体" w:hAnsi="宋体" w:eastAsia="宋体" w:cs="宋体"/>
          <w:color w:val="auto"/>
          <w:lang w:eastAsia="zh-CN"/>
        </w:rPr>
      </w:pPr>
      <w:r>
        <w:rPr>
          <w:rFonts w:ascii="宋体" w:hAnsi="宋体" w:eastAsia="宋体" w:cs="宋体"/>
          <w:color w:val="auto"/>
          <w:spacing w:val="-3"/>
          <w:lang w:eastAsia="zh-CN"/>
        </w:rPr>
        <w:t>⑥ 不同投标人的投标文件相互混装；</w:t>
      </w:r>
    </w:p>
    <w:p w14:paraId="72CB9A03">
      <w:pPr>
        <w:spacing w:before="112" w:line="218" w:lineRule="auto"/>
        <w:ind w:left="2117"/>
        <w:rPr>
          <w:rFonts w:ascii="宋体" w:hAnsi="宋体" w:eastAsia="宋体" w:cs="宋体"/>
          <w:color w:val="auto"/>
          <w:lang w:eastAsia="zh-CN"/>
        </w:rPr>
      </w:pPr>
      <w:r>
        <w:rPr>
          <w:rFonts w:ascii="宋体" w:hAnsi="宋体" w:eastAsia="宋体" w:cs="宋体"/>
          <w:color w:val="auto"/>
          <w:spacing w:val="-4"/>
          <w:lang w:eastAsia="zh-CN"/>
        </w:rPr>
        <w:t>⑦ 不同投标人的投标保证金或保函（保险）财务费用从同一单位或者个人的账户转出；</w:t>
      </w:r>
    </w:p>
    <w:p w14:paraId="099FF494">
      <w:pPr>
        <w:spacing w:before="112" w:line="268" w:lineRule="auto"/>
        <w:ind w:left="1700" w:right="1482" w:firstLine="416"/>
        <w:rPr>
          <w:rFonts w:ascii="宋体" w:hAnsi="宋体" w:eastAsia="宋体" w:cs="宋体"/>
          <w:color w:val="auto"/>
          <w:lang w:eastAsia="zh-CN"/>
        </w:rPr>
      </w:pPr>
      <w:r>
        <w:rPr>
          <w:rFonts w:ascii="宋体" w:hAnsi="宋体" w:eastAsia="宋体" w:cs="宋体"/>
          <w:color w:val="auto"/>
          <w:spacing w:val="-8"/>
          <w:lang w:eastAsia="zh-CN"/>
        </w:rPr>
        <w:t>⑧ 不同投标人的投标文件存在“</w:t>
      </w:r>
      <w:r>
        <w:rPr>
          <w:rFonts w:ascii="Times New Roman" w:hAnsi="Times New Roman" w:eastAsia="Times New Roman" w:cs="Times New Roman"/>
          <w:color w:val="auto"/>
          <w:spacing w:val="-8"/>
          <w:lang w:eastAsia="zh-CN"/>
        </w:rPr>
        <w:t>MAC</w:t>
      </w:r>
      <w:r>
        <w:rPr>
          <w:rFonts w:ascii="宋体" w:hAnsi="宋体" w:eastAsia="宋体" w:cs="宋体"/>
          <w:color w:val="auto"/>
          <w:spacing w:val="-8"/>
          <w:lang w:eastAsia="zh-CN"/>
        </w:rPr>
        <w:t>地址”、“文件创建标识码”、“文件制作机器码”</w:t>
      </w:r>
      <w:r>
        <w:rPr>
          <w:rFonts w:ascii="宋体" w:hAnsi="宋体" w:eastAsia="宋体" w:cs="宋体"/>
          <w:color w:val="auto"/>
          <w:spacing w:val="-3"/>
          <w:lang w:eastAsia="zh-CN"/>
        </w:rPr>
        <w:t>等唯一性标识一致等情形。</w:t>
      </w:r>
    </w:p>
    <w:p w14:paraId="46839884">
      <w:pPr>
        <w:spacing w:before="108" w:line="220" w:lineRule="auto"/>
        <w:ind w:left="2115"/>
        <w:rPr>
          <w:rFonts w:ascii="宋体" w:hAnsi="宋体" w:eastAsia="宋体" w:cs="宋体"/>
          <w:color w:val="auto"/>
          <w:lang w:eastAsia="zh-CN"/>
        </w:rPr>
      </w:pP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）有下列情形之一的，属于弄虚作假行为：</w:t>
      </w:r>
    </w:p>
    <w:p w14:paraId="2F89F055">
      <w:pPr>
        <w:spacing w:before="110" w:line="218" w:lineRule="auto"/>
        <w:ind w:left="2118"/>
        <w:rPr>
          <w:rFonts w:ascii="宋体" w:hAnsi="宋体" w:eastAsia="宋体" w:cs="宋体"/>
          <w:color w:val="auto"/>
          <w:lang w:eastAsia="zh-CN"/>
        </w:rPr>
      </w:pPr>
      <w:r>
        <w:rPr>
          <w:rFonts w:ascii="宋体" w:hAnsi="宋体" w:eastAsia="宋体" w:cs="宋体"/>
          <w:color w:val="auto"/>
          <w:spacing w:val="-5"/>
          <w:lang w:eastAsia="zh-CN"/>
        </w:rPr>
        <w:t>① 使用通过受让或者租借等方式获取的资格、资质证书投标的，即以他人名义投标的。</w:t>
      </w:r>
    </w:p>
    <w:p w14:paraId="2112F9AC">
      <w:pPr>
        <w:spacing w:before="112" w:line="218" w:lineRule="auto"/>
        <w:ind w:left="2117"/>
        <w:rPr>
          <w:rFonts w:ascii="宋体" w:hAnsi="宋体" w:eastAsia="宋体" w:cs="宋体"/>
          <w:color w:val="auto"/>
          <w:lang w:eastAsia="zh-CN"/>
        </w:rPr>
      </w:pPr>
      <w:r>
        <w:rPr>
          <w:rFonts w:ascii="宋体" w:hAnsi="宋体" w:eastAsia="宋体" w:cs="宋体"/>
          <w:color w:val="auto"/>
          <w:spacing w:val="-4"/>
          <w:lang w:eastAsia="zh-CN"/>
        </w:rPr>
        <w:t>② 使用伪造、变造的许可证件；</w:t>
      </w:r>
    </w:p>
    <w:p w14:paraId="63B55A2C">
      <w:pPr>
        <w:spacing w:before="112" w:line="218" w:lineRule="auto"/>
        <w:ind w:left="2117"/>
        <w:rPr>
          <w:rFonts w:ascii="宋体" w:hAnsi="宋体" w:eastAsia="宋体" w:cs="宋体"/>
          <w:color w:val="auto"/>
          <w:lang w:eastAsia="zh-CN"/>
        </w:rPr>
      </w:pPr>
      <w:r>
        <w:rPr>
          <w:rFonts w:ascii="宋体" w:hAnsi="宋体" w:eastAsia="宋体" w:cs="宋体"/>
          <w:color w:val="auto"/>
          <w:spacing w:val="-4"/>
          <w:lang w:eastAsia="zh-CN"/>
        </w:rPr>
        <w:t>③ 提供虚假的财务状况或者业绩；</w:t>
      </w:r>
    </w:p>
    <w:p w14:paraId="43133EE4">
      <w:pPr>
        <w:spacing w:before="112" w:line="218" w:lineRule="auto"/>
        <w:ind w:left="2117"/>
        <w:rPr>
          <w:rFonts w:ascii="宋体" w:hAnsi="宋体" w:eastAsia="宋体" w:cs="宋体"/>
          <w:color w:val="auto"/>
          <w:lang w:eastAsia="zh-CN"/>
        </w:rPr>
      </w:pPr>
      <w:r>
        <w:rPr>
          <w:rFonts w:ascii="宋体" w:hAnsi="宋体" w:eastAsia="宋体" w:cs="宋体"/>
          <w:color w:val="auto"/>
          <w:spacing w:val="-2"/>
          <w:lang w:eastAsia="zh-CN"/>
        </w:rPr>
        <w:t>④ 提供虚假的项目负责人或者主要技术人员简历、社会保险证明；</w:t>
      </w:r>
    </w:p>
    <w:p w14:paraId="67951124">
      <w:pPr>
        <w:spacing w:before="112" w:line="218" w:lineRule="auto"/>
        <w:ind w:left="2117"/>
        <w:rPr>
          <w:rFonts w:ascii="宋体" w:hAnsi="宋体" w:eastAsia="宋体" w:cs="宋体"/>
          <w:color w:val="auto"/>
          <w:lang w:eastAsia="zh-CN"/>
        </w:rPr>
      </w:pPr>
      <w:r>
        <w:rPr>
          <w:rFonts w:ascii="宋体" w:hAnsi="宋体" w:eastAsia="宋体" w:cs="宋体"/>
          <w:color w:val="auto"/>
          <w:spacing w:val="-5"/>
          <w:lang w:eastAsia="zh-CN"/>
        </w:rPr>
        <w:t>⑤ 提供虚假的信用状况；</w:t>
      </w:r>
    </w:p>
    <w:p w14:paraId="3D89C133">
      <w:pPr>
        <w:spacing w:before="112" w:line="218" w:lineRule="auto"/>
        <w:ind w:left="2117"/>
        <w:rPr>
          <w:rFonts w:ascii="宋体" w:hAnsi="宋体" w:eastAsia="宋体" w:cs="宋体"/>
          <w:color w:val="auto"/>
          <w:lang w:eastAsia="zh-CN"/>
        </w:rPr>
      </w:pPr>
      <w:r>
        <w:rPr>
          <w:rFonts w:ascii="宋体" w:hAnsi="宋体" w:eastAsia="宋体" w:cs="宋体"/>
          <w:color w:val="auto"/>
          <w:spacing w:val="-3"/>
          <w:lang w:eastAsia="zh-CN"/>
        </w:rPr>
        <w:t>⑥ 其他弄虚作假的行为。</w:t>
      </w:r>
    </w:p>
    <w:p w14:paraId="35A2B297">
      <w:pPr>
        <w:spacing w:before="113" w:line="316" w:lineRule="auto"/>
        <w:ind w:left="1700" w:right="1796" w:firstLine="419"/>
        <w:jc w:val="both"/>
        <w:rPr>
          <w:rFonts w:ascii="宋体" w:hAnsi="宋体" w:eastAsia="宋体" w:cs="宋体"/>
          <w:color w:val="auto"/>
          <w:lang w:eastAsia="zh-CN"/>
        </w:rPr>
      </w:pPr>
      <w:r>
        <w:rPr>
          <w:rFonts w:ascii="Times New Roman" w:hAnsi="Times New Roman" w:eastAsia="Times New Roman" w:cs="Times New Roman"/>
          <w:color w:val="auto"/>
          <w:lang w:eastAsia="zh-CN"/>
        </w:rPr>
        <w:t xml:space="preserve">3.1.3  </w:t>
      </w:r>
      <w:r>
        <w:rPr>
          <w:rFonts w:ascii="宋体" w:hAnsi="宋体" w:eastAsia="宋体" w:cs="宋体"/>
          <w:color w:val="auto"/>
          <w:lang w:eastAsia="zh-CN"/>
        </w:rPr>
        <w:t>投标报价有算术错误及其他错误的，评标委员会按以下原则要求投标人对投标报</w:t>
      </w:r>
      <w:r>
        <w:rPr>
          <w:rFonts w:ascii="宋体" w:hAnsi="宋体" w:eastAsia="宋体" w:cs="宋体"/>
          <w:color w:val="auto"/>
          <w:spacing w:val="-5"/>
          <w:lang w:eastAsia="zh-CN"/>
        </w:rPr>
        <w:t>价进行修正，并要求投标人书面澄清确认。投标人拒不澄清确认的，评标委员会应当否决其</w:t>
      </w:r>
      <w:r>
        <w:rPr>
          <w:rFonts w:ascii="宋体" w:hAnsi="宋体" w:eastAsia="宋体" w:cs="宋体"/>
          <w:color w:val="auto"/>
          <w:spacing w:val="-13"/>
          <w:lang w:eastAsia="zh-CN"/>
        </w:rPr>
        <w:t>投标：</w:t>
      </w:r>
    </w:p>
    <w:p w14:paraId="5FA8132B">
      <w:pPr>
        <w:spacing w:before="1"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）投标文件中的大写金额与小写金额不一致的，以大写金额为准；</w:t>
      </w:r>
    </w:p>
    <w:p w14:paraId="62B6B5AE">
      <w:pPr>
        <w:spacing w:before="110" w:line="268" w:lineRule="auto"/>
        <w:ind w:left="1716" w:right="1797" w:firstLine="408"/>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2</w:t>
      </w:r>
      <w:r>
        <w:rPr>
          <w:rFonts w:ascii="宋体" w:hAnsi="宋体" w:eastAsia="宋体" w:cs="宋体"/>
          <w:color w:val="auto"/>
          <w:lang w:eastAsia="zh-CN"/>
        </w:rPr>
        <w:t>）总价金额与单价金额不一致的，以单价金额为准，但单价金额小数点有明显错误</w:t>
      </w:r>
      <w:r>
        <w:rPr>
          <w:rFonts w:ascii="宋体" w:hAnsi="宋体" w:eastAsia="宋体" w:cs="宋体"/>
          <w:color w:val="auto"/>
          <w:spacing w:val="-11"/>
          <w:lang w:eastAsia="zh-CN"/>
        </w:rPr>
        <w:t>的除外。</w:t>
      </w:r>
    </w:p>
    <w:p w14:paraId="77CABC95">
      <w:pPr>
        <w:spacing w:before="83" w:line="222" w:lineRule="auto"/>
        <w:ind w:left="1700"/>
        <w:outlineLvl w:val="2"/>
        <w:rPr>
          <w:rFonts w:ascii="黑体" w:hAnsi="黑体" w:eastAsia="黑体" w:cs="黑体"/>
          <w:color w:val="auto"/>
          <w:sz w:val="24"/>
          <w:szCs w:val="24"/>
          <w:lang w:eastAsia="zh-CN"/>
        </w:rPr>
      </w:pPr>
      <w:bookmarkStart w:id="268" w:name="bookmark89"/>
      <w:bookmarkEnd w:id="268"/>
      <w:r>
        <w:rPr>
          <w:rFonts w:ascii="Times New Roman" w:hAnsi="Times New Roman" w:eastAsia="Times New Roman" w:cs="Times New Roman"/>
          <w:color w:val="auto"/>
          <w:spacing w:val="-1"/>
          <w:sz w:val="24"/>
          <w:szCs w:val="24"/>
          <w:lang w:eastAsia="zh-CN"/>
        </w:rPr>
        <w:t xml:space="preserve">3.2  </w:t>
      </w:r>
      <w:r>
        <w:rPr>
          <w:rFonts w:ascii="黑体" w:hAnsi="黑体" w:eastAsia="黑体" w:cs="黑体"/>
          <w:color w:val="auto"/>
          <w:spacing w:val="-1"/>
          <w:sz w:val="24"/>
          <w:szCs w:val="24"/>
          <w:lang w:eastAsia="zh-CN"/>
        </w:rPr>
        <w:t>详细评审</w:t>
      </w:r>
    </w:p>
    <w:p w14:paraId="042C766F">
      <w:pPr>
        <w:spacing w:before="98" w:line="268" w:lineRule="auto"/>
        <w:ind w:left="1700" w:right="1797" w:firstLine="418"/>
        <w:rPr>
          <w:rFonts w:ascii="宋体" w:hAnsi="宋体" w:eastAsia="宋体" w:cs="宋体"/>
          <w:color w:val="auto"/>
          <w:lang w:eastAsia="zh-CN"/>
        </w:rPr>
      </w:pPr>
      <w:r>
        <w:rPr>
          <w:rFonts w:ascii="Times New Roman" w:hAnsi="Times New Roman" w:eastAsia="Times New Roman" w:cs="Times New Roman"/>
          <w:color w:val="auto"/>
          <w:lang w:eastAsia="zh-CN"/>
        </w:rPr>
        <w:t xml:space="preserve">3.2.1  </w:t>
      </w:r>
      <w:r>
        <w:rPr>
          <w:rFonts w:ascii="宋体" w:hAnsi="宋体" w:eastAsia="宋体" w:cs="宋体"/>
          <w:color w:val="auto"/>
          <w:lang w:eastAsia="zh-CN"/>
        </w:rPr>
        <w:t>评标委员会对通过了初步评审的投标文件进行详细评审。如采用入围方式的，则</w:t>
      </w:r>
      <w:r>
        <w:rPr>
          <w:rFonts w:ascii="宋体" w:hAnsi="宋体" w:eastAsia="宋体" w:cs="宋体"/>
          <w:color w:val="auto"/>
          <w:spacing w:val="-2"/>
          <w:lang w:eastAsia="zh-CN"/>
        </w:rPr>
        <w:t>按照评标办法前附表规定的方式进行入围。</w:t>
      </w:r>
    </w:p>
    <w:p w14:paraId="69294AF7">
      <w:pPr>
        <w:spacing w:before="110" w:line="219"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3.2.2  </w:t>
      </w:r>
      <w:r>
        <w:rPr>
          <w:rFonts w:ascii="宋体" w:hAnsi="宋体" w:eastAsia="宋体" w:cs="宋体"/>
          <w:color w:val="auto"/>
          <w:spacing w:val="-1"/>
          <w:lang w:eastAsia="zh-CN"/>
        </w:rPr>
        <w:t xml:space="preserve">评标委员会按本章第 </w:t>
      </w:r>
      <w:r>
        <w:rPr>
          <w:rFonts w:ascii="Times New Roman" w:hAnsi="Times New Roman" w:eastAsia="Times New Roman" w:cs="Times New Roman"/>
          <w:color w:val="auto"/>
          <w:spacing w:val="-1"/>
          <w:lang w:eastAsia="zh-CN"/>
        </w:rPr>
        <w:t xml:space="preserve">2.2  </w:t>
      </w:r>
      <w:r>
        <w:rPr>
          <w:rFonts w:ascii="宋体" w:hAnsi="宋体" w:eastAsia="宋体" w:cs="宋体"/>
          <w:color w:val="auto"/>
          <w:spacing w:val="-1"/>
          <w:lang w:eastAsia="zh-CN"/>
        </w:rPr>
        <w:t>款规定的量化因素和分值进行打分，并计算出综合评估</w:t>
      </w:r>
    </w:p>
    <w:p w14:paraId="643186B4">
      <w:pPr>
        <w:spacing w:line="111" w:lineRule="exact"/>
        <w:rPr>
          <w:color w:val="auto"/>
          <w:lang w:eastAsia="zh-CN"/>
        </w:rPr>
      </w:pPr>
    </w:p>
    <w:tbl>
      <w:tblPr>
        <w:tblStyle w:val="20"/>
        <w:tblW w:w="8294" w:type="dxa"/>
        <w:tblInd w:w="170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825"/>
        <w:gridCol w:w="6469"/>
      </w:tblGrid>
      <w:tr w14:paraId="157B95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5" w:hRule="atLeast"/>
        </w:trPr>
        <w:tc>
          <w:tcPr>
            <w:tcW w:w="1825" w:type="dxa"/>
          </w:tcPr>
          <w:p w14:paraId="4472A7CC">
            <w:pPr>
              <w:pStyle w:val="21"/>
              <w:spacing w:line="220" w:lineRule="auto"/>
              <w:rPr>
                <w:color w:val="auto"/>
              </w:rPr>
            </w:pPr>
            <w:r>
              <w:rPr>
                <w:color w:val="auto"/>
                <w:spacing w:val="-9"/>
              </w:rPr>
              <w:t>得分。</w:t>
            </w:r>
          </w:p>
          <w:p w14:paraId="6308F684">
            <w:pPr>
              <w:pStyle w:val="21"/>
              <w:spacing w:before="108" w:line="220" w:lineRule="auto"/>
              <w:ind w:left="424"/>
              <w:rPr>
                <w:color w:val="auto"/>
              </w:rPr>
            </w:pPr>
            <w:r>
              <w:rPr>
                <w:color w:val="auto"/>
                <w:spacing w:val="-4"/>
              </w:rPr>
              <w:t>（</w:t>
            </w:r>
            <w:r>
              <w:rPr>
                <w:rFonts w:ascii="Times New Roman" w:hAnsi="Times New Roman" w:eastAsia="Times New Roman" w:cs="Times New Roman"/>
                <w:color w:val="auto"/>
                <w:spacing w:val="-4"/>
              </w:rPr>
              <w:t>1</w:t>
            </w:r>
            <w:r>
              <w:rPr>
                <w:color w:val="auto"/>
                <w:spacing w:val="-4"/>
              </w:rPr>
              <w:t>）按本章第</w:t>
            </w:r>
          </w:p>
        </w:tc>
        <w:tc>
          <w:tcPr>
            <w:tcW w:w="6469" w:type="dxa"/>
          </w:tcPr>
          <w:p w14:paraId="3C3D8153">
            <w:pPr>
              <w:spacing w:line="289" w:lineRule="auto"/>
              <w:rPr>
                <w:color w:val="auto"/>
                <w:lang w:eastAsia="zh-CN"/>
              </w:rPr>
            </w:pPr>
          </w:p>
          <w:p w14:paraId="274FED10">
            <w:pPr>
              <w:pStyle w:val="21"/>
              <w:spacing w:before="69" w:line="219" w:lineRule="auto"/>
              <w:ind w:left="60"/>
              <w:rPr>
                <w:color w:val="auto"/>
                <w:lang w:eastAsia="zh-CN"/>
              </w:rPr>
            </w:pPr>
            <w:r>
              <w:rPr>
                <w:rFonts w:ascii="Times New Roman" w:hAnsi="Times New Roman" w:eastAsia="Times New Roman" w:cs="Times New Roman"/>
                <w:color w:val="auto"/>
                <w:lang w:eastAsia="zh-CN"/>
              </w:rPr>
              <w:t>2.2.4</w:t>
            </w:r>
            <w:r>
              <w:rPr>
                <w:color w:val="auto"/>
                <w:lang w:eastAsia="zh-CN"/>
              </w:rPr>
              <w:t>（</w:t>
            </w:r>
            <w:r>
              <w:rPr>
                <w:rFonts w:ascii="Times New Roman" w:hAnsi="Times New Roman" w:eastAsia="Times New Roman" w:cs="Times New Roman"/>
                <w:color w:val="auto"/>
                <w:lang w:eastAsia="zh-CN"/>
              </w:rPr>
              <w:t>1</w:t>
            </w:r>
            <w:r>
              <w:rPr>
                <w:color w:val="auto"/>
                <w:lang w:eastAsia="zh-CN"/>
              </w:rPr>
              <w:t>）</w:t>
            </w:r>
            <w:r>
              <w:rPr>
                <w:rFonts w:hint="eastAsia"/>
                <w:color w:val="auto"/>
                <w:lang w:eastAsia="zh-CN"/>
              </w:rPr>
              <w:t>项</w:t>
            </w:r>
            <w:r>
              <w:rPr>
                <w:color w:val="auto"/>
                <w:lang w:eastAsia="zh-CN"/>
              </w:rPr>
              <w:t>目规定的评审因素和分值对投标报价计算</w:t>
            </w:r>
            <w:r>
              <w:rPr>
                <w:color w:val="auto"/>
                <w:spacing w:val="-1"/>
                <w:lang w:eastAsia="zh-CN"/>
              </w:rPr>
              <w:t xml:space="preserve">出得分 </w:t>
            </w:r>
            <w:r>
              <w:rPr>
                <w:rFonts w:ascii="Times New Roman" w:hAnsi="Times New Roman" w:eastAsia="Times New Roman" w:cs="Times New Roman"/>
                <w:color w:val="auto"/>
                <w:spacing w:val="-1"/>
                <w:lang w:eastAsia="zh-CN"/>
              </w:rPr>
              <w:t>A</w:t>
            </w:r>
            <w:r>
              <w:rPr>
                <w:color w:val="auto"/>
                <w:spacing w:val="-1"/>
                <w:lang w:eastAsia="zh-CN"/>
              </w:rPr>
              <w:t>；</w:t>
            </w:r>
          </w:p>
        </w:tc>
      </w:tr>
      <w:tr w14:paraId="4F5F513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0" w:hRule="atLeast"/>
        </w:trPr>
        <w:tc>
          <w:tcPr>
            <w:tcW w:w="1825" w:type="dxa"/>
          </w:tcPr>
          <w:p w14:paraId="64669184">
            <w:pPr>
              <w:pStyle w:val="21"/>
              <w:spacing w:before="74" w:line="220" w:lineRule="auto"/>
              <w:ind w:left="424"/>
              <w:rPr>
                <w:color w:val="auto"/>
                <w:lang w:eastAsia="zh-CN"/>
              </w:rPr>
            </w:pPr>
            <w:r>
              <w:rPr>
                <w:color w:val="auto"/>
                <w:spacing w:val="-4"/>
              </w:rPr>
              <w:t>（</w:t>
            </w:r>
            <w:r>
              <w:rPr>
                <w:rFonts w:ascii="Times New Roman" w:hAnsi="Times New Roman" w:eastAsia="Times New Roman" w:cs="Times New Roman"/>
                <w:color w:val="auto"/>
                <w:spacing w:val="-4"/>
              </w:rPr>
              <w:t>2</w:t>
            </w:r>
            <w:r>
              <w:rPr>
                <w:color w:val="auto"/>
                <w:spacing w:val="-4"/>
              </w:rPr>
              <w:t>）按本章第</w:t>
            </w:r>
          </w:p>
        </w:tc>
        <w:tc>
          <w:tcPr>
            <w:tcW w:w="6469" w:type="dxa"/>
          </w:tcPr>
          <w:p w14:paraId="503E0C26">
            <w:pPr>
              <w:pStyle w:val="21"/>
              <w:spacing w:before="75" w:line="220" w:lineRule="auto"/>
              <w:ind w:left="60"/>
              <w:rPr>
                <w:color w:val="auto"/>
                <w:lang w:eastAsia="zh-CN"/>
              </w:rPr>
            </w:pPr>
            <w:r>
              <w:rPr>
                <w:rFonts w:ascii="Times New Roman" w:hAnsi="Times New Roman" w:eastAsia="Times New Roman" w:cs="Times New Roman"/>
                <w:color w:val="auto"/>
                <w:lang w:eastAsia="zh-CN"/>
              </w:rPr>
              <w:t>2.2.4</w:t>
            </w:r>
            <w:r>
              <w:rPr>
                <w:color w:val="auto"/>
                <w:lang w:eastAsia="zh-CN"/>
              </w:rPr>
              <w:t>（</w:t>
            </w:r>
            <w:r>
              <w:rPr>
                <w:rFonts w:ascii="Times New Roman" w:hAnsi="Times New Roman" w:eastAsia="Times New Roman" w:cs="Times New Roman"/>
                <w:color w:val="auto"/>
                <w:lang w:eastAsia="zh-CN"/>
              </w:rPr>
              <w:t>2</w:t>
            </w:r>
            <w:r>
              <w:rPr>
                <w:color w:val="auto"/>
                <w:lang w:eastAsia="zh-CN"/>
              </w:rPr>
              <w:t>）</w:t>
            </w:r>
            <w:r>
              <w:rPr>
                <w:rFonts w:hint="eastAsia"/>
                <w:color w:val="auto"/>
                <w:lang w:eastAsia="zh-CN"/>
              </w:rPr>
              <w:t>项</w:t>
            </w:r>
            <w:r>
              <w:rPr>
                <w:color w:val="auto"/>
                <w:lang w:eastAsia="zh-CN"/>
              </w:rPr>
              <w:t>目规定的评审因素和分值对技术部分计算</w:t>
            </w:r>
            <w:r>
              <w:rPr>
                <w:color w:val="auto"/>
                <w:spacing w:val="-1"/>
                <w:lang w:eastAsia="zh-CN"/>
              </w:rPr>
              <w:t xml:space="preserve">出得分 </w:t>
            </w:r>
            <w:r>
              <w:rPr>
                <w:rFonts w:ascii="Times New Roman" w:hAnsi="Times New Roman" w:eastAsia="Times New Roman" w:cs="Times New Roman"/>
                <w:color w:val="auto"/>
                <w:spacing w:val="-1"/>
                <w:lang w:eastAsia="zh-CN"/>
              </w:rPr>
              <w:t>B</w:t>
            </w:r>
            <w:r>
              <w:rPr>
                <w:color w:val="auto"/>
                <w:spacing w:val="-1"/>
                <w:lang w:eastAsia="zh-CN"/>
              </w:rPr>
              <w:t>；</w:t>
            </w:r>
          </w:p>
        </w:tc>
      </w:tr>
      <w:tr w14:paraId="4D68D80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60" w:hRule="atLeast"/>
        </w:trPr>
        <w:tc>
          <w:tcPr>
            <w:tcW w:w="1825" w:type="dxa"/>
          </w:tcPr>
          <w:p w14:paraId="1F1B6F3B">
            <w:pPr>
              <w:pStyle w:val="21"/>
              <w:spacing w:before="74" w:line="220" w:lineRule="auto"/>
              <w:ind w:left="424"/>
              <w:rPr>
                <w:color w:val="auto"/>
              </w:rPr>
            </w:pPr>
            <w:r>
              <w:rPr>
                <w:color w:val="auto"/>
                <w:spacing w:val="-2"/>
              </w:rPr>
              <w:t>（</w:t>
            </w:r>
            <w:r>
              <w:rPr>
                <w:rFonts w:ascii="Times New Roman" w:hAnsi="Times New Roman" w:eastAsia="Times New Roman" w:cs="Times New Roman"/>
                <w:color w:val="auto"/>
                <w:spacing w:val="-2"/>
              </w:rPr>
              <w:t>3</w:t>
            </w:r>
            <w:r>
              <w:rPr>
                <w:color w:val="auto"/>
                <w:spacing w:val="-2"/>
              </w:rPr>
              <w:t>）按本章第</w:t>
            </w:r>
          </w:p>
        </w:tc>
        <w:tc>
          <w:tcPr>
            <w:tcW w:w="6469" w:type="dxa"/>
          </w:tcPr>
          <w:p w14:paraId="7B874F45">
            <w:pPr>
              <w:pStyle w:val="21"/>
              <w:spacing w:before="74" w:line="221" w:lineRule="auto"/>
              <w:ind w:left="1"/>
              <w:rPr>
                <w:color w:val="auto"/>
                <w:lang w:eastAsia="zh-CN"/>
              </w:rPr>
            </w:pPr>
            <w:r>
              <w:rPr>
                <w:rFonts w:ascii="Times New Roman" w:hAnsi="Times New Roman" w:eastAsia="Times New Roman" w:cs="Times New Roman"/>
                <w:color w:val="auto"/>
                <w:spacing w:val="-2"/>
                <w:lang w:eastAsia="zh-CN"/>
              </w:rPr>
              <w:t>2.2.4</w:t>
            </w:r>
            <w:r>
              <w:rPr>
                <w:color w:val="auto"/>
                <w:spacing w:val="-2"/>
                <w:lang w:eastAsia="zh-CN"/>
              </w:rPr>
              <w:t>（</w:t>
            </w:r>
            <w:r>
              <w:rPr>
                <w:rFonts w:ascii="Times New Roman" w:hAnsi="Times New Roman" w:eastAsia="Times New Roman" w:cs="Times New Roman"/>
                <w:color w:val="auto"/>
                <w:spacing w:val="-2"/>
                <w:lang w:eastAsia="zh-CN"/>
              </w:rPr>
              <w:t>3</w:t>
            </w:r>
            <w:r>
              <w:rPr>
                <w:color w:val="auto"/>
                <w:spacing w:val="-2"/>
                <w:lang w:eastAsia="zh-CN"/>
              </w:rPr>
              <w:t>）</w:t>
            </w:r>
            <w:r>
              <w:rPr>
                <w:rFonts w:hint="eastAsia"/>
                <w:color w:val="auto"/>
                <w:spacing w:val="-38"/>
                <w:lang w:eastAsia="zh-CN"/>
              </w:rPr>
              <w:t>项</w:t>
            </w:r>
            <w:r>
              <w:rPr>
                <w:color w:val="auto"/>
                <w:spacing w:val="-2"/>
                <w:lang w:eastAsia="zh-CN"/>
              </w:rPr>
              <w:t>目规定的评审因素和分值对商务（资信业绩）部分计算出得</w:t>
            </w:r>
            <w:r>
              <w:rPr>
                <w:color w:val="auto"/>
                <w:spacing w:val="-7"/>
                <w:lang w:eastAsia="zh-CN"/>
              </w:rPr>
              <w:t>分</w:t>
            </w:r>
            <w:r>
              <w:rPr>
                <w:rFonts w:ascii="Times New Roman" w:hAnsi="Times New Roman" w:eastAsia="Times New Roman" w:cs="Times New Roman"/>
                <w:color w:val="auto"/>
                <w:spacing w:val="-7"/>
                <w:lang w:eastAsia="zh-CN"/>
              </w:rPr>
              <w:t>C</w:t>
            </w:r>
            <w:r>
              <w:rPr>
                <w:color w:val="auto"/>
                <w:spacing w:val="-7"/>
                <w:lang w:eastAsia="zh-CN"/>
              </w:rPr>
              <w:t>；</w:t>
            </w:r>
          </w:p>
        </w:tc>
      </w:tr>
      <w:tr w14:paraId="548E2C1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5" w:hRule="atLeast"/>
        </w:trPr>
        <w:tc>
          <w:tcPr>
            <w:tcW w:w="1825" w:type="dxa"/>
          </w:tcPr>
          <w:p w14:paraId="7344B9BE">
            <w:pPr>
              <w:pStyle w:val="21"/>
              <w:spacing w:before="108" w:line="176" w:lineRule="auto"/>
              <w:ind w:left="424"/>
              <w:rPr>
                <w:color w:val="auto"/>
              </w:rPr>
            </w:pPr>
            <w:r>
              <w:rPr>
                <w:color w:val="auto"/>
                <w:spacing w:val="-4"/>
              </w:rPr>
              <w:t>（</w:t>
            </w:r>
            <w:r>
              <w:rPr>
                <w:rFonts w:ascii="Times New Roman" w:hAnsi="Times New Roman" w:eastAsia="Times New Roman" w:cs="Times New Roman"/>
                <w:color w:val="auto"/>
                <w:spacing w:val="-4"/>
              </w:rPr>
              <w:t>4</w:t>
            </w:r>
            <w:r>
              <w:rPr>
                <w:color w:val="auto"/>
                <w:spacing w:val="-4"/>
              </w:rPr>
              <w:t>）按本章第</w:t>
            </w:r>
          </w:p>
        </w:tc>
        <w:tc>
          <w:tcPr>
            <w:tcW w:w="6469" w:type="dxa"/>
          </w:tcPr>
          <w:p w14:paraId="05DB0163">
            <w:pPr>
              <w:pStyle w:val="21"/>
              <w:spacing w:before="68" w:line="176" w:lineRule="auto"/>
              <w:rPr>
                <w:color w:val="auto"/>
                <w:lang w:eastAsia="zh-CN"/>
              </w:rPr>
            </w:pPr>
            <w:r>
              <w:rPr>
                <w:rFonts w:ascii="Times New Roman" w:hAnsi="Times New Roman" w:eastAsia="Times New Roman" w:cs="Times New Roman"/>
                <w:color w:val="auto"/>
                <w:lang w:eastAsia="zh-CN"/>
              </w:rPr>
              <w:t>2.2.4</w:t>
            </w:r>
            <w:r>
              <w:rPr>
                <w:color w:val="auto"/>
                <w:lang w:eastAsia="zh-CN"/>
              </w:rPr>
              <w:t>（</w:t>
            </w:r>
            <w:r>
              <w:rPr>
                <w:rFonts w:ascii="Times New Roman" w:hAnsi="Times New Roman" w:eastAsia="Times New Roman" w:cs="Times New Roman"/>
                <w:color w:val="auto"/>
                <w:lang w:eastAsia="zh-CN"/>
              </w:rPr>
              <w:t>4</w:t>
            </w:r>
            <w:r>
              <w:rPr>
                <w:color w:val="auto"/>
                <w:lang w:eastAsia="zh-CN"/>
              </w:rPr>
              <w:t>）</w:t>
            </w:r>
            <w:r>
              <w:rPr>
                <w:rFonts w:hint="eastAsia"/>
                <w:color w:val="auto"/>
                <w:lang w:eastAsia="zh-CN"/>
              </w:rPr>
              <w:t>项</w:t>
            </w:r>
            <w:r>
              <w:rPr>
                <w:color w:val="auto"/>
                <w:lang w:eastAsia="zh-CN"/>
              </w:rPr>
              <w:t>目规定的评审因素和分值对其他部分计算</w:t>
            </w:r>
            <w:r>
              <w:rPr>
                <w:color w:val="auto"/>
                <w:spacing w:val="-1"/>
                <w:lang w:eastAsia="zh-CN"/>
              </w:rPr>
              <w:t xml:space="preserve">出得分 </w:t>
            </w:r>
            <w:r>
              <w:rPr>
                <w:rFonts w:ascii="Times New Roman" w:hAnsi="Times New Roman" w:eastAsia="Times New Roman" w:cs="Times New Roman"/>
                <w:color w:val="auto"/>
                <w:spacing w:val="-1"/>
                <w:lang w:eastAsia="zh-CN"/>
              </w:rPr>
              <w:t>D</w:t>
            </w:r>
            <w:r>
              <w:rPr>
                <w:color w:val="auto"/>
                <w:spacing w:val="-1"/>
                <w:lang w:eastAsia="zh-CN"/>
              </w:rPr>
              <w:t>。</w:t>
            </w:r>
          </w:p>
        </w:tc>
      </w:tr>
    </w:tbl>
    <w:p w14:paraId="51843314">
      <w:pPr>
        <w:spacing w:before="150" w:line="220" w:lineRule="auto"/>
        <w:ind w:left="2119"/>
        <w:rPr>
          <w:rFonts w:ascii="宋体" w:hAnsi="宋体" w:eastAsia="宋体" w:cs="宋体"/>
          <w:color w:val="auto"/>
          <w:lang w:eastAsia="zh-CN"/>
        </w:rPr>
      </w:pPr>
      <w:r>
        <w:rPr>
          <w:rFonts w:ascii="Times New Roman" w:hAnsi="Times New Roman" w:eastAsia="Times New Roman" w:cs="Times New Roman"/>
          <w:color w:val="auto"/>
          <w:lang w:eastAsia="zh-CN"/>
        </w:rPr>
        <w:t xml:space="preserve">3.2.3  </w:t>
      </w:r>
      <w:r>
        <w:rPr>
          <w:rFonts w:ascii="宋体" w:hAnsi="宋体" w:eastAsia="宋体" w:cs="宋体"/>
          <w:color w:val="auto"/>
          <w:lang w:eastAsia="zh-CN"/>
        </w:rPr>
        <w:t>评分分值计算保留小数点后两位，小数点后</w:t>
      </w:r>
      <w:r>
        <w:rPr>
          <w:rFonts w:ascii="宋体" w:hAnsi="宋体" w:eastAsia="宋体" w:cs="宋体"/>
          <w:color w:val="auto"/>
          <w:spacing w:val="-1"/>
          <w:lang w:eastAsia="zh-CN"/>
        </w:rPr>
        <w:t>第三位</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四舍五入</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w:t>
      </w:r>
    </w:p>
    <w:p w14:paraId="51398C8E">
      <w:pPr>
        <w:spacing w:before="109"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3.2.4  </w:t>
      </w:r>
      <w:r>
        <w:rPr>
          <w:rFonts w:ascii="宋体" w:hAnsi="宋体" w:eastAsia="宋体" w:cs="宋体"/>
          <w:color w:val="auto"/>
          <w:spacing w:val="-1"/>
          <w:lang w:eastAsia="zh-CN"/>
        </w:rPr>
        <w:t>投标人得分</w:t>
      </w:r>
      <w:r>
        <w:rPr>
          <w:rFonts w:ascii="Times New Roman" w:hAnsi="Times New Roman" w:eastAsia="Times New Roman" w:cs="Times New Roman"/>
          <w:color w:val="auto"/>
          <w:spacing w:val="-1"/>
          <w:lang w:eastAsia="zh-CN"/>
        </w:rPr>
        <w:t>=A+B+C+D</w:t>
      </w:r>
      <w:r>
        <w:rPr>
          <w:rFonts w:ascii="宋体" w:hAnsi="宋体" w:eastAsia="宋体" w:cs="宋体"/>
          <w:color w:val="auto"/>
          <w:spacing w:val="-1"/>
          <w:lang w:eastAsia="zh-CN"/>
        </w:rPr>
        <w:t>。</w:t>
      </w:r>
    </w:p>
    <w:p w14:paraId="5B2B2399">
      <w:pPr>
        <w:spacing w:before="109" w:line="220"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3.2.5  </w:t>
      </w:r>
      <w:r>
        <w:rPr>
          <w:rFonts w:ascii="宋体" w:hAnsi="宋体" w:eastAsia="宋体" w:cs="宋体"/>
          <w:color w:val="auto"/>
          <w:spacing w:val="-1"/>
          <w:lang w:eastAsia="zh-CN"/>
        </w:rPr>
        <w:t>各投标人评分结果汇总确定办法详见评</w:t>
      </w:r>
      <w:r>
        <w:rPr>
          <w:rFonts w:ascii="宋体" w:hAnsi="宋体" w:eastAsia="宋体" w:cs="宋体"/>
          <w:color w:val="auto"/>
          <w:spacing w:val="-2"/>
          <w:lang w:eastAsia="zh-CN"/>
        </w:rPr>
        <w:t>标办法前附表。</w:t>
      </w:r>
    </w:p>
    <w:p w14:paraId="604613FD">
      <w:pPr>
        <w:spacing w:before="84" w:line="222" w:lineRule="auto"/>
        <w:ind w:left="1700"/>
        <w:outlineLvl w:val="2"/>
        <w:rPr>
          <w:rFonts w:ascii="黑体" w:hAnsi="黑体" w:eastAsia="黑体" w:cs="黑体"/>
          <w:color w:val="auto"/>
          <w:sz w:val="24"/>
          <w:szCs w:val="24"/>
          <w:lang w:eastAsia="zh-CN"/>
        </w:rPr>
      </w:pPr>
      <w:bookmarkStart w:id="269" w:name="bookmark90"/>
      <w:bookmarkEnd w:id="269"/>
      <w:r>
        <w:rPr>
          <w:rFonts w:ascii="Times New Roman" w:hAnsi="Times New Roman" w:eastAsia="Times New Roman" w:cs="Times New Roman"/>
          <w:color w:val="auto"/>
          <w:spacing w:val="-1"/>
          <w:sz w:val="24"/>
          <w:szCs w:val="24"/>
          <w:lang w:eastAsia="zh-CN"/>
        </w:rPr>
        <w:t xml:space="preserve">3.3  </w:t>
      </w:r>
      <w:r>
        <w:rPr>
          <w:rFonts w:ascii="黑体" w:hAnsi="黑体" w:eastAsia="黑体" w:cs="黑体"/>
          <w:color w:val="auto"/>
          <w:spacing w:val="-1"/>
          <w:sz w:val="24"/>
          <w:szCs w:val="24"/>
          <w:lang w:eastAsia="zh-CN"/>
        </w:rPr>
        <w:t>投标文件的澄清</w:t>
      </w:r>
    </w:p>
    <w:p w14:paraId="0AA36139">
      <w:pPr>
        <w:spacing w:before="98" w:line="284" w:lineRule="auto"/>
        <w:ind w:left="1698" w:right="1722" w:firstLine="421"/>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3.3.1  </w:t>
      </w:r>
      <w:r>
        <w:rPr>
          <w:rFonts w:ascii="宋体" w:hAnsi="宋体" w:eastAsia="宋体" w:cs="宋体"/>
          <w:color w:val="auto"/>
          <w:spacing w:val="-1"/>
          <w:lang w:eastAsia="zh-CN"/>
        </w:rPr>
        <w:t>在评标过程中，评标委员会可以书面形式要求投标人对投标文件中含义不明确、</w:t>
      </w:r>
      <w:r>
        <w:rPr>
          <w:rFonts w:ascii="宋体" w:hAnsi="宋体" w:eastAsia="宋体" w:cs="宋体"/>
          <w:color w:val="auto"/>
          <w:spacing w:val="-6"/>
          <w:lang w:eastAsia="zh-CN"/>
        </w:rPr>
        <w:t>对同类问题表述不一致或者有明显文字和计算错误的内容作必要的澄清、说明或补正。澄清、</w:t>
      </w:r>
      <w:r>
        <w:rPr>
          <w:rFonts w:ascii="宋体" w:hAnsi="宋体" w:eastAsia="宋体" w:cs="宋体"/>
          <w:color w:val="auto"/>
          <w:spacing w:val="-1"/>
          <w:lang w:eastAsia="zh-CN"/>
        </w:rPr>
        <w:t>说明或补正应以书面方式进行。评标委员会不接受投标人主动提出的澄清、说明或补正。</w:t>
      </w:r>
    </w:p>
    <w:p w14:paraId="5150B4B6">
      <w:pPr>
        <w:spacing w:before="112" w:line="268" w:lineRule="auto"/>
        <w:ind w:left="1704" w:right="1842" w:firstLine="415"/>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3.3.2  </w:t>
      </w:r>
      <w:r>
        <w:rPr>
          <w:rFonts w:ascii="宋体" w:hAnsi="宋体" w:eastAsia="宋体" w:cs="宋体"/>
          <w:color w:val="auto"/>
          <w:spacing w:val="-1"/>
          <w:lang w:eastAsia="zh-CN"/>
        </w:rPr>
        <w:t>澄清、说明或补正不得超出投标文件的范围且不得改变投标文件的实质性内容，</w:t>
      </w:r>
      <w:r>
        <w:rPr>
          <w:rFonts w:ascii="宋体" w:hAnsi="宋体" w:eastAsia="宋体" w:cs="宋体"/>
          <w:color w:val="auto"/>
          <w:spacing w:val="-4"/>
          <w:lang w:eastAsia="zh-CN"/>
        </w:rPr>
        <w:t>并构成投标文件的组成部分。</w:t>
      </w:r>
    </w:p>
    <w:p w14:paraId="289C8FF0">
      <w:pPr>
        <w:spacing w:before="108" w:line="220" w:lineRule="auto"/>
        <w:ind w:left="2119"/>
        <w:rPr>
          <w:rFonts w:ascii="宋体" w:hAnsi="宋体" w:eastAsia="宋体" w:cs="宋体"/>
          <w:color w:val="auto"/>
          <w:lang w:eastAsia="zh-CN"/>
        </w:rPr>
      </w:pPr>
      <w:r>
        <w:rPr>
          <w:rFonts w:ascii="Times New Roman" w:hAnsi="Times New Roman" w:eastAsia="Times New Roman" w:cs="Times New Roman"/>
          <w:color w:val="auto"/>
          <w:lang w:eastAsia="zh-CN"/>
        </w:rPr>
        <w:t xml:space="preserve">3.3.3  </w:t>
      </w:r>
      <w:r>
        <w:rPr>
          <w:rFonts w:ascii="宋体" w:hAnsi="宋体" w:eastAsia="宋体" w:cs="宋体"/>
          <w:color w:val="auto"/>
          <w:lang w:eastAsia="zh-CN"/>
        </w:rPr>
        <w:t>评标委员会对投标人提交的澄清、说明或补正有疑问的，可以要求投标人进一步</w:t>
      </w:r>
    </w:p>
    <w:p w14:paraId="73739E4A">
      <w:pPr>
        <w:spacing w:line="220" w:lineRule="auto"/>
        <w:rPr>
          <w:rFonts w:ascii="宋体" w:hAnsi="宋体" w:eastAsia="宋体" w:cs="宋体"/>
          <w:color w:val="auto"/>
          <w:lang w:eastAsia="zh-CN"/>
        </w:rPr>
        <w:sectPr>
          <w:headerReference r:id="rId60" w:type="default"/>
          <w:footerReference r:id="rId61" w:type="default"/>
          <w:pgSz w:w="11906" w:h="16839"/>
          <w:pgMar w:top="400" w:right="0" w:bottom="1024" w:left="105" w:header="0" w:footer="793" w:gutter="0"/>
          <w:cols w:space="720" w:num="1"/>
        </w:sectPr>
      </w:pPr>
    </w:p>
    <w:p w14:paraId="136CF390">
      <w:pPr>
        <w:pStyle w:val="8"/>
        <w:spacing w:line="268" w:lineRule="auto"/>
        <w:rPr>
          <w:lang w:eastAsia="zh-CN"/>
        </w:rPr>
      </w:pPr>
    </w:p>
    <w:p w14:paraId="0D33721B">
      <w:pPr>
        <w:pStyle w:val="8"/>
        <w:spacing w:line="268" w:lineRule="auto"/>
        <w:rPr>
          <w:lang w:eastAsia="zh-CN"/>
        </w:rPr>
      </w:pPr>
    </w:p>
    <w:p w14:paraId="2EC53F67">
      <w:pPr>
        <w:pStyle w:val="8"/>
        <w:spacing w:line="268" w:lineRule="auto"/>
        <w:rPr>
          <w:lang w:eastAsia="zh-CN"/>
        </w:rPr>
      </w:pPr>
    </w:p>
    <w:p w14:paraId="29433DB2">
      <w:pPr>
        <w:pStyle w:val="8"/>
        <w:spacing w:line="268" w:lineRule="auto"/>
        <w:rPr>
          <w:lang w:eastAsia="zh-CN"/>
        </w:rPr>
      </w:pPr>
    </w:p>
    <w:p w14:paraId="119E9D54">
      <w:pPr>
        <w:spacing w:before="68" w:line="220" w:lineRule="auto"/>
        <w:ind w:left="1699"/>
        <w:rPr>
          <w:rFonts w:ascii="宋体" w:hAnsi="宋体" w:eastAsia="宋体" w:cs="宋体"/>
          <w:color w:val="auto"/>
          <w:lang w:eastAsia="zh-CN"/>
        </w:rPr>
      </w:pPr>
      <w:r>
        <w:rPr>
          <w:rFonts w:ascii="宋体" w:hAnsi="宋体" w:eastAsia="宋体" w:cs="宋体"/>
          <w:color w:val="auto"/>
          <w:spacing w:val="-2"/>
          <w:lang w:eastAsia="zh-CN"/>
        </w:rPr>
        <w:t>澄清、说明或补正，直至满足评标委员会的要求。</w:t>
      </w:r>
    </w:p>
    <w:p w14:paraId="6BC8C50A">
      <w:pPr>
        <w:spacing w:before="109" w:line="311" w:lineRule="auto"/>
        <w:ind w:left="1699" w:right="1796" w:firstLine="420"/>
        <w:jc w:val="both"/>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3.3.4 </w:t>
      </w:r>
      <w:r>
        <w:rPr>
          <w:rFonts w:ascii="宋体" w:hAnsi="宋体" w:eastAsia="宋体" w:cs="宋体"/>
          <w:color w:val="auto"/>
          <w:spacing w:val="1"/>
          <w:lang w:eastAsia="zh-CN"/>
        </w:rPr>
        <w:t>评标委员会要求投标人对投标文件问题澄清的通知，以及投标人对投标文件的澄</w:t>
      </w:r>
      <w:r>
        <w:rPr>
          <w:rFonts w:ascii="宋体" w:hAnsi="宋体" w:eastAsia="宋体" w:cs="宋体"/>
          <w:color w:val="auto"/>
          <w:spacing w:val="-2"/>
          <w:lang w:eastAsia="zh-CN"/>
        </w:rPr>
        <w:t>清通过电子招标投标系统（辽宁省工程建设项目数</w:t>
      </w:r>
      <w:r>
        <w:rPr>
          <w:rFonts w:ascii="宋体" w:hAnsi="宋体" w:eastAsia="宋体" w:cs="宋体"/>
          <w:color w:val="auto"/>
          <w:spacing w:val="-3"/>
          <w:lang w:eastAsia="zh-CN"/>
        </w:rPr>
        <w:t>字化开标评标系统）以书面形式进行。投</w:t>
      </w:r>
      <w:r>
        <w:rPr>
          <w:rFonts w:ascii="宋体" w:hAnsi="宋体" w:eastAsia="宋体" w:cs="宋体"/>
          <w:color w:val="auto"/>
          <w:spacing w:val="-4"/>
          <w:lang w:eastAsia="zh-CN"/>
        </w:rPr>
        <w:t>标人的澄清、说明或补正应在评标办法前附表通知规定的时间要求内提交，否则评标委员会</w:t>
      </w:r>
      <w:r>
        <w:rPr>
          <w:rFonts w:ascii="宋体" w:hAnsi="宋体" w:eastAsia="宋体" w:cs="宋体"/>
          <w:color w:val="auto"/>
          <w:spacing w:val="-3"/>
          <w:lang w:eastAsia="zh-CN"/>
        </w:rPr>
        <w:t>（电子招标投标系统）将拒绝接收。</w:t>
      </w:r>
    </w:p>
    <w:p w14:paraId="737520AB">
      <w:pPr>
        <w:spacing w:line="221" w:lineRule="auto"/>
        <w:ind w:left="1700"/>
        <w:outlineLvl w:val="2"/>
        <w:rPr>
          <w:rFonts w:ascii="黑体" w:hAnsi="黑体" w:eastAsia="黑体" w:cs="黑体"/>
          <w:color w:val="auto"/>
          <w:sz w:val="24"/>
          <w:szCs w:val="24"/>
          <w:lang w:eastAsia="zh-CN"/>
        </w:rPr>
      </w:pPr>
      <w:bookmarkStart w:id="270" w:name="bookmark91"/>
      <w:bookmarkEnd w:id="270"/>
      <w:r>
        <w:rPr>
          <w:rFonts w:ascii="Times New Roman" w:hAnsi="Times New Roman" w:eastAsia="Times New Roman" w:cs="Times New Roman"/>
          <w:color w:val="auto"/>
          <w:spacing w:val="-1"/>
          <w:sz w:val="24"/>
          <w:szCs w:val="24"/>
          <w:lang w:eastAsia="zh-CN"/>
        </w:rPr>
        <w:t xml:space="preserve">3.4  </w:t>
      </w:r>
      <w:r>
        <w:rPr>
          <w:rFonts w:ascii="黑体" w:hAnsi="黑体" w:eastAsia="黑体" w:cs="黑体"/>
          <w:color w:val="auto"/>
          <w:spacing w:val="-1"/>
          <w:sz w:val="24"/>
          <w:szCs w:val="24"/>
          <w:lang w:eastAsia="zh-CN"/>
        </w:rPr>
        <w:t>评标结果</w:t>
      </w:r>
    </w:p>
    <w:p w14:paraId="3044862C">
      <w:pPr>
        <w:spacing w:before="97" w:line="268" w:lineRule="auto"/>
        <w:ind w:left="1715" w:right="1797" w:firstLine="404"/>
        <w:rPr>
          <w:rFonts w:ascii="宋体" w:hAnsi="宋体" w:eastAsia="宋体" w:cs="宋体"/>
          <w:color w:val="auto"/>
          <w:lang w:eastAsia="zh-CN"/>
        </w:rPr>
      </w:pPr>
      <w:r>
        <w:rPr>
          <w:rFonts w:ascii="Times New Roman" w:hAnsi="Times New Roman" w:eastAsia="Times New Roman" w:cs="Times New Roman"/>
          <w:color w:val="auto"/>
          <w:lang w:eastAsia="zh-CN"/>
        </w:rPr>
        <w:t xml:space="preserve">3.4.1  </w:t>
      </w:r>
      <w:r>
        <w:rPr>
          <w:rFonts w:ascii="宋体" w:hAnsi="宋体" w:eastAsia="宋体" w:cs="宋体"/>
          <w:color w:val="auto"/>
          <w:lang w:eastAsia="zh-CN"/>
        </w:rPr>
        <w:t>评标委员会按照本章评标办法</w:t>
      </w:r>
      <w:r>
        <w:rPr>
          <w:rFonts w:ascii="宋体" w:hAnsi="宋体" w:eastAsia="宋体" w:cs="宋体"/>
          <w:color w:val="auto"/>
          <w:spacing w:val="-1"/>
          <w:lang w:eastAsia="zh-CN"/>
        </w:rPr>
        <w:t>前附表规定的推荐方法和第二章“投标人须知”前</w:t>
      </w:r>
      <w:r>
        <w:rPr>
          <w:rFonts w:ascii="宋体" w:hAnsi="宋体" w:eastAsia="宋体" w:cs="宋体"/>
          <w:color w:val="auto"/>
          <w:spacing w:val="-3"/>
          <w:lang w:eastAsia="zh-CN"/>
        </w:rPr>
        <w:t>附表第</w:t>
      </w:r>
      <w:r>
        <w:rPr>
          <w:rFonts w:ascii="Times New Roman" w:hAnsi="Times New Roman" w:eastAsia="Times New Roman" w:cs="Times New Roman"/>
          <w:color w:val="auto"/>
          <w:spacing w:val="-3"/>
          <w:lang w:eastAsia="zh-CN"/>
        </w:rPr>
        <w:t xml:space="preserve">7.1 </w:t>
      </w:r>
      <w:r>
        <w:rPr>
          <w:rFonts w:ascii="宋体" w:hAnsi="宋体" w:eastAsia="宋体" w:cs="宋体"/>
          <w:color w:val="auto"/>
          <w:spacing w:val="-3"/>
          <w:lang w:eastAsia="zh-CN"/>
        </w:rPr>
        <w:t>款推荐的中标候选人数量推荐中标候选人。</w:t>
      </w:r>
    </w:p>
    <w:p w14:paraId="61E16C03">
      <w:pPr>
        <w:spacing w:before="110" w:line="219" w:lineRule="auto"/>
        <w:ind w:left="2119"/>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3.4.2  </w:t>
      </w:r>
      <w:r>
        <w:rPr>
          <w:rFonts w:ascii="宋体" w:hAnsi="宋体" w:eastAsia="宋体" w:cs="宋体"/>
          <w:color w:val="auto"/>
          <w:spacing w:val="-1"/>
          <w:lang w:eastAsia="zh-CN"/>
        </w:rPr>
        <w:t>评标委员会完成评标后，应当向招标人提交书面</w:t>
      </w:r>
      <w:r>
        <w:rPr>
          <w:rFonts w:ascii="宋体" w:hAnsi="宋体" w:eastAsia="宋体" w:cs="宋体"/>
          <w:color w:val="auto"/>
          <w:spacing w:val="-2"/>
          <w:lang w:eastAsia="zh-CN"/>
        </w:rPr>
        <w:t>评标报告。</w:t>
      </w:r>
    </w:p>
    <w:p w14:paraId="0E724A17">
      <w:pPr>
        <w:spacing w:before="112" w:line="297" w:lineRule="auto"/>
        <w:ind w:left="1698" w:right="1721" w:firstLine="421"/>
        <w:rPr>
          <w:rFonts w:ascii="宋体" w:hAnsi="宋体" w:eastAsia="宋体" w:cs="宋体"/>
          <w:color w:val="auto"/>
          <w:lang w:eastAsia="zh-CN"/>
        </w:rPr>
      </w:pPr>
      <w:r>
        <w:rPr>
          <w:rFonts w:ascii="Times New Roman" w:hAnsi="Times New Roman" w:eastAsia="Times New Roman" w:cs="Times New Roman"/>
          <w:color w:val="auto"/>
          <w:lang w:eastAsia="zh-CN"/>
        </w:rPr>
        <w:t xml:space="preserve">3.4.3  </w:t>
      </w:r>
      <w:r>
        <w:rPr>
          <w:rFonts w:ascii="宋体" w:hAnsi="宋体" w:eastAsia="宋体" w:cs="宋体"/>
          <w:color w:val="auto"/>
          <w:lang w:eastAsia="zh-CN"/>
        </w:rPr>
        <w:t>投标人串通投标或弄虚作假或有其他违法行为，评标委员会在评标过程中发现，</w:t>
      </w:r>
      <w:r>
        <w:rPr>
          <w:rFonts w:ascii="宋体" w:hAnsi="宋体" w:eastAsia="宋体" w:cs="宋体"/>
          <w:color w:val="auto"/>
          <w:spacing w:val="-2"/>
          <w:lang w:eastAsia="zh-CN"/>
        </w:rPr>
        <w:t>证据确凿的，经评标委员会成员三分之二以上同意，</w:t>
      </w:r>
      <w:r>
        <w:rPr>
          <w:rFonts w:ascii="宋体" w:hAnsi="宋体" w:eastAsia="宋体" w:cs="宋体"/>
          <w:color w:val="auto"/>
          <w:spacing w:val="-3"/>
          <w:lang w:eastAsia="zh-CN"/>
        </w:rPr>
        <w:t>其投标作否决投标处理；证据不够确凿</w:t>
      </w:r>
      <w:r>
        <w:rPr>
          <w:rFonts w:ascii="宋体" w:hAnsi="宋体" w:eastAsia="宋体" w:cs="宋体"/>
          <w:color w:val="auto"/>
          <w:spacing w:val="-6"/>
          <w:lang w:eastAsia="zh-CN"/>
        </w:rPr>
        <w:t>的，其投标不能作否决投标处理，但评标委员会在向招标人提交书面评标报告时，应予说明。</w:t>
      </w:r>
      <w:r>
        <w:rPr>
          <w:rFonts w:ascii="宋体" w:hAnsi="宋体" w:eastAsia="宋体" w:cs="宋体"/>
          <w:color w:val="auto"/>
          <w:spacing w:val="-2"/>
          <w:lang w:eastAsia="zh-CN"/>
        </w:rPr>
        <w:t>在评标结束后发现投标人串通投标或弄虚作假或有其</w:t>
      </w:r>
      <w:r>
        <w:rPr>
          <w:rFonts w:ascii="宋体" w:hAnsi="宋体" w:eastAsia="宋体" w:cs="宋体"/>
          <w:color w:val="auto"/>
          <w:spacing w:val="-3"/>
          <w:lang w:eastAsia="zh-CN"/>
        </w:rPr>
        <w:t>他违法行为，查证属实的，取消其中标</w:t>
      </w:r>
      <w:r>
        <w:rPr>
          <w:rFonts w:ascii="宋体" w:hAnsi="宋体" w:eastAsia="宋体" w:cs="宋体"/>
          <w:color w:val="auto"/>
          <w:spacing w:val="-9"/>
          <w:lang w:eastAsia="zh-CN"/>
        </w:rPr>
        <w:t>资格。</w:t>
      </w:r>
    </w:p>
    <w:p w14:paraId="137A5FFC">
      <w:pPr>
        <w:spacing w:line="297" w:lineRule="auto"/>
        <w:rPr>
          <w:rFonts w:ascii="宋体" w:hAnsi="宋体" w:eastAsia="宋体" w:cs="宋体"/>
          <w:color w:val="auto"/>
          <w:lang w:eastAsia="zh-CN"/>
        </w:rPr>
        <w:sectPr>
          <w:headerReference r:id="rId62" w:type="default"/>
          <w:footerReference r:id="rId63" w:type="default"/>
          <w:pgSz w:w="11906" w:h="16839"/>
          <w:pgMar w:top="400" w:right="0" w:bottom="1024" w:left="105" w:header="0" w:footer="793" w:gutter="0"/>
          <w:cols w:space="720" w:num="1"/>
        </w:sectPr>
      </w:pPr>
    </w:p>
    <w:p w14:paraId="5B843D17">
      <w:pPr>
        <w:pStyle w:val="8"/>
        <w:spacing w:line="248" w:lineRule="auto"/>
        <w:rPr>
          <w:lang w:eastAsia="zh-CN"/>
        </w:rPr>
      </w:pPr>
    </w:p>
    <w:p w14:paraId="19FFD3C2">
      <w:pPr>
        <w:pStyle w:val="8"/>
        <w:spacing w:line="248" w:lineRule="auto"/>
        <w:rPr>
          <w:lang w:eastAsia="zh-CN"/>
        </w:rPr>
      </w:pPr>
    </w:p>
    <w:p w14:paraId="5757A77C">
      <w:pPr>
        <w:pStyle w:val="8"/>
        <w:spacing w:line="248" w:lineRule="auto"/>
        <w:rPr>
          <w:lang w:eastAsia="zh-CN"/>
        </w:rPr>
      </w:pPr>
    </w:p>
    <w:p w14:paraId="77D8FD30">
      <w:pPr>
        <w:pStyle w:val="8"/>
        <w:spacing w:line="249" w:lineRule="auto"/>
        <w:rPr>
          <w:lang w:eastAsia="zh-CN"/>
        </w:rPr>
      </w:pPr>
    </w:p>
    <w:p w14:paraId="4A8BB450">
      <w:pPr>
        <w:pStyle w:val="8"/>
        <w:spacing w:line="249" w:lineRule="auto"/>
        <w:rPr>
          <w:lang w:eastAsia="zh-CN"/>
        </w:rPr>
      </w:pPr>
    </w:p>
    <w:p w14:paraId="0E117816">
      <w:pPr>
        <w:pStyle w:val="8"/>
        <w:spacing w:line="249" w:lineRule="auto"/>
        <w:rPr>
          <w:lang w:eastAsia="zh-CN"/>
        </w:rPr>
      </w:pPr>
    </w:p>
    <w:p w14:paraId="4621A65C">
      <w:pPr>
        <w:pStyle w:val="8"/>
        <w:spacing w:before="78" w:line="222" w:lineRule="auto"/>
        <w:ind w:left="1713"/>
        <w:outlineLvl w:val="1"/>
        <w:rPr>
          <w:rFonts w:ascii="黑体" w:hAnsi="黑体" w:eastAsia="黑体" w:cs="黑体"/>
          <w:sz w:val="24"/>
          <w:szCs w:val="24"/>
          <w:lang w:eastAsia="zh-CN"/>
        </w:rPr>
      </w:pPr>
      <w:bookmarkStart w:id="271" w:name="_Toc6368"/>
      <w:bookmarkStart w:id="272" w:name="_Toc26289"/>
      <w:bookmarkStart w:id="273" w:name="_Toc12541"/>
      <w:bookmarkStart w:id="274" w:name="_Toc19833"/>
      <w:bookmarkStart w:id="275" w:name="_Toc4753"/>
      <w:bookmarkStart w:id="276" w:name="_Toc24989"/>
      <w:r>
        <w:rPr>
          <w:rFonts w:ascii="黑体" w:hAnsi="黑体" w:eastAsia="黑体" w:cs="黑体"/>
          <w:b/>
          <w:bCs/>
          <w:spacing w:val="-4"/>
          <w:sz w:val="24"/>
          <w:szCs w:val="24"/>
          <w:lang w:eastAsia="zh-CN"/>
        </w:rPr>
        <w:t>附件</w:t>
      </w:r>
      <w:r>
        <w:rPr>
          <w:b/>
          <w:bCs/>
          <w:spacing w:val="-4"/>
          <w:sz w:val="24"/>
          <w:szCs w:val="24"/>
          <w:lang w:eastAsia="zh-CN"/>
        </w:rPr>
        <w:t>A</w:t>
      </w:r>
      <w:r>
        <w:rPr>
          <w:rFonts w:ascii="黑体" w:hAnsi="黑体" w:eastAsia="黑体" w:cs="黑体"/>
          <w:b/>
          <w:bCs/>
          <w:spacing w:val="-4"/>
          <w:sz w:val="24"/>
          <w:szCs w:val="24"/>
          <w:lang w:eastAsia="zh-CN"/>
        </w:rPr>
        <w:t>：评标详细程序</w:t>
      </w:r>
      <w:bookmarkEnd w:id="271"/>
      <w:bookmarkEnd w:id="272"/>
      <w:bookmarkEnd w:id="273"/>
      <w:bookmarkEnd w:id="274"/>
      <w:bookmarkEnd w:id="275"/>
      <w:bookmarkEnd w:id="276"/>
    </w:p>
    <w:p w14:paraId="51C3E17D">
      <w:pPr>
        <w:pStyle w:val="8"/>
        <w:spacing w:line="423" w:lineRule="auto"/>
        <w:rPr>
          <w:lang w:eastAsia="zh-CN"/>
        </w:rPr>
      </w:pPr>
    </w:p>
    <w:p w14:paraId="483DACB5">
      <w:pPr>
        <w:spacing w:before="91" w:line="222" w:lineRule="auto"/>
        <w:ind w:left="5013"/>
        <w:rPr>
          <w:rFonts w:ascii="黑体" w:hAnsi="黑体" w:eastAsia="黑体" w:cs="黑体"/>
          <w:color w:val="auto"/>
          <w:sz w:val="28"/>
          <w:szCs w:val="28"/>
          <w:lang w:eastAsia="zh-CN"/>
        </w:rPr>
      </w:pPr>
      <w:bookmarkStart w:id="277" w:name="bookmark93"/>
      <w:bookmarkEnd w:id="277"/>
      <w:bookmarkStart w:id="278" w:name="bookmark92"/>
      <w:bookmarkEnd w:id="278"/>
      <w:r>
        <w:rPr>
          <w:rFonts w:ascii="黑体" w:hAnsi="黑体" w:eastAsia="黑体" w:cs="黑体"/>
          <w:b/>
          <w:bCs/>
          <w:color w:val="auto"/>
          <w:spacing w:val="-4"/>
          <w:sz w:val="28"/>
          <w:szCs w:val="28"/>
          <w:lang w:eastAsia="zh-CN"/>
        </w:rPr>
        <w:t>评标详细程序</w:t>
      </w:r>
    </w:p>
    <w:p w14:paraId="0515AB47">
      <w:pPr>
        <w:spacing w:before="96" w:line="222" w:lineRule="auto"/>
        <w:ind w:left="1693"/>
        <w:outlineLvl w:val="2"/>
        <w:rPr>
          <w:rFonts w:ascii="黑体" w:hAnsi="黑体" w:eastAsia="黑体" w:cs="黑体"/>
          <w:color w:val="auto"/>
          <w:sz w:val="24"/>
          <w:szCs w:val="24"/>
          <w:lang w:eastAsia="zh-CN"/>
        </w:rPr>
      </w:pPr>
      <w:r>
        <w:rPr>
          <w:rFonts w:ascii="Times New Roman" w:hAnsi="Times New Roman" w:eastAsia="Times New Roman" w:cs="Times New Roman"/>
          <w:color w:val="auto"/>
          <w:sz w:val="24"/>
          <w:szCs w:val="24"/>
          <w:lang w:eastAsia="zh-CN"/>
        </w:rPr>
        <w:t>A0.</w:t>
      </w:r>
      <w:r>
        <w:rPr>
          <w:rFonts w:ascii="黑体" w:hAnsi="黑体" w:eastAsia="黑体" w:cs="黑体"/>
          <w:color w:val="auto"/>
          <w:sz w:val="24"/>
          <w:szCs w:val="24"/>
          <w:lang w:eastAsia="zh-CN"/>
        </w:rPr>
        <w:t>总  则</w:t>
      </w:r>
    </w:p>
    <w:p w14:paraId="00063E97">
      <w:pPr>
        <w:spacing w:before="138" w:line="340" w:lineRule="auto"/>
        <w:ind w:left="1700" w:right="1796" w:firstLine="420"/>
        <w:rPr>
          <w:rFonts w:ascii="宋体" w:hAnsi="宋体" w:eastAsia="宋体" w:cs="宋体"/>
          <w:color w:val="auto"/>
          <w:lang w:eastAsia="zh-CN"/>
        </w:rPr>
      </w:pPr>
      <w:r>
        <w:rPr>
          <w:rFonts w:ascii="宋体" w:hAnsi="宋体" w:eastAsia="宋体" w:cs="宋体"/>
          <w:color w:val="auto"/>
          <w:spacing w:val="-3"/>
          <w:lang w:eastAsia="zh-CN"/>
        </w:rPr>
        <w:t>本附件是本章“评标办法”的组成部分，是对本</w:t>
      </w:r>
      <w:r>
        <w:rPr>
          <w:rFonts w:ascii="宋体" w:hAnsi="宋体" w:eastAsia="宋体" w:cs="宋体"/>
          <w:color w:val="auto"/>
          <w:spacing w:val="-4"/>
          <w:lang w:eastAsia="zh-CN"/>
        </w:rPr>
        <w:t>章第</w:t>
      </w:r>
      <w:r>
        <w:rPr>
          <w:rFonts w:ascii="Times New Roman" w:hAnsi="Times New Roman" w:eastAsia="Times New Roman" w:cs="Times New Roman"/>
          <w:color w:val="auto"/>
          <w:spacing w:val="-4"/>
          <w:lang w:eastAsia="zh-CN"/>
        </w:rPr>
        <w:t xml:space="preserve">3 </w:t>
      </w:r>
      <w:r>
        <w:rPr>
          <w:rFonts w:ascii="宋体" w:hAnsi="宋体" w:eastAsia="宋体" w:cs="宋体"/>
          <w:color w:val="auto"/>
          <w:spacing w:val="-4"/>
          <w:lang w:eastAsia="zh-CN"/>
        </w:rPr>
        <w:t>条所规定的评标程序的进一步细</w:t>
      </w:r>
      <w:r>
        <w:rPr>
          <w:rFonts w:ascii="宋体" w:hAnsi="宋体" w:eastAsia="宋体" w:cs="宋体"/>
          <w:color w:val="auto"/>
          <w:spacing w:val="-1"/>
          <w:lang w:eastAsia="zh-CN"/>
        </w:rPr>
        <w:t>化，评标委员会应当按照本附件所规定的详细程序开展并</w:t>
      </w:r>
      <w:r>
        <w:rPr>
          <w:rFonts w:ascii="宋体" w:hAnsi="宋体" w:eastAsia="宋体" w:cs="宋体"/>
          <w:color w:val="auto"/>
          <w:spacing w:val="-2"/>
          <w:lang w:eastAsia="zh-CN"/>
        </w:rPr>
        <w:t>完成评标工作。</w:t>
      </w:r>
    </w:p>
    <w:p w14:paraId="20B64693">
      <w:pPr>
        <w:spacing w:line="221" w:lineRule="auto"/>
        <w:ind w:left="1693"/>
        <w:outlineLvl w:val="2"/>
        <w:rPr>
          <w:rFonts w:ascii="黑体" w:hAnsi="黑体" w:eastAsia="黑体" w:cs="黑体"/>
          <w:color w:val="auto"/>
          <w:sz w:val="24"/>
          <w:szCs w:val="24"/>
          <w:lang w:eastAsia="zh-CN"/>
        </w:rPr>
      </w:pPr>
      <w:bookmarkStart w:id="279" w:name="bookmark94"/>
      <w:bookmarkEnd w:id="279"/>
      <w:r>
        <w:rPr>
          <w:rFonts w:ascii="Times New Roman" w:hAnsi="Times New Roman" w:eastAsia="Times New Roman" w:cs="Times New Roman"/>
          <w:color w:val="auto"/>
          <w:spacing w:val="-1"/>
          <w:sz w:val="24"/>
          <w:szCs w:val="24"/>
          <w:lang w:eastAsia="zh-CN"/>
        </w:rPr>
        <w:t>A1.</w:t>
      </w:r>
      <w:r>
        <w:rPr>
          <w:rFonts w:ascii="黑体" w:hAnsi="黑体" w:eastAsia="黑体" w:cs="黑体"/>
          <w:color w:val="auto"/>
          <w:spacing w:val="-1"/>
          <w:sz w:val="24"/>
          <w:szCs w:val="24"/>
          <w:lang w:eastAsia="zh-CN"/>
        </w:rPr>
        <w:t>基本程序</w:t>
      </w:r>
    </w:p>
    <w:p w14:paraId="2CD23BA8">
      <w:pPr>
        <w:spacing w:before="138" w:line="220" w:lineRule="auto"/>
        <w:ind w:left="2118"/>
        <w:rPr>
          <w:rFonts w:ascii="宋体" w:hAnsi="宋体" w:eastAsia="宋体" w:cs="宋体"/>
          <w:color w:val="auto"/>
          <w:lang w:eastAsia="zh-CN"/>
        </w:rPr>
      </w:pPr>
      <w:r>
        <w:rPr>
          <w:rFonts w:ascii="宋体" w:hAnsi="宋体" w:eastAsia="宋体" w:cs="宋体"/>
          <w:color w:val="auto"/>
          <w:spacing w:val="-4"/>
          <w:lang w:eastAsia="zh-CN"/>
        </w:rPr>
        <w:t>评标活动将按以下五个步骤进行：</w:t>
      </w:r>
    </w:p>
    <w:p w14:paraId="780314B3">
      <w:pPr>
        <w:spacing w:before="149" w:line="221"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1</w:t>
      </w:r>
      <w:r>
        <w:rPr>
          <w:rFonts w:ascii="宋体" w:hAnsi="宋体" w:eastAsia="宋体" w:cs="宋体"/>
          <w:color w:val="auto"/>
          <w:spacing w:val="-7"/>
          <w:lang w:eastAsia="zh-CN"/>
        </w:rPr>
        <w:t>）评标准备；</w:t>
      </w:r>
    </w:p>
    <w:p w14:paraId="42E6D18A">
      <w:pPr>
        <w:spacing w:before="149"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2</w:t>
      </w:r>
      <w:r>
        <w:rPr>
          <w:rFonts w:ascii="宋体" w:hAnsi="宋体" w:eastAsia="宋体" w:cs="宋体"/>
          <w:color w:val="auto"/>
          <w:spacing w:val="-7"/>
          <w:lang w:eastAsia="zh-CN"/>
        </w:rPr>
        <w:t>）初步评审；</w:t>
      </w:r>
    </w:p>
    <w:p w14:paraId="5BA3FDEB">
      <w:pPr>
        <w:spacing w:before="150" w:line="221"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）详细评审；</w:t>
      </w:r>
    </w:p>
    <w:p w14:paraId="2E58F1A0">
      <w:pPr>
        <w:spacing w:before="14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4</w:t>
      </w:r>
      <w:r>
        <w:rPr>
          <w:rFonts w:ascii="宋体" w:hAnsi="宋体" w:eastAsia="宋体" w:cs="宋体"/>
          <w:color w:val="auto"/>
          <w:spacing w:val="-5"/>
          <w:lang w:eastAsia="zh-CN"/>
        </w:rPr>
        <w:t>）澄清、说明或补正；</w:t>
      </w:r>
    </w:p>
    <w:p w14:paraId="777DA31B">
      <w:pPr>
        <w:spacing w:before="149"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）推荐中标候选人或者直接确定中标人及提交评标报告。</w:t>
      </w:r>
    </w:p>
    <w:p w14:paraId="04E0908F">
      <w:pPr>
        <w:spacing w:before="125" w:line="222" w:lineRule="auto"/>
        <w:ind w:left="1693"/>
        <w:outlineLvl w:val="2"/>
        <w:rPr>
          <w:rFonts w:ascii="黑体" w:hAnsi="黑体" w:eastAsia="黑体" w:cs="黑体"/>
          <w:color w:val="auto"/>
          <w:sz w:val="24"/>
          <w:szCs w:val="24"/>
          <w:lang w:eastAsia="zh-CN"/>
        </w:rPr>
      </w:pPr>
      <w:bookmarkStart w:id="280" w:name="bookmark95"/>
      <w:bookmarkEnd w:id="280"/>
      <w:bookmarkStart w:id="281" w:name="bookmark96"/>
      <w:bookmarkEnd w:id="281"/>
      <w:r>
        <w:rPr>
          <w:rFonts w:ascii="Times New Roman" w:hAnsi="Times New Roman" w:eastAsia="Times New Roman" w:cs="Times New Roman"/>
          <w:color w:val="auto"/>
          <w:spacing w:val="-1"/>
          <w:sz w:val="24"/>
          <w:szCs w:val="24"/>
          <w:lang w:eastAsia="zh-CN"/>
        </w:rPr>
        <w:t>A2.</w:t>
      </w:r>
      <w:r>
        <w:rPr>
          <w:rFonts w:ascii="黑体" w:hAnsi="黑体" w:eastAsia="黑体" w:cs="黑体"/>
          <w:color w:val="auto"/>
          <w:spacing w:val="-1"/>
          <w:sz w:val="24"/>
          <w:szCs w:val="24"/>
          <w:lang w:eastAsia="zh-CN"/>
        </w:rPr>
        <w:t>评标准备</w:t>
      </w:r>
    </w:p>
    <w:p w14:paraId="64EFD66F">
      <w:pPr>
        <w:spacing w:before="137"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A2.1 </w:t>
      </w:r>
      <w:r>
        <w:rPr>
          <w:rFonts w:ascii="黑体" w:hAnsi="黑体" w:eastAsia="黑体" w:cs="黑体"/>
          <w:color w:val="auto"/>
          <w:spacing w:val="-1"/>
          <w:lang w:eastAsia="zh-CN"/>
        </w:rPr>
        <w:t>评标委员会成员签到</w:t>
      </w:r>
    </w:p>
    <w:p w14:paraId="22B66F4F">
      <w:pPr>
        <w:spacing w:before="148" w:line="352" w:lineRule="auto"/>
        <w:ind w:left="1715" w:right="1796" w:firstLine="402"/>
        <w:rPr>
          <w:rFonts w:ascii="宋体" w:hAnsi="宋体" w:eastAsia="宋体" w:cs="宋体"/>
          <w:color w:val="auto"/>
          <w:lang w:eastAsia="zh-CN"/>
        </w:rPr>
      </w:pPr>
      <w:r>
        <w:rPr>
          <w:rFonts w:ascii="宋体" w:hAnsi="宋体" w:eastAsia="宋体" w:cs="宋体"/>
          <w:color w:val="auto"/>
          <w:spacing w:val="-3"/>
          <w:lang w:eastAsia="zh-CN"/>
        </w:rPr>
        <w:t>评标委员会成员到达评标现场时应在签到表上签到以证明其出席。评标委员会签到表见</w:t>
      </w:r>
      <w:r>
        <w:rPr>
          <w:rFonts w:ascii="宋体" w:hAnsi="宋体" w:eastAsia="宋体" w:cs="宋体"/>
          <w:b/>
          <w:bCs/>
          <w:color w:val="auto"/>
          <w:spacing w:val="-4"/>
          <w:lang w:eastAsia="zh-CN"/>
        </w:rPr>
        <w:t>附表</w:t>
      </w:r>
      <w:r>
        <w:rPr>
          <w:rFonts w:ascii="Times New Roman" w:hAnsi="Times New Roman" w:eastAsia="Times New Roman" w:cs="Times New Roman"/>
          <w:b/>
          <w:bCs/>
          <w:color w:val="auto"/>
          <w:spacing w:val="-4"/>
          <w:lang w:eastAsia="zh-CN"/>
        </w:rPr>
        <w:t>A-1</w:t>
      </w:r>
      <w:r>
        <w:rPr>
          <w:rFonts w:ascii="宋体" w:hAnsi="宋体" w:eastAsia="宋体" w:cs="宋体"/>
          <w:color w:val="auto"/>
          <w:spacing w:val="-4"/>
          <w:lang w:eastAsia="zh-CN"/>
        </w:rPr>
        <w:t>。并按照要求阅读评标纪律。</w:t>
      </w:r>
    </w:p>
    <w:p w14:paraId="6C04B244">
      <w:pPr>
        <w:spacing w:before="3" w:line="351" w:lineRule="auto"/>
        <w:ind w:left="1698" w:right="1796" w:firstLine="420"/>
        <w:jc w:val="both"/>
        <w:rPr>
          <w:rFonts w:ascii="宋体" w:hAnsi="宋体" w:eastAsia="宋体" w:cs="宋体"/>
          <w:color w:val="auto"/>
          <w:lang w:eastAsia="zh-CN"/>
        </w:rPr>
      </w:pPr>
      <w:r>
        <w:rPr>
          <w:rFonts w:ascii="宋体" w:hAnsi="宋体" w:eastAsia="宋体" w:cs="宋体"/>
          <w:color w:val="auto"/>
          <w:spacing w:val="-3"/>
          <w:lang w:eastAsia="zh-CN"/>
        </w:rPr>
        <w:t>评标委员会成员在评标前，应当签订签署评标专家告知承诺函。评标专家告知承诺函见</w:t>
      </w:r>
      <w:r>
        <w:rPr>
          <w:rFonts w:ascii="宋体" w:hAnsi="宋体" w:eastAsia="宋体" w:cs="宋体"/>
          <w:b/>
          <w:bCs/>
          <w:color w:val="auto"/>
          <w:spacing w:val="-6"/>
          <w:lang w:eastAsia="zh-CN"/>
        </w:rPr>
        <w:t>附表</w:t>
      </w:r>
      <w:r>
        <w:rPr>
          <w:rFonts w:ascii="Times New Roman" w:hAnsi="Times New Roman" w:eastAsia="Times New Roman" w:cs="Times New Roman"/>
          <w:b/>
          <w:bCs/>
          <w:color w:val="auto"/>
          <w:spacing w:val="-6"/>
          <w:lang w:eastAsia="zh-CN"/>
        </w:rPr>
        <w:t>A-2</w:t>
      </w:r>
      <w:r>
        <w:rPr>
          <w:rFonts w:ascii="宋体" w:hAnsi="宋体" w:eastAsia="宋体" w:cs="宋体"/>
          <w:b/>
          <w:bCs/>
          <w:color w:val="auto"/>
          <w:spacing w:val="-6"/>
          <w:lang w:eastAsia="zh-CN"/>
        </w:rPr>
        <w:t>。</w:t>
      </w:r>
      <w:r>
        <w:rPr>
          <w:rFonts w:ascii="宋体" w:hAnsi="宋体" w:eastAsia="宋体" w:cs="宋体"/>
          <w:color w:val="auto"/>
          <w:spacing w:val="-6"/>
          <w:lang w:eastAsia="zh-CN"/>
        </w:rPr>
        <w:t>评标委员会成员对尽职、回避、保密、廉洁，不参与串通投标等进行承诺，承诺</w:t>
      </w:r>
      <w:r>
        <w:rPr>
          <w:rFonts w:ascii="宋体" w:hAnsi="宋体" w:eastAsia="宋体" w:cs="宋体"/>
          <w:color w:val="auto"/>
          <w:spacing w:val="-5"/>
          <w:lang w:eastAsia="zh-CN"/>
        </w:rPr>
        <w:t>遵守有关评标管理规定以及评标纪律，客观、公正地进行评标， 并接受招投标监管部门的监</w:t>
      </w:r>
      <w:bookmarkStart w:id="282" w:name="bookmark97"/>
      <w:bookmarkEnd w:id="282"/>
      <w:r>
        <w:rPr>
          <w:rFonts w:ascii="宋体" w:hAnsi="宋体" w:eastAsia="宋体" w:cs="宋体"/>
          <w:color w:val="auto"/>
          <w:spacing w:val="-10"/>
          <w:lang w:eastAsia="zh-CN"/>
        </w:rPr>
        <w:t>督。</w:t>
      </w:r>
    </w:p>
    <w:p w14:paraId="23D4EAB4">
      <w:pPr>
        <w:spacing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A2.2 </w:t>
      </w:r>
      <w:r>
        <w:rPr>
          <w:rFonts w:ascii="黑体" w:hAnsi="黑体" w:eastAsia="黑体" w:cs="黑体"/>
          <w:color w:val="auto"/>
          <w:spacing w:val="-1"/>
          <w:lang w:eastAsia="zh-CN"/>
        </w:rPr>
        <w:t>评标委员会的分工</w:t>
      </w:r>
    </w:p>
    <w:p w14:paraId="149C54A7">
      <w:pPr>
        <w:spacing w:before="165" w:line="362" w:lineRule="auto"/>
        <w:ind w:left="1701" w:right="1796" w:firstLine="410"/>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A2.2.1 </w:t>
      </w:r>
      <w:r>
        <w:rPr>
          <w:rFonts w:ascii="宋体" w:hAnsi="宋体" w:eastAsia="宋体" w:cs="宋体"/>
          <w:color w:val="auto"/>
          <w:spacing w:val="-2"/>
          <w:lang w:eastAsia="zh-CN"/>
        </w:rPr>
        <w:t>评标委员会首先推选一名评标委员会主任。评标委员会主任负责评标活动的组织</w:t>
      </w:r>
      <w:r>
        <w:rPr>
          <w:rFonts w:ascii="宋体" w:hAnsi="宋体" w:eastAsia="宋体" w:cs="宋体"/>
          <w:color w:val="auto"/>
          <w:spacing w:val="-9"/>
          <w:lang w:eastAsia="zh-CN"/>
        </w:rPr>
        <w:t>工作。</w:t>
      </w:r>
    </w:p>
    <w:p w14:paraId="5121042C">
      <w:pPr>
        <w:spacing w:before="2" w:line="351" w:lineRule="auto"/>
        <w:ind w:left="1723" w:right="1797" w:firstLine="389"/>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A2.2.2  </w:t>
      </w:r>
      <w:r>
        <w:rPr>
          <w:rFonts w:ascii="宋体" w:hAnsi="宋体" w:eastAsia="宋体" w:cs="宋体"/>
          <w:color w:val="auto"/>
          <w:spacing w:val="2"/>
          <w:lang w:eastAsia="zh-CN"/>
        </w:rPr>
        <w:t>评标委员会主任除履行自己作为评标委员会成员独</w:t>
      </w:r>
      <w:r>
        <w:rPr>
          <w:rFonts w:ascii="宋体" w:hAnsi="宋体" w:eastAsia="宋体" w:cs="宋体"/>
          <w:color w:val="auto"/>
          <w:spacing w:val="1"/>
          <w:lang w:eastAsia="zh-CN"/>
        </w:rPr>
        <w:t>立评标的职责外，主要负责</w:t>
      </w:r>
      <w:r>
        <w:rPr>
          <w:rFonts w:ascii="宋体" w:hAnsi="宋体" w:eastAsia="宋体" w:cs="宋体"/>
          <w:color w:val="auto"/>
          <w:spacing w:val="-13"/>
          <w:lang w:eastAsia="zh-CN"/>
        </w:rPr>
        <w:t>以下工作：</w:t>
      </w:r>
    </w:p>
    <w:p w14:paraId="502A14DE">
      <w:pPr>
        <w:spacing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）组织评标委员会成员学习招标文件中载明的评标标准和方</w:t>
      </w:r>
      <w:r>
        <w:rPr>
          <w:rFonts w:ascii="宋体" w:hAnsi="宋体" w:eastAsia="宋体" w:cs="宋体"/>
          <w:color w:val="auto"/>
          <w:spacing w:val="-3"/>
          <w:lang w:eastAsia="zh-CN"/>
        </w:rPr>
        <w:t>法；</w:t>
      </w:r>
    </w:p>
    <w:p w14:paraId="29B8E94D">
      <w:pPr>
        <w:spacing w:before="174"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）提醒招标人做好评标准备工作，包括提供所需的评标基础资料；</w:t>
      </w:r>
    </w:p>
    <w:p w14:paraId="6DF7724A">
      <w:pPr>
        <w:spacing w:before="155" w:line="286" w:lineRule="auto"/>
        <w:ind w:left="1707" w:right="1806" w:firstLine="417"/>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3</w:t>
      </w:r>
      <w:r>
        <w:rPr>
          <w:rFonts w:ascii="宋体" w:hAnsi="宋体" w:eastAsia="宋体" w:cs="宋体"/>
          <w:color w:val="auto"/>
          <w:lang w:eastAsia="zh-CN"/>
        </w:rPr>
        <w:t>）汇总各评标委员会成员认为需要投标人澄清、说明或者补正的</w:t>
      </w:r>
      <w:r>
        <w:rPr>
          <w:rFonts w:ascii="宋体" w:hAnsi="宋体" w:eastAsia="宋体" w:cs="宋体"/>
          <w:color w:val="auto"/>
          <w:spacing w:val="-1"/>
          <w:lang w:eastAsia="zh-CN"/>
        </w:rPr>
        <w:t>问题，组织评标委</w:t>
      </w:r>
      <w:r>
        <w:rPr>
          <w:rFonts w:ascii="宋体" w:hAnsi="宋体" w:eastAsia="宋体" w:cs="宋体"/>
          <w:color w:val="auto"/>
          <w:spacing w:val="-3"/>
          <w:lang w:eastAsia="zh-CN"/>
        </w:rPr>
        <w:t>员会对投标人质询并对投标人的答复进行评审；</w:t>
      </w:r>
    </w:p>
    <w:p w14:paraId="1421A694">
      <w:pPr>
        <w:spacing w:before="15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4</w:t>
      </w:r>
      <w:r>
        <w:rPr>
          <w:rFonts w:ascii="宋体" w:hAnsi="宋体" w:eastAsia="宋体" w:cs="宋体"/>
          <w:color w:val="auto"/>
          <w:spacing w:val="-3"/>
          <w:lang w:eastAsia="zh-CN"/>
        </w:rPr>
        <w:t>）对出现较大争议的事项进行书面记录；</w:t>
      </w:r>
    </w:p>
    <w:p w14:paraId="360CF282">
      <w:pPr>
        <w:spacing w:before="151"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5</w:t>
      </w:r>
      <w:r>
        <w:rPr>
          <w:rFonts w:ascii="宋体" w:hAnsi="宋体" w:eastAsia="宋体" w:cs="宋体"/>
          <w:color w:val="auto"/>
          <w:spacing w:val="-3"/>
          <w:lang w:eastAsia="zh-CN"/>
        </w:rPr>
        <w:t>）查验评标用表格和评标记录的完整性及有效性；</w:t>
      </w:r>
    </w:p>
    <w:p w14:paraId="33BF67CC">
      <w:pPr>
        <w:spacing w:before="149" w:line="221"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6</w:t>
      </w:r>
      <w:r>
        <w:rPr>
          <w:rFonts w:ascii="宋体" w:hAnsi="宋体" w:eastAsia="宋体" w:cs="宋体"/>
          <w:color w:val="auto"/>
          <w:spacing w:val="-4"/>
          <w:lang w:eastAsia="zh-CN"/>
        </w:rPr>
        <w:t>）组织对评标结论进行复核确认；</w:t>
      </w:r>
    </w:p>
    <w:p w14:paraId="1B258C42">
      <w:pPr>
        <w:spacing w:line="221" w:lineRule="auto"/>
        <w:rPr>
          <w:rFonts w:ascii="宋体" w:hAnsi="宋体" w:eastAsia="宋体" w:cs="宋体"/>
          <w:color w:val="auto"/>
          <w:lang w:eastAsia="zh-CN"/>
        </w:rPr>
        <w:sectPr>
          <w:footerReference r:id="rId64" w:type="default"/>
          <w:pgSz w:w="11906" w:h="16839"/>
          <w:pgMar w:top="400" w:right="0" w:bottom="1024" w:left="105" w:header="0" w:footer="793" w:gutter="0"/>
          <w:cols w:space="720" w:num="1"/>
        </w:sectPr>
      </w:pPr>
    </w:p>
    <w:p w14:paraId="672AA9D1">
      <w:pPr>
        <w:pStyle w:val="8"/>
        <w:spacing w:line="276" w:lineRule="auto"/>
        <w:rPr>
          <w:lang w:eastAsia="zh-CN"/>
        </w:rPr>
      </w:pPr>
    </w:p>
    <w:p w14:paraId="30A4BA7F">
      <w:pPr>
        <w:pStyle w:val="8"/>
        <w:spacing w:line="276" w:lineRule="auto"/>
        <w:rPr>
          <w:lang w:eastAsia="zh-CN"/>
        </w:rPr>
      </w:pPr>
    </w:p>
    <w:p w14:paraId="61D76886">
      <w:pPr>
        <w:pStyle w:val="8"/>
        <w:spacing w:line="276" w:lineRule="auto"/>
        <w:rPr>
          <w:lang w:eastAsia="zh-CN"/>
        </w:rPr>
      </w:pPr>
    </w:p>
    <w:p w14:paraId="170C826E">
      <w:pPr>
        <w:pStyle w:val="8"/>
        <w:spacing w:line="276" w:lineRule="auto"/>
        <w:rPr>
          <w:lang w:eastAsia="zh-CN"/>
        </w:rPr>
      </w:pPr>
    </w:p>
    <w:p w14:paraId="628D222F">
      <w:pPr>
        <w:spacing w:before="68" w:line="219"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7</w:t>
      </w:r>
      <w:r>
        <w:rPr>
          <w:rFonts w:ascii="宋体" w:hAnsi="宋体" w:eastAsia="宋体" w:cs="宋体"/>
          <w:color w:val="auto"/>
          <w:spacing w:val="-3"/>
          <w:lang w:eastAsia="zh-CN"/>
        </w:rPr>
        <w:t>）组织编写评标报告，推荐中标候选人。</w:t>
      </w:r>
    </w:p>
    <w:p w14:paraId="7D1C624D">
      <w:pPr>
        <w:spacing w:before="167" w:line="362" w:lineRule="auto"/>
        <w:ind w:left="1698" w:right="1796" w:firstLine="414"/>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A2.2.3 </w:t>
      </w:r>
      <w:r>
        <w:rPr>
          <w:rFonts w:ascii="宋体" w:hAnsi="宋体" w:eastAsia="宋体" w:cs="宋体"/>
          <w:color w:val="auto"/>
          <w:spacing w:val="3"/>
          <w:lang w:eastAsia="zh-CN"/>
        </w:rPr>
        <w:t>评标委员会主任在与其他评标委员会成员商议的基础上可以将评标委员会按照</w:t>
      </w:r>
      <w:r>
        <w:rPr>
          <w:rFonts w:ascii="宋体" w:hAnsi="宋体" w:eastAsia="宋体" w:cs="宋体"/>
          <w:color w:val="auto"/>
          <w:spacing w:val="-2"/>
          <w:lang w:eastAsia="zh-CN"/>
        </w:rPr>
        <w:t>评标专家抽取专业划分为技术组和经济组。</w:t>
      </w:r>
    </w:p>
    <w:p w14:paraId="7A56CCCE">
      <w:pPr>
        <w:spacing w:line="221" w:lineRule="auto"/>
        <w:ind w:left="1692"/>
        <w:outlineLvl w:val="2"/>
        <w:rPr>
          <w:rFonts w:ascii="黑体" w:hAnsi="黑体" w:eastAsia="黑体" w:cs="黑体"/>
          <w:color w:val="auto"/>
          <w:lang w:eastAsia="zh-CN"/>
        </w:rPr>
      </w:pPr>
      <w:bookmarkStart w:id="283" w:name="bookmark98"/>
      <w:bookmarkEnd w:id="283"/>
      <w:r>
        <w:rPr>
          <w:rFonts w:ascii="Times New Roman" w:hAnsi="Times New Roman" w:eastAsia="Times New Roman" w:cs="Times New Roman"/>
          <w:color w:val="auto"/>
          <w:spacing w:val="-1"/>
          <w:lang w:eastAsia="zh-CN"/>
        </w:rPr>
        <w:t xml:space="preserve">A2.3 </w:t>
      </w:r>
      <w:r>
        <w:rPr>
          <w:rFonts w:ascii="黑体" w:hAnsi="黑体" w:eastAsia="黑体" w:cs="黑体"/>
          <w:color w:val="auto"/>
          <w:spacing w:val="-1"/>
          <w:lang w:eastAsia="zh-CN"/>
        </w:rPr>
        <w:t>熟悉文件资料</w:t>
      </w:r>
    </w:p>
    <w:p w14:paraId="1D345712">
      <w:pPr>
        <w:spacing w:before="150" w:line="352" w:lineRule="auto"/>
        <w:ind w:left="1699" w:right="1666" w:firstLine="413"/>
        <w:jc w:val="both"/>
        <w:rPr>
          <w:rFonts w:ascii="宋体" w:hAnsi="宋体" w:eastAsia="宋体" w:cs="宋体"/>
          <w:color w:val="auto"/>
          <w:lang w:eastAsia="zh-CN"/>
        </w:rPr>
      </w:pPr>
      <w:r>
        <w:rPr>
          <w:rFonts w:ascii="Times New Roman" w:hAnsi="Times New Roman" w:eastAsia="Times New Roman" w:cs="Times New Roman"/>
          <w:color w:val="auto"/>
          <w:spacing w:val="-3"/>
          <w:lang w:eastAsia="zh-CN"/>
        </w:rPr>
        <w:t>A2.3.1</w:t>
      </w:r>
      <w:r>
        <w:rPr>
          <w:rFonts w:ascii="宋体" w:hAnsi="宋体" w:eastAsia="宋体" w:cs="宋体"/>
          <w:color w:val="auto"/>
          <w:spacing w:val="-3"/>
          <w:lang w:eastAsia="zh-CN"/>
        </w:rPr>
        <w:t>评标委员会主任应组织评标委员会成</w:t>
      </w:r>
      <w:r>
        <w:rPr>
          <w:rFonts w:ascii="宋体" w:hAnsi="宋体" w:eastAsia="宋体" w:cs="宋体"/>
          <w:color w:val="auto"/>
          <w:spacing w:val="-4"/>
          <w:lang w:eastAsia="zh-CN"/>
        </w:rPr>
        <w:t>员认真研究招标文件，了解和熟悉招标目的、</w:t>
      </w:r>
      <w:r>
        <w:rPr>
          <w:rFonts w:ascii="宋体" w:hAnsi="宋体" w:eastAsia="宋体" w:cs="宋体"/>
          <w:color w:val="auto"/>
          <w:spacing w:val="-5"/>
          <w:lang w:eastAsia="zh-CN"/>
        </w:rPr>
        <w:t>招标范围、主要合同条件、供货要求、质量标准， 掌握评标标准和方法，熟悉本章及附件中</w:t>
      </w:r>
      <w:r>
        <w:rPr>
          <w:rFonts w:ascii="宋体" w:hAnsi="宋体" w:eastAsia="宋体" w:cs="宋体"/>
          <w:color w:val="auto"/>
          <w:spacing w:val="-2"/>
          <w:lang w:eastAsia="zh-CN"/>
        </w:rPr>
        <w:t>包括的评标表格的使用，如果本章及附件所附的表</w:t>
      </w:r>
      <w:r>
        <w:rPr>
          <w:rFonts w:ascii="宋体" w:hAnsi="宋体" w:eastAsia="宋体" w:cs="宋体"/>
          <w:color w:val="auto"/>
          <w:spacing w:val="-3"/>
          <w:lang w:eastAsia="zh-CN"/>
        </w:rPr>
        <w:t>格不能满足评标所需时，评标委员会应补</w:t>
      </w:r>
      <w:r>
        <w:rPr>
          <w:rFonts w:ascii="宋体" w:hAnsi="宋体" w:eastAsia="宋体" w:cs="宋体"/>
          <w:color w:val="auto"/>
          <w:spacing w:val="-1"/>
          <w:lang w:eastAsia="zh-CN"/>
        </w:rPr>
        <w:t>充编制评标所需的表格。未在招标文件中规定的标准和方法不得作为评标的依</w:t>
      </w:r>
      <w:r>
        <w:rPr>
          <w:rFonts w:ascii="宋体" w:hAnsi="宋体" w:eastAsia="宋体" w:cs="宋体"/>
          <w:color w:val="auto"/>
          <w:spacing w:val="-2"/>
          <w:lang w:eastAsia="zh-CN"/>
        </w:rPr>
        <w:t>据。</w:t>
      </w:r>
    </w:p>
    <w:p w14:paraId="3A6608CA">
      <w:pPr>
        <w:spacing w:before="19" w:line="220" w:lineRule="auto"/>
        <w:ind w:left="211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A2.3.2 </w:t>
      </w:r>
      <w:r>
        <w:rPr>
          <w:rFonts w:ascii="宋体" w:hAnsi="宋体" w:eastAsia="宋体" w:cs="宋体"/>
          <w:color w:val="auto"/>
          <w:spacing w:val="-1"/>
          <w:lang w:eastAsia="zh-CN"/>
        </w:rPr>
        <w:t>招标人或招标代理机构应向评标委员会提供评标所需</w:t>
      </w:r>
      <w:r>
        <w:rPr>
          <w:rFonts w:ascii="宋体" w:hAnsi="宋体" w:eastAsia="宋体" w:cs="宋体"/>
          <w:color w:val="auto"/>
          <w:spacing w:val="-2"/>
          <w:lang w:eastAsia="zh-CN"/>
        </w:rPr>
        <w:t>的信息和数据，包括：</w:t>
      </w:r>
    </w:p>
    <w:p w14:paraId="7B659AD8">
      <w:pPr>
        <w:spacing w:before="157"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w:t>
      </w:r>
      <w:r>
        <w:rPr>
          <w:rFonts w:ascii="宋体" w:hAnsi="宋体" w:eastAsia="宋体" w:cs="宋体"/>
          <w:color w:val="auto"/>
          <w:spacing w:val="-4"/>
          <w:lang w:eastAsia="zh-CN"/>
        </w:rPr>
        <w:t>）招标文件及其澄清、修改文件；</w:t>
      </w:r>
    </w:p>
    <w:p w14:paraId="40CB6523">
      <w:pPr>
        <w:spacing w:before="14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2</w:t>
      </w:r>
      <w:r>
        <w:rPr>
          <w:rFonts w:ascii="宋体" w:hAnsi="宋体" w:eastAsia="宋体" w:cs="宋体"/>
          <w:color w:val="auto"/>
          <w:spacing w:val="-5"/>
          <w:lang w:eastAsia="zh-CN"/>
        </w:rPr>
        <w:t>）投标人的投标文件；</w:t>
      </w:r>
    </w:p>
    <w:p w14:paraId="1B52721A">
      <w:pPr>
        <w:spacing w:before="174"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）开标记录表以及二次刷卡、保证金缴纳等信息；</w:t>
      </w:r>
    </w:p>
    <w:p w14:paraId="1859A424">
      <w:pPr>
        <w:spacing w:before="155" w:line="219"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4</w:t>
      </w:r>
      <w:r>
        <w:rPr>
          <w:rFonts w:ascii="宋体" w:hAnsi="宋体" w:eastAsia="宋体" w:cs="宋体"/>
          <w:color w:val="auto"/>
          <w:spacing w:val="-6"/>
          <w:lang w:eastAsia="zh-CN"/>
        </w:rPr>
        <w:t>）最高投标限价；</w:t>
      </w:r>
    </w:p>
    <w:p w14:paraId="41667A57">
      <w:pPr>
        <w:spacing w:before="152" w:line="220"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5</w:t>
      </w:r>
      <w:r>
        <w:rPr>
          <w:rFonts w:ascii="宋体" w:hAnsi="宋体" w:eastAsia="宋体" w:cs="宋体"/>
          <w:color w:val="auto"/>
          <w:spacing w:val="-7"/>
          <w:lang w:eastAsia="zh-CN"/>
        </w:rPr>
        <w:t>）评标表格；</w:t>
      </w:r>
    </w:p>
    <w:p w14:paraId="09A350CB">
      <w:pPr>
        <w:spacing w:before="149" w:line="286" w:lineRule="auto"/>
        <w:ind w:left="1705" w:right="1812" w:firstLine="419"/>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6</w:t>
      </w:r>
      <w:r>
        <w:rPr>
          <w:rFonts w:ascii="宋体" w:hAnsi="宋体" w:eastAsia="宋体" w:cs="宋体"/>
          <w:color w:val="auto"/>
          <w:lang w:eastAsia="zh-CN"/>
        </w:rPr>
        <w:t>）有关的法律、法规、规章、国家标准以及招标人</w:t>
      </w:r>
      <w:r>
        <w:rPr>
          <w:rFonts w:ascii="宋体" w:hAnsi="宋体" w:eastAsia="宋体" w:cs="宋体"/>
          <w:color w:val="auto"/>
          <w:spacing w:val="-1"/>
          <w:lang w:eastAsia="zh-CN"/>
        </w:rPr>
        <w:t>或评标委员会认为必要的其他信</w:t>
      </w:r>
      <w:bookmarkStart w:id="284" w:name="bookmark99"/>
      <w:bookmarkEnd w:id="284"/>
      <w:r>
        <w:rPr>
          <w:rFonts w:ascii="宋体" w:hAnsi="宋体" w:eastAsia="宋体" w:cs="宋体"/>
          <w:color w:val="auto"/>
          <w:spacing w:val="-8"/>
          <w:lang w:eastAsia="zh-CN"/>
        </w:rPr>
        <w:t>息和数据。</w:t>
      </w:r>
    </w:p>
    <w:p w14:paraId="248B34AA">
      <w:pPr>
        <w:spacing w:before="149"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2"/>
          <w:lang w:eastAsia="zh-CN"/>
        </w:rPr>
        <w:t>A2.4</w:t>
      </w:r>
      <w:r>
        <w:rPr>
          <w:rFonts w:ascii="黑体" w:hAnsi="黑体" w:eastAsia="黑体" w:cs="黑体"/>
          <w:color w:val="auto"/>
          <w:spacing w:val="-2"/>
          <w:lang w:eastAsia="zh-CN"/>
        </w:rPr>
        <w:t>暗标编号</w:t>
      </w:r>
    </w:p>
    <w:p w14:paraId="2F82B0C5">
      <w:pPr>
        <w:spacing w:before="147" w:line="352" w:lineRule="auto"/>
        <w:ind w:left="1700" w:right="1738" w:firstLine="418"/>
        <w:jc w:val="both"/>
        <w:rPr>
          <w:rFonts w:ascii="宋体" w:hAnsi="宋体" w:eastAsia="宋体" w:cs="宋体"/>
          <w:color w:val="auto"/>
          <w:lang w:eastAsia="zh-CN"/>
        </w:rPr>
      </w:pPr>
      <w:r>
        <w:rPr>
          <w:rFonts w:ascii="宋体" w:hAnsi="宋体" w:eastAsia="宋体" w:cs="宋体"/>
          <w:color w:val="auto"/>
          <w:spacing w:val="-1"/>
          <w:lang w:eastAsia="zh-CN"/>
        </w:rPr>
        <w:t>第二章“投标人须知”前附表第</w:t>
      </w:r>
      <w:r>
        <w:rPr>
          <w:rFonts w:ascii="Times New Roman" w:hAnsi="Times New Roman" w:eastAsia="Times New Roman" w:cs="Times New Roman"/>
          <w:color w:val="auto"/>
          <w:spacing w:val="-1"/>
          <w:lang w:eastAsia="zh-CN"/>
        </w:rPr>
        <w:t xml:space="preserve">3.7.4 </w:t>
      </w:r>
      <w:r>
        <w:rPr>
          <w:rFonts w:ascii="宋体" w:hAnsi="宋体" w:eastAsia="宋体" w:cs="宋体"/>
          <w:color w:val="auto"/>
          <w:spacing w:val="-1"/>
          <w:lang w:eastAsia="zh-CN"/>
        </w:rPr>
        <w:t>款要求</w:t>
      </w:r>
      <w:r>
        <w:rPr>
          <w:rFonts w:ascii="宋体" w:hAnsi="宋体" w:eastAsia="宋体" w:cs="宋体"/>
          <w:color w:val="auto"/>
          <w:spacing w:val="-2"/>
          <w:lang w:eastAsia="zh-CN"/>
        </w:rPr>
        <w:t>对技术标采用“模块化暗标”评审方式且编制有模块化暗标要求的，则在评标工作开始前</w:t>
      </w:r>
      <w:r>
        <w:rPr>
          <w:rFonts w:ascii="宋体" w:hAnsi="宋体" w:eastAsia="宋体" w:cs="宋体"/>
          <w:color w:val="auto"/>
          <w:spacing w:val="-3"/>
          <w:lang w:eastAsia="zh-CN"/>
        </w:rPr>
        <w:t>，就暗标模块编号与投标人的对应关系使用</w:t>
      </w:r>
      <w:r>
        <w:rPr>
          <w:rFonts w:ascii="宋体" w:hAnsi="宋体" w:eastAsia="宋体" w:cs="宋体"/>
          <w:b/>
          <w:bCs/>
          <w:color w:val="auto"/>
          <w:spacing w:val="-3"/>
          <w:lang w:eastAsia="zh-CN"/>
        </w:rPr>
        <w:t>附表</w:t>
      </w:r>
      <w:r>
        <w:rPr>
          <w:rFonts w:ascii="Times New Roman" w:hAnsi="Times New Roman" w:eastAsia="Times New Roman" w:cs="Times New Roman"/>
          <w:b/>
          <w:bCs/>
          <w:color w:val="auto"/>
          <w:spacing w:val="-3"/>
          <w:lang w:eastAsia="zh-CN"/>
        </w:rPr>
        <w:t xml:space="preserve">A-3 </w:t>
      </w:r>
      <w:r>
        <w:rPr>
          <w:rFonts w:ascii="宋体" w:hAnsi="宋体" w:eastAsia="宋体" w:cs="宋体"/>
          <w:color w:val="auto"/>
          <w:spacing w:val="-3"/>
          <w:lang w:eastAsia="zh-CN"/>
        </w:rPr>
        <w:t>做好暗标编号记录，暗标模块编号按随机方式编排。在评标委员会技术标成员均完</w:t>
      </w:r>
      <w:r>
        <w:rPr>
          <w:rFonts w:ascii="宋体" w:hAnsi="宋体" w:eastAsia="宋体" w:cs="宋体"/>
          <w:color w:val="auto"/>
          <w:spacing w:val="-1"/>
          <w:lang w:eastAsia="zh-CN"/>
        </w:rPr>
        <w:t>成暗标部分评审并对评审结果签字确认和汇总后，招标人方可向评标委员会公布暗标编号。</w:t>
      </w:r>
    </w:p>
    <w:p w14:paraId="579AB80F">
      <w:pPr>
        <w:spacing w:line="221" w:lineRule="auto"/>
        <w:ind w:left="1692"/>
        <w:outlineLvl w:val="2"/>
        <w:rPr>
          <w:rFonts w:ascii="黑体" w:hAnsi="黑体" w:eastAsia="黑体" w:cs="黑体"/>
          <w:color w:val="auto"/>
          <w:lang w:eastAsia="zh-CN"/>
        </w:rPr>
      </w:pPr>
      <w:bookmarkStart w:id="285" w:name="bookmark100"/>
      <w:bookmarkEnd w:id="285"/>
      <w:r>
        <w:rPr>
          <w:rFonts w:ascii="Times New Roman" w:hAnsi="Times New Roman" w:eastAsia="Times New Roman" w:cs="Times New Roman"/>
          <w:color w:val="auto"/>
          <w:lang w:eastAsia="zh-CN"/>
        </w:rPr>
        <w:t xml:space="preserve">A2.5 </w:t>
      </w:r>
      <w:r>
        <w:rPr>
          <w:rFonts w:ascii="黑体" w:hAnsi="黑体" w:eastAsia="黑体" w:cs="黑体"/>
          <w:color w:val="auto"/>
          <w:lang w:eastAsia="zh-CN"/>
        </w:rPr>
        <w:t>对投标文件进行基础性数据分析和整</w:t>
      </w:r>
      <w:r>
        <w:rPr>
          <w:rFonts w:ascii="黑体" w:hAnsi="黑体" w:eastAsia="黑体" w:cs="黑体"/>
          <w:color w:val="auto"/>
          <w:spacing w:val="-1"/>
          <w:lang w:eastAsia="zh-CN"/>
        </w:rPr>
        <w:t>理工作</w:t>
      </w:r>
    </w:p>
    <w:p w14:paraId="36147C96">
      <w:pPr>
        <w:spacing w:before="147" w:line="352" w:lineRule="auto"/>
        <w:ind w:left="1698" w:right="1796" w:firstLine="414"/>
        <w:jc w:val="both"/>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A2.5.1 </w:t>
      </w:r>
      <w:r>
        <w:rPr>
          <w:rFonts w:ascii="宋体" w:hAnsi="宋体" w:eastAsia="宋体" w:cs="宋体"/>
          <w:color w:val="auto"/>
          <w:spacing w:val="-2"/>
          <w:lang w:eastAsia="zh-CN"/>
        </w:rPr>
        <w:t>在不改变投标人投标文件实质性内容的前提下，评标委员会应当借助计算机辅助评标系统对投标文件进行基础性数据分析和整理，评</w:t>
      </w:r>
      <w:r>
        <w:rPr>
          <w:rFonts w:ascii="宋体" w:hAnsi="宋体" w:eastAsia="宋体" w:cs="宋体"/>
          <w:color w:val="auto"/>
          <w:spacing w:val="-3"/>
          <w:lang w:eastAsia="zh-CN"/>
        </w:rPr>
        <w:t>标委员会对分析成果审议后，决定需要</w:t>
      </w:r>
      <w:r>
        <w:rPr>
          <w:rFonts w:ascii="宋体" w:hAnsi="宋体" w:eastAsia="宋体" w:cs="宋体"/>
          <w:color w:val="auto"/>
          <w:spacing w:val="-5"/>
          <w:lang w:eastAsia="zh-CN"/>
        </w:rPr>
        <w:t>投标人进行书面澄清、说明或补正的，通过电子招标投标系统（辽宁省工程建设项目数字化</w:t>
      </w:r>
      <w:r>
        <w:rPr>
          <w:rFonts w:ascii="宋体" w:hAnsi="宋体" w:eastAsia="宋体" w:cs="宋体"/>
          <w:color w:val="auto"/>
          <w:spacing w:val="-2"/>
          <w:lang w:eastAsia="zh-CN"/>
        </w:rPr>
        <w:t>开标评标系统）向投标人发出投标文件澄清通知。《</w:t>
      </w:r>
      <w:r>
        <w:rPr>
          <w:rFonts w:ascii="宋体" w:hAnsi="宋体" w:eastAsia="宋体" w:cs="宋体"/>
          <w:color w:val="auto"/>
          <w:spacing w:val="-3"/>
          <w:lang w:eastAsia="zh-CN"/>
        </w:rPr>
        <w:t>投标文件问题澄清通知》采用投标人须</w:t>
      </w:r>
      <w:r>
        <w:rPr>
          <w:rFonts w:ascii="宋体" w:hAnsi="宋体" w:eastAsia="宋体" w:cs="宋体"/>
          <w:color w:val="auto"/>
          <w:spacing w:val="-4"/>
          <w:lang w:eastAsia="zh-CN"/>
        </w:rPr>
        <w:t>知附表六所提供的格式。</w:t>
      </w:r>
    </w:p>
    <w:p w14:paraId="6CA828EF">
      <w:pPr>
        <w:spacing w:before="5" w:line="345" w:lineRule="auto"/>
        <w:ind w:left="1700" w:right="1796" w:firstLine="411"/>
        <w:jc w:val="both"/>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A2.5.2 </w:t>
      </w:r>
      <w:r>
        <w:rPr>
          <w:rFonts w:ascii="宋体" w:hAnsi="宋体" w:eastAsia="宋体" w:cs="宋体"/>
          <w:color w:val="auto"/>
          <w:spacing w:val="-2"/>
          <w:lang w:eastAsia="zh-CN"/>
        </w:rPr>
        <w:t>投标人接到评标委员会发出的投标文件澄清通知后，应按评标委员会的要求在规定的时间内，通过电子招标投标系统（辽宁省工</w:t>
      </w:r>
      <w:r>
        <w:rPr>
          <w:rFonts w:ascii="宋体" w:hAnsi="宋体" w:eastAsia="宋体" w:cs="宋体"/>
          <w:color w:val="auto"/>
          <w:spacing w:val="-3"/>
          <w:lang w:eastAsia="zh-CN"/>
        </w:rPr>
        <w:t>程建设项目数字化开标评标系统）提交投标</w:t>
      </w:r>
      <w:r>
        <w:rPr>
          <w:rFonts w:ascii="宋体" w:hAnsi="宋体" w:eastAsia="宋体" w:cs="宋体"/>
          <w:color w:val="auto"/>
          <w:spacing w:val="-7"/>
          <w:lang w:eastAsia="zh-CN"/>
        </w:rPr>
        <w:t>文件的澄清和相关资料（如有）。《投标文</w:t>
      </w:r>
      <w:r>
        <w:rPr>
          <w:rFonts w:ascii="宋体" w:hAnsi="宋体" w:eastAsia="宋体" w:cs="宋体"/>
          <w:color w:val="auto"/>
          <w:spacing w:val="-8"/>
          <w:lang w:eastAsia="zh-CN"/>
        </w:rPr>
        <w:t>件问题的澄清》采用投标人须知附表七所提供的格</w:t>
      </w:r>
      <w:r>
        <w:rPr>
          <w:rFonts w:ascii="宋体" w:hAnsi="宋体" w:eastAsia="宋体" w:cs="宋体"/>
          <w:color w:val="auto"/>
          <w:spacing w:val="-10"/>
          <w:lang w:eastAsia="zh-CN"/>
        </w:rPr>
        <w:t>式。</w:t>
      </w:r>
    </w:p>
    <w:p w14:paraId="6C9B5803">
      <w:pPr>
        <w:spacing w:line="221" w:lineRule="auto"/>
        <w:ind w:left="1693"/>
        <w:outlineLvl w:val="2"/>
        <w:rPr>
          <w:rFonts w:ascii="黑体" w:hAnsi="黑体" w:eastAsia="黑体" w:cs="黑体"/>
          <w:color w:val="auto"/>
          <w:sz w:val="24"/>
          <w:szCs w:val="24"/>
          <w:lang w:eastAsia="zh-CN"/>
        </w:rPr>
      </w:pPr>
      <w:bookmarkStart w:id="286" w:name="bookmark101"/>
      <w:bookmarkEnd w:id="286"/>
      <w:bookmarkStart w:id="287" w:name="bookmark102"/>
      <w:bookmarkEnd w:id="287"/>
      <w:r>
        <w:rPr>
          <w:rFonts w:ascii="Times New Roman" w:hAnsi="Times New Roman" w:eastAsia="Times New Roman" w:cs="Times New Roman"/>
          <w:color w:val="auto"/>
          <w:spacing w:val="-1"/>
          <w:sz w:val="24"/>
          <w:szCs w:val="24"/>
          <w:lang w:eastAsia="zh-CN"/>
        </w:rPr>
        <w:t>A3.</w:t>
      </w:r>
      <w:r>
        <w:rPr>
          <w:rFonts w:ascii="黑体" w:hAnsi="黑体" w:eastAsia="黑体" w:cs="黑体"/>
          <w:color w:val="auto"/>
          <w:spacing w:val="-1"/>
          <w:sz w:val="24"/>
          <w:szCs w:val="24"/>
          <w:lang w:eastAsia="zh-CN"/>
        </w:rPr>
        <w:t>初步评审</w:t>
      </w:r>
    </w:p>
    <w:p w14:paraId="76C977AF">
      <w:pPr>
        <w:spacing w:before="138"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lang w:eastAsia="zh-CN"/>
        </w:rPr>
        <w:t xml:space="preserve">A3.1 </w:t>
      </w:r>
      <w:r>
        <w:rPr>
          <w:rFonts w:ascii="黑体" w:hAnsi="黑体" w:eastAsia="黑体" w:cs="黑体"/>
          <w:color w:val="auto"/>
          <w:lang w:eastAsia="zh-CN"/>
        </w:rPr>
        <w:t>形式评审</w:t>
      </w:r>
    </w:p>
    <w:p w14:paraId="5D4842CE">
      <w:pPr>
        <w:spacing w:before="147" w:line="220" w:lineRule="auto"/>
        <w:ind w:left="2118"/>
        <w:rPr>
          <w:rFonts w:ascii="宋体" w:hAnsi="宋体" w:eastAsia="宋体" w:cs="宋体"/>
          <w:color w:val="auto"/>
          <w:lang w:eastAsia="zh-CN"/>
        </w:rPr>
      </w:pPr>
      <w:r>
        <w:rPr>
          <w:rFonts w:ascii="宋体" w:hAnsi="宋体" w:eastAsia="宋体" w:cs="宋体"/>
          <w:color w:val="auto"/>
          <w:spacing w:val="-3"/>
          <w:lang w:eastAsia="zh-CN"/>
        </w:rPr>
        <w:t>评标委员会根据评标办法前附表中规定的评审因素和评审标准，对投标人的投标文件进</w:t>
      </w:r>
      <w:r>
        <w:rPr>
          <w:rFonts w:hint="eastAsia" w:ascii="宋体" w:hAnsi="宋体" w:eastAsia="宋体" w:cs="宋体"/>
          <w:color w:val="auto"/>
          <w:spacing w:val="-3"/>
          <w:lang w:eastAsia="zh-CN"/>
        </w:rPr>
        <w:t>行</w:t>
      </w:r>
    </w:p>
    <w:p w14:paraId="0E421251">
      <w:pPr>
        <w:spacing w:line="220" w:lineRule="auto"/>
        <w:rPr>
          <w:rFonts w:ascii="宋体" w:hAnsi="宋体" w:eastAsia="宋体" w:cs="宋体"/>
          <w:color w:val="auto"/>
          <w:lang w:eastAsia="zh-CN"/>
        </w:rPr>
        <w:sectPr>
          <w:footerReference r:id="rId65" w:type="default"/>
          <w:pgSz w:w="11906" w:h="16839"/>
          <w:pgMar w:top="400" w:right="0" w:bottom="1024" w:left="105" w:header="0" w:footer="793" w:gutter="0"/>
          <w:cols w:space="720" w:num="1"/>
        </w:sectPr>
      </w:pPr>
    </w:p>
    <w:p w14:paraId="57FDEA33">
      <w:pPr>
        <w:pStyle w:val="8"/>
        <w:spacing w:line="276" w:lineRule="auto"/>
        <w:rPr>
          <w:lang w:eastAsia="zh-CN"/>
        </w:rPr>
      </w:pPr>
    </w:p>
    <w:p w14:paraId="6973D3FE">
      <w:pPr>
        <w:pStyle w:val="8"/>
        <w:spacing w:line="276" w:lineRule="auto"/>
        <w:rPr>
          <w:lang w:eastAsia="zh-CN"/>
        </w:rPr>
      </w:pPr>
    </w:p>
    <w:p w14:paraId="13D870BB">
      <w:pPr>
        <w:pStyle w:val="8"/>
        <w:spacing w:line="276" w:lineRule="auto"/>
        <w:rPr>
          <w:lang w:eastAsia="zh-CN"/>
        </w:rPr>
      </w:pPr>
    </w:p>
    <w:p w14:paraId="638DF33F">
      <w:pPr>
        <w:pStyle w:val="8"/>
        <w:spacing w:line="276" w:lineRule="auto"/>
        <w:rPr>
          <w:lang w:eastAsia="zh-CN"/>
        </w:rPr>
      </w:pPr>
    </w:p>
    <w:p w14:paraId="2316B41C">
      <w:pPr>
        <w:spacing w:before="68" w:line="220" w:lineRule="auto"/>
        <w:ind w:left="1702"/>
        <w:rPr>
          <w:rFonts w:ascii="宋体" w:hAnsi="宋体" w:eastAsia="宋体" w:cs="宋体"/>
          <w:color w:val="auto"/>
          <w:lang w:eastAsia="zh-CN"/>
        </w:rPr>
      </w:pPr>
      <w:r>
        <w:rPr>
          <w:rFonts w:ascii="宋体" w:hAnsi="宋体" w:eastAsia="宋体" w:cs="宋体"/>
          <w:color w:val="auto"/>
          <w:spacing w:val="-2"/>
          <w:lang w:eastAsia="zh-CN"/>
        </w:rPr>
        <w:t>形式评审，并使用</w:t>
      </w:r>
      <w:r>
        <w:rPr>
          <w:rFonts w:ascii="宋体" w:hAnsi="宋体" w:eastAsia="宋体" w:cs="宋体"/>
          <w:b/>
          <w:bCs/>
          <w:color w:val="auto"/>
          <w:spacing w:val="-2"/>
          <w:lang w:eastAsia="zh-CN"/>
        </w:rPr>
        <w:t>附表</w:t>
      </w:r>
      <w:r>
        <w:rPr>
          <w:rFonts w:ascii="Times New Roman" w:hAnsi="Times New Roman" w:eastAsia="Times New Roman" w:cs="Times New Roman"/>
          <w:b/>
          <w:bCs/>
          <w:color w:val="auto"/>
          <w:spacing w:val="-2"/>
          <w:lang w:eastAsia="zh-CN"/>
        </w:rPr>
        <w:t xml:space="preserve">A-4 </w:t>
      </w:r>
      <w:r>
        <w:rPr>
          <w:rFonts w:ascii="宋体" w:hAnsi="宋体" w:eastAsia="宋体" w:cs="宋体"/>
          <w:color w:val="auto"/>
          <w:spacing w:val="-2"/>
          <w:lang w:eastAsia="zh-CN"/>
        </w:rPr>
        <w:t>记录评审结果。</w:t>
      </w:r>
    </w:p>
    <w:p w14:paraId="1B3F4440">
      <w:pPr>
        <w:spacing w:before="149" w:line="222" w:lineRule="auto"/>
        <w:ind w:left="1692"/>
        <w:outlineLvl w:val="2"/>
        <w:rPr>
          <w:rFonts w:ascii="黑体" w:hAnsi="黑体" w:eastAsia="黑体" w:cs="黑体"/>
          <w:color w:val="auto"/>
          <w:lang w:eastAsia="zh-CN"/>
        </w:rPr>
      </w:pPr>
      <w:bookmarkStart w:id="288" w:name="bookmark103"/>
      <w:bookmarkEnd w:id="288"/>
      <w:r>
        <w:rPr>
          <w:rFonts w:ascii="Times New Roman" w:hAnsi="Times New Roman" w:eastAsia="Times New Roman" w:cs="Times New Roman"/>
          <w:color w:val="auto"/>
          <w:spacing w:val="-2"/>
          <w:lang w:eastAsia="zh-CN"/>
        </w:rPr>
        <w:t>A3.2</w:t>
      </w:r>
      <w:r>
        <w:rPr>
          <w:rFonts w:ascii="黑体" w:hAnsi="黑体" w:eastAsia="黑体" w:cs="黑体"/>
          <w:color w:val="auto"/>
          <w:spacing w:val="-2"/>
          <w:lang w:eastAsia="zh-CN"/>
        </w:rPr>
        <w:t>资格评审</w:t>
      </w:r>
    </w:p>
    <w:p w14:paraId="1FB4D3F1">
      <w:pPr>
        <w:spacing w:before="146" w:line="352" w:lineRule="auto"/>
        <w:ind w:left="1702" w:right="1796" w:firstLine="415"/>
        <w:rPr>
          <w:rFonts w:ascii="宋体" w:hAnsi="宋体" w:eastAsia="宋体" w:cs="宋体"/>
          <w:color w:val="auto"/>
          <w:lang w:eastAsia="zh-CN"/>
        </w:rPr>
      </w:pPr>
      <w:r>
        <w:rPr>
          <w:rFonts w:ascii="宋体" w:hAnsi="宋体" w:eastAsia="宋体" w:cs="宋体"/>
          <w:color w:val="auto"/>
          <w:spacing w:val="-3"/>
          <w:lang w:eastAsia="zh-CN"/>
        </w:rPr>
        <w:t>评标委员会根据评标办法前附表中规定的评审因素和评审标准，对投标人的投标文件进</w:t>
      </w:r>
      <w:r>
        <w:rPr>
          <w:rFonts w:ascii="宋体" w:hAnsi="宋体" w:eastAsia="宋体" w:cs="宋体"/>
          <w:color w:val="auto"/>
          <w:spacing w:val="-2"/>
          <w:lang w:eastAsia="zh-CN"/>
        </w:rPr>
        <w:t>行资格评审，并使用</w:t>
      </w:r>
      <w:r>
        <w:rPr>
          <w:rFonts w:ascii="宋体" w:hAnsi="宋体" w:eastAsia="宋体" w:cs="宋体"/>
          <w:b/>
          <w:bCs/>
          <w:color w:val="auto"/>
          <w:spacing w:val="-2"/>
          <w:lang w:eastAsia="zh-CN"/>
        </w:rPr>
        <w:t>附表</w:t>
      </w:r>
      <w:r>
        <w:rPr>
          <w:rFonts w:ascii="Times New Roman" w:hAnsi="Times New Roman" w:eastAsia="Times New Roman" w:cs="Times New Roman"/>
          <w:b/>
          <w:bCs/>
          <w:color w:val="auto"/>
          <w:spacing w:val="-2"/>
          <w:lang w:eastAsia="zh-CN"/>
        </w:rPr>
        <w:t xml:space="preserve">A-5 </w:t>
      </w:r>
      <w:r>
        <w:rPr>
          <w:rFonts w:ascii="宋体" w:hAnsi="宋体" w:eastAsia="宋体" w:cs="宋体"/>
          <w:color w:val="auto"/>
          <w:spacing w:val="-2"/>
          <w:lang w:eastAsia="zh-CN"/>
        </w:rPr>
        <w:t>记录评审结果。</w:t>
      </w:r>
    </w:p>
    <w:p w14:paraId="4F5C58D6">
      <w:pPr>
        <w:spacing w:line="221" w:lineRule="auto"/>
        <w:ind w:left="1692"/>
        <w:outlineLvl w:val="2"/>
        <w:rPr>
          <w:rFonts w:ascii="黑体" w:hAnsi="黑体" w:eastAsia="黑体" w:cs="黑体"/>
          <w:color w:val="auto"/>
          <w:lang w:eastAsia="zh-CN"/>
        </w:rPr>
      </w:pPr>
      <w:bookmarkStart w:id="289" w:name="bookmark104"/>
      <w:bookmarkEnd w:id="289"/>
      <w:r>
        <w:rPr>
          <w:rFonts w:ascii="Times New Roman" w:hAnsi="Times New Roman" w:eastAsia="Times New Roman" w:cs="Times New Roman"/>
          <w:color w:val="auto"/>
          <w:spacing w:val="-2"/>
          <w:lang w:eastAsia="zh-CN"/>
        </w:rPr>
        <w:t>A3.3</w:t>
      </w:r>
      <w:r>
        <w:rPr>
          <w:rFonts w:ascii="黑体" w:hAnsi="黑体" w:eastAsia="黑体" w:cs="黑体"/>
          <w:color w:val="auto"/>
          <w:spacing w:val="-2"/>
          <w:lang w:eastAsia="zh-CN"/>
        </w:rPr>
        <w:t>响应性评审</w:t>
      </w:r>
    </w:p>
    <w:p w14:paraId="6B04AD78">
      <w:pPr>
        <w:spacing w:before="148" w:line="352" w:lineRule="auto"/>
        <w:ind w:left="1700" w:right="1796" w:firstLine="411"/>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A3.3.1 </w:t>
      </w:r>
      <w:r>
        <w:rPr>
          <w:rFonts w:ascii="宋体" w:hAnsi="宋体" w:eastAsia="宋体" w:cs="宋体"/>
          <w:color w:val="auto"/>
          <w:spacing w:val="-2"/>
          <w:lang w:eastAsia="zh-CN"/>
        </w:rPr>
        <w:t>评标委员会根据评标办法前附表中规定的评审因素和评审标准，对投标人的投标文件进行响应性评审，并使用</w:t>
      </w:r>
      <w:r>
        <w:rPr>
          <w:rFonts w:ascii="宋体" w:hAnsi="宋体" w:eastAsia="宋体" w:cs="宋体"/>
          <w:b/>
          <w:bCs/>
          <w:color w:val="auto"/>
          <w:spacing w:val="-2"/>
          <w:lang w:eastAsia="zh-CN"/>
        </w:rPr>
        <w:t>附表</w:t>
      </w:r>
      <w:r>
        <w:rPr>
          <w:rFonts w:ascii="Times New Roman" w:hAnsi="Times New Roman" w:eastAsia="Times New Roman" w:cs="Times New Roman"/>
          <w:b/>
          <w:bCs/>
          <w:color w:val="auto"/>
          <w:spacing w:val="-2"/>
          <w:lang w:eastAsia="zh-CN"/>
        </w:rPr>
        <w:t xml:space="preserve">A-6 </w:t>
      </w:r>
      <w:r>
        <w:rPr>
          <w:rFonts w:ascii="宋体" w:hAnsi="宋体" w:eastAsia="宋体" w:cs="宋体"/>
          <w:color w:val="auto"/>
          <w:spacing w:val="-2"/>
          <w:lang w:eastAsia="zh-CN"/>
        </w:rPr>
        <w:t>记录评审结果。</w:t>
      </w:r>
    </w:p>
    <w:p w14:paraId="624E31EA">
      <w:pPr>
        <w:spacing w:before="2" w:line="351" w:lineRule="auto"/>
        <w:ind w:left="1701" w:right="1796" w:firstLine="410"/>
        <w:jc w:val="both"/>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A3.3.2 </w:t>
      </w:r>
      <w:r>
        <w:rPr>
          <w:rFonts w:ascii="宋体" w:hAnsi="宋体" w:eastAsia="宋体" w:cs="宋体"/>
          <w:color w:val="auto"/>
          <w:spacing w:val="-3"/>
          <w:lang w:eastAsia="zh-CN"/>
        </w:rPr>
        <w:t>投标人投标价格不得超出（不含等于）按照第二章“投标人须知”前附表载明的最高投标限价（投标人投标价格是指投标函中的大写报价或经投标人确认的算术错误修正后</w:t>
      </w:r>
      <w:r>
        <w:rPr>
          <w:rFonts w:ascii="宋体" w:hAnsi="宋体" w:eastAsia="宋体" w:cs="宋体"/>
          <w:color w:val="auto"/>
          <w:lang w:eastAsia="zh-CN"/>
        </w:rPr>
        <w:t>的价格不超过本项目最高投标限价</w:t>
      </w:r>
      <w:r>
        <w:rPr>
          <w:rFonts w:ascii="宋体" w:hAnsi="宋体" w:eastAsia="宋体" w:cs="宋体"/>
          <w:color w:val="auto"/>
          <w:spacing w:val="-46"/>
          <w:lang w:eastAsia="zh-CN"/>
        </w:rPr>
        <w:t>），</w:t>
      </w:r>
      <w:r>
        <w:rPr>
          <w:rFonts w:ascii="宋体" w:hAnsi="宋体" w:eastAsia="宋体" w:cs="宋体"/>
          <w:color w:val="auto"/>
          <w:lang w:eastAsia="zh-CN"/>
        </w:rPr>
        <w:t>凡投标人的投标价格超出最高投</w:t>
      </w:r>
      <w:r>
        <w:rPr>
          <w:rFonts w:ascii="宋体" w:hAnsi="宋体" w:eastAsia="宋体" w:cs="宋体"/>
          <w:color w:val="auto"/>
          <w:spacing w:val="-1"/>
          <w:lang w:eastAsia="zh-CN"/>
        </w:rPr>
        <w:t>标限价的，该投标人</w:t>
      </w:r>
      <w:r>
        <w:rPr>
          <w:rFonts w:ascii="宋体" w:hAnsi="宋体" w:eastAsia="宋体" w:cs="宋体"/>
          <w:color w:val="auto"/>
          <w:spacing w:val="-3"/>
          <w:lang w:eastAsia="zh-CN"/>
        </w:rPr>
        <w:t>的投标文件不能通过响应性评审。</w:t>
      </w:r>
    </w:p>
    <w:p w14:paraId="1BAF659D">
      <w:pPr>
        <w:spacing w:before="1" w:line="221" w:lineRule="auto"/>
        <w:ind w:left="1692"/>
        <w:outlineLvl w:val="2"/>
        <w:rPr>
          <w:rFonts w:ascii="黑体" w:hAnsi="黑体" w:eastAsia="黑体" w:cs="黑体"/>
          <w:color w:val="auto"/>
          <w:lang w:eastAsia="zh-CN"/>
        </w:rPr>
      </w:pPr>
      <w:bookmarkStart w:id="290" w:name="bookmark105"/>
      <w:bookmarkEnd w:id="290"/>
      <w:r>
        <w:rPr>
          <w:rFonts w:ascii="Times New Roman" w:hAnsi="Times New Roman" w:eastAsia="Times New Roman" w:cs="Times New Roman"/>
          <w:color w:val="auto"/>
          <w:spacing w:val="-1"/>
          <w:lang w:eastAsia="zh-CN"/>
        </w:rPr>
        <w:t xml:space="preserve">A3.4 </w:t>
      </w:r>
      <w:r>
        <w:rPr>
          <w:rFonts w:ascii="黑体" w:hAnsi="黑体" w:eastAsia="黑体" w:cs="黑体"/>
          <w:color w:val="auto"/>
          <w:spacing w:val="-1"/>
          <w:lang w:eastAsia="zh-CN"/>
        </w:rPr>
        <w:t>算术错误修正</w:t>
      </w:r>
    </w:p>
    <w:p w14:paraId="511F17D6">
      <w:pPr>
        <w:spacing w:before="147" w:line="352" w:lineRule="auto"/>
        <w:ind w:left="1700" w:right="1796" w:firstLine="418"/>
        <w:jc w:val="both"/>
        <w:rPr>
          <w:rFonts w:ascii="宋体" w:hAnsi="宋体" w:eastAsia="宋体" w:cs="宋体"/>
          <w:color w:val="auto"/>
          <w:lang w:eastAsia="zh-CN"/>
        </w:rPr>
      </w:pPr>
      <w:r>
        <w:rPr>
          <w:rFonts w:ascii="宋体" w:hAnsi="宋体" w:eastAsia="宋体" w:cs="宋体"/>
          <w:color w:val="auto"/>
          <w:spacing w:val="-3"/>
          <w:lang w:eastAsia="zh-CN"/>
        </w:rPr>
        <w:t>评标委员会依据本章中规定的相关原则对投标报价中存在的算术错误进行修正，修正的</w:t>
      </w:r>
      <w:r>
        <w:rPr>
          <w:rFonts w:ascii="宋体" w:hAnsi="宋体" w:eastAsia="宋体" w:cs="宋体"/>
          <w:color w:val="auto"/>
          <w:spacing w:val="-4"/>
          <w:lang w:eastAsia="zh-CN"/>
        </w:rPr>
        <w:t>价格经投标人书面确认后具有约束力。投标人不接受修正价格的，或者修正后的投标价格超</w:t>
      </w:r>
      <w:r>
        <w:rPr>
          <w:rFonts w:ascii="宋体" w:hAnsi="宋体" w:eastAsia="宋体" w:cs="宋体"/>
          <w:color w:val="auto"/>
          <w:spacing w:val="-7"/>
          <w:lang w:eastAsia="zh-CN"/>
        </w:rPr>
        <w:t>过最高投标限价的（如有</w:t>
      </w:r>
      <w:r>
        <w:rPr>
          <w:rFonts w:ascii="宋体" w:hAnsi="宋体" w:eastAsia="宋体" w:cs="宋体"/>
          <w:color w:val="auto"/>
          <w:spacing w:val="-2"/>
          <w:lang w:eastAsia="zh-CN"/>
        </w:rPr>
        <w:t>），</w:t>
      </w:r>
      <w:r>
        <w:rPr>
          <w:rFonts w:ascii="宋体" w:hAnsi="宋体" w:eastAsia="宋体" w:cs="宋体"/>
          <w:color w:val="auto"/>
          <w:spacing w:val="-7"/>
          <w:lang w:eastAsia="zh-CN"/>
        </w:rPr>
        <w:t>其投标应当被否决。</w:t>
      </w:r>
    </w:p>
    <w:p w14:paraId="2A953694">
      <w:pPr>
        <w:spacing w:before="1" w:line="221" w:lineRule="auto"/>
        <w:ind w:left="1692"/>
        <w:outlineLvl w:val="2"/>
        <w:rPr>
          <w:rFonts w:ascii="黑体" w:hAnsi="黑体" w:eastAsia="黑体" w:cs="黑体"/>
          <w:color w:val="auto"/>
          <w:lang w:eastAsia="zh-CN"/>
        </w:rPr>
      </w:pPr>
      <w:bookmarkStart w:id="291" w:name="bookmark106"/>
      <w:bookmarkEnd w:id="291"/>
      <w:r>
        <w:rPr>
          <w:rFonts w:ascii="Times New Roman" w:hAnsi="Times New Roman" w:eastAsia="Times New Roman" w:cs="Times New Roman"/>
          <w:color w:val="auto"/>
          <w:spacing w:val="-1"/>
          <w:lang w:eastAsia="zh-CN"/>
        </w:rPr>
        <w:t xml:space="preserve">A3.5 </w:t>
      </w:r>
      <w:r>
        <w:rPr>
          <w:rFonts w:ascii="黑体" w:hAnsi="黑体" w:eastAsia="黑体" w:cs="黑体"/>
          <w:color w:val="auto"/>
          <w:spacing w:val="-1"/>
          <w:lang w:eastAsia="zh-CN"/>
        </w:rPr>
        <w:t>判断投标报价是否低于成本</w:t>
      </w:r>
    </w:p>
    <w:p w14:paraId="5F248B7D">
      <w:pPr>
        <w:spacing w:before="146" w:line="352" w:lineRule="auto"/>
        <w:ind w:left="1699" w:right="1797" w:firstLine="419"/>
        <w:jc w:val="both"/>
        <w:rPr>
          <w:rFonts w:ascii="宋体" w:hAnsi="宋体" w:eastAsia="宋体" w:cs="宋体"/>
          <w:color w:val="auto"/>
          <w:lang w:eastAsia="zh-CN"/>
        </w:rPr>
      </w:pPr>
      <w:r>
        <w:rPr>
          <w:rFonts w:ascii="宋体" w:hAnsi="宋体" w:eastAsia="宋体" w:cs="宋体"/>
          <w:color w:val="auto"/>
          <w:lang w:eastAsia="zh-CN"/>
        </w:rPr>
        <w:t>根据本章第</w:t>
      </w:r>
      <w:r>
        <w:rPr>
          <w:rFonts w:ascii="Times New Roman" w:hAnsi="Times New Roman" w:eastAsia="Times New Roman" w:cs="Times New Roman"/>
          <w:color w:val="auto"/>
          <w:lang w:eastAsia="zh-CN"/>
        </w:rPr>
        <w:t xml:space="preserve">3.1.4 </w:t>
      </w:r>
      <w:r>
        <w:rPr>
          <w:rFonts w:ascii="宋体" w:hAnsi="宋体" w:eastAsia="宋体" w:cs="宋体"/>
          <w:color w:val="auto"/>
          <w:lang w:eastAsia="zh-CN"/>
        </w:rPr>
        <w:t>项的规定，评标委员会根据评审程序、标准和方法，判断投标报</w:t>
      </w:r>
      <w:r>
        <w:rPr>
          <w:rFonts w:ascii="宋体" w:hAnsi="宋体" w:eastAsia="宋体" w:cs="宋体"/>
          <w:color w:val="auto"/>
          <w:spacing w:val="-1"/>
          <w:lang w:eastAsia="zh-CN"/>
        </w:rPr>
        <w:t>价是</w:t>
      </w:r>
      <w:r>
        <w:rPr>
          <w:rFonts w:ascii="宋体" w:hAnsi="宋体" w:eastAsia="宋体" w:cs="宋体"/>
          <w:color w:val="auto"/>
          <w:spacing w:val="-5"/>
          <w:lang w:eastAsia="zh-CN"/>
        </w:rPr>
        <w:t>否低于其成本。评标委员会认定投标人以低于成本竞标的，其投标应当被否决。并使用</w:t>
      </w:r>
      <w:r>
        <w:rPr>
          <w:rFonts w:ascii="宋体" w:hAnsi="宋体" w:eastAsia="宋体" w:cs="宋体"/>
          <w:b/>
          <w:bCs/>
          <w:color w:val="auto"/>
          <w:spacing w:val="-5"/>
          <w:lang w:eastAsia="zh-CN"/>
        </w:rPr>
        <w:t>附表</w:t>
      </w:r>
      <w:bookmarkStart w:id="292" w:name="bookmark107"/>
      <w:bookmarkEnd w:id="292"/>
      <w:r>
        <w:rPr>
          <w:rFonts w:ascii="Times New Roman" w:hAnsi="Times New Roman" w:eastAsia="Times New Roman" w:cs="Times New Roman"/>
          <w:b/>
          <w:bCs/>
          <w:color w:val="auto"/>
          <w:spacing w:val="-1"/>
          <w:lang w:eastAsia="zh-CN"/>
        </w:rPr>
        <w:t xml:space="preserve">C-1 </w:t>
      </w:r>
      <w:r>
        <w:rPr>
          <w:rFonts w:ascii="宋体" w:hAnsi="宋体" w:eastAsia="宋体" w:cs="宋体"/>
          <w:color w:val="auto"/>
          <w:spacing w:val="-1"/>
          <w:lang w:eastAsia="zh-CN"/>
        </w:rPr>
        <w:t>记录评审结果</w:t>
      </w:r>
    </w:p>
    <w:p w14:paraId="6473DD5F">
      <w:pPr>
        <w:spacing w:before="1"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A3.6  </w:t>
      </w:r>
      <w:r>
        <w:rPr>
          <w:rFonts w:ascii="黑体" w:hAnsi="黑体" w:eastAsia="黑体" w:cs="黑体"/>
          <w:color w:val="auto"/>
          <w:spacing w:val="-1"/>
          <w:lang w:eastAsia="zh-CN"/>
        </w:rPr>
        <w:t>判断投标是否为应当被否决</w:t>
      </w:r>
    </w:p>
    <w:p w14:paraId="00310608">
      <w:pPr>
        <w:spacing w:before="146" w:line="352" w:lineRule="auto"/>
        <w:ind w:left="1719" w:right="1796" w:firstLine="393"/>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A3.6.1 </w:t>
      </w:r>
      <w:r>
        <w:rPr>
          <w:rFonts w:ascii="宋体" w:hAnsi="宋体" w:eastAsia="宋体" w:cs="宋体"/>
          <w:color w:val="auto"/>
          <w:spacing w:val="-2"/>
          <w:lang w:eastAsia="zh-CN"/>
        </w:rPr>
        <w:t>判断投标人的投标是否应当被否决的全部条件（包括本</w:t>
      </w:r>
      <w:r>
        <w:rPr>
          <w:rFonts w:ascii="宋体" w:hAnsi="宋体" w:eastAsia="宋体" w:cs="宋体"/>
          <w:color w:val="auto"/>
          <w:spacing w:val="-3"/>
          <w:lang w:eastAsia="zh-CN"/>
        </w:rPr>
        <w:t>章第</w:t>
      </w:r>
      <w:r>
        <w:rPr>
          <w:rFonts w:ascii="Times New Roman" w:hAnsi="Times New Roman" w:eastAsia="Times New Roman" w:cs="Times New Roman"/>
          <w:color w:val="auto"/>
          <w:spacing w:val="-3"/>
          <w:lang w:eastAsia="zh-CN"/>
        </w:rPr>
        <w:t xml:space="preserve">3.1.2 </w:t>
      </w:r>
      <w:r>
        <w:rPr>
          <w:rFonts w:ascii="宋体" w:hAnsi="宋体" w:eastAsia="宋体" w:cs="宋体"/>
          <w:color w:val="auto"/>
          <w:spacing w:val="-3"/>
          <w:lang w:eastAsia="zh-CN"/>
        </w:rPr>
        <w:t>项、第</w:t>
      </w:r>
      <w:r>
        <w:rPr>
          <w:rFonts w:ascii="Times New Roman" w:hAnsi="Times New Roman" w:eastAsia="Times New Roman" w:cs="Times New Roman"/>
          <w:color w:val="auto"/>
          <w:spacing w:val="-3"/>
          <w:lang w:eastAsia="zh-CN"/>
        </w:rPr>
        <w:t xml:space="preserve">3.1.3 </w:t>
      </w:r>
      <w:r>
        <w:rPr>
          <w:rFonts w:ascii="宋体" w:hAnsi="宋体" w:eastAsia="宋体" w:cs="宋体"/>
          <w:color w:val="auto"/>
          <w:spacing w:val="-3"/>
          <w:lang w:eastAsia="zh-CN"/>
        </w:rPr>
        <w:t>项</w:t>
      </w:r>
      <w:r>
        <w:rPr>
          <w:rFonts w:ascii="宋体" w:hAnsi="宋体" w:eastAsia="宋体" w:cs="宋体"/>
          <w:color w:val="auto"/>
          <w:spacing w:val="-4"/>
          <w:lang w:eastAsia="zh-CN"/>
        </w:rPr>
        <w:t>中规定的条件</w:t>
      </w:r>
      <w:r>
        <w:rPr>
          <w:rFonts w:ascii="宋体" w:hAnsi="宋体" w:eastAsia="宋体" w:cs="宋体"/>
          <w:color w:val="auto"/>
          <w:spacing w:val="-11"/>
          <w:lang w:eastAsia="zh-CN"/>
        </w:rPr>
        <w:t>），</w:t>
      </w:r>
      <w:r>
        <w:rPr>
          <w:rFonts w:ascii="宋体" w:hAnsi="宋体" w:eastAsia="宋体" w:cs="宋体"/>
          <w:color w:val="auto"/>
          <w:spacing w:val="-4"/>
          <w:lang w:eastAsia="zh-CN"/>
        </w:rPr>
        <w:t>在本章前附表中集中列示。并使用</w:t>
      </w:r>
      <w:r>
        <w:rPr>
          <w:rFonts w:ascii="宋体" w:hAnsi="宋体" w:eastAsia="宋体" w:cs="宋体"/>
          <w:b/>
          <w:bCs/>
          <w:color w:val="auto"/>
          <w:spacing w:val="-4"/>
          <w:lang w:eastAsia="zh-CN"/>
        </w:rPr>
        <w:t>附表</w:t>
      </w:r>
      <w:r>
        <w:rPr>
          <w:rFonts w:ascii="Times New Roman" w:hAnsi="Times New Roman" w:eastAsia="Times New Roman" w:cs="Times New Roman"/>
          <w:b/>
          <w:bCs/>
          <w:color w:val="auto"/>
          <w:spacing w:val="-4"/>
          <w:lang w:eastAsia="zh-CN"/>
        </w:rPr>
        <w:t xml:space="preserve">A-9 </w:t>
      </w:r>
      <w:r>
        <w:rPr>
          <w:rFonts w:ascii="宋体" w:hAnsi="宋体" w:eastAsia="宋体" w:cs="宋体"/>
          <w:color w:val="auto"/>
          <w:spacing w:val="-4"/>
          <w:lang w:eastAsia="zh-CN"/>
        </w:rPr>
        <w:t>记</w:t>
      </w:r>
      <w:r>
        <w:rPr>
          <w:rFonts w:ascii="宋体" w:hAnsi="宋体" w:eastAsia="宋体" w:cs="宋体"/>
          <w:color w:val="auto"/>
          <w:spacing w:val="-5"/>
          <w:lang w:eastAsia="zh-CN"/>
        </w:rPr>
        <w:t>录评审结果。</w:t>
      </w:r>
    </w:p>
    <w:p w14:paraId="440BBB93">
      <w:pPr>
        <w:spacing w:before="2" w:line="351" w:lineRule="auto"/>
        <w:ind w:left="1700" w:right="1796" w:firstLine="411"/>
        <w:jc w:val="both"/>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A3.6.2 </w:t>
      </w:r>
      <w:r>
        <w:rPr>
          <w:rFonts w:ascii="宋体" w:hAnsi="宋体" w:eastAsia="宋体" w:cs="宋体"/>
          <w:color w:val="auto"/>
          <w:spacing w:val="1"/>
          <w:lang w:eastAsia="zh-CN"/>
        </w:rPr>
        <w:t>本章</w:t>
      </w:r>
      <w:r>
        <w:rPr>
          <w:rFonts w:ascii="宋体" w:hAnsi="宋体" w:eastAsia="宋体" w:cs="宋体"/>
          <w:b/>
          <w:bCs/>
          <w:color w:val="auto"/>
          <w:spacing w:val="1"/>
          <w:lang w:eastAsia="zh-CN"/>
        </w:rPr>
        <w:t>附件</w:t>
      </w:r>
      <w:r>
        <w:rPr>
          <w:rFonts w:ascii="Times New Roman" w:hAnsi="Times New Roman" w:eastAsia="Times New Roman" w:cs="Times New Roman"/>
          <w:b/>
          <w:bCs/>
          <w:color w:val="auto"/>
          <w:spacing w:val="1"/>
          <w:lang w:eastAsia="zh-CN"/>
        </w:rPr>
        <w:t xml:space="preserve">B </w:t>
      </w:r>
      <w:r>
        <w:rPr>
          <w:rFonts w:ascii="宋体" w:hAnsi="宋体" w:eastAsia="宋体" w:cs="宋体"/>
          <w:color w:val="auto"/>
          <w:spacing w:val="1"/>
          <w:lang w:eastAsia="zh-CN"/>
        </w:rPr>
        <w:t>集中列示的否决投标的条件不应与第二章“投标人须知”和本章前</w:t>
      </w:r>
      <w:r>
        <w:rPr>
          <w:rFonts w:ascii="宋体" w:hAnsi="宋体" w:eastAsia="宋体" w:cs="宋体"/>
          <w:color w:val="auto"/>
          <w:spacing w:val="-2"/>
          <w:lang w:eastAsia="zh-CN"/>
        </w:rPr>
        <w:t>附表和正文部分包括的否决投标的条件抵触，如</w:t>
      </w:r>
      <w:r>
        <w:rPr>
          <w:rFonts w:ascii="宋体" w:hAnsi="宋体" w:eastAsia="宋体" w:cs="宋体"/>
          <w:color w:val="auto"/>
          <w:spacing w:val="-3"/>
          <w:lang w:eastAsia="zh-CN"/>
        </w:rPr>
        <w:t>果出现相互矛盾的情况，以本章前附表和正</w:t>
      </w:r>
      <w:r>
        <w:rPr>
          <w:rFonts w:ascii="宋体" w:hAnsi="宋体" w:eastAsia="宋体" w:cs="宋体"/>
          <w:color w:val="auto"/>
          <w:spacing w:val="-4"/>
          <w:lang w:eastAsia="zh-CN"/>
        </w:rPr>
        <w:t>文部分的规定为准。</w:t>
      </w:r>
    </w:p>
    <w:p w14:paraId="748DEFE1">
      <w:pPr>
        <w:spacing w:before="1" w:line="351" w:lineRule="auto"/>
        <w:ind w:left="1701" w:right="1796" w:firstLine="410"/>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A3.6.3 </w:t>
      </w:r>
      <w:r>
        <w:rPr>
          <w:rFonts w:ascii="宋体" w:hAnsi="宋体" w:eastAsia="宋体" w:cs="宋体"/>
          <w:color w:val="auto"/>
          <w:spacing w:val="-2"/>
          <w:lang w:eastAsia="zh-CN"/>
        </w:rPr>
        <w:t>评标委员会在评标（包括初步评审和详细评审）过程中，依据本章前附表和正文</w:t>
      </w:r>
      <w:r>
        <w:rPr>
          <w:rFonts w:ascii="宋体" w:hAnsi="宋体" w:eastAsia="宋体" w:cs="宋体"/>
          <w:color w:val="auto"/>
          <w:spacing w:val="-1"/>
          <w:lang w:eastAsia="zh-CN"/>
        </w:rPr>
        <w:t>部分中规定的否决投标的条件判断投标人的投</w:t>
      </w:r>
      <w:r>
        <w:rPr>
          <w:rFonts w:ascii="宋体" w:hAnsi="宋体" w:eastAsia="宋体" w:cs="宋体"/>
          <w:color w:val="auto"/>
          <w:spacing w:val="-2"/>
          <w:lang w:eastAsia="zh-CN"/>
        </w:rPr>
        <w:t>标是否为应当被否决。</w:t>
      </w:r>
    </w:p>
    <w:p w14:paraId="21F93DE5">
      <w:pPr>
        <w:spacing w:before="1" w:line="221" w:lineRule="auto"/>
        <w:ind w:left="1692"/>
        <w:outlineLvl w:val="2"/>
        <w:rPr>
          <w:rFonts w:ascii="黑体" w:hAnsi="黑体" w:eastAsia="黑体" w:cs="黑体"/>
          <w:color w:val="auto"/>
          <w:lang w:eastAsia="zh-CN"/>
        </w:rPr>
      </w:pPr>
      <w:bookmarkStart w:id="293" w:name="bookmark108"/>
      <w:bookmarkEnd w:id="293"/>
      <w:r>
        <w:rPr>
          <w:rFonts w:ascii="Times New Roman" w:hAnsi="Times New Roman" w:eastAsia="Times New Roman" w:cs="Times New Roman"/>
          <w:color w:val="auto"/>
          <w:spacing w:val="-1"/>
          <w:lang w:eastAsia="zh-CN"/>
        </w:rPr>
        <w:t xml:space="preserve">A3.7  </w:t>
      </w:r>
      <w:r>
        <w:rPr>
          <w:rFonts w:ascii="黑体" w:hAnsi="黑体" w:eastAsia="黑体" w:cs="黑体"/>
          <w:color w:val="auto"/>
          <w:spacing w:val="-1"/>
          <w:lang w:eastAsia="zh-CN"/>
        </w:rPr>
        <w:t>澄清、说明或补正</w:t>
      </w:r>
    </w:p>
    <w:p w14:paraId="20A5D5FC">
      <w:pPr>
        <w:spacing w:before="151" w:line="352" w:lineRule="auto"/>
        <w:ind w:left="1698" w:right="1796" w:firstLine="420"/>
        <w:jc w:val="both"/>
        <w:rPr>
          <w:rFonts w:ascii="宋体" w:hAnsi="宋体" w:eastAsia="宋体" w:cs="宋体"/>
          <w:color w:val="auto"/>
          <w:lang w:eastAsia="zh-CN"/>
        </w:rPr>
      </w:pPr>
      <w:r>
        <w:rPr>
          <w:rFonts w:ascii="宋体" w:hAnsi="宋体" w:eastAsia="宋体" w:cs="宋体"/>
          <w:color w:val="auto"/>
          <w:spacing w:val="-3"/>
          <w:lang w:eastAsia="zh-CN"/>
        </w:rPr>
        <w:t>在初步评审过程中，评标委员会应当就投标文件中含义不明确、对同类问题表述不一致</w:t>
      </w:r>
      <w:r>
        <w:rPr>
          <w:rFonts w:ascii="宋体" w:hAnsi="宋体" w:eastAsia="宋体" w:cs="宋体"/>
          <w:color w:val="auto"/>
          <w:spacing w:val="-2"/>
          <w:lang w:eastAsia="zh-CN"/>
        </w:rPr>
        <w:t>或者有明显文字和计算错误的内容要求投标人进行澄</w:t>
      </w:r>
      <w:r>
        <w:rPr>
          <w:rFonts w:ascii="宋体" w:hAnsi="宋体" w:eastAsia="宋体" w:cs="宋体"/>
          <w:color w:val="auto"/>
          <w:spacing w:val="-3"/>
          <w:lang w:eastAsia="zh-CN"/>
        </w:rPr>
        <w:t>清、说明或者补正。投标人对此以书面</w:t>
      </w:r>
      <w:r>
        <w:rPr>
          <w:rFonts w:ascii="宋体" w:hAnsi="宋体" w:eastAsia="宋体" w:cs="宋体"/>
          <w:color w:val="auto"/>
          <w:spacing w:val="-1"/>
          <w:lang w:eastAsia="zh-CN"/>
        </w:rPr>
        <w:t>形式予以澄清、说明或者补正。澄清、说明或补正根据本章第</w:t>
      </w:r>
      <w:r>
        <w:rPr>
          <w:rFonts w:ascii="Times New Roman" w:hAnsi="Times New Roman" w:eastAsia="Times New Roman" w:cs="Times New Roman"/>
          <w:color w:val="auto"/>
          <w:spacing w:val="-1"/>
          <w:lang w:eastAsia="zh-CN"/>
        </w:rPr>
        <w:t>3.</w:t>
      </w:r>
      <w:r>
        <w:rPr>
          <w:rFonts w:ascii="Times New Roman" w:hAnsi="Times New Roman" w:eastAsia="Times New Roman" w:cs="Times New Roman"/>
          <w:color w:val="auto"/>
          <w:spacing w:val="-2"/>
          <w:lang w:eastAsia="zh-CN"/>
        </w:rPr>
        <w:t xml:space="preserve">3 </w:t>
      </w:r>
      <w:r>
        <w:rPr>
          <w:rFonts w:ascii="宋体" w:hAnsi="宋体" w:eastAsia="宋体" w:cs="宋体"/>
          <w:color w:val="auto"/>
          <w:spacing w:val="-2"/>
          <w:lang w:eastAsia="zh-CN"/>
        </w:rPr>
        <w:t>款的规定执行。《投标文件问题澄清通知》及《投标文件问题的澄清》采用投</w:t>
      </w:r>
      <w:r>
        <w:rPr>
          <w:rFonts w:ascii="宋体" w:hAnsi="宋体" w:eastAsia="宋体" w:cs="宋体"/>
          <w:color w:val="auto"/>
          <w:spacing w:val="-3"/>
          <w:lang w:eastAsia="zh-CN"/>
        </w:rPr>
        <w:t>标人须知附表六与投标人须知附表七所</w:t>
      </w:r>
      <w:r>
        <w:rPr>
          <w:rFonts w:ascii="宋体" w:hAnsi="宋体" w:eastAsia="宋体" w:cs="宋体"/>
          <w:color w:val="auto"/>
          <w:spacing w:val="-2"/>
          <w:lang w:eastAsia="zh-CN"/>
        </w:rPr>
        <w:t>提供的格式，并通过电子招标投标系统（辽宁省工程</w:t>
      </w:r>
      <w:r>
        <w:rPr>
          <w:rFonts w:ascii="宋体" w:hAnsi="宋体" w:eastAsia="宋体" w:cs="宋体"/>
          <w:color w:val="auto"/>
          <w:spacing w:val="-3"/>
          <w:lang w:eastAsia="zh-CN"/>
        </w:rPr>
        <w:t>建设项目数字化开标评标系统）以书面</w:t>
      </w:r>
      <w:r>
        <w:rPr>
          <w:rFonts w:ascii="宋体" w:hAnsi="宋体" w:eastAsia="宋体" w:cs="宋体"/>
          <w:color w:val="auto"/>
          <w:spacing w:val="-6"/>
          <w:lang w:eastAsia="zh-CN"/>
        </w:rPr>
        <w:t>形式进行。</w:t>
      </w:r>
    </w:p>
    <w:p w14:paraId="5C5935C4">
      <w:pPr>
        <w:spacing w:line="352" w:lineRule="auto"/>
        <w:rPr>
          <w:rFonts w:ascii="宋体" w:hAnsi="宋体" w:eastAsia="宋体" w:cs="宋体"/>
          <w:color w:val="auto"/>
          <w:lang w:eastAsia="zh-CN"/>
        </w:rPr>
        <w:sectPr>
          <w:footerReference r:id="rId66" w:type="default"/>
          <w:pgSz w:w="11906" w:h="16839"/>
          <w:pgMar w:top="400" w:right="0" w:bottom="1024" w:left="105" w:header="0" w:footer="793" w:gutter="0"/>
          <w:cols w:space="720" w:num="1"/>
        </w:sectPr>
      </w:pPr>
    </w:p>
    <w:p w14:paraId="2921A048">
      <w:pPr>
        <w:pStyle w:val="8"/>
        <w:spacing w:line="267" w:lineRule="auto"/>
        <w:rPr>
          <w:lang w:eastAsia="zh-CN"/>
        </w:rPr>
      </w:pPr>
    </w:p>
    <w:p w14:paraId="35348E9C">
      <w:pPr>
        <w:pStyle w:val="8"/>
        <w:spacing w:line="267" w:lineRule="auto"/>
        <w:rPr>
          <w:lang w:eastAsia="zh-CN"/>
        </w:rPr>
      </w:pPr>
    </w:p>
    <w:p w14:paraId="1D0EC981">
      <w:pPr>
        <w:pStyle w:val="8"/>
        <w:spacing w:line="267" w:lineRule="auto"/>
        <w:rPr>
          <w:lang w:eastAsia="zh-CN"/>
        </w:rPr>
      </w:pPr>
    </w:p>
    <w:p w14:paraId="49C01C1A">
      <w:pPr>
        <w:pStyle w:val="8"/>
        <w:spacing w:line="267" w:lineRule="auto"/>
        <w:rPr>
          <w:lang w:eastAsia="zh-CN"/>
        </w:rPr>
      </w:pPr>
    </w:p>
    <w:p w14:paraId="39833077">
      <w:pPr>
        <w:spacing w:before="78" w:line="222" w:lineRule="auto"/>
        <w:ind w:left="1693"/>
        <w:outlineLvl w:val="2"/>
        <w:rPr>
          <w:rFonts w:ascii="黑体" w:hAnsi="黑体" w:eastAsia="黑体" w:cs="黑体"/>
          <w:color w:val="auto"/>
          <w:sz w:val="24"/>
          <w:szCs w:val="24"/>
          <w:lang w:eastAsia="zh-CN"/>
        </w:rPr>
      </w:pPr>
      <w:bookmarkStart w:id="294" w:name="bookmark109"/>
      <w:bookmarkEnd w:id="294"/>
      <w:r>
        <w:rPr>
          <w:rFonts w:ascii="Times New Roman" w:hAnsi="Times New Roman" w:eastAsia="Times New Roman" w:cs="Times New Roman"/>
          <w:color w:val="auto"/>
          <w:spacing w:val="-1"/>
          <w:sz w:val="24"/>
          <w:szCs w:val="24"/>
          <w:lang w:eastAsia="zh-CN"/>
        </w:rPr>
        <w:t>A4.</w:t>
      </w:r>
      <w:r>
        <w:rPr>
          <w:rFonts w:ascii="黑体" w:hAnsi="黑体" w:eastAsia="黑体" w:cs="黑体"/>
          <w:color w:val="auto"/>
          <w:spacing w:val="-1"/>
          <w:sz w:val="24"/>
          <w:szCs w:val="24"/>
          <w:lang w:eastAsia="zh-CN"/>
        </w:rPr>
        <w:t>详细评审</w:t>
      </w:r>
    </w:p>
    <w:p w14:paraId="42088AB7">
      <w:pPr>
        <w:spacing w:before="136" w:line="352" w:lineRule="auto"/>
        <w:ind w:left="1715" w:right="1796" w:firstLine="416"/>
        <w:rPr>
          <w:rFonts w:ascii="黑体" w:hAnsi="黑体" w:eastAsia="黑体" w:cs="黑体"/>
          <w:color w:val="auto"/>
          <w:lang w:eastAsia="zh-CN"/>
        </w:rPr>
      </w:pPr>
      <w:r>
        <w:rPr>
          <w:rFonts w:ascii="宋体" w:hAnsi="宋体" w:eastAsia="宋体" w:cs="宋体"/>
          <w:color w:val="auto"/>
          <w:spacing w:val="-5"/>
          <w:lang w:eastAsia="zh-CN"/>
        </w:rPr>
        <w:t>只有通过了初步评审、被判定为合格的投标方可进入详细评审。初步评审通</w:t>
      </w:r>
      <w:r>
        <w:rPr>
          <w:rFonts w:ascii="宋体" w:hAnsi="宋体" w:eastAsia="宋体" w:cs="宋体"/>
          <w:color w:val="auto"/>
          <w:spacing w:val="-6"/>
          <w:lang w:eastAsia="zh-CN"/>
        </w:rPr>
        <w:t>过后，使用</w:t>
      </w:r>
      <w:bookmarkStart w:id="295" w:name="bookmark110"/>
      <w:bookmarkEnd w:id="295"/>
      <w:r>
        <w:rPr>
          <w:rFonts w:ascii="宋体" w:hAnsi="宋体" w:eastAsia="宋体" w:cs="宋体"/>
          <w:b/>
          <w:bCs/>
          <w:color w:val="auto"/>
          <w:spacing w:val="-2"/>
          <w:lang w:eastAsia="zh-CN"/>
        </w:rPr>
        <w:t>附表</w:t>
      </w:r>
      <w:r>
        <w:rPr>
          <w:rFonts w:ascii="Times New Roman" w:hAnsi="Times New Roman" w:eastAsia="Times New Roman" w:cs="Times New Roman"/>
          <w:b/>
          <w:bCs/>
          <w:color w:val="auto"/>
          <w:spacing w:val="-2"/>
          <w:lang w:eastAsia="zh-CN"/>
        </w:rPr>
        <w:t xml:space="preserve">A-8 </w:t>
      </w:r>
      <w:r>
        <w:rPr>
          <w:rFonts w:ascii="宋体" w:hAnsi="宋体" w:eastAsia="宋体" w:cs="宋体"/>
          <w:color w:val="auto"/>
          <w:spacing w:val="-2"/>
          <w:lang w:eastAsia="zh-CN"/>
        </w:rPr>
        <w:t>记录初步评审结果</w:t>
      </w:r>
      <w:r>
        <w:rPr>
          <w:rFonts w:ascii="黑体" w:hAnsi="黑体" w:eastAsia="黑体" w:cs="黑体"/>
          <w:color w:val="auto"/>
          <w:spacing w:val="-2"/>
          <w:lang w:eastAsia="zh-CN"/>
        </w:rPr>
        <w:t>。</w:t>
      </w:r>
    </w:p>
    <w:p w14:paraId="32C3732B">
      <w:pPr>
        <w:spacing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A4.1 </w:t>
      </w:r>
      <w:r>
        <w:rPr>
          <w:rFonts w:ascii="黑体" w:hAnsi="黑体" w:eastAsia="黑体" w:cs="黑体"/>
          <w:color w:val="auto"/>
          <w:spacing w:val="-1"/>
          <w:lang w:eastAsia="zh-CN"/>
        </w:rPr>
        <w:t>详细评审的程序</w:t>
      </w:r>
    </w:p>
    <w:p w14:paraId="0F9D37B5">
      <w:pPr>
        <w:spacing w:before="147" w:line="220" w:lineRule="auto"/>
        <w:ind w:left="2118"/>
        <w:rPr>
          <w:rFonts w:ascii="宋体" w:hAnsi="宋体" w:eastAsia="宋体" w:cs="宋体"/>
          <w:color w:val="auto"/>
          <w:lang w:eastAsia="zh-CN"/>
        </w:rPr>
      </w:pPr>
      <w:r>
        <w:rPr>
          <w:rFonts w:ascii="宋体" w:hAnsi="宋体" w:eastAsia="宋体" w:cs="宋体"/>
          <w:color w:val="auto"/>
          <w:spacing w:val="-2"/>
          <w:lang w:eastAsia="zh-CN"/>
        </w:rPr>
        <w:t>评标委员会按照本章第</w:t>
      </w:r>
      <w:r>
        <w:rPr>
          <w:rFonts w:ascii="Times New Roman" w:hAnsi="Times New Roman" w:eastAsia="Times New Roman" w:cs="Times New Roman"/>
          <w:color w:val="auto"/>
          <w:spacing w:val="-2"/>
          <w:lang w:eastAsia="zh-CN"/>
        </w:rPr>
        <w:t xml:space="preserve">3.2 </w:t>
      </w:r>
      <w:r>
        <w:rPr>
          <w:rFonts w:ascii="宋体" w:hAnsi="宋体" w:eastAsia="宋体" w:cs="宋体"/>
          <w:color w:val="auto"/>
          <w:spacing w:val="-2"/>
          <w:lang w:eastAsia="zh-CN"/>
        </w:rPr>
        <w:t>款中规定的程序进</w:t>
      </w:r>
      <w:r>
        <w:rPr>
          <w:rFonts w:ascii="宋体" w:hAnsi="宋体" w:eastAsia="宋体" w:cs="宋体"/>
          <w:color w:val="auto"/>
          <w:spacing w:val="-3"/>
          <w:lang w:eastAsia="zh-CN"/>
        </w:rPr>
        <w:t>行详细评审：</w:t>
      </w:r>
    </w:p>
    <w:p w14:paraId="0AE72572">
      <w:pPr>
        <w:spacing w:before="150" w:line="221"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1</w:t>
      </w:r>
      <w:r>
        <w:rPr>
          <w:rFonts w:ascii="宋体" w:hAnsi="宋体" w:eastAsia="宋体" w:cs="宋体"/>
          <w:color w:val="auto"/>
          <w:spacing w:val="-5"/>
          <w:lang w:eastAsia="zh-CN"/>
        </w:rPr>
        <w:t>）经济标评审和评分；</w:t>
      </w:r>
    </w:p>
    <w:p w14:paraId="7E6E0812">
      <w:pPr>
        <w:spacing w:before="14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2</w:t>
      </w:r>
      <w:r>
        <w:rPr>
          <w:rFonts w:ascii="宋体" w:hAnsi="宋体" w:eastAsia="宋体" w:cs="宋体"/>
          <w:color w:val="auto"/>
          <w:spacing w:val="-5"/>
          <w:lang w:eastAsia="zh-CN"/>
        </w:rPr>
        <w:t>）技术标评审和评分；</w:t>
      </w:r>
    </w:p>
    <w:p w14:paraId="59E55F14">
      <w:pPr>
        <w:spacing w:before="150"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3</w:t>
      </w:r>
      <w:r>
        <w:rPr>
          <w:rFonts w:ascii="宋体" w:hAnsi="宋体" w:eastAsia="宋体" w:cs="宋体"/>
          <w:color w:val="auto"/>
          <w:spacing w:val="-5"/>
          <w:lang w:eastAsia="zh-CN"/>
        </w:rPr>
        <w:t>）资信标评审和评分；</w:t>
      </w:r>
    </w:p>
    <w:p w14:paraId="605ADA4E">
      <w:pPr>
        <w:spacing w:before="150"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4</w:t>
      </w:r>
      <w:r>
        <w:rPr>
          <w:rFonts w:ascii="宋体" w:hAnsi="宋体" w:eastAsia="宋体" w:cs="宋体"/>
          <w:color w:val="auto"/>
          <w:spacing w:val="-5"/>
          <w:lang w:eastAsia="zh-CN"/>
        </w:rPr>
        <w:t>）其他因素评审和评分；</w:t>
      </w:r>
    </w:p>
    <w:p w14:paraId="388DAA34">
      <w:pPr>
        <w:spacing w:before="149" w:line="221" w:lineRule="auto"/>
        <w:ind w:left="2124"/>
        <w:rPr>
          <w:rFonts w:ascii="宋体" w:hAnsi="宋体" w:eastAsia="宋体" w:cs="宋体"/>
          <w:color w:val="auto"/>
          <w:lang w:eastAsia="zh-CN"/>
        </w:rPr>
      </w:pPr>
      <w:bookmarkStart w:id="296" w:name="bookmark111"/>
      <w:bookmarkEnd w:id="296"/>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5</w:t>
      </w:r>
      <w:r>
        <w:rPr>
          <w:rFonts w:ascii="宋体" w:hAnsi="宋体" w:eastAsia="宋体" w:cs="宋体"/>
          <w:color w:val="auto"/>
          <w:spacing w:val="-4"/>
          <w:lang w:eastAsia="zh-CN"/>
        </w:rPr>
        <w:t>）汇总评分结果。</w:t>
      </w:r>
    </w:p>
    <w:p w14:paraId="67D5BCEF">
      <w:pPr>
        <w:spacing w:before="148"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A4.2 </w:t>
      </w:r>
      <w:r>
        <w:rPr>
          <w:rFonts w:ascii="黑体" w:hAnsi="黑体" w:eastAsia="黑体" w:cs="黑体"/>
          <w:color w:val="auto"/>
          <w:spacing w:val="-1"/>
          <w:lang w:eastAsia="zh-CN"/>
        </w:rPr>
        <w:t>经济标评审和评分</w:t>
      </w:r>
    </w:p>
    <w:p w14:paraId="5AC7E6F5">
      <w:pPr>
        <w:spacing w:before="148" w:line="219" w:lineRule="auto"/>
        <w:ind w:left="211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A4.2.1 </w:t>
      </w:r>
      <w:r>
        <w:rPr>
          <w:rFonts w:ascii="宋体" w:hAnsi="宋体" w:eastAsia="宋体" w:cs="宋体"/>
          <w:color w:val="auto"/>
          <w:spacing w:val="-1"/>
          <w:lang w:eastAsia="zh-CN"/>
        </w:rPr>
        <w:t>按照评标办法前附表中规定的方法计算各投标人的“评标价”。</w:t>
      </w:r>
    </w:p>
    <w:p w14:paraId="1CD77B5F">
      <w:pPr>
        <w:spacing w:before="151" w:line="219" w:lineRule="auto"/>
        <w:ind w:left="211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A4.2.2 </w:t>
      </w:r>
      <w:r>
        <w:rPr>
          <w:rFonts w:ascii="宋体" w:hAnsi="宋体" w:eastAsia="宋体" w:cs="宋体"/>
          <w:color w:val="auto"/>
          <w:spacing w:val="-1"/>
          <w:lang w:eastAsia="zh-CN"/>
        </w:rPr>
        <w:t>按照评标办法前附表中规定的方法计算“评标基准价”。</w:t>
      </w:r>
    </w:p>
    <w:p w14:paraId="3836D594">
      <w:pPr>
        <w:spacing w:before="150" w:line="352" w:lineRule="auto"/>
        <w:ind w:left="1682" w:right="1796" w:firstLine="429"/>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A4.2.3 </w:t>
      </w:r>
      <w:r>
        <w:rPr>
          <w:rFonts w:ascii="宋体" w:hAnsi="宋体" w:eastAsia="宋体" w:cs="宋体"/>
          <w:color w:val="auto"/>
          <w:spacing w:val="3"/>
          <w:lang w:eastAsia="zh-CN"/>
        </w:rPr>
        <w:t>按照评标办法前附表中规定的方法，计算各个已通过了初步评审的投标报价的</w:t>
      </w:r>
      <w:r>
        <w:rPr>
          <w:rFonts w:ascii="宋体" w:hAnsi="宋体" w:eastAsia="宋体" w:cs="宋体"/>
          <w:color w:val="auto"/>
          <w:spacing w:val="-4"/>
          <w:lang w:eastAsia="zh-CN"/>
        </w:rPr>
        <w:t>“偏差率”。</w:t>
      </w:r>
    </w:p>
    <w:p w14:paraId="2D399285">
      <w:pPr>
        <w:spacing w:before="2" w:line="351" w:lineRule="auto"/>
        <w:ind w:left="1700" w:right="1796" w:firstLine="412"/>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A4.2.4 </w:t>
      </w:r>
      <w:r>
        <w:rPr>
          <w:rFonts w:ascii="宋体" w:hAnsi="宋体" w:eastAsia="宋体" w:cs="宋体"/>
          <w:color w:val="auto"/>
          <w:spacing w:val="-2"/>
          <w:lang w:eastAsia="zh-CN"/>
        </w:rPr>
        <w:t>按照评标办法前附表中规定的评分标准，对照投标报价的偏差率，分别对各个投</w:t>
      </w:r>
      <w:r>
        <w:rPr>
          <w:rFonts w:ascii="宋体" w:hAnsi="宋体" w:eastAsia="宋体" w:cs="宋体"/>
          <w:color w:val="auto"/>
          <w:lang w:eastAsia="zh-CN"/>
        </w:rPr>
        <w:t>标报价进行评分，使用</w:t>
      </w:r>
      <w:r>
        <w:rPr>
          <w:rFonts w:ascii="宋体" w:hAnsi="宋体" w:eastAsia="宋体" w:cs="宋体"/>
          <w:b/>
          <w:bCs/>
          <w:color w:val="auto"/>
          <w:lang w:eastAsia="zh-CN"/>
        </w:rPr>
        <w:t>附表</w:t>
      </w:r>
      <w:r>
        <w:rPr>
          <w:rFonts w:ascii="Times New Roman" w:hAnsi="Times New Roman" w:eastAsia="Times New Roman" w:cs="Times New Roman"/>
          <w:b/>
          <w:bCs/>
          <w:color w:val="auto"/>
          <w:lang w:eastAsia="zh-CN"/>
        </w:rPr>
        <w:t xml:space="preserve">A-10 </w:t>
      </w:r>
      <w:r>
        <w:rPr>
          <w:rFonts w:ascii="宋体" w:hAnsi="宋体" w:eastAsia="宋体" w:cs="宋体"/>
          <w:color w:val="auto"/>
          <w:lang w:eastAsia="zh-CN"/>
        </w:rPr>
        <w:t>记录对经济</w:t>
      </w:r>
      <w:r>
        <w:rPr>
          <w:rFonts w:ascii="宋体" w:hAnsi="宋体" w:eastAsia="宋体" w:cs="宋体"/>
          <w:color w:val="auto"/>
          <w:spacing w:val="-1"/>
          <w:lang w:eastAsia="zh-CN"/>
        </w:rPr>
        <w:t>标的评分结果，经济标的得分记录为</w:t>
      </w:r>
      <w:r>
        <w:rPr>
          <w:rFonts w:ascii="Times New Roman" w:hAnsi="Times New Roman" w:eastAsia="Times New Roman" w:cs="Times New Roman"/>
          <w:b/>
          <w:bCs/>
          <w:color w:val="auto"/>
          <w:spacing w:val="-1"/>
          <w:lang w:eastAsia="zh-CN"/>
        </w:rPr>
        <w:t>A</w:t>
      </w:r>
      <w:r>
        <w:rPr>
          <w:rFonts w:ascii="宋体" w:hAnsi="宋体" w:eastAsia="宋体" w:cs="宋体"/>
          <w:color w:val="auto"/>
          <w:spacing w:val="-1"/>
          <w:lang w:eastAsia="zh-CN"/>
        </w:rPr>
        <w:t>。</w:t>
      </w:r>
    </w:p>
    <w:p w14:paraId="4D4B0021">
      <w:pPr>
        <w:spacing w:before="1" w:line="221" w:lineRule="auto"/>
        <w:ind w:left="1692"/>
        <w:outlineLvl w:val="2"/>
        <w:rPr>
          <w:rFonts w:ascii="黑体" w:hAnsi="黑体" w:eastAsia="黑体" w:cs="黑体"/>
          <w:color w:val="auto"/>
          <w:lang w:eastAsia="zh-CN"/>
        </w:rPr>
      </w:pPr>
      <w:bookmarkStart w:id="297" w:name="bookmark112"/>
      <w:bookmarkEnd w:id="297"/>
      <w:r>
        <w:rPr>
          <w:rFonts w:ascii="Times New Roman" w:hAnsi="Times New Roman" w:eastAsia="Times New Roman" w:cs="Times New Roman"/>
          <w:color w:val="auto"/>
          <w:spacing w:val="-1"/>
          <w:lang w:eastAsia="zh-CN"/>
        </w:rPr>
        <w:t xml:space="preserve">A4.3  </w:t>
      </w:r>
      <w:r>
        <w:rPr>
          <w:rFonts w:ascii="黑体" w:hAnsi="黑体" w:eastAsia="黑体" w:cs="黑体"/>
          <w:color w:val="auto"/>
          <w:spacing w:val="-1"/>
          <w:lang w:eastAsia="zh-CN"/>
        </w:rPr>
        <w:t>技术标评审和评分</w:t>
      </w:r>
    </w:p>
    <w:p w14:paraId="311E0B3A">
      <w:pPr>
        <w:spacing w:before="146" w:line="352" w:lineRule="auto"/>
        <w:ind w:left="1700" w:right="1796" w:firstLine="420"/>
        <w:rPr>
          <w:rFonts w:ascii="宋体" w:hAnsi="宋体" w:eastAsia="宋体" w:cs="宋体"/>
          <w:color w:val="auto"/>
          <w:lang w:eastAsia="zh-CN"/>
        </w:rPr>
      </w:pPr>
      <w:r>
        <w:rPr>
          <w:rFonts w:ascii="宋体" w:hAnsi="宋体" w:eastAsia="宋体" w:cs="宋体"/>
          <w:color w:val="auto"/>
          <w:spacing w:val="-5"/>
          <w:lang w:eastAsia="zh-CN"/>
        </w:rPr>
        <w:t>按照评标办法前附表中规定的分值设定、各项评分因素、评分标准，对技术标进行评审</w:t>
      </w:r>
      <w:r>
        <w:rPr>
          <w:rFonts w:ascii="宋体" w:hAnsi="宋体" w:eastAsia="宋体" w:cs="宋体"/>
          <w:color w:val="auto"/>
          <w:spacing w:val="-1"/>
          <w:lang w:eastAsia="zh-CN"/>
        </w:rPr>
        <w:t>和评分，并使用</w:t>
      </w:r>
      <w:r>
        <w:rPr>
          <w:rFonts w:ascii="宋体" w:hAnsi="宋体" w:eastAsia="宋体" w:cs="宋体"/>
          <w:b/>
          <w:bCs/>
          <w:color w:val="auto"/>
          <w:spacing w:val="-1"/>
          <w:lang w:eastAsia="zh-CN"/>
        </w:rPr>
        <w:t>附表</w:t>
      </w:r>
      <w:r>
        <w:rPr>
          <w:rFonts w:ascii="Times New Roman" w:hAnsi="Times New Roman" w:eastAsia="Times New Roman" w:cs="Times New Roman"/>
          <w:b/>
          <w:bCs/>
          <w:color w:val="auto"/>
          <w:spacing w:val="-1"/>
          <w:lang w:eastAsia="zh-CN"/>
        </w:rPr>
        <w:t xml:space="preserve">A-11 </w:t>
      </w:r>
      <w:r>
        <w:rPr>
          <w:rFonts w:ascii="宋体" w:hAnsi="宋体" w:eastAsia="宋体" w:cs="宋体"/>
          <w:color w:val="auto"/>
          <w:spacing w:val="-1"/>
          <w:lang w:eastAsia="zh-CN"/>
        </w:rPr>
        <w:t>记录对技术标的评分结果，技术标的得分记录为</w:t>
      </w:r>
      <w:r>
        <w:rPr>
          <w:rFonts w:ascii="Times New Roman" w:hAnsi="Times New Roman" w:eastAsia="Times New Roman" w:cs="Times New Roman"/>
          <w:b/>
          <w:bCs/>
          <w:color w:val="auto"/>
          <w:spacing w:val="-1"/>
          <w:lang w:eastAsia="zh-CN"/>
        </w:rPr>
        <w:t>B</w:t>
      </w:r>
      <w:r>
        <w:rPr>
          <w:rFonts w:ascii="宋体" w:hAnsi="宋体" w:eastAsia="宋体" w:cs="宋体"/>
          <w:color w:val="auto"/>
          <w:spacing w:val="-1"/>
          <w:lang w:eastAsia="zh-CN"/>
        </w:rPr>
        <w:t>。</w:t>
      </w:r>
    </w:p>
    <w:p w14:paraId="730E4B27">
      <w:pPr>
        <w:spacing w:before="1" w:line="221" w:lineRule="auto"/>
        <w:ind w:left="1692"/>
        <w:outlineLvl w:val="2"/>
        <w:rPr>
          <w:rFonts w:ascii="黑体" w:hAnsi="黑体" w:eastAsia="黑体" w:cs="黑体"/>
          <w:color w:val="auto"/>
          <w:lang w:eastAsia="zh-CN"/>
        </w:rPr>
      </w:pPr>
      <w:bookmarkStart w:id="298" w:name="bookmark113"/>
      <w:bookmarkEnd w:id="298"/>
      <w:r>
        <w:rPr>
          <w:rFonts w:ascii="Times New Roman" w:hAnsi="Times New Roman" w:eastAsia="Times New Roman" w:cs="Times New Roman"/>
          <w:color w:val="auto"/>
          <w:spacing w:val="-2"/>
          <w:lang w:eastAsia="zh-CN"/>
        </w:rPr>
        <w:t>A4.4</w:t>
      </w:r>
      <w:r>
        <w:rPr>
          <w:rFonts w:ascii="黑体" w:hAnsi="黑体" w:eastAsia="黑体" w:cs="黑体"/>
          <w:color w:val="auto"/>
          <w:spacing w:val="-2"/>
          <w:lang w:eastAsia="zh-CN"/>
        </w:rPr>
        <w:t>资信标评审和评分</w:t>
      </w:r>
    </w:p>
    <w:p w14:paraId="1875C6B3">
      <w:pPr>
        <w:spacing w:before="147" w:line="352" w:lineRule="auto"/>
        <w:ind w:left="1700" w:right="1796" w:firstLine="420"/>
        <w:jc w:val="both"/>
        <w:rPr>
          <w:rFonts w:ascii="宋体" w:hAnsi="宋体" w:eastAsia="宋体" w:cs="宋体"/>
          <w:color w:val="auto"/>
          <w:lang w:eastAsia="zh-CN"/>
        </w:rPr>
      </w:pPr>
      <w:r>
        <w:rPr>
          <w:rFonts w:ascii="宋体" w:hAnsi="宋体" w:eastAsia="宋体" w:cs="宋体"/>
          <w:color w:val="auto"/>
          <w:spacing w:val="-5"/>
          <w:lang w:eastAsia="zh-CN"/>
        </w:rPr>
        <w:t>按照评标办法前附表中规定的分值设定、各项评分因素、评分标准，</w:t>
      </w:r>
      <w:r>
        <w:rPr>
          <w:rFonts w:ascii="宋体" w:hAnsi="宋体" w:eastAsia="宋体" w:cs="宋体"/>
          <w:color w:val="auto"/>
          <w:spacing w:val="-6"/>
          <w:lang w:eastAsia="zh-CN"/>
        </w:rPr>
        <w:t xml:space="preserve"> 对企业业绩、资信</w:t>
      </w:r>
      <w:r>
        <w:rPr>
          <w:rFonts w:ascii="宋体" w:hAnsi="宋体" w:eastAsia="宋体" w:cs="宋体"/>
          <w:color w:val="auto"/>
          <w:lang w:eastAsia="zh-CN"/>
        </w:rPr>
        <w:t>和项目管理机构等进行评审和评分，并使用</w:t>
      </w:r>
      <w:r>
        <w:rPr>
          <w:rFonts w:ascii="宋体" w:hAnsi="宋体" w:eastAsia="宋体" w:cs="宋体"/>
          <w:b/>
          <w:bCs/>
          <w:color w:val="auto"/>
          <w:lang w:eastAsia="zh-CN"/>
        </w:rPr>
        <w:t>附表</w:t>
      </w:r>
      <w:r>
        <w:rPr>
          <w:rFonts w:ascii="Times New Roman" w:hAnsi="Times New Roman" w:eastAsia="Times New Roman" w:cs="Times New Roman"/>
          <w:b/>
          <w:bCs/>
          <w:color w:val="auto"/>
          <w:lang w:eastAsia="zh-CN"/>
        </w:rPr>
        <w:t xml:space="preserve">A-13 </w:t>
      </w:r>
      <w:r>
        <w:rPr>
          <w:rFonts w:ascii="宋体" w:hAnsi="宋体" w:eastAsia="宋体" w:cs="宋体"/>
          <w:color w:val="auto"/>
          <w:lang w:eastAsia="zh-CN"/>
        </w:rPr>
        <w:t>记录对资</w:t>
      </w:r>
      <w:r>
        <w:rPr>
          <w:rFonts w:ascii="宋体" w:hAnsi="宋体" w:eastAsia="宋体" w:cs="宋体"/>
          <w:color w:val="auto"/>
          <w:spacing w:val="-1"/>
          <w:lang w:eastAsia="zh-CN"/>
        </w:rPr>
        <w:t>信标的评分结果，资信标的</w:t>
      </w:r>
      <w:bookmarkStart w:id="299" w:name="bookmark114"/>
      <w:bookmarkEnd w:id="299"/>
      <w:r>
        <w:rPr>
          <w:rFonts w:ascii="宋体" w:hAnsi="宋体" w:eastAsia="宋体" w:cs="宋体"/>
          <w:color w:val="auto"/>
          <w:spacing w:val="-3"/>
          <w:lang w:eastAsia="zh-CN"/>
        </w:rPr>
        <w:t>得分记录为</w:t>
      </w:r>
      <w:r>
        <w:rPr>
          <w:rFonts w:ascii="Times New Roman" w:hAnsi="Times New Roman" w:eastAsia="Times New Roman" w:cs="Times New Roman"/>
          <w:b/>
          <w:bCs/>
          <w:color w:val="auto"/>
          <w:spacing w:val="-3"/>
          <w:lang w:eastAsia="zh-CN"/>
        </w:rPr>
        <w:t>C</w:t>
      </w:r>
      <w:r>
        <w:rPr>
          <w:rFonts w:ascii="宋体" w:hAnsi="宋体" w:eastAsia="宋体" w:cs="宋体"/>
          <w:color w:val="auto"/>
          <w:spacing w:val="-3"/>
          <w:lang w:eastAsia="zh-CN"/>
        </w:rPr>
        <w:t>。</w:t>
      </w:r>
    </w:p>
    <w:p w14:paraId="6DA1EC08">
      <w:pPr>
        <w:spacing w:before="1"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A4.5  </w:t>
      </w:r>
      <w:r>
        <w:rPr>
          <w:rFonts w:ascii="黑体" w:hAnsi="黑体" w:eastAsia="黑体" w:cs="黑体"/>
          <w:color w:val="auto"/>
          <w:spacing w:val="-1"/>
          <w:lang w:eastAsia="zh-CN"/>
        </w:rPr>
        <w:t>其他因素的评审和评分</w:t>
      </w:r>
    </w:p>
    <w:p w14:paraId="0EF53E06">
      <w:pPr>
        <w:spacing w:before="146" w:line="352" w:lineRule="auto"/>
        <w:ind w:left="1701" w:right="1796" w:firstLine="417"/>
        <w:jc w:val="both"/>
        <w:rPr>
          <w:rFonts w:ascii="宋体" w:hAnsi="宋体" w:eastAsia="宋体" w:cs="宋体"/>
          <w:color w:val="auto"/>
          <w:lang w:eastAsia="zh-CN"/>
        </w:rPr>
      </w:pPr>
      <w:r>
        <w:rPr>
          <w:rFonts w:ascii="宋体" w:hAnsi="宋体" w:eastAsia="宋体" w:cs="宋体"/>
          <w:color w:val="auto"/>
          <w:spacing w:val="-4"/>
          <w:lang w:eastAsia="zh-CN"/>
        </w:rPr>
        <w:t>根据评标办法前附表中规定的分值设定、各项评分因素和相应的评分标准，对其他因素</w:t>
      </w:r>
      <w:r>
        <w:rPr>
          <w:rFonts w:ascii="宋体" w:hAnsi="宋体" w:eastAsia="宋体" w:cs="宋体"/>
          <w:color w:val="auto"/>
          <w:lang w:eastAsia="zh-CN"/>
        </w:rPr>
        <w:t>（如果有）进行评审和评分，并使用</w:t>
      </w:r>
      <w:r>
        <w:rPr>
          <w:rFonts w:ascii="宋体" w:hAnsi="宋体" w:eastAsia="宋体" w:cs="宋体"/>
          <w:b/>
          <w:bCs/>
          <w:color w:val="auto"/>
          <w:lang w:eastAsia="zh-CN"/>
        </w:rPr>
        <w:t>附表</w:t>
      </w:r>
      <w:r>
        <w:rPr>
          <w:rFonts w:ascii="Times New Roman" w:hAnsi="Times New Roman" w:eastAsia="Times New Roman" w:cs="Times New Roman"/>
          <w:b/>
          <w:bCs/>
          <w:color w:val="auto"/>
          <w:lang w:eastAsia="zh-CN"/>
        </w:rPr>
        <w:t xml:space="preserve">A-14 </w:t>
      </w:r>
      <w:r>
        <w:rPr>
          <w:rFonts w:ascii="宋体" w:hAnsi="宋体" w:eastAsia="宋体" w:cs="宋体"/>
          <w:color w:val="auto"/>
          <w:lang w:eastAsia="zh-CN"/>
        </w:rPr>
        <w:t>记录对其他</w:t>
      </w:r>
      <w:r>
        <w:rPr>
          <w:rFonts w:ascii="宋体" w:hAnsi="宋体" w:eastAsia="宋体" w:cs="宋体"/>
          <w:color w:val="auto"/>
          <w:spacing w:val="-1"/>
          <w:lang w:eastAsia="zh-CN"/>
        </w:rPr>
        <w:t>因素的评分结果，其他因素的得</w:t>
      </w:r>
      <w:bookmarkStart w:id="300" w:name="bookmark115"/>
      <w:bookmarkEnd w:id="300"/>
      <w:r>
        <w:rPr>
          <w:rFonts w:ascii="宋体" w:hAnsi="宋体" w:eastAsia="宋体" w:cs="宋体"/>
          <w:color w:val="auto"/>
          <w:spacing w:val="-3"/>
          <w:lang w:eastAsia="zh-CN"/>
        </w:rPr>
        <w:t>分记录为</w:t>
      </w:r>
      <w:r>
        <w:rPr>
          <w:rFonts w:ascii="Times New Roman" w:hAnsi="Times New Roman" w:eastAsia="Times New Roman" w:cs="Times New Roman"/>
          <w:b/>
          <w:bCs/>
          <w:color w:val="auto"/>
          <w:spacing w:val="-3"/>
          <w:lang w:eastAsia="zh-CN"/>
        </w:rPr>
        <w:t>D</w:t>
      </w:r>
      <w:r>
        <w:rPr>
          <w:rFonts w:ascii="宋体" w:hAnsi="宋体" w:eastAsia="宋体" w:cs="宋体"/>
          <w:color w:val="auto"/>
          <w:spacing w:val="-3"/>
          <w:lang w:eastAsia="zh-CN"/>
        </w:rPr>
        <w:t>。</w:t>
      </w:r>
    </w:p>
    <w:p w14:paraId="5D829DEA">
      <w:pPr>
        <w:spacing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A4.6  </w:t>
      </w:r>
      <w:r>
        <w:rPr>
          <w:rFonts w:ascii="黑体" w:hAnsi="黑体" w:eastAsia="黑体" w:cs="黑体"/>
          <w:color w:val="auto"/>
          <w:spacing w:val="-1"/>
          <w:lang w:eastAsia="zh-CN"/>
        </w:rPr>
        <w:t>澄清、说明或补正</w:t>
      </w:r>
    </w:p>
    <w:p w14:paraId="4E266CF9">
      <w:pPr>
        <w:spacing w:before="151" w:line="352" w:lineRule="auto"/>
        <w:ind w:left="1698" w:right="1796" w:firstLine="420"/>
        <w:jc w:val="both"/>
        <w:rPr>
          <w:rFonts w:ascii="宋体" w:hAnsi="宋体" w:eastAsia="宋体" w:cs="宋体"/>
          <w:color w:val="auto"/>
          <w:lang w:eastAsia="zh-CN"/>
        </w:rPr>
      </w:pPr>
      <w:r>
        <w:rPr>
          <w:rFonts w:ascii="宋体" w:hAnsi="宋体" w:eastAsia="宋体" w:cs="宋体"/>
          <w:color w:val="auto"/>
          <w:spacing w:val="-3"/>
          <w:lang w:eastAsia="zh-CN"/>
        </w:rPr>
        <w:t>在详细评审过程中，评标委员会应当就投标文件中含义不明确、对同类问题表述不一致</w:t>
      </w:r>
      <w:r>
        <w:rPr>
          <w:rFonts w:ascii="宋体" w:hAnsi="宋体" w:eastAsia="宋体" w:cs="宋体"/>
          <w:color w:val="auto"/>
          <w:spacing w:val="-2"/>
          <w:lang w:eastAsia="zh-CN"/>
        </w:rPr>
        <w:t>或者有明显文字和计算错误的内容要求投标人进行澄</w:t>
      </w:r>
      <w:r>
        <w:rPr>
          <w:rFonts w:ascii="宋体" w:hAnsi="宋体" w:eastAsia="宋体" w:cs="宋体"/>
          <w:color w:val="auto"/>
          <w:spacing w:val="-3"/>
          <w:lang w:eastAsia="zh-CN"/>
        </w:rPr>
        <w:t>清、说明或者补正。投标人对此以书面</w:t>
      </w:r>
      <w:r>
        <w:rPr>
          <w:rFonts w:ascii="宋体" w:hAnsi="宋体" w:eastAsia="宋体" w:cs="宋体"/>
          <w:color w:val="auto"/>
          <w:spacing w:val="-1"/>
          <w:lang w:eastAsia="zh-CN"/>
        </w:rPr>
        <w:t>形式予以澄清、说明或者补正。澄清、说明或补正根据本章第</w:t>
      </w:r>
      <w:r>
        <w:rPr>
          <w:rFonts w:ascii="Times New Roman" w:hAnsi="Times New Roman" w:eastAsia="Times New Roman" w:cs="Times New Roman"/>
          <w:color w:val="auto"/>
          <w:spacing w:val="-1"/>
          <w:lang w:eastAsia="zh-CN"/>
        </w:rPr>
        <w:t>3.</w:t>
      </w:r>
      <w:r>
        <w:rPr>
          <w:rFonts w:ascii="Times New Roman" w:hAnsi="Times New Roman" w:eastAsia="Times New Roman" w:cs="Times New Roman"/>
          <w:color w:val="auto"/>
          <w:spacing w:val="-2"/>
          <w:lang w:eastAsia="zh-CN"/>
        </w:rPr>
        <w:t xml:space="preserve">3 </w:t>
      </w:r>
      <w:r>
        <w:rPr>
          <w:rFonts w:ascii="宋体" w:hAnsi="宋体" w:eastAsia="宋体" w:cs="宋体"/>
          <w:color w:val="auto"/>
          <w:spacing w:val="-2"/>
          <w:lang w:eastAsia="zh-CN"/>
        </w:rPr>
        <w:t>款的规定执行。《投标文件问题澄清通知》及《投标文件问题的澄清》采用投</w:t>
      </w:r>
      <w:r>
        <w:rPr>
          <w:rFonts w:ascii="宋体" w:hAnsi="宋体" w:eastAsia="宋体" w:cs="宋体"/>
          <w:color w:val="auto"/>
          <w:spacing w:val="-3"/>
          <w:lang w:eastAsia="zh-CN"/>
        </w:rPr>
        <w:t>标人须知附表六与投标人须知附表七所</w:t>
      </w:r>
      <w:r>
        <w:rPr>
          <w:rFonts w:ascii="宋体" w:hAnsi="宋体" w:eastAsia="宋体" w:cs="宋体"/>
          <w:color w:val="auto"/>
          <w:spacing w:val="-2"/>
          <w:lang w:eastAsia="zh-CN"/>
        </w:rPr>
        <w:t>提供的格式，并通过电子招标投标系统（辽宁省工程</w:t>
      </w:r>
      <w:r>
        <w:rPr>
          <w:rFonts w:ascii="宋体" w:hAnsi="宋体" w:eastAsia="宋体" w:cs="宋体"/>
          <w:color w:val="auto"/>
          <w:spacing w:val="-3"/>
          <w:lang w:eastAsia="zh-CN"/>
        </w:rPr>
        <w:t>建设项目数字化开标评标系统）以书面</w:t>
      </w:r>
    </w:p>
    <w:p w14:paraId="0F00F85C">
      <w:pPr>
        <w:spacing w:line="352" w:lineRule="auto"/>
        <w:rPr>
          <w:rFonts w:ascii="宋体" w:hAnsi="宋体" w:eastAsia="宋体" w:cs="宋体"/>
          <w:color w:val="auto"/>
          <w:lang w:eastAsia="zh-CN"/>
        </w:rPr>
        <w:sectPr>
          <w:footerReference r:id="rId67" w:type="default"/>
          <w:pgSz w:w="11906" w:h="16839"/>
          <w:pgMar w:top="400" w:right="0" w:bottom="1024" w:left="105" w:header="0" w:footer="793" w:gutter="0"/>
          <w:cols w:space="720" w:num="1"/>
        </w:sectPr>
      </w:pPr>
    </w:p>
    <w:p w14:paraId="19A8B487">
      <w:pPr>
        <w:pStyle w:val="8"/>
        <w:spacing w:line="276" w:lineRule="auto"/>
        <w:rPr>
          <w:lang w:eastAsia="zh-CN"/>
        </w:rPr>
      </w:pPr>
    </w:p>
    <w:p w14:paraId="4D67F95A">
      <w:pPr>
        <w:pStyle w:val="8"/>
        <w:spacing w:line="276" w:lineRule="auto"/>
        <w:rPr>
          <w:lang w:eastAsia="zh-CN"/>
        </w:rPr>
      </w:pPr>
    </w:p>
    <w:p w14:paraId="5C67E04C">
      <w:pPr>
        <w:pStyle w:val="8"/>
        <w:spacing w:line="276" w:lineRule="auto"/>
        <w:rPr>
          <w:lang w:eastAsia="zh-CN"/>
        </w:rPr>
      </w:pPr>
    </w:p>
    <w:p w14:paraId="228EA22B">
      <w:pPr>
        <w:pStyle w:val="8"/>
        <w:spacing w:line="276" w:lineRule="auto"/>
        <w:rPr>
          <w:lang w:eastAsia="zh-CN"/>
        </w:rPr>
      </w:pPr>
    </w:p>
    <w:p w14:paraId="7C314D22">
      <w:pPr>
        <w:spacing w:before="68" w:line="221" w:lineRule="auto"/>
        <w:ind w:left="1701"/>
        <w:rPr>
          <w:rFonts w:ascii="宋体" w:hAnsi="宋体" w:eastAsia="宋体" w:cs="宋体"/>
          <w:color w:val="auto"/>
          <w:lang w:eastAsia="zh-CN"/>
        </w:rPr>
      </w:pPr>
      <w:bookmarkStart w:id="301" w:name="bookmark116"/>
      <w:bookmarkEnd w:id="301"/>
      <w:r>
        <w:rPr>
          <w:rFonts w:ascii="宋体" w:hAnsi="宋体" w:eastAsia="宋体" w:cs="宋体"/>
          <w:color w:val="auto"/>
          <w:spacing w:val="-7"/>
          <w:lang w:eastAsia="zh-CN"/>
        </w:rPr>
        <w:t>形式进行。</w:t>
      </w:r>
    </w:p>
    <w:p w14:paraId="4C8A56DD">
      <w:pPr>
        <w:spacing w:before="148"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A4.7 </w:t>
      </w:r>
      <w:r>
        <w:rPr>
          <w:rFonts w:ascii="黑体" w:hAnsi="黑体" w:eastAsia="黑体" w:cs="黑体"/>
          <w:color w:val="auto"/>
          <w:spacing w:val="-1"/>
          <w:lang w:eastAsia="zh-CN"/>
        </w:rPr>
        <w:t>汇总评分（评审）结果</w:t>
      </w:r>
    </w:p>
    <w:p w14:paraId="029220C7">
      <w:pPr>
        <w:spacing w:before="148" w:line="340" w:lineRule="auto"/>
        <w:ind w:left="1704" w:right="1632" w:firstLine="414"/>
        <w:rPr>
          <w:rFonts w:ascii="宋体" w:hAnsi="宋体" w:eastAsia="宋体" w:cs="宋体"/>
          <w:color w:val="auto"/>
          <w:lang w:eastAsia="zh-CN"/>
        </w:rPr>
      </w:pPr>
      <w:r>
        <w:rPr>
          <w:rFonts w:ascii="宋体" w:hAnsi="宋体" w:eastAsia="宋体" w:cs="宋体"/>
          <w:color w:val="auto"/>
          <w:spacing w:val="-2"/>
          <w:lang w:eastAsia="zh-CN"/>
        </w:rPr>
        <w:t>评标委员会成员应按照</w:t>
      </w:r>
      <w:r>
        <w:rPr>
          <w:rFonts w:ascii="宋体" w:hAnsi="宋体" w:eastAsia="宋体" w:cs="宋体"/>
          <w:b/>
          <w:bCs/>
          <w:color w:val="auto"/>
          <w:spacing w:val="-2"/>
          <w:lang w:eastAsia="zh-CN"/>
        </w:rPr>
        <w:t>附表</w:t>
      </w:r>
      <w:r>
        <w:rPr>
          <w:rFonts w:ascii="Times New Roman" w:hAnsi="Times New Roman" w:eastAsia="Times New Roman" w:cs="Times New Roman"/>
          <w:b/>
          <w:bCs/>
          <w:color w:val="auto"/>
          <w:spacing w:val="-2"/>
          <w:lang w:eastAsia="zh-CN"/>
        </w:rPr>
        <w:t>A-15</w:t>
      </w:r>
      <w:r>
        <w:rPr>
          <w:rFonts w:ascii="宋体" w:hAnsi="宋体" w:eastAsia="宋体" w:cs="宋体"/>
          <w:color w:val="auto"/>
          <w:spacing w:val="-2"/>
          <w:lang w:eastAsia="zh-CN"/>
        </w:rPr>
        <w:t>的格式汇总各个评标委员会成员的详细评审评分结果，并按照详细评审最终得分由高至低的次序对投标人进行排序。</w:t>
      </w:r>
    </w:p>
    <w:p w14:paraId="1DE4E5F3">
      <w:pPr>
        <w:spacing w:line="221" w:lineRule="auto"/>
        <w:ind w:left="1693"/>
        <w:outlineLvl w:val="2"/>
        <w:rPr>
          <w:rFonts w:ascii="黑体" w:hAnsi="黑体" w:eastAsia="黑体" w:cs="黑体"/>
          <w:color w:val="auto"/>
          <w:sz w:val="24"/>
          <w:szCs w:val="24"/>
          <w:lang w:eastAsia="zh-CN"/>
        </w:rPr>
      </w:pPr>
      <w:bookmarkStart w:id="302" w:name="bookmark117"/>
      <w:bookmarkEnd w:id="302"/>
      <w:bookmarkStart w:id="303" w:name="bookmark118"/>
      <w:bookmarkEnd w:id="303"/>
      <w:r>
        <w:rPr>
          <w:rFonts w:ascii="Times New Roman" w:hAnsi="Times New Roman" w:eastAsia="Times New Roman" w:cs="Times New Roman"/>
          <w:color w:val="auto"/>
          <w:spacing w:val="-1"/>
          <w:sz w:val="24"/>
          <w:szCs w:val="24"/>
          <w:lang w:eastAsia="zh-CN"/>
        </w:rPr>
        <w:t>A5.</w:t>
      </w:r>
      <w:r>
        <w:rPr>
          <w:rFonts w:ascii="黑体" w:hAnsi="黑体" w:eastAsia="黑体" w:cs="黑体"/>
          <w:color w:val="auto"/>
          <w:spacing w:val="-1"/>
          <w:sz w:val="24"/>
          <w:szCs w:val="24"/>
          <w:lang w:eastAsia="zh-CN"/>
        </w:rPr>
        <w:t>推荐中标候选人或者直接确定中标人</w:t>
      </w:r>
    </w:p>
    <w:p w14:paraId="4A8675D5">
      <w:pPr>
        <w:spacing w:before="138"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A5.1 </w:t>
      </w:r>
      <w:r>
        <w:rPr>
          <w:rFonts w:ascii="黑体" w:hAnsi="黑体" w:eastAsia="黑体" w:cs="黑体"/>
          <w:color w:val="auto"/>
          <w:spacing w:val="-1"/>
          <w:lang w:eastAsia="zh-CN"/>
        </w:rPr>
        <w:t>推荐中标候选人</w:t>
      </w:r>
    </w:p>
    <w:p w14:paraId="485A00BF">
      <w:pPr>
        <w:spacing w:before="146" w:line="352" w:lineRule="auto"/>
        <w:ind w:left="1699" w:right="1796" w:firstLine="413"/>
        <w:jc w:val="both"/>
        <w:rPr>
          <w:rFonts w:ascii="Times New Roman" w:hAnsi="Times New Roman" w:eastAsia="宋体" w:cs="Times New Roman"/>
          <w:color w:val="auto"/>
          <w:lang w:eastAsia="zh-CN"/>
        </w:rPr>
      </w:pPr>
      <w:r>
        <w:rPr>
          <w:rFonts w:ascii="Times New Roman" w:hAnsi="Times New Roman" w:eastAsia="Times New Roman" w:cs="Times New Roman"/>
          <w:color w:val="auto"/>
          <w:spacing w:val="-3"/>
          <w:lang w:eastAsia="zh-CN"/>
        </w:rPr>
        <w:t xml:space="preserve">A5.1.1 </w:t>
      </w:r>
      <w:r>
        <w:rPr>
          <w:rFonts w:ascii="宋体" w:hAnsi="宋体" w:eastAsia="宋体" w:cs="宋体"/>
          <w:color w:val="auto"/>
          <w:spacing w:val="-3"/>
          <w:lang w:eastAsia="zh-CN"/>
        </w:rPr>
        <w:t>评标委员会按照本章评标办法前附表规定的推荐方法和第二章“投标人须知”前</w:t>
      </w:r>
      <w:r>
        <w:rPr>
          <w:rFonts w:ascii="宋体" w:hAnsi="宋体" w:eastAsia="宋体" w:cs="宋体"/>
          <w:color w:val="auto"/>
          <w:spacing w:val="1"/>
          <w:lang w:eastAsia="zh-CN"/>
        </w:rPr>
        <w:t>附表第</w:t>
      </w:r>
      <w:r>
        <w:rPr>
          <w:rFonts w:ascii="Times New Roman" w:hAnsi="Times New Roman" w:eastAsia="Times New Roman" w:cs="Times New Roman"/>
          <w:color w:val="auto"/>
          <w:spacing w:val="1"/>
          <w:lang w:eastAsia="zh-CN"/>
        </w:rPr>
        <w:t xml:space="preserve">7.1 </w:t>
      </w:r>
      <w:r>
        <w:rPr>
          <w:rFonts w:ascii="宋体" w:hAnsi="宋体" w:eastAsia="宋体" w:cs="宋体"/>
          <w:color w:val="auto"/>
          <w:spacing w:val="1"/>
          <w:lang w:eastAsia="zh-CN"/>
        </w:rPr>
        <w:t>款推荐的中标候选人数量，按照</w:t>
      </w:r>
      <w:r>
        <w:rPr>
          <w:rFonts w:ascii="宋体" w:hAnsi="宋体" w:eastAsia="宋体" w:cs="宋体"/>
          <w:b/>
          <w:bCs/>
          <w:color w:val="auto"/>
          <w:spacing w:val="1"/>
          <w:lang w:eastAsia="zh-CN"/>
        </w:rPr>
        <w:t>附表</w:t>
      </w:r>
      <w:r>
        <w:rPr>
          <w:rFonts w:ascii="Times New Roman" w:hAnsi="Times New Roman" w:eastAsia="Times New Roman" w:cs="Times New Roman"/>
          <w:b/>
          <w:bCs/>
          <w:color w:val="auto"/>
          <w:spacing w:val="1"/>
          <w:lang w:eastAsia="zh-CN"/>
        </w:rPr>
        <w:t xml:space="preserve">A-17 </w:t>
      </w:r>
      <w:r>
        <w:rPr>
          <w:rFonts w:ascii="宋体" w:hAnsi="宋体" w:eastAsia="宋体" w:cs="宋体"/>
          <w:color w:val="auto"/>
          <w:spacing w:val="1"/>
          <w:lang w:eastAsia="zh-CN"/>
        </w:rPr>
        <w:t>格式</w:t>
      </w:r>
      <w:r>
        <w:rPr>
          <w:rFonts w:ascii="宋体" w:hAnsi="宋体" w:eastAsia="宋体" w:cs="宋体"/>
          <w:color w:val="auto"/>
          <w:lang w:eastAsia="zh-CN"/>
        </w:rPr>
        <w:t>推荐中标候选人。评标委员会在</w:t>
      </w:r>
      <w:r>
        <w:rPr>
          <w:rFonts w:ascii="宋体" w:hAnsi="宋体" w:eastAsia="宋体" w:cs="宋体"/>
          <w:color w:val="auto"/>
          <w:spacing w:val="-1"/>
          <w:lang w:eastAsia="zh-CN"/>
        </w:rPr>
        <w:t>推荐中标候选人时，应遵照以下原则</w:t>
      </w:r>
      <w:r>
        <w:rPr>
          <w:rFonts w:hint="eastAsia" w:ascii="Times New Roman" w:hAnsi="Times New Roman" w:eastAsia="宋体" w:cs="Times New Roman"/>
          <w:color w:val="auto"/>
          <w:spacing w:val="-1"/>
          <w:lang w:eastAsia="zh-CN"/>
        </w:rPr>
        <w:t>：</w:t>
      </w:r>
    </w:p>
    <w:p w14:paraId="5A2D537D">
      <w:pPr>
        <w:spacing w:before="2" w:line="307" w:lineRule="auto"/>
        <w:ind w:left="1705" w:right="1796" w:firstLine="419"/>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1</w:t>
      </w:r>
      <w:r>
        <w:rPr>
          <w:rFonts w:ascii="宋体" w:hAnsi="宋体" w:eastAsia="宋体" w:cs="宋体"/>
          <w:color w:val="auto"/>
          <w:lang w:eastAsia="zh-CN"/>
        </w:rPr>
        <w:t>）评标委员会按照本章评标办法前附表规定的方法推荐中标候选人。招标文件允许</w:t>
      </w:r>
      <w:r>
        <w:rPr>
          <w:rFonts w:ascii="宋体" w:hAnsi="宋体" w:eastAsia="宋体" w:cs="宋体"/>
          <w:color w:val="auto"/>
          <w:spacing w:val="-5"/>
          <w:lang w:eastAsia="zh-CN"/>
        </w:rPr>
        <w:t>多标段投标、多标段中标的， 各标段中标候选人的推荐按规定执行，对某些标段由</w:t>
      </w:r>
      <w:r>
        <w:rPr>
          <w:rFonts w:ascii="宋体" w:hAnsi="宋体" w:eastAsia="宋体" w:cs="宋体"/>
          <w:color w:val="auto"/>
          <w:spacing w:val="-6"/>
          <w:lang w:eastAsia="zh-CN"/>
        </w:rPr>
        <w:t>此产生的</w:t>
      </w:r>
      <w:r>
        <w:rPr>
          <w:rFonts w:ascii="宋体" w:hAnsi="宋体" w:eastAsia="宋体" w:cs="宋体"/>
          <w:color w:val="auto"/>
          <w:spacing w:val="-3"/>
          <w:lang w:eastAsia="zh-CN"/>
        </w:rPr>
        <w:t>空缺由排序在后的投标人依次替补。</w:t>
      </w:r>
    </w:p>
    <w:p w14:paraId="0FD28799">
      <w:pPr>
        <w:spacing w:before="149" w:line="319" w:lineRule="auto"/>
        <w:ind w:left="1698" w:right="1649" w:firstLine="426"/>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2</w:t>
      </w:r>
      <w:r>
        <w:rPr>
          <w:rFonts w:ascii="宋体" w:hAnsi="宋体" w:eastAsia="宋体" w:cs="宋体"/>
          <w:color w:val="auto"/>
          <w:lang w:eastAsia="zh-CN"/>
        </w:rPr>
        <w:t>）如果评标委员会根据本章的规定否决有关投标后，有效投标不足三个，且少于第</w:t>
      </w:r>
      <w:r>
        <w:rPr>
          <w:rFonts w:ascii="宋体" w:hAnsi="宋体" w:eastAsia="宋体" w:cs="宋体"/>
          <w:color w:val="auto"/>
          <w:spacing w:val="-2"/>
          <w:lang w:eastAsia="zh-CN"/>
        </w:rPr>
        <w:t>二章“投标人须知”前附表第</w:t>
      </w:r>
      <w:r>
        <w:rPr>
          <w:rFonts w:ascii="Times New Roman" w:hAnsi="Times New Roman" w:eastAsia="Times New Roman" w:cs="Times New Roman"/>
          <w:color w:val="auto"/>
          <w:spacing w:val="-2"/>
          <w:lang w:eastAsia="zh-CN"/>
        </w:rPr>
        <w:t xml:space="preserve">7.1 </w:t>
      </w:r>
      <w:r>
        <w:rPr>
          <w:rFonts w:ascii="宋体" w:hAnsi="宋体" w:eastAsia="宋体" w:cs="宋体"/>
          <w:color w:val="auto"/>
          <w:spacing w:val="-2"/>
          <w:lang w:eastAsia="zh-CN"/>
        </w:rPr>
        <w:t>款规定的中标候选人数量的，则评标委员会可以将所有有</w:t>
      </w:r>
      <w:r>
        <w:rPr>
          <w:rFonts w:ascii="宋体" w:hAnsi="宋体" w:eastAsia="宋体" w:cs="宋体"/>
          <w:color w:val="auto"/>
          <w:spacing w:val="-4"/>
          <w:lang w:eastAsia="zh-CN"/>
        </w:rPr>
        <w:t>效投标人作为中标候选人向招标人推荐。如果因有效投标不足三个使得投标明显缺乏竞争的，</w:t>
      </w:r>
      <w:r>
        <w:rPr>
          <w:rFonts w:ascii="宋体" w:hAnsi="宋体" w:eastAsia="宋体" w:cs="宋体"/>
          <w:color w:val="auto"/>
          <w:spacing w:val="-2"/>
          <w:lang w:eastAsia="zh-CN"/>
        </w:rPr>
        <w:t>评标委员会可以否决所有投标，并建议招标人重新招标。</w:t>
      </w:r>
    </w:p>
    <w:p w14:paraId="493743DC">
      <w:pPr>
        <w:spacing w:before="149" w:line="220" w:lineRule="auto"/>
        <w:ind w:left="211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A5.1.2 </w:t>
      </w:r>
      <w:r>
        <w:rPr>
          <w:rFonts w:ascii="宋体" w:hAnsi="宋体" w:eastAsia="宋体" w:cs="宋体"/>
          <w:color w:val="auto"/>
          <w:spacing w:val="-1"/>
          <w:lang w:eastAsia="zh-CN"/>
        </w:rPr>
        <w:t>投标人数量少于三个或者所有投标被否决的，招标人应当依法重新招标。</w:t>
      </w:r>
    </w:p>
    <w:p w14:paraId="2B95B32B">
      <w:pPr>
        <w:spacing w:before="150" w:line="222" w:lineRule="auto"/>
        <w:ind w:left="1692"/>
        <w:outlineLvl w:val="2"/>
        <w:rPr>
          <w:rFonts w:ascii="黑体" w:hAnsi="黑体" w:eastAsia="黑体" w:cs="黑体"/>
          <w:color w:val="auto"/>
          <w:lang w:eastAsia="zh-CN"/>
        </w:rPr>
      </w:pPr>
      <w:bookmarkStart w:id="304" w:name="bookmark119"/>
      <w:bookmarkEnd w:id="304"/>
      <w:r>
        <w:rPr>
          <w:rFonts w:ascii="Times New Roman" w:hAnsi="Times New Roman" w:eastAsia="Times New Roman" w:cs="Times New Roman"/>
          <w:color w:val="auto"/>
          <w:spacing w:val="-1"/>
          <w:lang w:eastAsia="zh-CN"/>
        </w:rPr>
        <w:t xml:space="preserve">A5.2 </w:t>
      </w:r>
      <w:r>
        <w:rPr>
          <w:rFonts w:ascii="黑体" w:hAnsi="黑体" w:eastAsia="黑体" w:cs="黑体"/>
          <w:color w:val="auto"/>
          <w:spacing w:val="-1"/>
          <w:lang w:eastAsia="zh-CN"/>
        </w:rPr>
        <w:t>直接确定中标人</w:t>
      </w:r>
    </w:p>
    <w:p w14:paraId="12BC6A46">
      <w:pPr>
        <w:spacing w:before="147" w:line="352" w:lineRule="auto"/>
        <w:ind w:left="1700" w:right="1796" w:firstLine="419"/>
        <w:rPr>
          <w:rFonts w:ascii="宋体" w:hAnsi="宋体" w:eastAsia="宋体" w:cs="宋体"/>
          <w:color w:val="auto"/>
          <w:lang w:eastAsia="zh-CN"/>
        </w:rPr>
      </w:pPr>
      <w:r>
        <w:rPr>
          <w:rFonts w:ascii="宋体" w:hAnsi="宋体" w:eastAsia="宋体" w:cs="宋体"/>
          <w:color w:val="auto"/>
          <w:spacing w:val="-3"/>
          <w:lang w:eastAsia="zh-CN"/>
        </w:rPr>
        <w:t>第二章“投标人须知”前附表授权评标委员会直接确定中标</w:t>
      </w:r>
      <w:r>
        <w:rPr>
          <w:rFonts w:ascii="宋体" w:hAnsi="宋体" w:eastAsia="宋体" w:cs="宋体"/>
          <w:color w:val="auto"/>
          <w:spacing w:val="-4"/>
          <w:lang w:eastAsia="zh-CN"/>
        </w:rPr>
        <w:t>人的，评标委员会按照最终</w:t>
      </w:r>
      <w:bookmarkStart w:id="305" w:name="bookmark120"/>
      <w:bookmarkEnd w:id="305"/>
      <w:r>
        <w:rPr>
          <w:rFonts w:ascii="宋体" w:hAnsi="宋体" w:eastAsia="宋体" w:cs="宋体"/>
          <w:color w:val="auto"/>
          <w:spacing w:val="-3"/>
          <w:lang w:eastAsia="zh-CN"/>
        </w:rPr>
        <w:t>得分由高至低的次序排列。</w:t>
      </w:r>
    </w:p>
    <w:p w14:paraId="3129E67D">
      <w:pPr>
        <w:spacing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 xml:space="preserve">A5.3 </w:t>
      </w:r>
      <w:r>
        <w:rPr>
          <w:rFonts w:ascii="黑体" w:hAnsi="黑体" w:eastAsia="黑体" w:cs="黑体"/>
          <w:color w:val="auto"/>
          <w:spacing w:val="-1"/>
          <w:lang w:eastAsia="zh-CN"/>
        </w:rPr>
        <w:t>编制评标报告</w:t>
      </w:r>
    </w:p>
    <w:p w14:paraId="1C9A758F">
      <w:pPr>
        <w:spacing w:before="148" w:line="352" w:lineRule="auto"/>
        <w:ind w:left="1700" w:right="1757" w:firstLine="418"/>
        <w:rPr>
          <w:rFonts w:ascii="宋体" w:hAnsi="宋体" w:eastAsia="宋体" w:cs="宋体"/>
          <w:color w:val="auto"/>
          <w:lang w:eastAsia="zh-CN"/>
        </w:rPr>
      </w:pPr>
      <w:r>
        <w:rPr>
          <w:rFonts w:ascii="宋体" w:hAnsi="宋体" w:eastAsia="宋体" w:cs="宋体"/>
          <w:color w:val="auto"/>
          <w:lang w:eastAsia="zh-CN"/>
        </w:rPr>
        <w:t>评标委员会根据本章第</w:t>
      </w:r>
      <w:r>
        <w:rPr>
          <w:rFonts w:ascii="Times New Roman" w:hAnsi="Times New Roman" w:eastAsia="Times New Roman" w:cs="Times New Roman"/>
          <w:color w:val="auto"/>
          <w:lang w:eastAsia="zh-CN"/>
        </w:rPr>
        <w:t xml:space="preserve">3.4.2 </w:t>
      </w:r>
      <w:r>
        <w:rPr>
          <w:rFonts w:ascii="宋体" w:hAnsi="宋体" w:eastAsia="宋体" w:cs="宋体"/>
          <w:color w:val="auto"/>
          <w:lang w:eastAsia="zh-CN"/>
        </w:rPr>
        <w:t>项的规定向招标人提交评标报告。评标报告应当由全体评</w:t>
      </w:r>
      <w:r>
        <w:rPr>
          <w:rFonts w:ascii="宋体" w:hAnsi="宋体" w:eastAsia="宋体" w:cs="宋体"/>
          <w:color w:val="auto"/>
          <w:spacing w:val="-1"/>
          <w:lang w:eastAsia="zh-CN"/>
        </w:rPr>
        <w:t>标委员会成员签字，并于评标结束时抄送有关行</w:t>
      </w:r>
      <w:r>
        <w:rPr>
          <w:rFonts w:ascii="宋体" w:hAnsi="宋体" w:eastAsia="宋体" w:cs="宋体"/>
          <w:color w:val="auto"/>
          <w:spacing w:val="-2"/>
          <w:lang w:eastAsia="zh-CN"/>
        </w:rPr>
        <w:t>政监督部门。评标报告应当包括以下内容：</w:t>
      </w:r>
    </w:p>
    <w:p w14:paraId="0A96DEE2">
      <w:pPr>
        <w:spacing w:before="1" w:line="219"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1</w:t>
      </w:r>
      <w:r>
        <w:rPr>
          <w:rFonts w:ascii="宋体" w:hAnsi="宋体" w:eastAsia="宋体" w:cs="宋体"/>
          <w:color w:val="auto"/>
          <w:spacing w:val="-5"/>
          <w:lang w:eastAsia="zh-CN"/>
        </w:rPr>
        <w:t>）基本情况和数据表；</w:t>
      </w:r>
    </w:p>
    <w:p w14:paraId="5B115338">
      <w:pPr>
        <w:spacing w:before="14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2</w:t>
      </w:r>
      <w:r>
        <w:rPr>
          <w:rFonts w:ascii="宋体" w:hAnsi="宋体" w:eastAsia="宋体" w:cs="宋体"/>
          <w:color w:val="auto"/>
          <w:spacing w:val="-5"/>
          <w:lang w:eastAsia="zh-CN"/>
        </w:rPr>
        <w:t>）评标委员会成员名单；</w:t>
      </w:r>
    </w:p>
    <w:p w14:paraId="3C27B9BC">
      <w:pPr>
        <w:spacing w:before="151" w:line="221" w:lineRule="auto"/>
        <w:ind w:left="2124"/>
        <w:rPr>
          <w:rFonts w:ascii="宋体" w:hAnsi="宋体" w:eastAsia="宋体" w:cs="宋体"/>
          <w:color w:val="auto"/>
          <w:lang w:eastAsia="zh-CN"/>
        </w:rPr>
      </w:pPr>
      <w:r>
        <w:rPr>
          <w:rFonts w:ascii="宋体" w:hAnsi="宋体" w:eastAsia="宋体" w:cs="宋体"/>
          <w:color w:val="auto"/>
          <w:spacing w:val="-7"/>
          <w:lang w:eastAsia="zh-CN"/>
        </w:rPr>
        <w:t>（</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）开标记录；</w:t>
      </w:r>
    </w:p>
    <w:p w14:paraId="4EBF7504">
      <w:pPr>
        <w:spacing w:before="14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4</w:t>
      </w:r>
      <w:r>
        <w:rPr>
          <w:rFonts w:ascii="宋体" w:hAnsi="宋体" w:eastAsia="宋体" w:cs="宋体"/>
          <w:color w:val="auto"/>
          <w:spacing w:val="-3"/>
          <w:lang w:eastAsia="zh-CN"/>
        </w:rPr>
        <w:t>）通过初步评审的投标人一览表；</w:t>
      </w:r>
    </w:p>
    <w:p w14:paraId="04EE78D8">
      <w:pPr>
        <w:spacing w:before="149"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5</w:t>
      </w:r>
      <w:r>
        <w:rPr>
          <w:rFonts w:ascii="宋体" w:hAnsi="宋体" w:eastAsia="宋体" w:cs="宋体"/>
          <w:color w:val="auto"/>
          <w:spacing w:val="-5"/>
          <w:lang w:eastAsia="zh-CN"/>
        </w:rPr>
        <w:t>）被否决投标的情况说明；</w:t>
      </w:r>
    </w:p>
    <w:p w14:paraId="3A8CD7E9">
      <w:pPr>
        <w:spacing w:before="15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6</w:t>
      </w:r>
      <w:r>
        <w:rPr>
          <w:rFonts w:ascii="宋体" w:hAnsi="宋体" w:eastAsia="宋体" w:cs="宋体"/>
          <w:color w:val="auto"/>
          <w:spacing w:val="-3"/>
          <w:lang w:eastAsia="zh-CN"/>
        </w:rPr>
        <w:t>）评标标准、评标方法或者评标因素一览表；</w:t>
      </w:r>
    </w:p>
    <w:p w14:paraId="684A0D10">
      <w:pPr>
        <w:spacing w:before="149" w:line="286" w:lineRule="auto"/>
        <w:ind w:left="1704" w:right="1617" w:firstLine="420"/>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7</w:t>
      </w:r>
      <w:r>
        <w:rPr>
          <w:rFonts w:ascii="宋体" w:hAnsi="宋体" w:eastAsia="宋体" w:cs="宋体"/>
          <w:color w:val="auto"/>
          <w:spacing w:val="-1"/>
          <w:lang w:eastAsia="zh-CN"/>
        </w:rPr>
        <w:t>）经评审的价格一览表（包括评标委员会在评标过程中所形成的所有记载评标结果、</w:t>
      </w:r>
      <w:r>
        <w:rPr>
          <w:rFonts w:ascii="宋体" w:hAnsi="宋体" w:eastAsia="宋体" w:cs="宋体"/>
          <w:color w:val="auto"/>
          <w:spacing w:val="-9"/>
          <w:lang w:eastAsia="zh-CN"/>
        </w:rPr>
        <w:t>结论的表格、说明、记录等文件</w:t>
      </w:r>
      <w:r>
        <w:rPr>
          <w:rFonts w:ascii="宋体" w:hAnsi="宋体" w:eastAsia="宋体" w:cs="宋体"/>
          <w:color w:val="auto"/>
          <w:spacing w:val="-4"/>
          <w:lang w:eastAsia="zh-CN"/>
        </w:rPr>
        <w:t>）；</w:t>
      </w:r>
    </w:p>
    <w:p w14:paraId="7724AE64">
      <w:pPr>
        <w:spacing w:before="150" w:line="221"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8</w:t>
      </w:r>
      <w:r>
        <w:rPr>
          <w:rFonts w:ascii="宋体" w:hAnsi="宋体" w:eastAsia="宋体" w:cs="宋体"/>
          <w:color w:val="auto"/>
          <w:spacing w:val="-5"/>
          <w:lang w:eastAsia="zh-CN"/>
        </w:rPr>
        <w:t>）经评审的投标人排序；</w:t>
      </w:r>
    </w:p>
    <w:p w14:paraId="734D5E98">
      <w:pPr>
        <w:spacing w:before="149" w:line="286" w:lineRule="auto"/>
        <w:ind w:left="1699" w:right="1797" w:firstLine="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9</w:t>
      </w:r>
      <w:r>
        <w:rPr>
          <w:rFonts w:ascii="宋体" w:hAnsi="宋体" w:eastAsia="宋体" w:cs="宋体"/>
          <w:color w:val="auto"/>
          <w:spacing w:val="-1"/>
          <w:lang w:eastAsia="zh-CN"/>
        </w:rPr>
        <w:t>）推荐的中标候选人名单（如果第二章“投标人须知”前附表授权评标委员会直接</w:t>
      </w:r>
      <w:r>
        <w:rPr>
          <w:rFonts w:ascii="宋体" w:hAnsi="宋体" w:eastAsia="宋体" w:cs="宋体"/>
          <w:color w:val="auto"/>
          <w:spacing w:val="-6"/>
          <w:lang w:eastAsia="zh-CN"/>
        </w:rPr>
        <w:t>确定中标人，则为“确定的中标人”）与签订合同前要处理的事宜；</w:t>
      </w:r>
    </w:p>
    <w:p w14:paraId="1B19F655">
      <w:pPr>
        <w:spacing w:line="286" w:lineRule="auto"/>
        <w:rPr>
          <w:rFonts w:ascii="宋体" w:hAnsi="宋体" w:eastAsia="宋体" w:cs="宋体"/>
          <w:color w:val="auto"/>
          <w:lang w:eastAsia="zh-CN"/>
        </w:rPr>
        <w:sectPr>
          <w:footerReference r:id="rId68" w:type="default"/>
          <w:pgSz w:w="11906" w:h="16839"/>
          <w:pgMar w:top="400" w:right="0" w:bottom="1024" w:left="105" w:header="0" w:footer="793" w:gutter="0"/>
          <w:cols w:space="720" w:num="1"/>
        </w:sectPr>
      </w:pPr>
    </w:p>
    <w:p w14:paraId="7D47D225">
      <w:pPr>
        <w:pStyle w:val="8"/>
        <w:spacing w:line="276" w:lineRule="auto"/>
        <w:rPr>
          <w:lang w:eastAsia="zh-CN"/>
        </w:rPr>
      </w:pPr>
    </w:p>
    <w:p w14:paraId="2D17C8FF">
      <w:pPr>
        <w:pStyle w:val="8"/>
        <w:spacing w:line="276" w:lineRule="auto"/>
        <w:rPr>
          <w:lang w:eastAsia="zh-CN"/>
        </w:rPr>
      </w:pPr>
    </w:p>
    <w:p w14:paraId="05D33824">
      <w:pPr>
        <w:pStyle w:val="8"/>
        <w:spacing w:line="276" w:lineRule="auto"/>
        <w:rPr>
          <w:lang w:eastAsia="zh-CN"/>
        </w:rPr>
      </w:pPr>
    </w:p>
    <w:p w14:paraId="4107CDAB">
      <w:pPr>
        <w:pStyle w:val="8"/>
        <w:spacing w:line="276" w:lineRule="auto"/>
        <w:rPr>
          <w:lang w:eastAsia="zh-CN"/>
        </w:rPr>
      </w:pPr>
    </w:p>
    <w:p w14:paraId="66D170FF">
      <w:pPr>
        <w:spacing w:before="6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10</w:t>
      </w:r>
      <w:r>
        <w:rPr>
          <w:rFonts w:ascii="宋体" w:hAnsi="宋体" w:eastAsia="宋体" w:cs="宋体"/>
          <w:color w:val="auto"/>
          <w:spacing w:val="-3"/>
          <w:lang w:eastAsia="zh-CN"/>
        </w:rPr>
        <w:t>）澄清、说明、补正事项纪要。</w:t>
      </w:r>
    </w:p>
    <w:p w14:paraId="20C61FB3">
      <w:pPr>
        <w:spacing w:before="123" w:line="222" w:lineRule="auto"/>
        <w:ind w:left="1693"/>
        <w:outlineLvl w:val="2"/>
        <w:rPr>
          <w:rFonts w:ascii="黑体" w:hAnsi="黑体" w:eastAsia="黑体" w:cs="黑体"/>
          <w:color w:val="auto"/>
          <w:sz w:val="24"/>
          <w:szCs w:val="24"/>
          <w:lang w:eastAsia="zh-CN"/>
        </w:rPr>
      </w:pPr>
      <w:bookmarkStart w:id="306" w:name="bookmark121"/>
      <w:bookmarkEnd w:id="306"/>
      <w:bookmarkStart w:id="307" w:name="bookmark122"/>
      <w:bookmarkEnd w:id="307"/>
      <w:r>
        <w:rPr>
          <w:rFonts w:ascii="Times New Roman" w:hAnsi="Times New Roman" w:eastAsia="Times New Roman" w:cs="Times New Roman"/>
          <w:color w:val="auto"/>
          <w:spacing w:val="-1"/>
          <w:sz w:val="24"/>
          <w:szCs w:val="24"/>
          <w:lang w:eastAsia="zh-CN"/>
        </w:rPr>
        <w:t>A6.</w:t>
      </w:r>
      <w:r>
        <w:rPr>
          <w:rFonts w:ascii="黑体" w:hAnsi="黑体" w:eastAsia="黑体" w:cs="黑体"/>
          <w:color w:val="auto"/>
          <w:spacing w:val="-1"/>
          <w:sz w:val="24"/>
          <w:szCs w:val="24"/>
          <w:lang w:eastAsia="zh-CN"/>
        </w:rPr>
        <w:t>特殊情况的处置程序</w:t>
      </w:r>
    </w:p>
    <w:p w14:paraId="01275803">
      <w:pPr>
        <w:spacing w:before="137" w:line="222"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1"/>
          <w:lang w:eastAsia="zh-CN"/>
        </w:rPr>
        <w:t>A6.1</w:t>
      </w:r>
      <w:r>
        <w:rPr>
          <w:rFonts w:ascii="黑体" w:hAnsi="黑体" w:eastAsia="黑体" w:cs="黑体"/>
          <w:color w:val="auto"/>
          <w:spacing w:val="-1"/>
          <w:lang w:eastAsia="zh-CN"/>
        </w:rPr>
        <w:t>暗标评审的评审程序规定（适用于对技术标进</w:t>
      </w:r>
      <w:r>
        <w:rPr>
          <w:rFonts w:ascii="黑体" w:hAnsi="黑体" w:eastAsia="黑体" w:cs="黑体"/>
          <w:color w:val="auto"/>
          <w:spacing w:val="-2"/>
          <w:lang w:eastAsia="zh-CN"/>
        </w:rPr>
        <w:t>行暗标评审的）</w:t>
      </w:r>
    </w:p>
    <w:p w14:paraId="24E014CD">
      <w:pPr>
        <w:spacing w:before="144" w:line="352" w:lineRule="auto"/>
        <w:ind w:left="1699" w:right="1737" w:firstLine="423"/>
        <w:jc w:val="both"/>
        <w:rPr>
          <w:rFonts w:ascii="宋体" w:hAnsi="宋体" w:eastAsia="宋体" w:cs="宋体"/>
          <w:color w:val="auto"/>
          <w:lang w:eastAsia="zh-CN"/>
        </w:rPr>
      </w:pPr>
      <w:r>
        <w:rPr>
          <w:rFonts w:ascii="宋体" w:hAnsi="宋体" w:eastAsia="宋体" w:cs="宋体"/>
          <w:color w:val="auto"/>
          <w:spacing w:val="-1"/>
          <w:lang w:eastAsia="zh-CN"/>
        </w:rPr>
        <w:t>如果第二章“投标人须知”前附表第</w:t>
      </w:r>
      <w:r>
        <w:rPr>
          <w:rFonts w:ascii="Times New Roman" w:hAnsi="Times New Roman" w:eastAsia="Times New Roman" w:cs="Times New Roman"/>
          <w:color w:val="auto"/>
          <w:spacing w:val="-1"/>
          <w:lang w:eastAsia="zh-CN"/>
        </w:rPr>
        <w:t xml:space="preserve">3.7.4 </w:t>
      </w:r>
      <w:r>
        <w:rPr>
          <w:rFonts w:ascii="宋体" w:hAnsi="宋体" w:eastAsia="宋体" w:cs="宋体"/>
          <w:color w:val="auto"/>
          <w:spacing w:val="-1"/>
          <w:lang w:eastAsia="zh-CN"/>
        </w:rPr>
        <w:t>项要求对技术标采用模块化暗标方式，如果</w:t>
      </w:r>
      <w:r>
        <w:rPr>
          <w:rFonts w:ascii="宋体" w:hAnsi="宋体" w:eastAsia="宋体" w:cs="宋体"/>
          <w:color w:val="auto"/>
          <w:spacing w:val="-2"/>
          <w:lang w:eastAsia="zh-CN"/>
        </w:rPr>
        <w:t>技术标是详细评审阶段的评审内容的，则评标委员</w:t>
      </w:r>
      <w:r>
        <w:rPr>
          <w:rFonts w:ascii="宋体" w:hAnsi="宋体" w:eastAsia="宋体" w:cs="宋体"/>
          <w:color w:val="auto"/>
          <w:spacing w:val="-3"/>
          <w:lang w:eastAsia="zh-CN"/>
        </w:rPr>
        <w:t>会需将技术标（暗标）的格式类评审在初</w:t>
      </w:r>
      <w:r>
        <w:rPr>
          <w:rFonts w:ascii="宋体" w:hAnsi="宋体" w:eastAsia="宋体" w:cs="宋体"/>
          <w:color w:val="auto"/>
          <w:spacing w:val="-2"/>
          <w:lang w:eastAsia="zh-CN"/>
        </w:rPr>
        <w:t>步评审阶段完成，详细评审阶段发现某个模块存在</w:t>
      </w:r>
      <w:r>
        <w:rPr>
          <w:rFonts w:ascii="宋体" w:hAnsi="宋体" w:eastAsia="宋体" w:cs="宋体"/>
          <w:color w:val="auto"/>
          <w:spacing w:val="-3"/>
          <w:lang w:eastAsia="zh-CN"/>
        </w:rPr>
        <w:t>出现投标人的名称和其它可</w:t>
      </w:r>
      <w:r>
        <w:rPr>
          <w:rFonts w:hint="eastAsia" w:ascii="宋体" w:hAnsi="宋体" w:eastAsia="宋体" w:cs="宋体"/>
          <w:color w:val="auto"/>
          <w:spacing w:val="-3"/>
          <w:lang w:eastAsia="zh-CN"/>
        </w:rPr>
        <w:t>识别</w:t>
      </w:r>
      <w:r>
        <w:rPr>
          <w:rFonts w:ascii="宋体" w:hAnsi="宋体" w:eastAsia="宋体" w:cs="宋体"/>
          <w:color w:val="auto"/>
          <w:spacing w:val="-3"/>
          <w:lang w:eastAsia="zh-CN"/>
        </w:rPr>
        <w:t>投标人身</w:t>
      </w:r>
      <w:r>
        <w:rPr>
          <w:rFonts w:ascii="宋体" w:hAnsi="宋体" w:eastAsia="宋体" w:cs="宋体"/>
          <w:color w:val="auto"/>
          <w:spacing w:val="-5"/>
          <w:lang w:eastAsia="zh-CN"/>
        </w:rPr>
        <w:t>份的字符、徽标、人员名称等以及雷同性标记内容， 仍可对投标人的投标文件进行否决，否</w:t>
      </w:r>
      <w:r>
        <w:rPr>
          <w:rFonts w:ascii="宋体" w:hAnsi="宋体" w:eastAsia="宋体" w:cs="宋体"/>
          <w:color w:val="auto"/>
          <w:spacing w:val="-3"/>
          <w:lang w:eastAsia="zh-CN"/>
        </w:rPr>
        <w:t>决任一模块代表着本投标人的投标文件全部被否决。电子招标投标系统（辽宁省工程建设项</w:t>
      </w:r>
      <w:r>
        <w:rPr>
          <w:rFonts w:ascii="宋体" w:hAnsi="宋体" w:eastAsia="宋体" w:cs="宋体"/>
          <w:color w:val="auto"/>
          <w:spacing w:val="-6"/>
          <w:lang w:eastAsia="zh-CN"/>
        </w:rPr>
        <w:t>目数字化开标评标系统）应采取措施，在经济标、技术标、资信标、其他因素的评审完成</w:t>
      </w:r>
      <w:r>
        <w:rPr>
          <w:rFonts w:ascii="宋体" w:hAnsi="宋体" w:eastAsia="宋体" w:cs="宋体"/>
          <w:color w:val="auto"/>
          <w:spacing w:val="-7"/>
          <w:lang w:eastAsia="zh-CN"/>
        </w:rPr>
        <w:t>后，</w:t>
      </w:r>
      <w:r>
        <w:rPr>
          <w:rFonts w:ascii="宋体" w:hAnsi="宋体" w:eastAsia="宋体" w:cs="宋体"/>
          <w:color w:val="auto"/>
          <w:spacing w:val="-2"/>
          <w:lang w:eastAsia="zh-CN"/>
        </w:rPr>
        <w:t>再公开相应暗标编号与投标人名称之间的对应关系</w:t>
      </w:r>
      <w:r>
        <w:rPr>
          <w:rFonts w:ascii="宋体" w:hAnsi="宋体" w:eastAsia="宋体" w:cs="宋体"/>
          <w:color w:val="auto"/>
          <w:spacing w:val="-3"/>
          <w:lang w:eastAsia="zh-CN"/>
        </w:rPr>
        <w:t>。初步评审被否决的投标不再进入详细评</w:t>
      </w:r>
      <w:bookmarkStart w:id="308" w:name="bookmark123"/>
      <w:bookmarkEnd w:id="308"/>
      <w:r>
        <w:rPr>
          <w:rFonts w:ascii="宋体" w:hAnsi="宋体" w:eastAsia="宋体" w:cs="宋体"/>
          <w:color w:val="auto"/>
          <w:spacing w:val="-8"/>
          <w:lang w:eastAsia="zh-CN"/>
        </w:rPr>
        <w:t>审阶段。</w:t>
      </w:r>
    </w:p>
    <w:p w14:paraId="1D62F0C1">
      <w:pPr>
        <w:spacing w:line="221" w:lineRule="auto"/>
        <w:ind w:left="1692"/>
        <w:outlineLvl w:val="2"/>
        <w:rPr>
          <w:rFonts w:ascii="黑体" w:hAnsi="黑体" w:eastAsia="黑体" w:cs="黑体"/>
          <w:color w:val="auto"/>
          <w:lang w:eastAsia="zh-CN"/>
        </w:rPr>
      </w:pPr>
      <w:r>
        <w:rPr>
          <w:rFonts w:ascii="Times New Roman" w:hAnsi="Times New Roman" w:eastAsia="Times New Roman" w:cs="Times New Roman"/>
          <w:color w:val="auto"/>
          <w:spacing w:val="-2"/>
          <w:lang w:eastAsia="zh-CN"/>
        </w:rPr>
        <w:t>A6.2</w:t>
      </w:r>
      <w:r>
        <w:rPr>
          <w:rFonts w:ascii="黑体" w:hAnsi="黑体" w:eastAsia="黑体" w:cs="黑体"/>
          <w:color w:val="auto"/>
          <w:spacing w:val="-2"/>
          <w:lang w:eastAsia="zh-CN"/>
        </w:rPr>
        <w:t>关于评标活动暂停</w:t>
      </w:r>
    </w:p>
    <w:p w14:paraId="4DDBCEA8">
      <w:pPr>
        <w:spacing w:before="147" w:line="352" w:lineRule="auto"/>
        <w:ind w:left="1700" w:right="1617" w:firstLine="412"/>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A6.2.1 </w:t>
      </w:r>
      <w:r>
        <w:rPr>
          <w:rFonts w:ascii="宋体" w:hAnsi="宋体" w:eastAsia="宋体" w:cs="宋体"/>
          <w:color w:val="auto"/>
          <w:spacing w:val="2"/>
          <w:lang w:eastAsia="zh-CN"/>
        </w:rPr>
        <w:t>评标委员会应当执行连续评标的原则，按评标办法中规定的程序、内容、方法、</w:t>
      </w:r>
      <w:r>
        <w:rPr>
          <w:rFonts w:ascii="宋体" w:hAnsi="宋体" w:eastAsia="宋体" w:cs="宋体"/>
          <w:color w:val="auto"/>
          <w:spacing w:val="-1"/>
          <w:lang w:eastAsia="zh-CN"/>
        </w:rPr>
        <w:t>标准完成全部评标工作。只有发生不可抗力导致评标工作无法继续时，评标活动方可暂停。</w:t>
      </w:r>
    </w:p>
    <w:p w14:paraId="2F12E48D">
      <w:pPr>
        <w:spacing w:before="1" w:line="351" w:lineRule="auto"/>
        <w:ind w:left="1702" w:right="1796" w:firstLine="410"/>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A6.2.2 </w:t>
      </w:r>
      <w:r>
        <w:rPr>
          <w:rFonts w:ascii="宋体" w:hAnsi="宋体" w:eastAsia="宋体" w:cs="宋体"/>
          <w:color w:val="auto"/>
          <w:spacing w:val="-2"/>
          <w:lang w:eastAsia="zh-CN"/>
        </w:rPr>
        <w:t>发生评标暂停情况时，评标委员会应当封存全部投标文件和评标记录，待不可抗</w:t>
      </w:r>
      <w:r>
        <w:rPr>
          <w:rFonts w:ascii="宋体" w:hAnsi="宋体" w:eastAsia="宋体" w:cs="宋体"/>
          <w:color w:val="auto"/>
          <w:spacing w:val="-1"/>
          <w:lang w:eastAsia="zh-CN"/>
        </w:rPr>
        <w:t>力的影响结束且具备继续评标的条件时，由</w:t>
      </w:r>
      <w:r>
        <w:rPr>
          <w:rFonts w:ascii="宋体" w:hAnsi="宋体" w:eastAsia="宋体" w:cs="宋体"/>
          <w:color w:val="auto"/>
          <w:spacing w:val="-2"/>
          <w:lang w:eastAsia="zh-CN"/>
        </w:rPr>
        <w:t>原评标委员会继续评标。</w:t>
      </w:r>
    </w:p>
    <w:p w14:paraId="583DABA7">
      <w:pPr>
        <w:spacing w:line="221" w:lineRule="auto"/>
        <w:ind w:left="1692"/>
        <w:outlineLvl w:val="2"/>
        <w:rPr>
          <w:rFonts w:ascii="黑体" w:hAnsi="黑体" w:eastAsia="黑体" w:cs="黑体"/>
          <w:color w:val="auto"/>
          <w:lang w:eastAsia="zh-CN"/>
        </w:rPr>
      </w:pPr>
      <w:bookmarkStart w:id="309" w:name="bookmark124"/>
      <w:bookmarkEnd w:id="309"/>
      <w:r>
        <w:rPr>
          <w:rFonts w:ascii="Times New Roman" w:hAnsi="Times New Roman" w:eastAsia="Times New Roman" w:cs="Times New Roman"/>
          <w:color w:val="auto"/>
          <w:spacing w:val="-1"/>
          <w:lang w:eastAsia="zh-CN"/>
        </w:rPr>
        <w:t>A6.3</w:t>
      </w:r>
      <w:r>
        <w:rPr>
          <w:rFonts w:ascii="黑体" w:hAnsi="黑体" w:eastAsia="黑体" w:cs="黑体"/>
          <w:color w:val="auto"/>
          <w:spacing w:val="-1"/>
          <w:lang w:eastAsia="zh-CN"/>
        </w:rPr>
        <w:t>关于评标中途更换评标委员会成员</w:t>
      </w:r>
    </w:p>
    <w:p w14:paraId="5FBF19E8">
      <w:pPr>
        <w:spacing w:before="148" w:line="220" w:lineRule="auto"/>
        <w:ind w:left="2112"/>
        <w:rPr>
          <w:rFonts w:ascii="宋体" w:hAnsi="宋体" w:eastAsia="宋体" w:cs="宋体"/>
          <w:color w:val="auto"/>
          <w:lang w:eastAsia="zh-CN"/>
        </w:rPr>
      </w:pPr>
      <w:r>
        <w:rPr>
          <w:rFonts w:ascii="Times New Roman" w:hAnsi="Times New Roman" w:eastAsia="Times New Roman" w:cs="Times New Roman"/>
          <w:color w:val="auto"/>
          <w:spacing w:val="-2"/>
          <w:lang w:eastAsia="zh-CN"/>
        </w:rPr>
        <w:t>A6.3.1</w:t>
      </w:r>
      <w:r>
        <w:rPr>
          <w:rFonts w:ascii="宋体" w:hAnsi="宋体" w:eastAsia="宋体" w:cs="宋体"/>
          <w:color w:val="auto"/>
          <w:spacing w:val="-2"/>
          <w:lang w:eastAsia="zh-CN"/>
        </w:rPr>
        <w:t>除非发生下列情况之一，评标委员会成员不得在评标中途更换：</w:t>
      </w:r>
    </w:p>
    <w:p w14:paraId="1AD3A5F6">
      <w:pPr>
        <w:spacing w:before="151" w:line="220" w:lineRule="auto"/>
        <w:ind w:left="21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1</w:t>
      </w:r>
      <w:r>
        <w:rPr>
          <w:rFonts w:ascii="宋体" w:hAnsi="宋体" w:eastAsia="宋体" w:cs="宋体"/>
          <w:color w:val="auto"/>
          <w:spacing w:val="-1"/>
          <w:lang w:eastAsia="zh-CN"/>
        </w:rPr>
        <w:t>）因不可抗拒的客观原因，不能到场或需</w:t>
      </w:r>
      <w:r>
        <w:rPr>
          <w:rFonts w:ascii="宋体" w:hAnsi="宋体" w:eastAsia="宋体" w:cs="宋体"/>
          <w:color w:val="auto"/>
          <w:spacing w:val="-2"/>
          <w:lang w:eastAsia="zh-CN"/>
        </w:rPr>
        <w:t>在评标中途退出评标活动。</w:t>
      </w:r>
    </w:p>
    <w:p w14:paraId="582FE670">
      <w:pPr>
        <w:spacing w:before="14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）根据法律法规规定，某个或某几个评标委员会成员需要回避。</w:t>
      </w:r>
    </w:p>
    <w:p w14:paraId="56A70210">
      <w:pPr>
        <w:spacing w:before="149" w:line="352" w:lineRule="auto"/>
        <w:ind w:left="1698" w:right="1796" w:firstLine="4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A6.3.2 </w:t>
      </w:r>
      <w:r>
        <w:rPr>
          <w:rFonts w:ascii="宋体" w:hAnsi="宋体" w:eastAsia="宋体" w:cs="宋体"/>
          <w:color w:val="auto"/>
          <w:spacing w:val="-2"/>
          <w:lang w:eastAsia="zh-CN"/>
        </w:rPr>
        <w:t>退出评标的评标委员会成员，其已完成的评标行为无效。由招标人根据本招标文件规定的评标委员会成员产生方式另行确定替代者进行评标。</w:t>
      </w:r>
    </w:p>
    <w:p w14:paraId="181F5B65">
      <w:pPr>
        <w:spacing w:before="1" w:line="221" w:lineRule="auto"/>
        <w:ind w:left="1692"/>
        <w:outlineLvl w:val="2"/>
        <w:rPr>
          <w:rFonts w:ascii="黑体" w:hAnsi="黑体" w:eastAsia="黑体" w:cs="黑体"/>
          <w:color w:val="auto"/>
          <w:lang w:eastAsia="zh-CN"/>
        </w:rPr>
      </w:pPr>
      <w:bookmarkStart w:id="310" w:name="bookmark125"/>
      <w:bookmarkEnd w:id="310"/>
      <w:r>
        <w:rPr>
          <w:rFonts w:ascii="Times New Roman" w:hAnsi="Times New Roman" w:eastAsia="Times New Roman" w:cs="Times New Roman"/>
          <w:color w:val="auto"/>
          <w:spacing w:val="-1"/>
          <w:lang w:eastAsia="zh-CN"/>
        </w:rPr>
        <w:t xml:space="preserve">A6.4  </w:t>
      </w:r>
      <w:r>
        <w:rPr>
          <w:rFonts w:ascii="黑体" w:hAnsi="黑体" w:eastAsia="黑体" w:cs="黑体"/>
          <w:color w:val="auto"/>
          <w:spacing w:val="-1"/>
          <w:lang w:eastAsia="zh-CN"/>
        </w:rPr>
        <w:t>评标争议处理</w:t>
      </w:r>
    </w:p>
    <w:p w14:paraId="7D3C486C">
      <w:pPr>
        <w:spacing w:before="147" w:line="220" w:lineRule="auto"/>
        <w:ind w:left="211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A6.4.1 </w:t>
      </w:r>
      <w:r>
        <w:rPr>
          <w:rFonts w:ascii="宋体" w:hAnsi="宋体" w:eastAsia="宋体" w:cs="宋体"/>
          <w:color w:val="auto"/>
          <w:spacing w:val="-1"/>
          <w:lang w:eastAsia="zh-CN"/>
        </w:rPr>
        <w:t>评标委员会全体成员应独立评审，对所提出的评审意见承担个人责任。</w:t>
      </w:r>
    </w:p>
    <w:p w14:paraId="00D3DC54">
      <w:pPr>
        <w:spacing w:before="149" w:line="352" w:lineRule="auto"/>
        <w:ind w:left="1700" w:right="1617" w:firstLine="412"/>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A6.4.2 </w:t>
      </w:r>
      <w:r>
        <w:rPr>
          <w:rFonts w:ascii="宋体" w:hAnsi="宋体" w:eastAsia="宋体" w:cs="宋体"/>
          <w:color w:val="auto"/>
          <w:spacing w:val="-2"/>
          <w:lang w:eastAsia="zh-CN"/>
        </w:rPr>
        <w:t>在任何评标环节中，需评标委员会就某项定性的评审结论做出表决的，由评标委</w:t>
      </w:r>
      <w:r>
        <w:rPr>
          <w:rFonts w:ascii="宋体" w:hAnsi="宋体" w:eastAsia="宋体" w:cs="宋体"/>
          <w:color w:val="auto"/>
          <w:spacing w:val="2"/>
          <w:lang w:eastAsia="zh-CN"/>
        </w:rPr>
        <w:t>员会全体成员按照少数服从多数的原则，以记名投票方式表决。表决不得违背法律、法规、</w:t>
      </w:r>
      <w:r>
        <w:rPr>
          <w:rFonts w:ascii="宋体" w:hAnsi="宋体" w:eastAsia="宋体" w:cs="宋体"/>
          <w:color w:val="auto"/>
          <w:spacing w:val="-4"/>
          <w:lang w:eastAsia="zh-CN"/>
        </w:rPr>
        <w:t>规章和招标文件的规定。</w:t>
      </w:r>
    </w:p>
    <w:p w14:paraId="7B9EABB8">
      <w:pPr>
        <w:spacing w:line="344" w:lineRule="auto"/>
        <w:ind w:left="1700" w:right="1796" w:firstLine="411"/>
        <w:jc w:val="both"/>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A6.4.3 </w:t>
      </w:r>
      <w:r>
        <w:rPr>
          <w:rFonts w:ascii="宋体" w:hAnsi="宋体" w:eastAsia="宋体" w:cs="宋体"/>
          <w:color w:val="auto"/>
          <w:spacing w:val="-2"/>
          <w:lang w:eastAsia="zh-CN"/>
        </w:rPr>
        <w:t>评标委员会成员对书面决议或评审结论持有异议的，可以书面阐述其不同意见和</w:t>
      </w:r>
      <w:r>
        <w:rPr>
          <w:rFonts w:ascii="宋体" w:hAnsi="宋体" w:eastAsia="宋体" w:cs="宋体"/>
          <w:color w:val="auto"/>
          <w:spacing w:val="-5"/>
          <w:lang w:eastAsia="zh-CN"/>
        </w:rPr>
        <w:t>理由。拒绝在书面决议或评标报告上签名，且不陈述其不同意见和理由的，视为同意书面决</w:t>
      </w:r>
      <w:r>
        <w:rPr>
          <w:rFonts w:ascii="宋体" w:hAnsi="宋体" w:eastAsia="宋体" w:cs="宋体"/>
          <w:color w:val="auto"/>
          <w:spacing w:val="-2"/>
          <w:lang w:eastAsia="zh-CN"/>
        </w:rPr>
        <w:t>议或评标结论，评标委员会应当对此在评标报告中做出书面说明。</w:t>
      </w:r>
    </w:p>
    <w:p w14:paraId="70F132F5">
      <w:pPr>
        <w:spacing w:before="1" w:line="222" w:lineRule="auto"/>
        <w:ind w:left="1693"/>
        <w:outlineLvl w:val="2"/>
        <w:rPr>
          <w:rFonts w:ascii="黑体" w:hAnsi="黑体" w:eastAsia="黑体" w:cs="黑体"/>
          <w:color w:val="auto"/>
          <w:sz w:val="24"/>
          <w:szCs w:val="24"/>
          <w:lang w:eastAsia="zh-CN"/>
        </w:rPr>
      </w:pPr>
      <w:bookmarkStart w:id="311" w:name="bookmark126"/>
      <w:bookmarkEnd w:id="311"/>
      <w:r>
        <w:rPr>
          <w:rFonts w:ascii="Times New Roman" w:hAnsi="Times New Roman" w:eastAsia="Times New Roman" w:cs="Times New Roman"/>
          <w:color w:val="auto"/>
          <w:spacing w:val="-1"/>
          <w:sz w:val="24"/>
          <w:szCs w:val="24"/>
          <w:lang w:eastAsia="zh-CN"/>
        </w:rPr>
        <w:t>A7.</w:t>
      </w:r>
      <w:r>
        <w:rPr>
          <w:rFonts w:ascii="黑体" w:hAnsi="黑体" w:eastAsia="黑体" w:cs="黑体"/>
          <w:color w:val="auto"/>
          <w:spacing w:val="-1"/>
          <w:sz w:val="24"/>
          <w:szCs w:val="24"/>
          <w:lang w:eastAsia="zh-CN"/>
        </w:rPr>
        <w:t>补充条款</w:t>
      </w:r>
    </w:p>
    <w:p w14:paraId="1358948E">
      <w:pPr>
        <w:spacing w:before="169" w:line="331" w:lineRule="exact"/>
        <w:ind w:left="2132"/>
        <w:rPr>
          <w:rFonts w:ascii="宋体" w:hAnsi="宋体" w:eastAsia="宋体" w:cs="宋体"/>
          <w:color w:val="auto"/>
          <w:lang w:eastAsia="zh-CN"/>
        </w:rPr>
      </w:pPr>
      <w:r>
        <w:rPr>
          <w:rFonts w:ascii="宋体" w:hAnsi="宋体" w:eastAsia="宋体" w:cs="宋体"/>
          <w:color w:val="auto"/>
          <w:spacing w:val="-6"/>
          <w:position w:val="2"/>
          <w:lang w:eastAsia="zh-CN"/>
        </w:rPr>
        <w:t>……</w:t>
      </w:r>
    </w:p>
    <w:p w14:paraId="394FA777">
      <w:pPr>
        <w:spacing w:line="331" w:lineRule="exact"/>
        <w:rPr>
          <w:rFonts w:ascii="宋体" w:hAnsi="宋体" w:eastAsia="宋体" w:cs="宋体"/>
          <w:color w:val="auto"/>
          <w:lang w:eastAsia="zh-CN"/>
        </w:rPr>
        <w:sectPr>
          <w:footerReference r:id="rId69" w:type="default"/>
          <w:pgSz w:w="11906" w:h="16839"/>
          <w:pgMar w:top="400" w:right="0" w:bottom="1024" w:left="105" w:header="0" w:footer="793" w:gutter="0"/>
          <w:cols w:space="720" w:num="1"/>
        </w:sectPr>
      </w:pPr>
    </w:p>
    <w:p w14:paraId="7304C393">
      <w:pPr>
        <w:pStyle w:val="8"/>
        <w:spacing w:line="268" w:lineRule="auto"/>
        <w:rPr>
          <w:lang w:eastAsia="zh-CN"/>
        </w:rPr>
      </w:pPr>
    </w:p>
    <w:p w14:paraId="608B0E64">
      <w:pPr>
        <w:pStyle w:val="8"/>
        <w:spacing w:line="268" w:lineRule="auto"/>
        <w:rPr>
          <w:lang w:eastAsia="zh-CN"/>
        </w:rPr>
      </w:pPr>
    </w:p>
    <w:p w14:paraId="775912B6">
      <w:pPr>
        <w:pStyle w:val="8"/>
        <w:spacing w:line="268" w:lineRule="auto"/>
        <w:rPr>
          <w:lang w:eastAsia="zh-CN"/>
        </w:rPr>
      </w:pPr>
    </w:p>
    <w:p w14:paraId="2EA88627">
      <w:pPr>
        <w:pStyle w:val="8"/>
        <w:spacing w:line="268" w:lineRule="auto"/>
        <w:rPr>
          <w:lang w:eastAsia="zh-CN"/>
        </w:rPr>
      </w:pPr>
    </w:p>
    <w:p w14:paraId="518D3225">
      <w:pPr>
        <w:pStyle w:val="8"/>
        <w:spacing w:line="268" w:lineRule="auto"/>
        <w:rPr>
          <w:lang w:eastAsia="zh-CN"/>
        </w:rPr>
      </w:pPr>
    </w:p>
    <w:p w14:paraId="019643C4">
      <w:pPr>
        <w:pStyle w:val="8"/>
        <w:spacing w:line="269" w:lineRule="auto"/>
        <w:rPr>
          <w:lang w:eastAsia="zh-CN"/>
        </w:rPr>
      </w:pPr>
    </w:p>
    <w:p w14:paraId="61D65620">
      <w:pPr>
        <w:spacing w:before="78" w:line="220" w:lineRule="auto"/>
        <w:ind w:left="1719"/>
        <w:outlineLvl w:val="1"/>
        <w:rPr>
          <w:rFonts w:ascii="宋体" w:hAnsi="宋体" w:eastAsia="宋体" w:cs="宋体"/>
          <w:color w:val="auto"/>
          <w:sz w:val="24"/>
          <w:szCs w:val="24"/>
          <w:lang w:eastAsia="zh-CN"/>
        </w:rPr>
      </w:pPr>
      <w:bookmarkStart w:id="312" w:name="_Toc10764"/>
      <w:bookmarkStart w:id="313" w:name="_Toc9817"/>
      <w:bookmarkStart w:id="314" w:name="_Toc18187"/>
      <w:bookmarkStart w:id="315" w:name="_Toc15509"/>
      <w:bookmarkStart w:id="316" w:name="_Toc26731"/>
      <w:bookmarkStart w:id="317" w:name="_Toc14741"/>
      <w:r>
        <w:rPr>
          <w:rFonts w:ascii="宋体" w:hAnsi="宋体" w:eastAsia="宋体" w:cs="宋体"/>
          <w:b/>
          <w:bCs/>
          <w:color w:val="auto"/>
          <w:spacing w:val="-5"/>
          <w:sz w:val="24"/>
          <w:szCs w:val="24"/>
          <w:lang w:eastAsia="zh-CN"/>
        </w:rPr>
        <w:t>附件B：否决投标的条件</w:t>
      </w:r>
      <w:bookmarkEnd w:id="312"/>
      <w:bookmarkEnd w:id="313"/>
      <w:bookmarkEnd w:id="314"/>
      <w:bookmarkEnd w:id="315"/>
      <w:bookmarkEnd w:id="316"/>
      <w:bookmarkEnd w:id="317"/>
    </w:p>
    <w:p w14:paraId="1826AAA1">
      <w:pPr>
        <w:pStyle w:val="8"/>
        <w:spacing w:line="427" w:lineRule="auto"/>
        <w:rPr>
          <w:lang w:eastAsia="zh-CN"/>
        </w:rPr>
      </w:pPr>
    </w:p>
    <w:p w14:paraId="41FB65E0">
      <w:pPr>
        <w:spacing w:before="91" w:line="222" w:lineRule="auto"/>
        <w:ind w:left="4874"/>
        <w:rPr>
          <w:rFonts w:ascii="黑体" w:hAnsi="黑体" w:eastAsia="黑体" w:cs="黑体"/>
          <w:color w:val="auto"/>
          <w:sz w:val="28"/>
          <w:szCs w:val="28"/>
          <w:lang w:eastAsia="zh-CN"/>
        </w:rPr>
      </w:pPr>
      <w:r>
        <w:rPr>
          <w:rFonts w:ascii="黑体" w:hAnsi="黑体" w:eastAsia="黑体" w:cs="黑体"/>
          <w:b/>
          <w:bCs/>
          <w:color w:val="auto"/>
          <w:spacing w:val="-4"/>
          <w:sz w:val="28"/>
          <w:szCs w:val="28"/>
          <w:lang w:eastAsia="zh-CN"/>
        </w:rPr>
        <w:t>否决投标的条件</w:t>
      </w:r>
    </w:p>
    <w:p w14:paraId="6BA70B65">
      <w:pPr>
        <w:spacing w:before="95" w:line="222" w:lineRule="auto"/>
        <w:ind w:left="1695"/>
        <w:outlineLvl w:val="2"/>
        <w:rPr>
          <w:rFonts w:ascii="黑体" w:hAnsi="黑体" w:eastAsia="黑体" w:cs="黑体"/>
          <w:color w:val="auto"/>
          <w:sz w:val="24"/>
          <w:szCs w:val="24"/>
          <w:lang w:eastAsia="zh-CN"/>
        </w:rPr>
      </w:pPr>
      <w:r>
        <w:rPr>
          <w:rFonts w:ascii="Times New Roman" w:hAnsi="Times New Roman" w:eastAsia="Times New Roman" w:cs="Times New Roman"/>
          <w:color w:val="auto"/>
          <w:spacing w:val="-1"/>
          <w:sz w:val="24"/>
          <w:szCs w:val="24"/>
          <w:lang w:eastAsia="zh-CN"/>
        </w:rPr>
        <w:t>B0.</w:t>
      </w:r>
      <w:r>
        <w:rPr>
          <w:rFonts w:ascii="黑体" w:hAnsi="黑体" w:eastAsia="黑体" w:cs="黑体"/>
          <w:color w:val="auto"/>
          <w:spacing w:val="-1"/>
          <w:sz w:val="24"/>
          <w:szCs w:val="24"/>
          <w:lang w:eastAsia="zh-CN"/>
        </w:rPr>
        <w:t>总则</w:t>
      </w:r>
    </w:p>
    <w:p w14:paraId="5A4478B3">
      <w:pPr>
        <w:spacing w:before="162" w:line="363" w:lineRule="auto"/>
        <w:ind w:left="1700" w:right="1632" w:firstLine="420"/>
        <w:jc w:val="both"/>
        <w:rPr>
          <w:rFonts w:ascii="宋体" w:hAnsi="宋体" w:eastAsia="宋体" w:cs="宋体"/>
          <w:color w:val="auto"/>
          <w:lang w:eastAsia="zh-CN"/>
        </w:rPr>
      </w:pPr>
      <w:r>
        <w:rPr>
          <w:rFonts w:ascii="宋体" w:hAnsi="宋体" w:eastAsia="宋体" w:cs="宋体"/>
          <w:color w:val="auto"/>
          <w:spacing w:val="1"/>
          <w:lang w:eastAsia="zh-CN"/>
        </w:rPr>
        <w:t>本附件所集中列示的否决投标的条件，是本章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评标办法</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的组成部分，是对第二章</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投</w:t>
      </w:r>
      <w:r>
        <w:rPr>
          <w:rFonts w:ascii="宋体" w:hAnsi="宋体" w:eastAsia="宋体" w:cs="宋体"/>
          <w:color w:val="auto"/>
          <w:spacing w:val="-1"/>
          <w:lang w:eastAsia="zh-CN"/>
        </w:rPr>
        <w:t>标人须知</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和本章正文部分所规定的否决投标的条件的总结和补充，如果出现不一致的情况，</w:t>
      </w:r>
      <w:r>
        <w:rPr>
          <w:rFonts w:ascii="宋体" w:hAnsi="宋体" w:eastAsia="宋体" w:cs="宋体"/>
          <w:color w:val="auto"/>
          <w:spacing w:val="-3"/>
          <w:lang w:eastAsia="zh-CN"/>
        </w:rPr>
        <w:t>以本章前附表和正文部分的规定为准。</w:t>
      </w:r>
    </w:p>
    <w:p w14:paraId="7E7EA7F4">
      <w:pPr>
        <w:spacing w:line="222" w:lineRule="auto"/>
        <w:ind w:left="1695"/>
        <w:outlineLvl w:val="2"/>
        <w:rPr>
          <w:rFonts w:ascii="黑体" w:hAnsi="黑体" w:eastAsia="黑体" w:cs="黑体"/>
          <w:color w:val="auto"/>
          <w:sz w:val="24"/>
          <w:szCs w:val="24"/>
          <w:lang w:eastAsia="zh-CN"/>
        </w:rPr>
      </w:pPr>
      <w:r>
        <w:rPr>
          <w:rFonts w:ascii="Times New Roman" w:hAnsi="Times New Roman" w:eastAsia="Times New Roman" w:cs="Times New Roman"/>
          <w:color w:val="auto"/>
          <w:spacing w:val="-1"/>
          <w:sz w:val="24"/>
          <w:szCs w:val="24"/>
          <w:lang w:eastAsia="zh-CN"/>
        </w:rPr>
        <w:t>B1.</w:t>
      </w:r>
      <w:r>
        <w:rPr>
          <w:rFonts w:ascii="黑体" w:hAnsi="黑体" w:eastAsia="黑体" w:cs="黑体"/>
          <w:color w:val="auto"/>
          <w:spacing w:val="-1"/>
          <w:sz w:val="24"/>
          <w:szCs w:val="24"/>
          <w:lang w:eastAsia="zh-CN"/>
        </w:rPr>
        <w:t>否决投标的条件</w:t>
      </w:r>
    </w:p>
    <w:p w14:paraId="221ECCE8">
      <w:pPr>
        <w:spacing w:before="160" w:line="220" w:lineRule="auto"/>
        <w:ind w:left="2121"/>
        <w:rPr>
          <w:rFonts w:ascii="宋体" w:hAnsi="宋体" w:eastAsia="宋体" w:cs="宋体"/>
          <w:color w:val="auto"/>
          <w:lang w:eastAsia="zh-CN"/>
        </w:rPr>
      </w:pPr>
      <w:r>
        <w:rPr>
          <w:rFonts w:ascii="宋体" w:hAnsi="宋体" w:eastAsia="宋体" w:cs="宋体"/>
          <w:color w:val="auto"/>
          <w:spacing w:val="-2"/>
          <w:lang w:eastAsia="zh-CN"/>
        </w:rPr>
        <w:t>投标人或其投标文件有下列情形之一的，评标委员会应当否决其投标：</w:t>
      </w:r>
    </w:p>
    <w:p w14:paraId="412B2FB6">
      <w:pPr>
        <w:spacing w:before="180" w:line="378" w:lineRule="auto"/>
        <w:ind w:left="1700" w:right="1797" w:firstLine="4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B1.1 </w:t>
      </w:r>
      <w:r>
        <w:rPr>
          <w:rFonts w:ascii="宋体" w:hAnsi="宋体" w:eastAsia="宋体" w:cs="宋体"/>
          <w:color w:val="auto"/>
          <w:spacing w:val="2"/>
          <w:lang w:eastAsia="zh-CN"/>
        </w:rPr>
        <w:t>在形式评审、资格评审、响应性评审中，评标委员会认定投标人的投标文件不符</w:t>
      </w:r>
      <w:r>
        <w:rPr>
          <w:rFonts w:ascii="宋体" w:hAnsi="宋体" w:eastAsia="宋体" w:cs="宋体"/>
          <w:color w:val="auto"/>
          <w:spacing w:val="-2"/>
          <w:lang w:eastAsia="zh-CN"/>
        </w:rPr>
        <w:t>合评标办法前附表中规定的任何一项评审标准的。主要包括以下内容：</w:t>
      </w:r>
    </w:p>
    <w:p w14:paraId="25730FAE">
      <w:pPr>
        <w:spacing w:before="1" w:line="219"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w:t>
      </w:r>
      <w:r>
        <w:rPr>
          <w:rFonts w:ascii="宋体" w:hAnsi="宋体" w:eastAsia="宋体" w:cs="宋体"/>
          <w:color w:val="auto"/>
          <w:spacing w:val="-4"/>
          <w:lang w:eastAsia="zh-CN"/>
        </w:rPr>
        <w:t>）投标人名称与营业执照、资质证书不一致；或提供无效的营业执照、资质证书的；</w:t>
      </w:r>
    </w:p>
    <w:p w14:paraId="71694E94">
      <w:pPr>
        <w:spacing w:before="180" w:line="299" w:lineRule="auto"/>
        <w:ind w:left="1702" w:right="1796" w:firstLine="422"/>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）未按照第二章</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投标人须知</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第</w:t>
      </w:r>
      <w:r>
        <w:rPr>
          <w:rFonts w:ascii="Times New Roman" w:hAnsi="Times New Roman" w:eastAsia="Times New Roman" w:cs="Times New Roman"/>
          <w:color w:val="auto"/>
          <w:spacing w:val="-3"/>
          <w:lang w:eastAsia="zh-CN"/>
        </w:rPr>
        <w:t>3.7.3</w:t>
      </w: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4</w:t>
      </w:r>
      <w:r>
        <w:rPr>
          <w:rFonts w:ascii="宋体" w:hAnsi="宋体" w:eastAsia="宋体" w:cs="宋体"/>
          <w:color w:val="auto"/>
          <w:spacing w:val="-3"/>
          <w:lang w:eastAsia="zh-CN"/>
        </w:rPr>
        <w:t>）目规定和第六章</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投标文件格式</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的要求进</w:t>
      </w:r>
      <w:r>
        <w:rPr>
          <w:rFonts w:ascii="宋体" w:hAnsi="宋体" w:eastAsia="宋体" w:cs="宋体"/>
          <w:color w:val="auto"/>
          <w:spacing w:val="-8"/>
          <w:lang w:eastAsia="zh-CN"/>
        </w:rPr>
        <w:t>行电子签章的；</w:t>
      </w:r>
    </w:p>
    <w:p w14:paraId="45BBA6A7">
      <w:pPr>
        <w:spacing w:before="179" w:line="326" w:lineRule="auto"/>
        <w:ind w:left="1700" w:right="1617" w:firstLine="424"/>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）联合体投标没有提交共同投标协议或共同投标协议未按招标文件提供的格式签署、</w:t>
      </w:r>
      <w:r>
        <w:rPr>
          <w:rFonts w:ascii="宋体" w:hAnsi="宋体" w:eastAsia="宋体" w:cs="宋体"/>
          <w:color w:val="auto"/>
          <w:spacing w:val="-2"/>
          <w:lang w:eastAsia="zh-CN"/>
        </w:rPr>
        <w:t>提交，未明确联合体牵头人和各方权利与义务，</w:t>
      </w:r>
      <w:r>
        <w:rPr>
          <w:rFonts w:ascii="宋体" w:hAnsi="宋体" w:eastAsia="宋体" w:cs="宋体"/>
          <w:color w:val="auto"/>
          <w:spacing w:val="-3"/>
          <w:lang w:eastAsia="zh-CN"/>
        </w:rPr>
        <w:t>未承诺就中标项目向招标人承担连带责任的</w:t>
      </w:r>
      <w:r>
        <w:rPr>
          <w:rFonts w:ascii="宋体" w:hAnsi="宋体" w:eastAsia="宋体" w:cs="宋体"/>
          <w:color w:val="auto"/>
          <w:spacing w:val="-32"/>
          <w:lang w:eastAsia="zh-CN"/>
        </w:rPr>
        <w:t>（如有</w:t>
      </w:r>
      <w:r>
        <w:rPr>
          <w:rFonts w:ascii="宋体" w:hAnsi="宋体" w:eastAsia="宋体" w:cs="宋体"/>
          <w:color w:val="auto"/>
          <w:spacing w:val="-16"/>
          <w:lang w:eastAsia="zh-CN"/>
        </w:rPr>
        <w:t>）；</w:t>
      </w:r>
    </w:p>
    <w:p w14:paraId="05C323F5">
      <w:pPr>
        <w:spacing w:before="179" w:line="299" w:lineRule="auto"/>
        <w:ind w:left="1701" w:right="1797" w:firstLine="423"/>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4</w:t>
      </w:r>
      <w:r>
        <w:rPr>
          <w:rFonts w:ascii="宋体" w:hAnsi="宋体" w:eastAsia="宋体" w:cs="宋体"/>
          <w:color w:val="auto"/>
          <w:lang w:eastAsia="zh-CN"/>
        </w:rPr>
        <w:t>）同一投标人提交两个以上不同的投标文件或者投标报价的（但招标文件要求提交</w:t>
      </w:r>
      <w:r>
        <w:rPr>
          <w:rFonts w:ascii="宋体" w:hAnsi="宋体" w:eastAsia="宋体" w:cs="宋体"/>
          <w:color w:val="auto"/>
          <w:spacing w:val="-17"/>
          <w:lang w:eastAsia="zh-CN"/>
        </w:rPr>
        <w:t>备选投标的除外</w:t>
      </w:r>
      <w:r>
        <w:rPr>
          <w:rFonts w:ascii="宋体" w:hAnsi="宋体" w:eastAsia="宋体" w:cs="宋体"/>
          <w:color w:val="auto"/>
          <w:spacing w:val="-6"/>
          <w:lang w:eastAsia="zh-CN"/>
        </w:rPr>
        <w:t>）；</w:t>
      </w:r>
    </w:p>
    <w:p w14:paraId="30C80BE9">
      <w:pPr>
        <w:spacing w:before="179" w:line="219"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5</w:t>
      </w:r>
      <w:r>
        <w:rPr>
          <w:rFonts w:ascii="宋体" w:hAnsi="宋体" w:eastAsia="宋体" w:cs="宋体"/>
          <w:color w:val="auto"/>
          <w:spacing w:val="-3"/>
          <w:lang w:eastAsia="zh-CN"/>
        </w:rPr>
        <w:t>）未按照招标文件的要求报送应有的投标报价表格的；</w:t>
      </w:r>
    </w:p>
    <w:p w14:paraId="55F0B3F5">
      <w:pPr>
        <w:spacing w:before="181"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6</w:t>
      </w:r>
      <w:r>
        <w:rPr>
          <w:rFonts w:ascii="宋体" w:hAnsi="宋体" w:eastAsia="宋体" w:cs="宋体"/>
          <w:color w:val="auto"/>
          <w:spacing w:val="-3"/>
          <w:lang w:eastAsia="zh-CN"/>
        </w:rPr>
        <w:t>）项目负责人二次刷卡实名认证未通过的；</w:t>
      </w:r>
    </w:p>
    <w:p w14:paraId="1987FC8F">
      <w:pPr>
        <w:spacing w:before="18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7</w:t>
      </w:r>
      <w:r>
        <w:rPr>
          <w:rFonts w:ascii="宋体" w:hAnsi="宋体" w:eastAsia="宋体" w:cs="宋体"/>
          <w:color w:val="auto"/>
          <w:spacing w:val="-3"/>
          <w:lang w:eastAsia="zh-CN"/>
        </w:rPr>
        <w:t>）法定代表人或授权委托人未完成实名认证的；</w:t>
      </w:r>
    </w:p>
    <w:p w14:paraId="4F5BA989">
      <w:pPr>
        <w:spacing w:before="18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8</w:t>
      </w:r>
      <w:r>
        <w:rPr>
          <w:rFonts w:ascii="宋体" w:hAnsi="宋体" w:eastAsia="宋体" w:cs="宋体"/>
          <w:color w:val="auto"/>
          <w:spacing w:val="-3"/>
          <w:lang w:eastAsia="zh-CN"/>
        </w:rPr>
        <w:t>）投标人资质条件不符合国家规定和招标文件要求的；</w:t>
      </w:r>
    </w:p>
    <w:p w14:paraId="4FEEA7DD">
      <w:pPr>
        <w:spacing w:before="17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9</w:t>
      </w:r>
      <w:r>
        <w:rPr>
          <w:rFonts w:ascii="宋体" w:hAnsi="宋体" w:eastAsia="宋体" w:cs="宋体"/>
          <w:color w:val="auto"/>
          <w:spacing w:val="-2"/>
          <w:lang w:eastAsia="zh-CN"/>
        </w:rPr>
        <w:t>）采用技术标暗标评审的，未按招标文件要求编制技术标（暗标）投标文件的；</w:t>
      </w:r>
    </w:p>
    <w:p w14:paraId="7E797739">
      <w:pPr>
        <w:spacing w:before="18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10</w:t>
      </w:r>
      <w:r>
        <w:rPr>
          <w:rFonts w:ascii="宋体" w:hAnsi="宋体" w:eastAsia="宋体" w:cs="宋体"/>
          <w:color w:val="auto"/>
          <w:spacing w:val="-2"/>
          <w:lang w:eastAsia="zh-CN"/>
        </w:rPr>
        <w:t>）项目负责人资格不符合招标文件规定的专业等级</w:t>
      </w:r>
      <w:r>
        <w:rPr>
          <w:rFonts w:ascii="宋体" w:hAnsi="宋体" w:eastAsia="宋体" w:cs="宋体"/>
          <w:color w:val="auto"/>
          <w:spacing w:val="-3"/>
          <w:lang w:eastAsia="zh-CN"/>
        </w:rPr>
        <w:t>要求的；</w:t>
      </w:r>
    </w:p>
    <w:p w14:paraId="5F1C192A">
      <w:pPr>
        <w:spacing w:before="18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11</w:t>
      </w:r>
      <w:r>
        <w:rPr>
          <w:rFonts w:ascii="宋体" w:hAnsi="宋体" w:eastAsia="宋体" w:cs="宋体"/>
          <w:color w:val="auto"/>
          <w:spacing w:val="-3"/>
          <w:lang w:eastAsia="zh-CN"/>
        </w:rPr>
        <w:t xml:space="preserve">）具有投标人须知第 </w:t>
      </w:r>
      <w:r>
        <w:rPr>
          <w:rFonts w:ascii="Times New Roman" w:hAnsi="Times New Roman" w:eastAsia="Times New Roman" w:cs="Times New Roman"/>
          <w:color w:val="auto"/>
          <w:spacing w:val="-3"/>
          <w:lang w:eastAsia="zh-CN"/>
        </w:rPr>
        <w:t>1.4.3</w:t>
      </w: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12</w:t>
      </w:r>
      <w:r>
        <w:rPr>
          <w:rFonts w:ascii="宋体" w:hAnsi="宋体" w:eastAsia="宋体" w:cs="宋体"/>
          <w:color w:val="auto"/>
          <w:spacing w:val="-3"/>
          <w:lang w:eastAsia="zh-CN"/>
        </w:rPr>
        <w:t>）至（</w:t>
      </w:r>
      <w:r>
        <w:rPr>
          <w:rFonts w:ascii="Times New Roman" w:hAnsi="Times New Roman" w:eastAsia="Times New Roman" w:cs="Times New Roman"/>
          <w:color w:val="auto"/>
          <w:spacing w:val="-3"/>
          <w:lang w:eastAsia="zh-CN"/>
        </w:rPr>
        <w:t>19</w:t>
      </w:r>
      <w:r>
        <w:rPr>
          <w:rFonts w:ascii="宋体" w:hAnsi="宋体" w:eastAsia="宋体" w:cs="宋体"/>
          <w:color w:val="auto"/>
          <w:spacing w:val="-3"/>
          <w:lang w:eastAsia="zh-CN"/>
        </w:rPr>
        <w:t>）条目</w:t>
      </w:r>
      <w:r>
        <w:rPr>
          <w:rFonts w:ascii="宋体" w:hAnsi="宋体" w:eastAsia="宋体" w:cs="宋体"/>
          <w:color w:val="auto"/>
          <w:spacing w:val="-4"/>
          <w:lang w:eastAsia="zh-CN"/>
        </w:rPr>
        <w:t>规定的情形；</w:t>
      </w:r>
    </w:p>
    <w:p w14:paraId="5E8E3D8F">
      <w:pPr>
        <w:spacing w:before="18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12</w:t>
      </w:r>
      <w:r>
        <w:rPr>
          <w:rFonts w:ascii="宋体" w:hAnsi="宋体" w:eastAsia="宋体" w:cs="宋体"/>
          <w:color w:val="auto"/>
          <w:spacing w:val="-3"/>
          <w:lang w:eastAsia="zh-CN"/>
        </w:rPr>
        <w:t>）未按招标文件要求提交投标保证金的；</w:t>
      </w:r>
    </w:p>
    <w:p w14:paraId="33FFD79A">
      <w:pPr>
        <w:spacing w:before="179"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13</w:t>
      </w:r>
      <w:r>
        <w:rPr>
          <w:rFonts w:ascii="宋体" w:hAnsi="宋体" w:eastAsia="宋体" w:cs="宋体"/>
          <w:color w:val="auto"/>
          <w:spacing w:val="-2"/>
          <w:lang w:eastAsia="zh-CN"/>
        </w:rPr>
        <w:t>）投标人填写的分项报价表与招标文件给定的格式不一致的；</w:t>
      </w:r>
    </w:p>
    <w:p w14:paraId="0B25A57C">
      <w:pPr>
        <w:spacing w:before="181"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14</w:t>
      </w:r>
      <w:r>
        <w:rPr>
          <w:rFonts w:ascii="宋体" w:hAnsi="宋体" w:eastAsia="宋体" w:cs="宋体"/>
          <w:color w:val="auto"/>
          <w:spacing w:val="-4"/>
          <w:lang w:eastAsia="zh-CN"/>
        </w:rPr>
        <w:t>）供货周期未响应招标文件规定的；</w:t>
      </w:r>
    </w:p>
    <w:p w14:paraId="1724BEC3">
      <w:pPr>
        <w:spacing w:before="180" w:line="219"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15</w:t>
      </w:r>
      <w:r>
        <w:rPr>
          <w:rFonts w:ascii="宋体" w:hAnsi="宋体" w:eastAsia="宋体" w:cs="宋体"/>
          <w:color w:val="auto"/>
          <w:spacing w:val="-3"/>
          <w:lang w:eastAsia="zh-CN"/>
        </w:rPr>
        <w:t>）投标人不接受算术错误修正后的报价；</w:t>
      </w:r>
    </w:p>
    <w:p w14:paraId="67BEC4B1">
      <w:pPr>
        <w:spacing w:before="181"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16</w:t>
      </w:r>
      <w:r>
        <w:rPr>
          <w:rFonts w:ascii="宋体" w:hAnsi="宋体" w:eastAsia="宋体" w:cs="宋体"/>
          <w:color w:val="auto"/>
          <w:spacing w:val="-2"/>
          <w:lang w:eastAsia="zh-CN"/>
        </w:rPr>
        <w:t>）投标报价（含修正后）高于招标文件设定的最高投标限价的；</w:t>
      </w:r>
    </w:p>
    <w:p w14:paraId="5BD64680">
      <w:pPr>
        <w:spacing w:line="219" w:lineRule="auto"/>
        <w:rPr>
          <w:rFonts w:ascii="宋体" w:hAnsi="宋体" w:eastAsia="宋体" w:cs="宋体"/>
          <w:color w:val="auto"/>
          <w:lang w:eastAsia="zh-CN"/>
        </w:rPr>
        <w:sectPr>
          <w:footerReference r:id="rId70" w:type="default"/>
          <w:pgSz w:w="11906" w:h="16839"/>
          <w:pgMar w:top="400" w:right="0" w:bottom="1024" w:left="105" w:header="0" w:footer="793" w:gutter="0"/>
          <w:cols w:space="720" w:num="1"/>
        </w:sectPr>
      </w:pPr>
    </w:p>
    <w:p w14:paraId="28D18FB3">
      <w:pPr>
        <w:pStyle w:val="8"/>
        <w:spacing w:line="282" w:lineRule="auto"/>
        <w:rPr>
          <w:lang w:eastAsia="zh-CN"/>
        </w:rPr>
      </w:pPr>
    </w:p>
    <w:p w14:paraId="5B6F6E46">
      <w:pPr>
        <w:pStyle w:val="8"/>
        <w:spacing w:line="282" w:lineRule="auto"/>
        <w:rPr>
          <w:lang w:eastAsia="zh-CN"/>
        </w:rPr>
      </w:pPr>
    </w:p>
    <w:p w14:paraId="4292EB79">
      <w:pPr>
        <w:pStyle w:val="8"/>
        <w:spacing w:line="282" w:lineRule="auto"/>
        <w:rPr>
          <w:lang w:eastAsia="zh-CN"/>
        </w:rPr>
      </w:pPr>
    </w:p>
    <w:p w14:paraId="529FD54A">
      <w:pPr>
        <w:pStyle w:val="8"/>
        <w:spacing w:line="282" w:lineRule="auto"/>
        <w:rPr>
          <w:lang w:eastAsia="zh-CN"/>
        </w:rPr>
      </w:pPr>
    </w:p>
    <w:p w14:paraId="51876561">
      <w:pPr>
        <w:spacing w:before="68"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17</w:t>
      </w:r>
      <w:r>
        <w:rPr>
          <w:rFonts w:ascii="宋体" w:hAnsi="宋体" w:eastAsia="宋体" w:cs="宋体"/>
          <w:color w:val="auto"/>
          <w:spacing w:val="-4"/>
          <w:lang w:eastAsia="zh-CN"/>
        </w:rPr>
        <w:t>）质量标准不满足招标文件规定的；</w:t>
      </w:r>
    </w:p>
    <w:p w14:paraId="19E372AF">
      <w:pPr>
        <w:spacing w:before="17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18</w:t>
      </w:r>
      <w:r>
        <w:rPr>
          <w:rFonts w:ascii="宋体" w:hAnsi="宋体" w:eastAsia="宋体" w:cs="宋体"/>
          <w:color w:val="auto"/>
          <w:spacing w:val="-3"/>
          <w:lang w:eastAsia="zh-CN"/>
        </w:rPr>
        <w:t>）投标有效期不符合招标文件规定的；</w:t>
      </w:r>
    </w:p>
    <w:p w14:paraId="37626363">
      <w:pPr>
        <w:spacing w:before="17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19</w:t>
      </w:r>
      <w:r>
        <w:rPr>
          <w:rFonts w:ascii="宋体" w:hAnsi="宋体" w:eastAsia="宋体" w:cs="宋体"/>
          <w:color w:val="auto"/>
          <w:spacing w:val="-3"/>
          <w:lang w:eastAsia="zh-CN"/>
        </w:rPr>
        <w:t>）权利义务承诺不符合或低于招标文件规定的；</w:t>
      </w:r>
    </w:p>
    <w:p w14:paraId="3479B504">
      <w:pPr>
        <w:spacing w:before="180"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20</w:t>
      </w:r>
      <w:r>
        <w:rPr>
          <w:rFonts w:ascii="宋体" w:hAnsi="宋体" w:eastAsia="宋体" w:cs="宋体"/>
          <w:color w:val="auto"/>
          <w:spacing w:val="-3"/>
          <w:lang w:eastAsia="zh-CN"/>
        </w:rPr>
        <w:t>）技术部分要求不符合招标文件规定的；</w:t>
      </w:r>
    </w:p>
    <w:p w14:paraId="0C2C002D">
      <w:pPr>
        <w:spacing w:before="17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21</w:t>
      </w:r>
      <w:r>
        <w:rPr>
          <w:rFonts w:ascii="宋体" w:hAnsi="宋体" w:eastAsia="宋体" w:cs="宋体"/>
          <w:color w:val="auto"/>
          <w:spacing w:val="-3"/>
          <w:lang w:eastAsia="zh-CN"/>
        </w:rPr>
        <w:t>）分包计划不符合招标文件规定的。</w:t>
      </w:r>
    </w:p>
    <w:p w14:paraId="5CF005F5">
      <w:pPr>
        <w:spacing w:before="179"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B1.2 </w:t>
      </w:r>
      <w:r>
        <w:rPr>
          <w:rFonts w:ascii="宋体" w:hAnsi="宋体" w:eastAsia="宋体" w:cs="宋体"/>
          <w:color w:val="auto"/>
          <w:spacing w:val="-2"/>
          <w:lang w:eastAsia="zh-CN"/>
        </w:rPr>
        <w:t>不按评标委员会要求澄清、说明或补正的。</w:t>
      </w:r>
    </w:p>
    <w:p w14:paraId="563136C2">
      <w:pPr>
        <w:spacing w:before="180"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B1.3 </w:t>
      </w:r>
      <w:r>
        <w:rPr>
          <w:rFonts w:ascii="宋体" w:hAnsi="宋体" w:eastAsia="宋体" w:cs="宋体"/>
          <w:color w:val="auto"/>
          <w:spacing w:val="-2"/>
          <w:lang w:eastAsia="zh-CN"/>
        </w:rPr>
        <w:t>有串通投标、弄虚作假或有其他违法行为的。包括以下内容：</w:t>
      </w:r>
    </w:p>
    <w:p w14:paraId="07066993">
      <w:pPr>
        <w:spacing w:before="180" w:line="221"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）有下列情形之一的，视为投标人相互串通投标：</w:t>
      </w:r>
    </w:p>
    <w:p w14:paraId="38B85912">
      <w:pPr>
        <w:spacing w:before="179" w:line="218" w:lineRule="auto"/>
        <w:ind w:left="2118"/>
        <w:rPr>
          <w:rFonts w:ascii="宋体" w:hAnsi="宋体" w:eastAsia="宋体" w:cs="宋体"/>
          <w:color w:val="auto"/>
          <w:lang w:eastAsia="zh-CN"/>
        </w:rPr>
      </w:pPr>
      <w:r>
        <w:rPr>
          <w:rFonts w:ascii="宋体" w:hAnsi="宋体" w:eastAsia="宋体" w:cs="宋体"/>
          <w:color w:val="auto"/>
          <w:spacing w:val="-2"/>
          <w:lang w:eastAsia="zh-CN"/>
        </w:rPr>
        <w:t>① 不同投标人的投标文件由同一单位或者个</w:t>
      </w:r>
      <w:r>
        <w:rPr>
          <w:rFonts w:ascii="宋体" w:hAnsi="宋体" w:eastAsia="宋体" w:cs="宋体"/>
          <w:color w:val="auto"/>
          <w:spacing w:val="-3"/>
          <w:lang w:eastAsia="zh-CN"/>
        </w:rPr>
        <w:t>人编制；</w:t>
      </w:r>
    </w:p>
    <w:p w14:paraId="2B1B1C00">
      <w:pPr>
        <w:spacing w:before="182" w:line="218" w:lineRule="auto"/>
        <w:ind w:left="2117"/>
        <w:rPr>
          <w:rFonts w:ascii="宋体" w:hAnsi="宋体" w:eastAsia="宋体" w:cs="宋体"/>
          <w:color w:val="auto"/>
          <w:lang w:eastAsia="zh-CN"/>
        </w:rPr>
      </w:pPr>
      <w:r>
        <w:rPr>
          <w:rFonts w:ascii="宋体" w:hAnsi="宋体" w:eastAsia="宋体" w:cs="宋体"/>
          <w:color w:val="auto"/>
          <w:spacing w:val="-2"/>
          <w:lang w:eastAsia="zh-CN"/>
        </w:rPr>
        <w:t>② 不同投标人委托同一单位或者个人办理</w:t>
      </w:r>
      <w:r>
        <w:rPr>
          <w:rFonts w:ascii="宋体" w:hAnsi="宋体" w:eastAsia="宋体" w:cs="宋体"/>
          <w:color w:val="auto"/>
          <w:spacing w:val="-3"/>
          <w:lang w:eastAsia="zh-CN"/>
        </w:rPr>
        <w:t>投标事宜；</w:t>
      </w:r>
    </w:p>
    <w:p w14:paraId="441EAC87">
      <w:pPr>
        <w:spacing w:before="182" w:line="299" w:lineRule="auto"/>
        <w:ind w:left="1698" w:right="1617" w:firstLine="419"/>
        <w:rPr>
          <w:rFonts w:ascii="宋体" w:hAnsi="宋体" w:eastAsia="宋体" w:cs="宋体"/>
          <w:color w:val="auto"/>
          <w:lang w:eastAsia="zh-CN"/>
        </w:rPr>
      </w:pPr>
      <w:r>
        <w:rPr>
          <w:rFonts w:ascii="宋体" w:hAnsi="宋体" w:eastAsia="宋体" w:cs="宋体"/>
          <w:color w:val="auto"/>
          <w:spacing w:val="-1"/>
          <w:lang w:eastAsia="zh-CN"/>
        </w:rPr>
        <w:t>③ 不同投标人使用同一电脑等电子设备办理投标事宜（下载招标文件、上传投标文件、</w:t>
      </w:r>
      <w:r>
        <w:rPr>
          <w:rFonts w:ascii="宋体" w:hAnsi="宋体" w:eastAsia="宋体" w:cs="宋体"/>
          <w:color w:val="auto"/>
          <w:spacing w:val="-9"/>
          <w:lang w:eastAsia="zh-CN"/>
        </w:rPr>
        <w:t>授权委托人实名认证等关键环节</w:t>
      </w:r>
      <w:r>
        <w:rPr>
          <w:rFonts w:ascii="宋体" w:hAnsi="宋体" w:eastAsia="宋体" w:cs="宋体"/>
          <w:color w:val="auto"/>
          <w:spacing w:val="-1"/>
          <w:lang w:eastAsia="zh-CN"/>
        </w:rPr>
        <w:t>）；</w:t>
      </w:r>
    </w:p>
    <w:p w14:paraId="523855E8">
      <w:pPr>
        <w:spacing w:before="180" w:line="218" w:lineRule="auto"/>
        <w:ind w:left="2117"/>
        <w:rPr>
          <w:rFonts w:ascii="宋体" w:hAnsi="宋体" w:eastAsia="宋体" w:cs="宋体"/>
          <w:color w:val="auto"/>
          <w:lang w:eastAsia="zh-CN"/>
        </w:rPr>
      </w:pPr>
      <w:r>
        <w:rPr>
          <w:rFonts w:ascii="宋体" w:hAnsi="宋体" w:eastAsia="宋体" w:cs="宋体"/>
          <w:color w:val="auto"/>
          <w:spacing w:val="-1"/>
          <w:lang w:eastAsia="zh-CN"/>
        </w:rPr>
        <w:t>④ 不同投标人的投标文件载明的项目管理成</w:t>
      </w:r>
      <w:r>
        <w:rPr>
          <w:rFonts w:ascii="宋体" w:hAnsi="宋体" w:eastAsia="宋体" w:cs="宋体"/>
          <w:color w:val="auto"/>
          <w:spacing w:val="-2"/>
          <w:lang w:eastAsia="zh-CN"/>
        </w:rPr>
        <w:t>员为同一人；</w:t>
      </w:r>
    </w:p>
    <w:p w14:paraId="4D446D91">
      <w:pPr>
        <w:spacing w:before="182" w:line="218" w:lineRule="auto"/>
        <w:ind w:left="2117"/>
        <w:rPr>
          <w:rFonts w:ascii="宋体" w:hAnsi="宋体" w:eastAsia="宋体" w:cs="宋体"/>
          <w:color w:val="auto"/>
          <w:lang w:eastAsia="zh-CN"/>
        </w:rPr>
      </w:pPr>
      <w:r>
        <w:rPr>
          <w:rFonts w:ascii="宋体" w:hAnsi="宋体" w:eastAsia="宋体" w:cs="宋体"/>
          <w:color w:val="auto"/>
          <w:spacing w:val="-2"/>
          <w:lang w:eastAsia="zh-CN"/>
        </w:rPr>
        <w:t>⑤ 不同投标人的投标文件非</w:t>
      </w:r>
      <w:r>
        <w:rPr>
          <w:rFonts w:hint="eastAsia" w:ascii="宋体" w:hAnsi="宋体" w:eastAsia="宋体" w:cs="宋体"/>
          <w:color w:val="auto"/>
          <w:spacing w:val="-2"/>
          <w:lang w:eastAsia="zh-CN"/>
        </w:rPr>
        <w:t>常</w:t>
      </w:r>
      <w:r>
        <w:rPr>
          <w:rFonts w:ascii="宋体" w:hAnsi="宋体" w:eastAsia="宋体" w:cs="宋体"/>
          <w:color w:val="auto"/>
          <w:spacing w:val="-2"/>
          <w:lang w:eastAsia="zh-CN"/>
        </w:rPr>
        <w:t>典型一致或者投标报价呈规律性差异；</w:t>
      </w:r>
    </w:p>
    <w:p w14:paraId="6A88AE48">
      <w:pPr>
        <w:spacing w:before="182" w:line="218" w:lineRule="auto"/>
        <w:ind w:left="2117"/>
        <w:rPr>
          <w:rFonts w:ascii="宋体" w:hAnsi="宋体" w:eastAsia="宋体" w:cs="宋体"/>
          <w:color w:val="auto"/>
          <w:lang w:eastAsia="zh-CN"/>
        </w:rPr>
      </w:pPr>
      <w:r>
        <w:rPr>
          <w:rFonts w:ascii="宋体" w:hAnsi="宋体" w:eastAsia="宋体" w:cs="宋体"/>
          <w:color w:val="auto"/>
          <w:spacing w:val="-3"/>
          <w:lang w:eastAsia="zh-CN"/>
        </w:rPr>
        <w:t>⑥ 不同投标人的投标文件相互混装；</w:t>
      </w:r>
    </w:p>
    <w:p w14:paraId="5F2F9B90">
      <w:pPr>
        <w:spacing w:before="174" w:line="204" w:lineRule="auto"/>
        <w:ind w:left="2121"/>
        <w:rPr>
          <w:rFonts w:ascii="宋体" w:hAnsi="宋体" w:eastAsia="宋体" w:cs="宋体"/>
          <w:color w:val="auto"/>
          <w:lang w:eastAsia="zh-CN"/>
        </w:rPr>
      </w:pPr>
      <w:r>
        <w:rPr>
          <w:rFonts w:ascii="微软雅黑" w:hAnsi="微软雅黑" w:eastAsia="微软雅黑" w:cs="微软雅黑"/>
          <w:color w:val="auto"/>
          <w:spacing w:val="-4"/>
          <w:lang w:eastAsia="zh-CN"/>
        </w:rPr>
        <w:t xml:space="preserve">。  </w:t>
      </w:r>
      <w:r>
        <w:rPr>
          <w:rFonts w:ascii="宋体" w:hAnsi="宋体" w:eastAsia="宋体" w:cs="宋体"/>
          <w:color w:val="auto"/>
          <w:spacing w:val="-4"/>
          <w:lang w:eastAsia="zh-CN"/>
        </w:rPr>
        <w:t>不同投标人的投标保证金或保函（保险）财务费用从同一单位或者个人的账户</w:t>
      </w:r>
      <w:r>
        <w:rPr>
          <w:rFonts w:ascii="宋体" w:hAnsi="宋体" w:eastAsia="宋体" w:cs="宋体"/>
          <w:color w:val="auto"/>
          <w:spacing w:val="-5"/>
          <w:lang w:eastAsia="zh-CN"/>
        </w:rPr>
        <w:t>转出；</w:t>
      </w:r>
    </w:p>
    <w:p w14:paraId="19EAE2A0">
      <w:pPr>
        <w:spacing w:before="132" w:line="378" w:lineRule="auto"/>
        <w:ind w:left="1700" w:right="1750" w:firstLine="416"/>
        <w:rPr>
          <w:rFonts w:ascii="宋体" w:hAnsi="宋体" w:eastAsia="宋体" w:cs="宋体"/>
          <w:color w:val="auto"/>
          <w:lang w:eastAsia="zh-CN"/>
        </w:rPr>
      </w:pPr>
      <w:r>
        <w:rPr>
          <w:rFonts w:ascii="宋体" w:hAnsi="宋体" w:eastAsia="宋体" w:cs="宋体"/>
          <w:color w:val="auto"/>
          <w:spacing w:val="2"/>
          <w:lang w:eastAsia="zh-CN"/>
        </w:rPr>
        <w:t>⑧ 不同投标人的投标文件存在</w:t>
      </w:r>
      <w:r>
        <w:rPr>
          <w:rFonts w:ascii="Times New Roman" w:hAnsi="Times New Roman" w:eastAsia="Times New Roman" w:cs="Times New Roman"/>
          <w:color w:val="auto"/>
          <w:spacing w:val="2"/>
          <w:lang w:eastAsia="zh-CN"/>
        </w:rPr>
        <w:t>“</w:t>
      </w:r>
      <w:r>
        <w:rPr>
          <w:rFonts w:ascii="Times New Roman" w:hAnsi="Times New Roman" w:eastAsia="Times New Roman" w:cs="Times New Roman"/>
          <w:color w:val="auto"/>
          <w:lang w:eastAsia="zh-CN"/>
        </w:rPr>
        <w:t>MAC</w:t>
      </w:r>
      <w:r>
        <w:rPr>
          <w:rFonts w:ascii="宋体" w:hAnsi="宋体" w:eastAsia="宋体" w:cs="宋体"/>
          <w:color w:val="auto"/>
          <w:spacing w:val="2"/>
          <w:lang w:eastAsia="zh-CN"/>
        </w:rPr>
        <w:t>地址</w:t>
      </w:r>
      <w:r>
        <w:rPr>
          <w:rFonts w:ascii="Times New Roman" w:hAnsi="Times New Roman" w:eastAsia="Times New Roman" w:cs="Times New Roman"/>
          <w:color w:val="auto"/>
          <w:spacing w:val="2"/>
          <w:lang w:eastAsia="zh-CN"/>
        </w:rPr>
        <w:t xml:space="preserve">”  </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文件创建标识码</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文件制作机器码</w:t>
      </w:r>
      <w:r>
        <w:rPr>
          <w:rFonts w:ascii="Times New Roman" w:hAnsi="Times New Roman" w:eastAsia="Times New Roman" w:cs="Times New Roman"/>
          <w:color w:val="auto"/>
          <w:spacing w:val="2"/>
          <w:lang w:eastAsia="zh-CN"/>
        </w:rPr>
        <w:t>”</w:t>
      </w:r>
      <w:r>
        <w:rPr>
          <w:rFonts w:ascii="宋体" w:hAnsi="宋体" w:eastAsia="宋体" w:cs="宋体"/>
          <w:color w:val="auto"/>
          <w:spacing w:val="-3"/>
          <w:lang w:eastAsia="zh-CN"/>
        </w:rPr>
        <w:t>等唯一性标识一致等情形。</w:t>
      </w:r>
    </w:p>
    <w:p w14:paraId="23E09F08">
      <w:pPr>
        <w:spacing w:line="219"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）有下列情形之一的，属于弄虚作假行为：</w:t>
      </w:r>
    </w:p>
    <w:p w14:paraId="09593F82">
      <w:pPr>
        <w:spacing w:before="181" w:line="218" w:lineRule="auto"/>
        <w:ind w:left="2118"/>
        <w:rPr>
          <w:rFonts w:ascii="宋体" w:hAnsi="宋体" w:eastAsia="宋体" w:cs="宋体"/>
          <w:color w:val="auto"/>
          <w:lang w:eastAsia="zh-CN"/>
        </w:rPr>
      </w:pPr>
      <w:r>
        <w:rPr>
          <w:rFonts w:ascii="宋体" w:hAnsi="宋体" w:eastAsia="宋体" w:cs="宋体"/>
          <w:color w:val="auto"/>
          <w:spacing w:val="-5"/>
          <w:lang w:eastAsia="zh-CN"/>
        </w:rPr>
        <w:t>① 使用通过受让或者租借等方式获取的资格、资质证书投标的，即以他人名义投标的。</w:t>
      </w:r>
    </w:p>
    <w:p w14:paraId="1F1B48D4">
      <w:pPr>
        <w:spacing w:before="182" w:line="218" w:lineRule="auto"/>
        <w:ind w:left="2117"/>
        <w:rPr>
          <w:rFonts w:ascii="宋体" w:hAnsi="宋体" w:eastAsia="宋体" w:cs="宋体"/>
          <w:color w:val="auto"/>
          <w:lang w:eastAsia="zh-CN"/>
        </w:rPr>
      </w:pPr>
      <w:r>
        <w:rPr>
          <w:rFonts w:ascii="宋体" w:hAnsi="宋体" w:eastAsia="宋体" w:cs="宋体"/>
          <w:color w:val="auto"/>
          <w:spacing w:val="-4"/>
          <w:lang w:eastAsia="zh-CN"/>
        </w:rPr>
        <w:t>② 使用伪造、变造的许可证件；</w:t>
      </w:r>
    </w:p>
    <w:p w14:paraId="796DB645">
      <w:pPr>
        <w:spacing w:before="182" w:line="218" w:lineRule="auto"/>
        <w:ind w:left="2117"/>
        <w:rPr>
          <w:rFonts w:ascii="宋体" w:hAnsi="宋体" w:eastAsia="宋体" w:cs="宋体"/>
          <w:color w:val="auto"/>
          <w:lang w:eastAsia="zh-CN"/>
        </w:rPr>
      </w:pPr>
      <w:r>
        <w:rPr>
          <w:rFonts w:ascii="宋体" w:hAnsi="宋体" w:eastAsia="宋体" w:cs="宋体"/>
          <w:color w:val="auto"/>
          <w:spacing w:val="-4"/>
          <w:lang w:eastAsia="zh-CN"/>
        </w:rPr>
        <w:t>③ 提供虚假的财务状况或者业绩；</w:t>
      </w:r>
    </w:p>
    <w:p w14:paraId="5FC9D48D">
      <w:pPr>
        <w:spacing w:before="182" w:line="218" w:lineRule="auto"/>
        <w:ind w:left="2117"/>
        <w:rPr>
          <w:rFonts w:ascii="宋体" w:hAnsi="宋体" w:eastAsia="宋体" w:cs="宋体"/>
          <w:color w:val="auto"/>
          <w:lang w:eastAsia="zh-CN"/>
        </w:rPr>
      </w:pPr>
      <w:r>
        <w:rPr>
          <w:rFonts w:ascii="宋体" w:hAnsi="宋体" w:eastAsia="宋体" w:cs="宋体"/>
          <w:color w:val="auto"/>
          <w:spacing w:val="-2"/>
          <w:lang w:eastAsia="zh-CN"/>
        </w:rPr>
        <w:t>④ 提供虚假的项目负责人或者主要人员简历、社会保险证明；</w:t>
      </w:r>
    </w:p>
    <w:p w14:paraId="0C9A23D2">
      <w:pPr>
        <w:spacing w:before="182" w:line="218" w:lineRule="auto"/>
        <w:ind w:left="2117"/>
        <w:rPr>
          <w:rFonts w:ascii="宋体" w:hAnsi="宋体" w:eastAsia="宋体" w:cs="宋体"/>
          <w:color w:val="auto"/>
          <w:lang w:eastAsia="zh-CN"/>
        </w:rPr>
      </w:pPr>
      <w:r>
        <w:rPr>
          <w:rFonts w:ascii="宋体" w:hAnsi="宋体" w:eastAsia="宋体" w:cs="宋体"/>
          <w:color w:val="auto"/>
          <w:spacing w:val="-5"/>
          <w:lang w:eastAsia="zh-CN"/>
        </w:rPr>
        <w:t>⑤ 提供虚假的信用状况；</w:t>
      </w:r>
    </w:p>
    <w:p w14:paraId="70F5F272">
      <w:pPr>
        <w:spacing w:before="182" w:line="218" w:lineRule="auto"/>
        <w:ind w:left="2117"/>
        <w:rPr>
          <w:rFonts w:ascii="宋体" w:hAnsi="宋体" w:eastAsia="宋体" w:cs="宋体"/>
          <w:color w:val="auto"/>
          <w:lang w:eastAsia="zh-CN"/>
        </w:rPr>
      </w:pPr>
      <w:r>
        <w:rPr>
          <w:rFonts w:ascii="宋体" w:hAnsi="宋体" w:eastAsia="宋体" w:cs="宋体"/>
          <w:color w:val="auto"/>
          <w:spacing w:val="-3"/>
          <w:lang w:eastAsia="zh-CN"/>
        </w:rPr>
        <w:t>⑥ 其他弄虚作假的行为。</w:t>
      </w:r>
    </w:p>
    <w:p w14:paraId="63DA3D57">
      <w:pPr>
        <w:spacing w:before="181"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B1.4 </w:t>
      </w:r>
      <w:r>
        <w:rPr>
          <w:rFonts w:ascii="宋体" w:hAnsi="宋体" w:eastAsia="宋体" w:cs="宋体"/>
          <w:color w:val="auto"/>
          <w:spacing w:val="-2"/>
          <w:lang w:eastAsia="zh-CN"/>
        </w:rPr>
        <w:t>有第二章</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投标人须知</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第</w:t>
      </w:r>
      <w:r>
        <w:rPr>
          <w:rFonts w:ascii="Times New Roman" w:hAnsi="Times New Roman" w:eastAsia="Times New Roman" w:cs="Times New Roman"/>
          <w:color w:val="auto"/>
          <w:spacing w:val="-2"/>
          <w:lang w:eastAsia="zh-CN"/>
        </w:rPr>
        <w:t xml:space="preserve">1.4.3 </w:t>
      </w:r>
      <w:r>
        <w:rPr>
          <w:rFonts w:ascii="宋体" w:hAnsi="宋体" w:eastAsia="宋体" w:cs="宋体"/>
          <w:color w:val="auto"/>
          <w:spacing w:val="-2"/>
          <w:lang w:eastAsia="zh-CN"/>
        </w:rPr>
        <w:t>项规定的任何一种情形。包括以下内容：</w:t>
      </w:r>
    </w:p>
    <w:p w14:paraId="289AF715">
      <w:pPr>
        <w:spacing w:before="180" w:line="220" w:lineRule="auto"/>
        <w:ind w:left="2124"/>
        <w:rPr>
          <w:rFonts w:ascii="宋体" w:hAnsi="宋体" w:eastAsia="宋体" w:cs="宋体"/>
          <w:color w:val="auto"/>
          <w:lang w:eastAsia="zh-CN"/>
        </w:rPr>
      </w:pP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1</w:t>
      </w:r>
      <w:r>
        <w:rPr>
          <w:rFonts w:ascii="宋体" w:hAnsi="宋体" w:eastAsia="宋体" w:cs="宋体"/>
          <w:color w:val="auto"/>
          <w:spacing w:val="-6"/>
          <w:lang w:eastAsia="zh-CN"/>
        </w:rPr>
        <w:t>）为招标人不具有独立法人资格的附属机构（单位</w:t>
      </w:r>
      <w:r>
        <w:rPr>
          <w:rFonts w:ascii="宋体" w:hAnsi="宋体" w:eastAsia="宋体" w:cs="宋体"/>
          <w:color w:val="auto"/>
          <w:spacing w:val="5"/>
          <w:lang w:eastAsia="zh-CN"/>
        </w:rPr>
        <w:t>）；</w:t>
      </w:r>
    </w:p>
    <w:p w14:paraId="73A89784">
      <w:pPr>
        <w:spacing w:before="124"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）与本招标项目的其他投标人为同一个单位负责人；</w:t>
      </w:r>
    </w:p>
    <w:p w14:paraId="59AFCCEC">
      <w:pPr>
        <w:spacing w:before="109"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3</w:t>
      </w:r>
      <w:r>
        <w:rPr>
          <w:rFonts w:ascii="宋体" w:hAnsi="宋体" w:eastAsia="宋体" w:cs="宋体"/>
          <w:color w:val="auto"/>
          <w:spacing w:val="-3"/>
          <w:lang w:eastAsia="zh-CN"/>
        </w:rPr>
        <w:t>）与本招标项目的其他投标人存在控股、管理关系；</w:t>
      </w:r>
    </w:p>
    <w:p w14:paraId="54C0E089">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）与本招标项目其他投标人代理同一个制造商同一品牌同一型号的设备投标；</w:t>
      </w:r>
    </w:p>
    <w:p w14:paraId="34CA1176">
      <w:pPr>
        <w:spacing w:before="110"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）为本招标项目提供过设计、编制技术规范和其他文件的咨询服务；</w:t>
      </w:r>
    </w:p>
    <w:p w14:paraId="1688BB98">
      <w:pPr>
        <w:spacing w:before="110" w:line="269" w:lineRule="auto"/>
        <w:ind w:left="1700" w:right="1807" w:firstLine="424"/>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6</w:t>
      </w:r>
      <w:r>
        <w:rPr>
          <w:rFonts w:ascii="宋体" w:hAnsi="宋体" w:eastAsia="宋体" w:cs="宋体"/>
          <w:color w:val="auto"/>
          <w:lang w:eastAsia="zh-CN"/>
        </w:rPr>
        <w:t>）为本招标项目的相关监理人，或者与本工程项目的相关监理</w:t>
      </w:r>
      <w:r>
        <w:rPr>
          <w:rFonts w:ascii="宋体" w:hAnsi="宋体" w:eastAsia="宋体" w:cs="宋体"/>
          <w:color w:val="auto"/>
          <w:spacing w:val="-1"/>
          <w:lang w:eastAsia="zh-CN"/>
        </w:rPr>
        <w:t>人存在隶属关系或者</w:t>
      </w:r>
      <w:r>
        <w:rPr>
          <w:rFonts w:ascii="宋体" w:hAnsi="宋体" w:eastAsia="宋体" w:cs="宋体"/>
          <w:color w:val="auto"/>
          <w:spacing w:val="-8"/>
          <w:lang w:eastAsia="zh-CN"/>
        </w:rPr>
        <w:t>其他利害关系；</w:t>
      </w:r>
    </w:p>
    <w:p w14:paraId="1FB2DF8B">
      <w:pPr>
        <w:spacing w:line="269" w:lineRule="auto"/>
        <w:rPr>
          <w:rFonts w:ascii="宋体" w:hAnsi="宋体" w:eastAsia="宋体" w:cs="宋体"/>
          <w:color w:val="auto"/>
          <w:lang w:eastAsia="zh-CN"/>
        </w:rPr>
        <w:sectPr>
          <w:footerReference r:id="rId71" w:type="default"/>
          <w:pgSz w:w="11906" w:h="16839"/>
          <w:pgMar w:top="400" w:right="0" w:bottom="1024" w:left="105" w:header="0" w:footer="793" w:gutter="0"/>
          <w:cols w:space="720" w:num="1"/>
        </w:sectPr>
      </w:pPr>
    </w:p>
    <w:p w14:paraId="46B571DD">
      <w:pPr>
        <w:pStyle w:val="8"/>
        <w:spacing w:line="268" w:lineRule="auto"/>
        <w:rPr>
          <w:lang w:eastAsia="zh-CN"/>
        </w:rPr>
      </w:pPr>
    </w:p>
    <w:p w14:paraId="0336F655">
      <w:pPr>
        <w:pStyle w:val="8"/>
        <w:spacing w:line="268" w:lineRule="auto"/>
        <w:rPr>
          <w:lang w:eastAsia="zh-CN"/>
        </w:rPr>
      </w:pPr>
    </w:p>
    <w:p w14:paraId="33B78124">
      <w:pPr>
        <w:pStyle w:val="8"/>
        <w:spacing w:line="268" w:lineRule="auto"/>
        <w:rPr>
          <w:lang w:eastAsia="zh-CN"/>
        </w:rPr>
      </w:pPr>
    </w:p>
    <w:p w14:paraId="33571493">
      <w:pPr>
        <w:pStyle w:val="8"/>
        <w:spacing w:line="268" w:lineRule="auto"/>
        <w:rPr>
          <w:lang w:eastAsia="zh-CN"/>
        </w:rPr>
      </w:pPr>
    </w:p>
    <w:p w14:paraId="65620580">
      <w:pPr>
        <w:spacing w:before="68" w:line="220" w:lineRule="auto"/>
        <w:ind w:left="2124"/>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7</w:t>
      </w:r>
      <w:r>
        <w:rPr>
          <w:rFonts w:ascii="宋体" w:hAnsi="宋体" w:eastAsia="宋体" w:cs="宋体"/>
          <w:color w:val="auto"/>
          <w:spacing w:val="-5"/>
          <w:lang w:eastAsia="zh-CN"/>
        </w:rPr>
        <w:t>）为本招标项目的代建人；</w:t>
      </w:r>
    </w:p>
    <w:p w14:paraId="764A88DC">
      <w:pPr>
        <w:spacing w:before="109" w:line="220" w:lineRule="auto"/>
        <w:ind w:left="2124"/>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8</w:t>
      </w:r>
      <w:r>
        <w:rPr>
          <w:rFonts w:ascii="宋体" w:hAnsi="宋体" w:eastAsia="宋体" w:cs="宋体"/>
          <w:color w:val="auto"/>
          <w:spacing w:val="-4"/>
          <w:lang w:eastAsia="zh-CN"/>
        </w:rPr>
        <w:t>）为本招标项目的招标代理机构；</w:t>
      </w:r>
    </w:p>
    <w:p w14:paraId="6A33289D">
      <w:pPr>
        <w:spacing w:before="111" w:line="269" w:lineRule="auto"/>
        <w:ind w:left="1700" w:right="1797" w:firstLine="423"/>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9</w:t>
      </w:r>
      <w:r>
        <w:rPr>
          <w:rFonts w:ascii="宋体" w:hAnsi="宋体" w:eastAsia="宋体" w:cs="宋体"/>
          <w:color w:val="auto"/>
          <w:lang w:eastAsia="zh-CN"/>
        </w:rPr>
        <w:t>）与本招标项目的监理人或代建人或招标代理机构同为一个法定代表人或单位负责</w:t>
      </w:r>
      <w:r>
        <w:rPr>
          <w:rFonts w:ascii="宋体" w:hAnsi="宋体" w:eastAsia="宋体" w:cs="宋体"/>
          <w:color w:val="auto"/>
          <w:spacing w:val="-15"/>
          <w:lang w:eastAsia="zh-CN"/>
        </w:rPr>
        <w:t>人；</w:t>
      </w:r>
    </w:p>
    <w:p w14:paraId="17EF4940">
      <w:pPr>
        <w:spacing w:before="106"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10</w:t>
      </w:r>
      <w:r>
        <w:rPr>
          <w:rFonts w:ascii="宋体" w:hAnsi="宋体" w:eastAsia="宋体" w:cs="宋体"/>
          <w:color w:val="auto"/>
          <w:spacing w:val="-2"/>
          <w:lang w:eastAsia="zh-CN"/>
        </w:rPr>
        <w:t>）与本招标项目的监理人或代建人或招标代理机构相互控股或参股关系；</w:t>
      </w:r>
    </w:p>
    <w:p w14:paraId="74A4E64A">
      <w:pPr>
        <w:spacing w:before="111" w:line="269" w:lineRule="auto"/>
        <w:ind w:left="1716" w:right="1796" w:firstLine="408"/>
        <w:rPr>
          <w:rFonts w:ascii="宋体" w:hAnsi="宋体" w:eastAsia="宋体" w:cs="宋体"/>
          <w:color w:val="auto"/>
          <w:lang w:eastAsia="zh-CN"/>
        </w:rPr>
      </w:pPr>
      <w:r>
        <w:rPr>
          <w:rFonts w:ascii="宋体" w:hAnsi="宋体" w:eastAsia="宋体" w:cs="宋体"/>
          <w:color w:val="auto"/>
          <w:spacing w:val="-5"/>
          <w:lang w:eastAsia="zh-CN"/>
        </w:rPr>
        <w:t>（</w:t>
      </w:r>
      <w:r>
        <w:rPr>
          <w:rFonts w:ascii="Times New Roman" w:hAnsi="Times New Roman" w:eastAsia="Times New Roman" w:cs="Times New Roman"/>
          <w:color w:val="auto"/>
          <w:spacing w:val="-5"/>
          <w:lang w:eastAsia="zh-CN"/>
        </w:rPr>
        <w:t>11</w:t>
      </w:r>
      <w:r>
        <w:rPr>
          <w:rFonts w:ascii="宋体" w:hAnsi="宋体" w:eastAsia="宋体" w:cs="宋体"/>
          <w:color w:val="auto"/>
          <w:spacing w:val="-5"/>
          <w:lang w:eastAsia="zh-CN"/>
        </w:rPr>
        <w:t>）单位负责人为同一人或者存在控股、管理关系的不同单位， 同</w:t>
      </w:r>
      <w:r>
        <w:rPr>
          <w:rFonts w:ascii="宋体" w:hAnsi="宋体" w:eastAsia="宋体" w:cs="宋体"/>
          <w:color w:val="auto"/>
          <w:spacing w:val="-6"/>
          <w:lang w:eastAsia="zh-CN"/>
        </w:rPr>
        <w:t>时参加本标段投标</w:t>
      </w:r>
      <w:r>
        <w:rPr>
          <w:rFonts w:ascii="宋体" w:hAnsi="宋体" w:eastAsia="宋体" w:cs="宋体"/>
          <w:color w:val="auto"/>
          <w:spacing w:val="-19"/>
          <w:lang w:eastAsia="zh-CN"/>
        </w:rPr>
        <w:t>的；</w:t>
      </w:r>
    </w:p>
    <w:p w14:paraId="53958D6A">
      <w:pPr>
        <w:spacing w:before="108" w:line="284" w:lineRule="auto"/>
        <w:ind w:left="1703" w:right="1797" w:firstLine="421"/>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12</w:t>
      </w:r>
      <w:r>
        <w:rPr>
          <w:rFonts w:ascii="宋体" w:hAnsi="宋体" w:eastAsia="宋体" w:cs="宋体"/>
          <w:color w:val="auto"/>
          <w:spacing w:val="-3"/>
          <w:lang w:eastAsia="zh-CN"/>
        </w:rPr>
        <w:t>）被依法暂停或取消投标资格（指被本招标项目所在地县级及以上住房城乡建设主</w:t>
      </w:r>
      <w:r>
        <w:rPr>
          <w:rFonts w:ascii="宋体" w:hAnsi="宋体" w:eastAsia="宋体" w:cs="宋体"/>
          <w:color w:val="auto"/>
          <w:spacing w:val="3"/>
          <w:lang w:eastAsia="zh-CN"/>
        </w:rPr>
        <w:t>管部门或其他行政主管部门暂停或取消投标资格或禁止进入该区域建</w:t>
      </w:r>
      <w:r>
        <w:rPr>
          <w:rFonts w:ascii="宋体" w:hAnsi="宋体" w:eastAsia="宋体" w:cs="宋体"/>
          <w:color w:val="auto"/>
          <w:spacing w:val="2"/>
          <w:lang w:eastAsia="zh-CN"/>
        </w:rPr>
        <w:t>设市场且处于有效期</w:t>
      </w:r>
      <w:r>
        <w:rPr>
          <w:rFonts w:ascii="宋体" w:hAnsi="宋体" w:eastAsia="宋体" w:cs="宋体"/>
          <w:color w:val="auto"/>
          <w:spacing w:val="-53"/>
          <w:w w:val="93"/>
          <w:lang w:eastAsia="zh-CN"/>
        </w:rPr>
        <w:t>内</w:t>
      </w:r>
      <w:r>
        <w:rPr>
          <w:rFonts w:ascii="宋体" w:hAnsi="宋体" w:eastAsia="宋体" w:cs="宋体"/>
          <w:color w:val="auto"/>
          <w:spacing w:val="-33"/>
          <w:lang w:eastAsia="zh-CN"/>
        </w:rPr>
        <w:t>）；</w:t>
      </w:r>
    </w:p>
    <w:p w14:paraId="120A9E43">
      <w:pPr>
        <w:spacing w:before="109" w:line="220"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13</w:t>
      </w:r>
      <w:r>
        <w:rPr>
          <w:rFonts w:ascii="宋体" w:hAnsi="宋体" w:eastAsia="宋体" w:cs="宋体"/>
          <w:color w:val="auto"/>
          <w:spacing w:val="-2"/>
          <w:lang w:eastAsia="zh-CN"/>
        </w:rPr>
        <w:t>）被责令停产停业、暂扣或者吊销许可证、暂扣或者吊销执照；</w:t>
      </w:r>
    </w:p>
    <w:p w14:paraId="430C9FA7">
      <w:pPr>
        <w:spacing w:before="110" w:line="219" w:lineRule="auto"/>
        <w:ind w:left="2124"/>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14</w:t>
      </w:r>
      <w:r>
        <w:rPr>
          <w:rFonts w:ascii="宋体" w:hAnsi="宋体" w:eastAsia="宋体" w:cs="宋体"/>
          <w:color w:val="auto"/>
          <w:spacing w:val="-2"/>
          <w:lang w:eastAsia="zh-CN"/>
        </w:rPr>
        <w:t>）进入清算程序，或被宣告破产，或其他丧失履约能力的情形；</w:t>
      </w:r>
    </w:p>
    <w:p w14:paraId="7272A521">
      <w:pPr>
        <w:spacing w:before="111" w:line="268" w:lineRule="auto"/>
        <w:ind w:left="1723" w:right="1808" w:firstLine="401"/>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15</w:t>
      </w:r>
      <w:r>
        <w:rPr>
          <w:rFonts w:ascii="宋体" w:hAnsi="宋体" w:eastAsia="宋体" w:cs="宋体"/>
          <w:color w:val="auto"/>
          <w:spacing w:val="-3"/>
          <w:lang w:eastAsia="zh-CN"/>
        </w:rPr>
        <w:t>）在最近三年内有骗取中标或严重违约或重大工程质量问题的（以相关行业主管部</w:t>
      </w:r>
      <w:r>
        <w:rPr>
          <w:rFonts w:ascii="宋体" w:hAnsi="宋体" w:eastAsia="宋体" w:cs="宋体"/>
          <w:color w:val="auto"/>
          <w:spacing w:val="-6"/>
          <w:lang w:eastAsia="zh-CN"/>
        </w:rPr>
        <w:t>门的行政处罚决定或司法机关出具的有关法律文书</w:t>
      </w:r>
      <w:r>
        <w:rPr>
          <w:rFonts w:ascii="宋体" w:hAnsi="宋体" w:eastAsia="宋体" w:cs="宋体"/>
          <w:color w:val="auto"/>
          <w:spacing w:val="-7"/>
          <w:lang w:eastAsia="zh-CN"/>
        </w:rPr>
        <w:t>为准</w:t>
      </w:r>
      <w:r>
        <w:rPr>
          <w:rFonts w:ascii="宋体" w:hAnsi="宋体" w:eastAsia="宋体" w:cs="宋体"/>
          <w:color w:val="auto"/>
          <w:spacing w:val="-3"/>
          <w:lang w:eastAsia="zh-CN"/>
        </w:rPr>
        <w:t>）；</w:t>
      </w:r>
    </w:p>
    <w:p w14:paraId="74A30721">
      <w:pPr>
        <w:spacing w:before="110" w:line="269" w:lineRule="auto"/>
        <w:ind w:left="1701" w:right="1804" w:firstLine="423"/>
        <w:rPr>
          <w:rFonts w:ascii="宋体" w:hAnsi="宋体" w:eastAsia="宋体" w:cs="宋体"/>
          <w:color w:val="auto"/>
        </w:rPr>
      </w:pPr>
      <w:r>
        <w:rPr>
          <w:rFonts w:ascii="宋体" w:hAnsi="宋体" w:eastAsia="宋体" w:cs="宋体"/>
          <w:color w:val="auto"/>
          <w:spacing w:val="-2"/>
        </w:rPr>
        <w:t>（</w:t>
      </w:r>
      <w:r>
        <w:rPr>
          <w:rFonts w:ascii="Times New Roman" w:hAnsi="Times New Roman" w:eastAsia="Times New Roman" w:cs="Times New Roman"/>
          <w:color w:val="auto"/>
          <w:spacing w:val="-2"/>
        </w:rPr>
        <w:t>16</w:t>
      </w:r>
      <w:r>
        <w:rPr>
          <w:rFonts w:ascii="宋体" w:hAnsi="宋体" w:eastAsia="宋体" w:cs="宋体"/>
          <w:color w:val="auto"/>
          <w:spacing w:val="-2"/>
        </w:rPr>
        <w:t>）在</w:t>
      </w:r>
      <w:r>
        <w:rPr>
          <w:rFonts w:ascii="Times New Roman" w:hAnsi="Times New Roman" w:eastAsia="Times New Roman" w:cs="Times New Roman"/>
          <w:color w:val="auto"/>
          <w:spacing w:val="-2"/>
        </w:rPr>
        <w:t>“</w:t>
      </w:r>
      <w:r>
        <w:rPr>
          <w:rFonts w:ascii="宋体" w:hAnsi="宋体" w:eastAsia="宋体" w:cs="宋体"/>
          <w:color w:val="auto"/>
          <w:spacing w:val="-2"/>
        </w:rPr>
        <w:t>国家企业信用信息公示系统</w:t>
      </w:r>
      <w:r>
        <w:rPr>
          <w:rFonts w:ascii="Times New Roman" w:hAnsi="Times New Roman" w:eastAsia="Times New Roman" w:cs="Times New Roman"/>
          <w:color w:val="auto"/>
          <w:spacing w:val="-2"/>
        </w:rPr>
        <w:t>”</w:t>
      </w:r>
      <w:r>
        <w:rPr>
          <w:rFonts w:ascii="宋体" w:hAnsi="宋体" w:eastAsia="宋体" w:cs="宋体"/>
          <w:color w:val="auto"/>
          <w:spacing w:val="-2"/>
        </w:rPr>
        <w:t>（</w:t>
      </w:r>
      <w:r>
        <w:fldChar w:fldCharType="begin"/>
      </w:r>
      <w:r>
        <w:instrText xml:space="preserve"> HYPERLINK "https://www.gsxt.gov.cn" </w:instrText>
      </w:r>
      <w:r>
        <w:fldChar w:fldCharType="separate"/>
      </w:r>
      <w:r>
        <w:rPr>
          <w:rFonts w:ascii="Times New Roman" w:hAnsi="Times New Roman" w:eastAsia="Times New Roman" w:cs="Times New Roman"/>
          <w:color w:val="auto"/>
          <w:spacing w:val="-2"/>
        </w:rPr>
        <w:t>w</w:t>
      </w:r>
      <w:r>
        <w:rPr>
          <w:rFonts w:ascii="Times New Roman" w:hAnsi="Times New Roman" w:eastAsia="Times New Roman" w:cs="Times New Roman"/>
          <w:color w:val="auto"/>
          <w:spacing w:val="-3"/>
        </w:rPr>
        <w:t>ww.gsxt.gov.cn</w:t>
      </w:r>
      <w:r>
        <w:rPr>
          <w:rFonts w:ascii="Times New Roman" w:hAnsi="Times New Roman" w:eastAsia="Times New Roman" w:cs="Times New Roman"/>
          <w:color w:val="auto"/>
          <w:spacing w:val="-3"/>
        </w:rPr>
        <w:fldChar w:fldCharType="end"/>
      </w:r>
      <w:r>
        <w:rPr>
          <w:rFonts w:ascii="宋体" w:hAnsi="宋体" w:eastAsia="宋体" w:cs="宋体"/>
          <w:color w:val="auto"/>
          <w:spacing w:val="-3"/>
        </w:rPr>
        <w:t>）中被列入严重违法失信企业</w:t>
      </w:r>
      <w:r>
        <w:rPr>
          <w:rFonts w:ascii="宋体" w:hAnsi="宋体" w:eastAsia="宋体" w:cs="宋体"/>
          <w:color w:val="auto"/>
          <w:spacing w:val="-14"/>
        </w:rPr>
        <w:t>名单；</w:t>
      </w:r>
    </w:p>
    <w:p w14:paraId="1E852C90">
      <w:pPr>
        <w:spacing w:before="79" w:line="286" w:lineRule="auto"/>
        <w:ind w:left="1704" w:right="1750" w:firstLine="420"/>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 xml:space="preserve">17 </w:t>
      </w:r>
      <w:r>
        <w:rPr>
          <w:rFonts w:ascii="宋体" w:hAnsi="宋体" w:eastAsia="宋体" w:cs="宋体"/>
          <w:color w:val="auto"/>
          <w:spacing w:val="-1"/>
          <w:lang w:eastAsia="zh-CN"/>
        </w:rPr>
        <w:t>）在</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信用中国</w:t>
      </w:r>
      <w:r>
        <w:rPr>
          <w:rFonts w:ascii="Times New Roman" w:hAnsi="Times New Roman" w:eastAsia="Times New Roman" w:cs="Times New Roman"/>
          <w:color w:val="auto"/>
          <w:spacing w:val="-1"/>
          <w:lang w:eastAsia="zh-CN"/>
        </w:rPr>
        <w:t xml:space="preserve">” </w:t>
      </w:r>
      <w:r>
        <w:rPr>
          <w:rFonts w:ascii="宋体" w:hAnsi="宋体" w:eastAsia="宋体" w:cs="宋体"/>
          <w:color w:val="auto"/>
          <w:spacing w:val="-1"/>
          <w:lang w:eastAsia="zh-CN"/>
        </w:rPr>
        <w:t>网站（</w:t>
      </w:r>
      <w:r>
        <w:fldChar w:fldCharType="begin"/>
      </w:r>
      <w:r>
        <w:instrText xml:space="preserve"> HYPERLINK "https://www.creditchina.gov.cn" </w:instrText>
      </w:r>
      <w:r>
        <w:fldChar w:fldCharType="separate"/>
      </w:r>
      <w:r>
        <w:rPr>
          <w:rFonts w:ascii="Times New Roman" w:hAnsi="Times New Roman" w:eastAsia="Times New Roman" w:cs="Times New Roman"/>
          <w:color w:val="auto"/>
          <w:spacing w:val="-1"/>
          <w:lang w:eastAsia="zh-CN"/>
        </w:rPr>
        <w:t>www.creditchina.gov.cn</w:t>
      </w:r>
      <w:r>
        <w:rPr>
          <w:rFonts w:ascii="Times New Roman" w:hAnsi="Times New Roman" w:eastAsia="Times New Roman" w:cs="Times New Roman"/>
          <w:color w:val="auto"/>
          <w:spacing w:val="-1"/>
          <w:lang w:eastAsia="zh-CN"/>
        </w:rPr>
        <w:fldChar w:fldCharType="end"/>
      </w:r>
      <w:r>
        <w:rPr>
          <w:rFonts w:ascii="宋体" w:hAnsi="宋体" w:eastAsia="宋体" w:cs="宋体"/>
          <w:color w:val="auto"/>
          <w:spacing w:val="-1"/>
          <w:lang w:eastAsia="zh-CN"/>
        </w:rPr>
        <w:t>）或</w:t>
      </w:r>
      <w:r>
        <w:rPr>
          <w:rFonts w:ascii="Times New Roman" w:hAnsi="Times New Roman" w:eastAsia="Times New Roman" w:cs="Times New Roman"/>
          <w:color w:val="auto"/>
          <w:spacing w:val="-1"/>
          <w:lang w:eastAsia="zh-CN"/>
        </w:rPr>
        <w:t xml:space="preserve">“ </w:t>
      </w:r>
      <w:r>
        <w:rPr>
          <w:rFonts w:ascii="宋体" w:hAnsi="宋体" w:eastAsia="宋体" w:cs="宋体"/>
          <w:color w:val="auto"/>
          <w:spacing w:val="-1"/>
          <w:lang w:eastAsia="zh-CN"/>
        </w:rPr>
        <w:t>中国执行信息公开网</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w:t>
      </w:r>
      <w:r>
        <w:fldChar w:fldCharType="begin"/>
      </w:r>
      <w:r>
        <w:instrText xml:space="preserve"> HYPERLINK "http://zxgk.court.gov.cn/shixin/" </w:instrText>
      </w:r>
      <w:r>
        <w:fldChar w:fldCharType="separate"/>
      </w:r>
      <w:r>
        <w:rPr>
          <w:rFonts w:ascii="Times New Roman" w:hAnsi="Times New Roman" w:eastAsia="Times New Roman" w:cs="Times New Roman"/>
          <w:color w:val="auto"/>
          <w:spacing w:val="-1"/>
          <w:lang w:eastAsia="zh-CN"/>
        </w:rPr>
        <w:t>http</w:t>
      </w:r>
      <w:r>
        <w:rPr>
          <w:rFonts w:hint="eastAsia" w:ascii="Times New Roman" w:hAnsi="Times New Roman" w:eastAsia="宋体" w:cs="Times New Roman"/>
          <w:color w:val="auto"/>
          <w:spacing w:val="-1"/>
          <w:lang w:eastAsia="zh-CN"/>
        </w:rPr>
        <w:t>：</w:t>
      </w:r>
      <w:r>
        <w:rPr>
          <w:rFonts w:ascii="Times New Roman" w:hAnsi="Times New Roman" w:eastAsia="Times New Roman" w:cs="Times New Roman"/>
          <w:color w:val="auto"/>
          <w:spacing w:val="-1"/>
          <w:lang w:eastAsia="zh-CN"/>
        </w:rPr>
        <w:t>//zxgk.court.gov.cn/shixin</w:t>
      </w:r>
      <w:r>
        <w:rPr>
          <w:rFonts w:ascii="Times New Roman" w:hAnsi="Times New Roman" w:eastAsia="Times New Roman" w:cs="Times New Roman"/>
          <w:color w:val="auto"/>
          <w:spacing w:val="-2"/>
          <w:lang w:eastAsia="zh-CN"/>
        </w:rPr>
        <w:t>/</w:t>
      </w:r>
      <w:r>
        <w:rPr>
          <w:rFonts w:ascii="Times New Roman" w:hAnsi="Times New Roman" w:eastAsia="Times New Roman" w:cs="Times New Roman"/>
          <w:color w:val="auto"/>
          <w:spacing w:val="-2"/>
          <w:lang w:eastAsia="zh-CN"/>
        </w:rPr>
        <w:fldChar w:fldCharType="end"/>
      </w:r>
      <w:r>
        <w:rPr>
          <w:rFonts w:ascii="宋体" w:hAnsi="宋体" w:eastAsia="宋体" w:cs="宋体"/>
          <w:color w:val="auto"/>
          <w:spacing w:val="-2"/>
          <w:lang w:eastAsia="zh-CN"/>
        </w:rPr>
        <w:t>）被列入失信被执行人名单；</w:t>
      </w:r>
    </w:p>
    <w:p w14:paraId="0A97EEFF">
      <w:pPr>
        <w:spacing w:before="99" w:line="268" w:lineRule="auto"/>
        <w:ind w:left="1699" w:right="1797" w:firstLine="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18</w:t>
      </w:r>
      <w:r>
        <w:rPr>
          <w:rFonts w:ascii="宋体" w:hAnsi="宋体" w:eastAsia="宋体" w:cs="宋体"/>
          <w:color w:val="auto"/>
          <w:spacing w:val="1"/>
          <w:lang w:eastAsia="zh-CN"/>
        </w:rPr>
        <w:t>）在辽宁省建设工程招投标监督平台</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辽宁建设工程信息网上被列入不良行为</w:t>
      </w:r>
      <w:r>
        <w:rPr>
          <w:rFonts w:ascii="宋体" w:hAnsi="宋体" w:eastAsia="宋体" w:cs="宋体"/>
          <w:color w:val="auto"/>
          <w:lang w:eastAsia="zh-CN"/>
        </w:rPr>
        <w:t>记录</w:t>
      </w:r>
      <w:r>
        <w:rPr>
          <w:rFonts w:ascii="宋体" w:hAnsi="宋体" w:eastAsia="宋体" w:cs="宋体"/>
          <w:color w:val="auto"/>
          <w:spacing w:val="-7"/>
          <w:lang w:eastAsia="zh-CN"/>
        </w:rPr>
        <w:t>且在公布期内的；</w:t>
      </w:r>
    </w:p>
    <w:p w14:paraId="1D752029">
      <w:pPr>
        <w:spacing w:before="111" w:line="220" w:lineRule="auto"/>
        <w:ind w:left="2124"/>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19</w:t>
      </w:r>
      <w:r>
        <w:rPr>
          <w:rFonts w:ascii="宋体" w:hAnsi="宋体" w:eastAsia="宋体" w:cs="宋体"/>
          <w:color w:val="auto"/>
          <w:spacing w:val="-3"/>
          <w:lang w:eastAsia="zh-CN"/>
        </w:rPr>
        <w:t>）法律法规规定的其他情形。</w:t>
      </w:r>
    </w:p>
    <w:p w14:paraId="5F0A5A39">
      <w:pPr>
        <w:spacing w:before="109"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B1.5 </w:t>
      </w:r>
      <w:r>
        <w:rPr>
          <w:rFonts w:ascii="宋体" w:hAnsi="宋体" w:eastAsia="宋体" w:cs="宋体"/>
          <w:color w:val="auto"/>
          <w:spacing w:val="-1"/>
          <w:lang w:eastAsia="zh-CN"/>
        </w:rPr>
        <w:t>未如实填写近年发生的诉讼及仲裁情况，隐瞒真实情况</w:t>
      </w:r>
      <w:r>
        <w:rPr>
          <w:rFonts w:ascii="宋体" w:hAnsi="宋体" w:eastAsia="宋体" w:cs="宋体"/>
          <w:color w:val="auto"/>
          <w:spacing w:val="-2"/>
          <w:lang w:eastAsia="zh-CN"/>
        </w:rPr>
        <w:t>的。</w:t>
      </w:r>
    </w:p>
    <w:p w14:paraId="3E7AF005">
      <w:pPr>
        <w:spacing w:before="166" w:line="378" w:lineRule="auto"/>
        <w:ind w:left="1700" w:right="1797" w:firstLine="413"/>
        <w:rPr>
          <w:rFonts w:ascii="宋体" w:hAnsi="宋体" w:eastAsia="宋体" w:cs="宋体"/>
          <w:color w:val="auto"/>
          <w:lang w:eastAsia="zh-CN"/>
        </w:rPr>
      </w:pPr>
      <w:r>
        <w:rPr>
          <w:rFonts w:ascii="Times New Roman" w:hAnsi="Times New Roman" w:eastAsia="Times New Roman" w:cs="Times New Roman"/>
          <w:color w:val="auto"/>
          <w:spacing w:val="2"/>
          <w:lang w:eastAsia="zh-CN"/>
        </w:rPr>
        <w:t>B1.6</w:t>
      </w:r>
      <w:r>
        <w:rPr>
          <w:rFonts w:ascii="宋体" w:hAnsi="宋体" w:eastAsia="宋体" w:cs="宋体"/>
          <w:color w:val="auto"/>
          <w:spacing w:val="2"/>
          <w:lang w:eastAsia="zh-CN"/>
        </w:rPr>
        <w:t>未按招标文件要求进行实名身份认证的或同一标段实名身</w:t>
      </w:r>
      <w:r>
        <w:rPr>
          <w:rFonts w:ascii="宋体" w:hAnsi="宋体" w:eastAsia="宋体" w:cs="宋体"/>
          <w:color w:val="auto"/>
          <w:spacing w:val="1"/>
          <w:lang w:eastAsia="zh-CN"/>
        </w:rPr>
        <w:t>份认证中存在不同投标</w:t>
      </w:r>
      <w:r>
        <w:rPr>
          <w:rFonts w:ascii="宋体" w:hAnsi="宋体" w:eastAsia="宋体" w:cs="宋体"/>
          <w:color w:val="auto"/>
          <w:spacing w:val="-3"/>
          <w:lang w:eastAsia="zh-CN"/>
        </w:rPr>
        <w:t>人之间身份证识别</w:t>
      </w:r>
      <w:r>
        <w:rPr>
          <w:rFonts w:hint="eastAsia" w:ascii="宋体" w:hAnsi="宋体" w:eastAsia="宋体" w:cs="宋体"/>
          <w:color w:val="auto"/>
          <w:spacing w:val="-3"/>
          <w:lang w:eastAsia="zh-CN"/>
        </w:rPr>
        <w:t>代</w:t>
      </w:r>
      <w:r>
        <w:rPr>
          <w:rFonts w:ascii="宋体" w:hAnsi="宋体" w:eastAsia="宋体" w:cs="宋体"/>
          <w:color w:val="auto"/>
          <w:spacing w:val="-3"/>
          <w:lang w:eastAsia="zh-CN"/>
        </w:rPr>
        <w:t>码一致的。</w:t>
      </w:r>
    </w:p>
    <w:p w14:paraId="5F1DDAD8">
      <w:pPr>
        <w:spacing w:before="1" w:line="218" w:lineRule="auto"/>
        <w:ind w:left="2114"/>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B1.7 </w:t>
      </w:r>
      <w:r>
        <w:rPr>
          <w:rFonts w:ascii="宋体" w:hAnsi="宋体" w:eastAsia="宋体" w:cs="宋体"/>
          <w:color w:val="auto"/>
          <w:spacing w:val="-2"/>
          <w:lang w:eastAsia="zh-CN"/>
        </w:rPr>
        <w:t>投标报价明显低于企业成本可能影响履约的。</w:t>
      </w:r>
    </w:p>
    <w:p w14:paraId="3ACDCC57">
      <w:pPr>
        <w:spacing w:before="181" w:line="220" w:lineRule="auto"/>
        <w:ind w:left="2114"/>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B1.8 </w:t>
      </w:r>
      <w:r>
        <w:rPr>
          <w:rFonts w:ascii="宋体" w:hAnsi="宋体" w:eastAsia="宋体" w:cs="宋体"/>
          <w:color w:val="auto"/>
          <w:spacing w:val="-1"/>
          <w:lang w:eastAsia="zh-CN"/>
        </w:rPr>
        <w:t>技术标不同模块赋分点之间多个模块固定位置存在内容表述非必要性雷同的。</w:t>
      </w:r>
    </w:p>
    <w:p w14:paraId="20E34222">
      <w:pPr>
        <w:pStyle w:val="8"/>
        <w:spacing w:line="243" w:lineRule="auto"/>
        <w:rPr>
          <w:lang w:eastAsia="zh-CN"/>
        </w:rPr>
      </w:pPr>
    </w:p>
    <w:p w14:paraId="774A40F5">
      <w:pPr>
        <w:spacing w:line="146" w:lineRule="exact"/>
        <w:rPr>
          <w:rFonts w:ascii="仿宋" w:hAnsi="仿宋" w:eastAsia="仿宋" w:cs="仿宋"/>
          <w:color w:val="auto"/>
          <w:lang w:eastAsia="zh-CN"/>
        </w:rPr>
        <w:sectPr>
          <w:headerReference r:id="rId72" w:type="default"/>
          <w:footerReference r:id="rId73" w:type="default"/>
          <w:pgSz w:w="11906" w:h="16839"/>
          <w:pgMar w:top="400" w:right="0" w:bottom="1024" w:left="105" w:header="0" w:footer="793" w:gutter="0"/>
          <w:cols w:space="720" w:num="1"/>
        </w:sectPr>
      </w:pPr>
    </w:p>
    <w:p w14:paraId="76FC69D9">
      <w:pPr>
        <w:pStyle w:val="8"/>
        <w:spacing w:line="267" w:lineRule="auto"/>
        <w:rPr>
          <w:lang w:eastAsia="zh-CN"/>
        </w:rPr>
      </w:pPr>
    </w:p>
    <w:p w14:paraId="524B4098">
      <w:pPr>
        <w:pStyle w:val="8"/>
        <w:spacing w:line="267" w:lineRule="auto"/>
        <w:rPr>
          <w:lang w:eastAsia="zh-CN"/>
        </w:rPr>
      </w:pPr>
    </w:p>
    <w:p w14:paraId="01183D60">
      <w:pPr>
        <w:pStyle w:val="8"/>
        <w:spacing w:line="267" w:lineRule="auto"/>
        <w:rPr>
          <w:lang w:eastAsia="zh-CN"/>
        </w:rPr>
      </w:pPr>
    </w:p>
    <w:p w14:paraId="22C6E00B">
      <w:pPr>
        <w:pStyle w:val="8"/>
        <w:spacing w:line="268" w:lineRule="auto"/>
        <w:rPr>
          <w:lang w:eastAsia="zh-CN"/>
        </w:rPr>
      </w:pPr>
    </w:p>
    <w:p w14:paraId="27609F16">
      <w:pPr>
        <w:spacing w:before="78" w:line="221" w:lineRule="auto"/>
        <w:ind w:left="1831"/>
        <w:outlineLvl w:val="2"/>
        <w:rPr>
          <w:rFonts w:ascii="黑体" w:hAnsi="黑体" w:eastAsia="黑体" w:cs="黑体"/>
          <w:color w:val="auto"/>
          <w:sz w:val="24"/>
          <w:szCs w:val="24"/>
          <w:lang w:eastAsia="zh-CN"/>
        </w:rPr>
      </w:pPr>
      <w:bookmarkStart w:id="318" w:name="bookmark245"/>
      <w:bookmarkEnd w:id="318"/>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w:t>
      </w:r>
      <w:r>
        <w:rPr>
          <w:rFonts w:ascii="黑体" w:hAnsi="黑体" w:eastAsia="黑体" w:cs="黑体"/>
          <w:color w:val="auto"/>
          <w:spacing w:val="-3"/>
          <w:sz w:val="24"/>
          <w:szCs w:val="24"/>
          <w:lang w:eastAsia="zh-CN"/>
        </w:rPr>
        <w:t>：评标委员会签到表</w:t>
      </w:r>
    </w:p>
    <w:p w14:paraId="17635FB0">
      <w:pPr>
        <w:spacing w:before="281" w:line="221" w:lineRule="auto"/>
        <w:ind w:left="6885"/>
        <w:rPr>
          <w:rFonts w:ascii="黑体" w:hAnsi="黑体" w:eastAsia="黑体" w:cs="黑体"/>
          <w:color w:val="auto"/>
          <w:sz w:val="36"/>
          <w:szCs w:val="36"/>
          <w:lang w:eastAsia="zh-CN"/>
        </w:rPr>
      </w:pPr>
      <w:bookmarkStart w:id="319" w:name="bookmark127"/>
      <w:bookmarkEnd w:id="319"/>
      <w:r>
        <w:rPr>
          <w:rFonts w:ascii="黑体" w:hAnsi="黑体" w:eastAsia="黑体" w:cs="黑体"/>
          <w:color w:val="auto"/>
          <w:spacing w:val="-2"/>
          <w:sz w:val="36"/>
          <w:szCs w:val="36"/>
          <w:lang w:eastAsia="zh-CN"/>
        </w:rPr>
        <w:t>评标委员会签到表</w:t>
      </w:r>
    </w:p>
    <w:p w14:paraId="0C6D1EF7">
      <w:pPr>
        <w:spacing w:before="237" w:line="221" w:lineRule="auto"/>
        <w:ind w:left="1699"/>
        <w:rPr>
          <w:rFonts w:ascii="宋体" w:hAnsi="宋体" w:eastAsia="宋体" w:cs="宋体"/>
          <w:color w:val="auto"/>
          <w:sz w:val="20"/>
          <w:szCs w:val="20"/>
          <w:lang w:eastAsia="zh-CN"/>
        </w:rPr>
      </w:pPr>
      <w:r>
        <w:rPr>
          <w:rFonts w:ascii="宋体" w:hAnsi="宋体" w:eastAsia="宋体" w:cs="宋体"/>
          <w:color w:val="auto"/>
          <w:spacing w:val="-9"/>
          <w:sz w:val="20"/>
          <w:szCs w:val="20"/>
          <w:lang w:eastAsia="zh-CN"/>
        </w:rPr>
        <w:t>标段名称：</w:t>
      </w:r>
    </w:p>
    <w:p w14:paraId="40089861">
      <w:pPr>
        <w:spacing w:before="20" w:line="210" w:lineRule="auto"/>
        <w:ind w:left="1699"/>
        <w:rPr>
          <w:rFonts w:ascii="宋体" w:hAnsi="宋体" w:eastAsia="宋体" w:cs="宋体"/>
          <w:color w:val="auto"/>
          <w:sz w:val="20"/>
          <w:szCs w:val="20"/>
          <w:lang w:eastAsia="zh-CN"/>
        </w:rPr>
      </w:pPr>
      <w:r>
        <w:rPr>
          <w:rFonts w:ascii="宋体" w:hAnsi="宋体" w:eastAsia="宋体" w:cs="宋体"/>
          <w:color w:val="auto"/>
          <w:spacing w:val="-1"/>
          <w:sz w:val="20"/>
          <w:szCs w:val="20"/>
          <w:lang w:eastAsia="zh-CN"/>
        </w:rPr>
        <w:t>标段唯一标识码评标时间：         年    月日</w:t>
      </w:r>
    </w:p>
    <w:tbl>
      <w:tblPr>
        <w:tblStyle w:val="20"/>
        <w:tblW w:w="13846" w:type="dxa"/>
        <w:tblInd w:w="1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8"/>
        <w:gridCol w:w="1168"/>
        <w:gridCol w:w="1795"/>
        <w:gridCol w:w="1928"/>
        <w:gridCol w:w="1792"/>
        <w:gridCol w:w="1430"/>
        <w:gridCol w:w="1519"/>
        <w:gridCol w:w="1705"/>
        <w:gridCol w:w="1701"/>
      </w:tblGrid>
      <w:tr w14:paraId="697C6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808" w:type="dxa"/>
          </w:tcPr>
          <w:p w14:paraId="33D902B2">
            <w:pPr>
              <w:pStyle w:val="21"/>
              <w:spacing w:before="249" w:line="222" w:lineRule="auto"/>
              <w:ind w:left="193"/>
              <w:rPr>
                <w:color w:val="auto"/>
              </w:rPr>
            </w:pPr>
            <w:r>
              <w:rPr>
                <w:b/>
                <w:bCs/>
                <w:color w:val="auto"/>
                <w:spacing w:val="-6"/>
              </w:rPr>
              <w:t>序号</w:t>
            </w:r>
          </w:p>
        </w:tc>
        <w:tc>
          <w:tcPr>
            <w:tcW w:w="1168" w:type="dxa"/>
          </w:tcPr>
          <w:p w14:paraId="151BBB91">
            <w:pPr>
              <w:pStyle w:val="21"/>
              <w:spacing w:before="250" w:line="220" w:lineRule="auto"/>
              <w:ind w:left="372"/>
              <w:rPr>
                <w:color w:val="auto"/>
              </w:rPr>
            </w:pPr>
            <w:r>
              <w:rPr>
                <w:b/>
                <w:bCs/>
                <w:color w:val="auto"/>
                <w:spacing w:val="-6"/>
              </w:rPr>
              <w:t>姓名</w:t>
            </w:r>
          </w:p>
        </w:tc>
        <w:tc>
          <w:tcPr>
            <w:tcW w:w="1795" w:type="dxa"/>
          </w:tcPr>
          <w:p w14:paraId="62EEB5F6">
            <w:pPr>
              <w:pStyle w:val="21"/>
              <w:spacing w:before="250" w:line="221" w:lineRule="auto"/>
              <w:ind w:left="477"/>
              <w:rPr>
                <w:color w:val="auto"/>
              </w:rPr>
            </w:pPr>
            <w:r>
              <w:rPr>
                <w:b/>
                <w:bCs/>
                <w:color w:val="auto"/>
                <w:spacing w:val="-4"/>
              </w:rPr>
              <w:t>所在单位</w:t>
            </w:r>
          </w:p>
        </w:tc>
        <w:tc>
          <w:tcPr>
            <w:tcW w:w="1928" w:type="dxa"/>
          </w:tcPr>
          <w:p w14:paraId="7BDDC273">
            <w:pPr>
              <w:pStyle w:val="21"/>
              <w:spacing w:before="250" w:line="220" w:lineRule="auto"/>
              <w:ind w:left="551"/>
              <w:rPr>
                <w:color w:val="auto"/>
              </w:rPr>
            </w:pPr>
            <w:r>
              <w:rPr>
                <w:b/>
                <w:bCs/>
                <w:color w:val="auto"/>
                <w:spacing w:val="-6"/>
              </w:rPr>
              <w:t>身份证号</w:t>
            </w:r>
          </w:p>
        </w:tc>
        <w:tc>
          <w:tcPr>
            <w:tcW w:w="1792" w:type="dxa"/>
          </w:tcPr>
          <w:p w14:paraId="5F894188">
            <w:pPr>
              <w:pStyle w:val="21"/>
              <w:spacing w:before="249" w:line="222" w:lineRule="auto"/>
              <w:ind w:left="479"/>
              <w:rPr>
                <w:color w:val="auto"/>
              </w:rPr>
            </w:pPr>
            <w:r>
              <w:rPr>
                <w:b/>
                <w:bCs/>
                <w:color w:val="auto"/>
                <w:spacing w:val="-4"/>
              </w:rPr>
              <w:t>联系方式</w:t>
            </w:r>
          </w:p>
        </w:tc>
        <w:tc>
          <w:tcPr>
            <w:tcW w:w="1430" w:type="dxa"/>
          </w:tcPr>
          <w:p w14:paraId="3CDEE799">
            <w:pPr>
              <w:pStyle w:val="21"/>
              <w:spacing w:before="250" w:line="220" w:lineRule="auto"/>
              <w:ind w:left="298"/>
              <w:rPr>
                <w:color w:val="auto"/>
              </w:rPr>
            </w:pPr>
            <w:r>
              <w:rPr>
                <w:b/>
                <w:bCs/>
                <w:color w:val="auto"/>
                <w:spacing w:val="-4"/>
              </w:rPr>
              <w:t>评审内容</w:t>
            </w:r>
          </w:p>
        </w:tc>
        <w:tc>
          <w:tcPr>
            <w:tcW w:w="1519" w:type="dxa"/>
          </w:tcPr>
          <w:p w14:paraId="23E114A6">
            <w:pPr>
              <w:pStyle w:val="21"/>
              <w:spacing w:before="249" w:line="220" w:lineRule="auto"/>
              <w:ind w:left="343"/>
              <w:rPr>
                <w:color w:val="auto"/>
              </w:rPr>
            </w:pPr>
            <w:r>
              <w:rPr>
                <w:b/>
                <w:bCs/>
                <w:color w:val="auto"/>
                <w:spacing w:val="-4"/>
              </w:rPr>
              <w:t>评审角色</w:t>
            </w:r>
          </w:p>
        </w:tc>
        <w:tc>
          <w:tcPr>
            <w:tcW w:w="1705" w:type="dxa"/>
          </w:tcPr>
          <w:p w14:paraId="74379A96">
            <w:pPr>
              <w:pStyle w:val="21"/>
              <w:spacing w:before="250" w:line="221" w:lineRule="auto"/>
              <w:ind w:left="226"/>
              <w:rPr>
                <w:color w:val="auto"/>
              </w:rPr>
            </w:pPr>
            <w:r>
              <w:rPr>
                <w:b/>
                <w:bCs/>
                <w:color w:val="auto"/>
                <w:spacing w:val="-3"/>
              </w:rPr>
              <w:t>评标签到时间</w:t>
            </w:r>
          </w:p>
        </w:tc>
        <w:tc>
          <w:tcPr>
            <w:tcW w:w="1701" w:type="dxa"/>
          </w:tcPr>
          <w:p w14:paraId="27FE294D">
            <w:pPr>
              <w:pStyle w:val="21"/>
              <w:spacing w:before="249" w:line="224" w:lineRule="auto"/>
              <w:ind w:left="645"/>
              <w:rPr>
                <w:color w:val="auto"/>
              </w:rPr>
            </w:pPr>
            <w:r>
              <w:rPr>
                <w:b/>
                <w:bCs/>
                <w:color w:val="auto"/>
                <w:spacing w:val="-6"/>
              </w:rPr>
              <w:t>签名</w:t>
            </w:r>
          </w:p>
        </w:tc>
      </w:tr>
      <w:tr w14:paraId="69617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808" w:type="dxa"/>
          </w:tcPr>
          <w:p w14:paraId="2BF29282">
            <w:pPr>
              <w:pStyle w:val="21"/>
              <w:spacing w:before="246" w:line="242" w:lineRule="auto"/>
              <w:ind w:left="368"/>
              <w:rPr>
                <w:color w:val="auto"/>
              </w:rPr>
            </w:pPr>
            <w:r>
              <w:rPr>
                <w:color w:val="auto"/>
              </w:rPr>
              <w:t>1</w:t>
            </w:r>
          </w:p>
        </w:tc>
        <w:tc>
          <w:tcPr>
            <w:tcW w:w="1168" w:type="dxa"/>
          </w:tcPr>
          <w:p w14:paraId="1037F1AD">
            <w:pPr>
              <w:rPr>
                <w:color w:val="auto"/>
              </w:rPr>
            </w:pPr>
          </w:p>
        </w:tc>
        <w:tc>
          <w:tcPr>
            <w:tcW w:w="1795" w:type="dxa"/>
          </w:tcPr>
          <w:p w14:paraId="6DC521FC">
            <w:pPr>
              <w:rPr>
                <w:color w:val="auto"/>
              </w:rPr>
            </w:pPr>
          </w:p>
        </w:tc>
        <w:tc>
          <w:tcPr>
            <w:tcW w:w="1928" w:type="dxa"/>
          </w:tcPr>
          <w:p w14:paraId="181028AE">
            <w:pPr>
              <w:rPr>
                <w:color w:val="auto"/>
              </w:rPr>
            </w:pPr>
          </w:p>
        </w:tc>
        <w:tc>
          <w:tcPr>
            <w:tcW w:w="1792" w:type="dxa"/>
          </w:tcPr>
          <w:p w14:paraId="5FB694BE">
            <w:pPr>
              <w:rPr>
                <w:color w:val="auto"/>
              </w:rPr>
            </w:pPr>
          </w:p>
        </w:tc>
        <w:tc>
          <w:tcPr>
            <w:tcW w:w="1430" w:type="dxa"/>
          </w:tcPr>
          <w:p w14:paraId="5869E987">
            <w:pPr>
              <w:rPr>
                <w:color w:val="auto"/>
              </w:rPr>
            </w:pPr>
          </w:p>
        </w:tc>
        <w:tc>
          <w:tcPr>
            <w:tcW w:w="1519" w:type="dxa"/>
          </w:tcPr>
          <w:p w14:paraId="54635F9B">
            <w:pPr>
              <w:rPr>
                <w:color w:val="auto"/>
              </w:rPr>
            </w:pPr>
          </w:p>
        </w:tc>
        <w:tc>
          <w:tcPr>
            <w:tcW w:w="1705" w:type="dxa"/>
          </w:tcPr>
          <w:p w14:paraId="2E2AFD9E">
            <w:pPr>
              <w:rPr>
                <w:color w:val="auto"/>
              </w:rPr>
            </w:pPr>
          </w:p>
        </w:tc>
        <w:tc>
          <w:tcPr>
            <w:tcW w:w="1701" w:type="dxa"/>
          </w:tcPr>
          <w:p w14:paraId="5234CE78">
            <w:pPr>
              <w:rPr>
                <w:color w:val="auto"/>
              </w:rPr>
            </w:pPr>
          </w:p>
        </w:tc>
      </w:tr>
      <w:tr w14:paraId="6BC5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08" w:type="dxa"/>
          </w:tcPr>
          <w:p w14:paraId="1071C8F4">
            <w:pPr>
              <w:pStyle w:val="21"/>
              <w:spacing w:before="248" w:line="242" w:lineRule="auto"/>
              <w:ind w:left="355"/>
              <w:rPr>
                <w:color w:val="auto"/>
              </w:rPr>
            </w:pPr>
            <w:r>
              <w:rPr>
                <w:color w:val="auto"/>
              </w:rPr>
              <w:t>2</w:t>
            </w:r>
          </w:p>
        </w:tc>
        <w:tc>
          <w:tcPr>
            <w:tcW w:w="1168" w:type="dxa"/>
          </w:tcPr>
          <w:p w14:paraId="66D8FAF7">
            <w:pPr>
              <w:rPr>
                <w:color w:val="auto"/>
              </w:rPr>
            </w:pPr>
          </w:p>
        </w:tc>
        <w:tc>
          <w:tcPr>
            <w:tcW w:w="1795" w:type="dxa"/>
          </w:tcPr>
          <w:p w14:paraId="2EBDFCCD">
            <w:pPr>
              <w:rPr>
                <w:color w:val="auto"/>
              </w:rPr>
            </w:pPr>
          </w:p>
        </w:tc>
        <w:tc>
          <w:tcPr>
            <w:tcW w:w="1928" w:type="dxa"/>
          </w:tcPr>
          <w:p w14:paraId="67F1BD8B">
            <w:pPr>
              <w:rPr>
                <w:color w:val="auto"/>
              </w:rPr>
            </w:pPr>
          </w:p>
        </w:tc>
        <w:tc>
          <w:tcPr>
            <w:tcW w:w="1792" w:type="dxa"/>
          </w:tcPr>
          <w:p w14:paraId="65E93EFE">
            <w:pPr>
              <w:rPr>
                <w:color w:val="auto"/>
              </w:rPr>
            </w:pPr>
          </w:p>
        </w:tc>
        <w:tc>
          <w:tcPr>
            <w:tcW w:w="1430" w:type="dxa"/>
          </w:tcPr>
          <w:p w14:paraId="7EBC55FB">
            <w:pPr>
              <w:rPr>
                <w:color w:val="auto"/>
              </w:rPr>
            </w:pPr>
          </w:p>
        </w:tc>
        <w:tc>
          <w:tcPr>
            <w:tcW w:w="1519" w:type="dxa"/>
          </w:tcPr>
          <w:p w14:paraId="69EC6B23">
            <w:pPr>
              <w:rPr>
                <w:color w:val="auto"/>
              </w:rPr>
            </w:pPr>
          </w:p>
        </w:tc>
        <w:tc>
          <w:tcPr>
            <w:tcW w:w="1705" w:type="dxa"/>
          </w:tcPr>
          <w:p w14:paraId="72F8F012">
            <w:pPr>
              <w:rPr>
                <w:color w:val="auto"/>
              </w:rPr>
            </w:pPr>
          </w:p>
        </w:tc>
        <w:tc>
          <w:tcPr>
            <w:tcW w:w="1701" w:type="dxa"/>
          </w:tcPr>
          <w:p w14:paraId="34E455FD">
            <w:pPr>
              <w:rPr>
                <w:color w:val="auto"/>
              </w:rPr>
            </w:pPr>
          </w:p>
        </w:tc>
      </w:tr>
      <w:tr w14:paraId="20041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08" w:type="dxa"/>
          </w:tcPr>
          <w:p w14:paraId="3613917E">
            <w:pPr>
              <w:pStyle w:val="21"/>
              <w:spacing w:before="250"/>
              <w:ind w:left="356"/>
              <w:rPr>
                <w:color w:val="auto"/>
              </w:rPr>
            </w:pPr>
            <w:r>
              <w:rPr>
                <w:color w:val="auto"/>
              </w:rPr>
              <w:t>3</w:t>
            </w:r>
          </w:p>
        </w:tc>
        <w:tc>
          <w:tcPr>
            <w:tcW w:w="1168" w:type="dxa"/>
          </w:tcPr>
          <w:p w14:paraId="6900F4EB">
            <w:pPr>
              <w:rPr>
                <w:color w:val="auto"/>
              </w:rPr>
            </w:pPr>
          </w:p>
        </w:tc>
        <w:tc>
          <w:tcPr>
            <w:tcW w:w="1795" w:type="dxa"/>
          </w:tcPr>
          <w:p w14:paraId="6E7E562A">
            <w:pPr>
              <w:rPr>
                <w:color w:val="auto"/>
              </w:rPr>
            </w:pPr>
          </w:p>
        </w:tc>
        <w:tc>
          <w:tcPr>
            <w:tcW w:w="1928" w:type="dxa"/>
          </w:tcPr>
          <w:p w14:paraId="04E931AE">
            <w:pPr>
              <w:rPr>
                <w:color w:val="auto"/>
              </w:rPr>
            </w:pPr>
          </w:p>
        </w:tc>
        <w:tc>
          <w:tcPr>
            <w:tcW w:w="1792" w:type="dxa"/>
          </w:tcPr>
          <w:p w14:paraId="128672DE">
            <w:pPr>
              <w:rPr>
                <w:color w:val="auto"/>
              </w:rPr>
            </w:pPr>
          </w:p>
        </w:tc>
        <w:tc>
          <w:tcPr>
            <w:tcW w:w="1430" w:type="dxa"/>
          </w:tcPr>
          <w:p w14:paraId="3077B4FF">
            <w:pPr>
              <w:rPr>
                <w:color w:val="auto"/>
              </w:rPr>
            </w:pPr>
          </w:p>
        </w:tc>
        <w:tc>
          <w:tcPr>
            <w:tcW w:w="1519" w:type="dxa"/>
          </w:tcPr>
          <w:p w14:paraId="4EA71D85">
            <w:pPr>
              <w:rPr>
                <w:color w:val="auto"/>
              </w:rPr>
            </w:pPr>
          </w:p>
        </w:tc>
        <w:tc>
          <w:tcPr>
            <w:tcW w:w="1705" w:type="dxa"/>
          </w:tcPr>
          <w:p w14:paraId="5857F19C">
            <w:pPr>
              <w:rPr>
                <w:color w:val="auto"/>
              </w:rPr>
            </w:pPr>
          </w:p>
        </w:tc>
        <w:tc>
          <w:tcPr>
            <w:tcW w:w="1701" w:type="dxa"/>
          </w:tcPr>
          <w:p w14:paraId="4B80D470">
            <w:pPr>
              <w:rPr>
                <w:color w:val="auto"/>
              </w:rPr>
            </w:pPr>
          </w:p>
        </w:tc>
      </w:tr>
      <w:tr w14:paraId="4900E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08" w:type="dxa"/>
          </w:tcPr>
          <w:p w14:paraId="626A2D54">
            <w:pPr>
              <w:pStyle w:val="21"/>
              <w:spacing w:before="250" w:line="242" w:lineRule="auto"/>
              <w:ind w:left="351"/>
              <w:rPr>
                <w:color w:val="auto"/>
              </w:rPr>
            </w:pPr>
            <w:r>
              <w:rPr>
                <w:color w:val="auto"/>
              </w:rPr>
              <w:t>4</w:t>
            </w:r>
          </w:p>
        </w:tc>
        <w:tc>
          <w:tcPr>
            <w:tcW w:w="1168" w:type="dxa"/>
          </w:tcPr>
          <w:p w14:paraId="653EA55A">
            <w:pPr>
              <w:rPr>
                <w:color w:val="auto"/>
              </w:rPr>
            </w:pPr>
          </w:p>
        </w:tc>
        <w:tc>
          <w:tcPr>
            <w:tcW w:w="1795" w:type="dxa"/>
          </w:tcPr>
          <w:p w14:paraId="4CF8541F">
            <w:pPr>
              <w:rPr>
                <w:color w:val="auto"/>
              </w:rPr>
            </w:pPr>
          </w:p>
        </w:tc>
        <w:tc>
          <w:tcPr>
            <w:tcW w:w="1928" w:type="dxa"/>
          </w:tcPr>
          <w:p w14:paraId="4EB4DB88">
            <w:pPr>
              <w:rPr>
                <w:color w:val="auto"/>
              </w:rPr>
            </w:pPr>
          </w:p>
        </w:tc>
        <w:tc>
          <w:tcPr>
            <w:tcW w:w="1792" w:type="dxa"/>
          </w:tcPr>
          <w:p w14:paraId="03C1B203">
            <w:pPr>
              <w:rPr>
                <w:color w:val="auto"/>
              </w:rPr>
            </w:pPr>
          </w:p>
        </w:tc>
        <w:tc>
          <w:tcPr>
            <w:tcW w:w="1430" w:type="dxa"/>
          </w:tcPr>
          <w:p w14:paraId="118B7653">
            <w:pPr>
              <w:rPr>
                <w:color w:val="auto"/>
              </w:rPr>
            </w:pPr>
          </w:p>
        </w:tc>
        <w:tc>
          <w:tcPr>
            <w:tcW w:w="1519" w:type="dxa"/>
          </w:tcPr>
          <w:p w14:paraId="669EBC5D">
            <w:pPr>
              <w:rPr>
                <w:color w:val="auto"/>
              </w:rPr>
            </w:pPr>
          </w:p>
        </w:tc>
        <w:tc>
          <w:tcPr>
            <w:tcW w:w="1705" w:type="dxa"/>
          </w:tcPr>
          <w:p w14:paraId="2613DD65">
            <w:pPr>
              <w:rPr>
                <w:color w:val="auto"/>
              </w:rPr>
            </w:pPr>
          </w:p>
        </w:tc>
        <w:tc>
          <w:tcPr>
            <w:tcW w:w="1701" w:type="dxa"/>
          </w:tcPr>
          <w:p w14:paraId="12125921">
            <w:pPr>
              <w:rPr>
                <w:color w:val="auto"/>
              </w:rPr>
            </w:pPr>
          </w:p>
        </w:tc>
      </w:tr>
      <w:tr w14:paraId="6DBEC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08" w:type="dxa"/>
          </w:tcPr>
          <w:p w14:paraId="70172147">
            <w:pPr>
              <w:pStyle w:val="21"/>
              <w:spacing w:before="252"/>
              <w:ind w:left="356"/>
              <w:rPr>
                <w:color w:val="auto"/>
              </w:rPr>
            </w:pPr>
            <w:r>
              <w:rPr>
                <w:color w:val="auto"/>
              </w:rPr>
              <w:t>5</w:t>
            </w:r>
          </w:p>
        </w:tc>
        <w:tc>
          <w:tcPr>
            <w:tcW w:w="1168" w:type="dxa"/>
          </w:tcPr>
          <w:p w14:paraId="69119BA0">
            <w:pPr>
              <w:rPr>
                <w:color w:val="auto"/>
              </w:rPr>
            </w:pPr>
          </w:p>
        </w:tc>
        <w:tc>
          <w:tcPr>
            <w:tcW w:w="1795" w:type="dxa"/>
          </w:tcPr>
          <w:p w14:paraId="604D3742">
            <w:pPr>
              <w:rPr>
                <w:color w:val="auto"/>
              </w:rPr>
            </w:pPr>
          </w:p>
        </w:tc>
        <w:tc>
          <w:tcPr>
            <w:tcW w:w="1928" w:type="dxa"/>
          </w:tcPr>
          <w:p w14:paraId="125E24D1">
            <w:pPr>
              <w:rPr>
                <w:color w:val="auto"/>
              </w:rPr>
            </w:pPr>
          </w:p>
        </w:tc>
        <w:tc>
          <w:tcPr>
            <w:tcW w:w="1792" w:type="dxa"/>
          </w:tcPr>
          <w:p w14:paraId="1A861FD4">
            <w:pPr>
              <w:rPr>
                <w:color w:val="auto"/>
              </w:rPr>
            </w:pPr>
          </w:p>
        </w:tc>
        <w:tc>
          <w:tcPr>
            <w:tcW w:w="1430" w:type="dxa"/>
          </w:tcPr>
          <w:p w14:paraId="404E8EB5">
            <w:pPr>
              <w:rPr>
                <w:color w:val="auto"/>
              </w:rPr>
            </w:pPr>
          </w:p>
        </w:tc>
        <w:tc>
          <w:tcPr>
            <w:tcW w:w="1519" w:type="dxa"/>
          </w:tcPr>
          <w:p w14:paraId="29F67A57">
            <w:pPr>
              <w:rPr>
                <w:color w:val="auto"/>
              </w:rPr>
            </w:pPr>
          </w:p>
        </w:tc>
        <w:tc>
          <w:tcPr>
            <w:tcW w:w="1705" w:type="dxa"/>
          </w:tcPr>
          <w:p w14:paraId="54BD4CBC">
            <w:pPr>
              <w:rPr>
                <w:color w:val="auto"/>
              </w:rPr>
            </w:pPr>
          </w:p>
        </w:tc>
        <w:tc>
          <w:tcPr>
            <w:tcW w:w="1701" w:type="dxa"/>
          </w:tcPr>
          <w:p w14:paraId="03830692">
            <w:pPr>
              <w:rPr>
                <w:color w:val="auto"/>
              </w:rPr>
            </w:pPr>
          </w:p>
        </w:tc>
      </w:tr>
      <w:tr w14:paraId="178E3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808" w:type="dxa"/>
          </w:tcPr>
          <w:p w14:paraId="1ABFB1EF">
            <w:pPr>
              <w:pStyle w:val="21"/>
              <w:spacing w:before="253"/>
              <w:ind w:left="354"/>
              <w:rPr>
                <w:color w:val="auto"/>
              </w:rPr>
            </w:pPr>
            <w:r>
              <w:rPr>
                <w:color w:val="auto"/>
              </w:rPr>
              <w:t>6</w:t>
            </w:r>
          </w:p>
        </w:tc>
        <w:tc>
          <w:tcPr>
            <w:tcW w:w="1168" w:type="dxa"/>
          </w:tcPr>
          <w:p w14:paraId="409F5503">
            <w:pPr>
              <w:rPr>
                <w:color w:val="auto"/>
              </w:rPr>
            </w:pPr>
          </w:p>
        </w:tc>
        <w:tc>
          <w:tcPr>
            <w:tcW w:w="1795" w:type="dxa"/>
          </w:tcPr>
          <w:p w14:paraId="3529C86A">
            <w:pPr>
              <w:rPr>
                <w:color w:val="auto"/>
              </w:rPr>
            </w:pPr>
          </w:p>
        </w:tc>
        <w:tc>
          <w:tcPr>
            <w:tcW w:w="1928" w:type="dxa"/>
          </w:tcPr>
          <w:p w14:paraId="222F68C4">
            <w:pPr>
              <w:rPr>
                <w:color w:val="auto"/>
              </w:rPr>
            </w:pPr>
          </w:p>
        </w:tc>
        <w:tc>
          <w:tcPr>
            <w:tcW w:w="1792" w:type="dxa"/>
          </w:tcPr>
          <w:p w14:paraId="57E05E2C">
            <w:pPr>
              <w:rPr>
                <w:color w:val="auto"/>
              </w:rPr>
            </w:pPr>
          </w:p>
        </w:tc>
        <w:tc>
          <w:tcPr>
            <w:tcW w:w="1430" w:type="dxa"/>
          </w:tcPr>
          <w:p w14:paraId="67037129">
            <w:pPr>
              <w:rPr>
                <w:color w:val="auto"/>
              </w:rPr>
            </w:pPr>
          </w:p>
        </w:tc>
        <w:tc>
          <w:tcPr>
            <w:tcW w:w="1519" w:type="dxa"/>
          </w:tcPr>
          <w:p w14:paraId="6667AD6D">
            <w:pPr>
              <w:rPr>
                <w:color w:val="auto"/>
              </w:rPr>
            </w:pPr>
          </w:p>
        </w:tc>
        <w:tc>
          <w:tcPr>
            <w:tcW w:w="1705" w:type="dxa"/>
          </w:tcPr>
          <w:p w14:paraId="7E497C72">
            <w:pPr>
              <w:rPr>
                <w:color w:val="auto"/>
              </w:rPr>
            </w:pPr>
          </w:p>
        </w:tc>
        <w:tc>
          <w:tcPr>
            <w:tcW w:w="1701" w:type="dxa"/>
          </w:tcPr>
          <w:p w14:paraId="2A0803F5">
            <w:pPr>
              <w:rPr>
                <w:color w:val="auto"/>
              </w:rPr>
            </w:pPr>
          </w:p>
        </w:tc>
      </w:tr>
      <w:tr w14:paraId="5F1F5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808" w:type="dxa"/>
          </w:tcPr>
          <w:p w14:paraId="0BEF6B8F">
            <w:pPr>
              <w:pStyle w:val="21"/>
              <w:spacing w:before="261"/>
              <w:ind w:left="357"/>
              <w:rPr>
                <w:color w:val="auto"/>
              </w:rPr>
            </w:pPr>
            <w:r>
              <w:rPr>
                <w:color w:val="auto"/>
              </w:rPr>
              <w:t>7</w:t>
            </w:r>
          </w:p>
        </w:tc>
        <w:tc>
          <w:tcPr>
            <w:tcW w:w="1168" w:type="dxa"/>
          </w:tcPr>
          <w:p w14:paraId="1E90B5DE">
            <w:pPr>
              <w:rPr>
                <w:color w:val="auto"/>
              </w:rPr>
            </w:pPr>
          </w:p>
        </w:tc>
        <w:tc>
          <w:tcPr>
            <w:tcW w:w="1795" w:type="dxa"/>
          </w:tcPr>
          <w:p w14:paraId="558D52CF">
            <w:pPr>
              <w:rPr>
                <w:color w:val="auto"/>
              </w:rPr>
            </w:pPr>
          </w:p>
        </w:tc>
        <w:tc>
          <w:tcPr>
            <w:tcW w:w="1928" w:type="dxa"/>
          </w:tcPr>
          <w:p w14:paraId="60059310">
            <w:pPr>
              <w:rPr>
                <w:color w:val="auto"/>
              </w:rPr>
            </w:pPr>
          </w:p>
        </w:tc>
        <w:tc>
          <w:tcPr>
            <w:tcW w:w="1792" w:type="dxa"/>
          </w:tcPr>
          <w:p w14:paraId="7B106F12">
            <w:pPr>
              <w:rPr>
                <w:color w:val="auto"/>
              </w:rPr>
            </w:pPr>
          </w:p>
        </w:tc>
        <w:tc>
          <w:tcPr>
            <w:tcW w:w="1430" w:type="dxa"/>
          </w:tcPr>
          <w:p w14:paraId="25147A6C">
            <w:pPr>
              <w:rPr>
                <w:color w:val="auto"/>
              </w:rPr>
            </w:pPr>
          </w:p>
        </w:tc>
        <w:tc>
          <w:tcPr>
            <w:tcW w:w="1519" w:type="dxa"/>
          </w:tcPr>
          <w:p w14:paraId="023D99C1">
            <w:pPr>
              <w:rPr>
                <w:color w:val="auto"/>
              </w:rPr>
            </w:pPr>
          </w:p>
        </w:tc>
        <w:tc>
          <w:tcPr>
            <w:tcW w:w="1705" w:type="dxa"/>
          </w:tcPr>
          <w:p w14:paraId="332340EC">
            <w:pPr>
              <w:rPr>
                <w:color w:val="auto"/>
              </w:rPr>
            </w:pPr>
          </w:p>
        </w:tc>
        <w:tc>
          <w:tcPr>
            <w:tcW w:w="1701" w:type="dxa"/>
          </w:tcPr>
          <w:p w14:paraId="79DD0528">
            <w:pPr>
              <w:rPr>
                <w:color w:val="auto"/>
              </w:rPr>
            </w:pPr>
          </w:p>
        </w:tc>
      </w:tr>
    </w:tbl>
    <w:p w14:paraId="7EDB78B8">
      <w:pPr>
        <w:pStyle w:val="8"/>
      </w:pPr>
    </w:p>
    <w:p w14:paraId="1CF26B01">
      <w:pPr>
        <w:rPr>
          <w:color w:val="auto"/>
        </w:rPr>
        <w:sectPr>
          <w:headerReference r:id="rId74" w:type="default"/>
          <w:footerReference r:id="rId75" w:type="default"/>
          <w:pgSz w:w="16839" w:h="11906"/>
          <w:pgMar w:top="400" w:right="535" w:bottom="1069" w:left="105" w:header="0" w:footer="882" w:gutter="0"/>
          <w:cols w:space="720" w:num="1"/>
        </w:sectPr>
      </w:pPr>
    </w:p>
    <w:p w14:paraId="6A423C70">
      <w:pPr>
        <w:pStyle w:val="8"/>
        <w:spacing w:line="267" w:lineRule="auto"/>
      </w:pPr>
    </w:p>
    <w:p w14:paraId="4018FF43">
      <w:pPr>
        <w:pStyle w:val="8"/>
        <w:spacing w:line="267" w:lineRule="auto"/>
      </w:pPr>
    </w:p>
    <w:p w14:paraId="713625B3">
      <w:pPr>
        <w:pStyle w:val="8"/>
        <w:spacing w:line="267" w:lineRule="auto"/>
      </w:pPr>
    </w:p>
    <w:p w14:paraId="7A8616B2">
      <w:pPr>
        <w:pStyle w:val="8"/>
        <w:spacing w:line="267" w:lineRule="auto"/>
      </w:pPr>
    </w:p>
    <w:p w14:paraId="45A17E23">
      <w:pPr>
        <w:spacing w:before="78" w:line="222" w:lineRule="auto"/>
        <w:ind w:left="1831"/>
        <w:outlineLvl w:val="2"/>
        <w:rPr>
          <w:rFonts w:ascii="黑体" w:hAnsi="黑体" w:eastAsia="黑体" w:cs="黑体"/>
          <w:color w:val="auto"/>
          <w:sz w:val="24"/>
          <w:szCs w:val="24"/>
          <w:lang w:eastAsia="zh-CN"/>
        </w:rPr>
      </w:pPr>
      <w:bookmarkStart w:id="320" w:name="bookmark246"/>
      <w:bookmarkEnd w:id="320"/>
      <w:r>
        <w:rPr>
          <w:rFonts w:ascii="黑体" w:hAnsi="黑体" w:eastAsia="黑体" w:cs="黑体"/>
          <w:color w:val="auto"/>
          <w:spacing w:val="-4"/>
          <w:sz w:val="24"/>
          <w:szCs w:val="24"/>
          <w:lang w:eastAsia="zh-CN"/>
        </w:rPr>
        <w:t>附表</w:t>
      </w:r>
      <w:r>
        <w:rPr>
          <w:rFonts w:ascii="Times New Roman" w:hAnsi="Times New Roman" w:eastAsia="Times New Roman" w:cs="Times New Roman"/>
          <w:color w:val="auto"/>
          <w:spacing w:val="-4"/>
          <w:sz w:val="24"/>
          <w:szCs w:val="24"/>
          <w:lang w:eastAsia="zh-CN"/>
        </w:rPr>
        <w:t>A-2</w:t>
      </w:r>
      <w:r>
        <w:rPr>
          <w:rFonts w:ascii="黑体" w:hAnsi="黑体" w:eastAsia="黑体" w:cs="黑体"/>
          <w:color w:val="auto"/>
          <w:spacing w:val="-4"/>
          <w:sz w:val="24"/>
          <w:szCs w:val="24"/>
          <w:lang w:eastAsia="zh-CN"/>
        </w:rPr>
        <w:t>：评标专家告知承诺函</w:t>
      </w:r>
    </w:p>
    <w:p w14:paraId="7828EA63">
      <w:pPr>
        <w:pStyle w:val="8"/>
        <w:spacing w:line="299" w:lineRule="auto"/>
        <w:rPr>
          <w:lang w:eastAsia="zh-CN"/>
        </w:rPr>
      </w:pPr>
    </w:p>
    <w:p w14:paraId="14A13282">
      <w:pPr>
        <w:pStyle w:val="8"/>
        <w:spacing w:line="300" w:lineRule="auto"/>
        <w:rPr>
          <w:lang w:eastAsia="zh-CN"/>
        </w:rPr>
      </w:pPr>
    </w:p>
    <w:p w14:paraId="510A74D1">
      <w:pPr>
        <w:spacing w:before="117" w:line="222" w:lineRule="auto"/>
        <w:ind w:left="4239"/>
        <w:rPr>
          <w:rFonts w:ascii="黑体" w:hAnsi="黑体" w:eastAsia="黑体" w:cs="黑体"/>
          <w:color w:val="auto"/>
          <w:sz w:val="36"/>
          <w:szCs w:val="36"/>
          <w:lang w:eastAsia="zh-CN"/>
        </w:rPr>
      </w:pPr>
      <w:bookmarkStart w:id="321" w:name="bookmark128"/>
      <w:bookmarkEnd w:id="321"/>
      <w:r>
        <w:rPr>
          <w:rFonts w:ascii="黑体" w:hAnsi="黑体" w:eastAsia="黑体" w:cs="黑体"/>
          <w:color w:val="auto"/>
          <w:spacing w:val="-2"/>
          <w:sz w:val="36"/>
          <w:szCs w:val="36"/>
          <w:lang w:eastAsia="zh-CN"/>
        </w:rPr>
        <w:t>评标专家告知承诺函</w:t>
      </w:r>
    </w:p>
    <w:p w14:paraId="37B20CFE">
      <w:pPr>
        <w:pStyle w:val="8"/>
        <w:spacing w:line="264" w:lineRule="auto"/>
        <w:rPr>
          <w:lang w:eastAsia="zh-CN"/>
        </w:rPr>
      </w:pPr>
    </w:p>
    <w:p w14:paraId="35DE1ED4">
      <w:pPr>
        <w:pStyle w:val="8"/>
        <w:spacing w:line="264" w:lineRule="auto"/>
        <w:rPr>
          <w:lang w:eastAsia="zh-CN"/>
        </w:rPr>
      </w:pPr>
    </w:p>
    <w:p w14:paraId="4BDAA669">
      <w:pPr>
        <w:spacing w:before="68" w:line="220" w:lineRule="auto"/>
        <w:ind w:left="2120"/>
        <w:rPr>
          <w:rFonts w:ascii="宋体" w:hAnsi="宋体" w:eastAsia="宋体" w:cs="宋体"/>
          <w:color w:val="auto"/>
          <w:lang w:eastAsia="zh-CN"/>
        </w:rPr>
      </w:pPr>
      <w:r>
        <w:rPr>
          <w:rFonts w:ascii="宋体" w:hAnsi="宋体" w:eastAsia="宋体" w:cs="宋体"/>
          <w:color w:val="auto"/>
          <w:spacing w:val="-1"/>
          <w:lang w:eastAsia="zh-CN"/>
        </w:rPr>
        <w:t>本人接受招标人邀请，担任 （标段名称）项目招标的评标专家。</w:t>
      </w:r>
    </w:p>
    <w:p w14:paraId="5B68145F">
      <w:pPr>
        <w:spacing w:before="159" w:line="359" w:lineRule="auto"/>
        <w:ind w:left="1704" w:right="1632" w:firstLine="415"/>
        <w:rPr>
          <w:rFonts w:ascii="宋体" w:hAnsi="宋体" w:eastAsia="宋体" w:cs="宋体"/>
          <w:color w:val="auto"/>
          <w:lang w:eastAsia="zh-CN"/>
        </w:rPr>
      </w:pPr>
      <w:r>
        <w:rPr>
          <w:rFonts w:ascii="宋体" w:hAnsi="宋体" w:eastAsia="宋体" w:cs="宋体"/>
          <w:color w:val="auto"/>
          <w:spacing w:val="2"/>
          <w:lang w:eastAsia="zh-CN"/>
        </w:rPr>
        <w:t>本人作为辽宁省评标专家库评标专家，已知悉相关权利义务，已</w:t>
      </w:r>
      <w:r>
        <w:rPr>
          <w:rFonts w:ascii="宋体" w:hAnsi="宋体" w:eastAsia="宋体" w:cs="宋体"/>
          <w:color w:val="auto"/>
          <w:spacing w:val="1"/>
          <w:lang w:eastAsia="zh-CN"/>
        </w:rPr>
        <w:t>熟知告知承诺函内容，</w:t>
      </w:r>
      <w:r>
        <w:rPr>
          <w:rFonts w:ascii="宋体" w:hAnsi="宋体" w:eastAsia="宋体" w:cs="宋体"/>
          <w:color w:val="auto"/>
          <w:spacing w:val="3"/>
          <w:lang w:eastAsia="zh-CN"/>
        </w:rPr>
        <w:t>并在此郑重承诺</w:t>
      </w:r>
      <w:r>
        <w:rPr>
          <w:rFonts w:hint="eastAsia" w:ascii="宋体" w:hAnsi="宋体" w:eastAsia="宋体" w:cs="宋体"/>
          <w:color w:val="auto"/>
          <w:spacing w:val="3"/>
          <w:lang w:eastAsia="zh-CN"/>
        </w:rPr>
        <w:t>：</w:t>
      </w:r>
    </w:p>
    <w:p w14:paraId="71DA87C1">
      <w:pPr>
        <w:spacing w:line="220" w:lineRule="auto"/>
        <w:ind w:left="2122"/>
        <w:rPr>
          <w:rFonts w:ascii="宋体" w:hAnsi="宋体" w:eastAsia="宋体" w:cs="宋体"/>
          <w:color w:val="auto"/>
          <w:lang w:eastAsia="zh-CN"/>
        </w:rPr>
      </w:pPr>
      <w:r>
        <w:rPr>
          <w:rFonts w:ascii="宋体" w:hAnsi="宋体" w:eastAsia="宋体" w:cs="宋体"/>
          <w:color w:val="auto"/>
          <w:spacing w:val="-4"/>
          <w:lang w:eastAsia="zh-CN"/>
        </w:rPr>
        <w:t>一、尽职承诺</w:t>
      </w:r>
    </w:p>
    <w:p w14:paraId="7DDD9313">
      <w:pPr>
        <w:spacing w:before="158" w:line="290" w:lineRule="auto"/>
        <w:ind w:left="1700" w:right="1805" w:firstLine="424"/>
        <w:rPr>
          <w:rFonts w:ascii="宋体" w:hAnsi="宋体" w:eastAsia="宋体" w:cs="宋体"/>
          <w:color w:val="auto"/>
          <w:lang w:eastAsia="zh-CN"/>
        </w:rPr>
      </w:pPr>
      <w:r>
        <w:rPr>
          <w:rFonts w:ascii="宋体" w:hAnsi="宋体" w:eastAsia="宋体" w:cs="宋体"/>
          <w:color w:val="auto"/>
          <w:spacing w:val="-6"/>
          <w:lang w:eastAsia="zh-CN"/>
        </w:rPr>
        <w:t>（一）客观、公正地履行职务， 严格按照法律法规规定、评标办法独立完成该项目的评</w:t>
      </w:r>
      <w:r>
        <w:rPr>
          <w:rFonts w:ascii="宋体" w:hAnsi="宋体" w:eastAsia="宋体" w:cs="宋体"/>
          <w:color w:val="auto"/>
          <w:spacing w:val="-8"/>
          <w:lang w:eastAsia="zh-CN"/>
        </w:rPr>
        <w:t>标工作。</w:t>
      </w:r>
    </w:p>
    <w:p w14:paraId="305DBDA6">
      <w:pPr>
        <w:spacing w:before="157" w:line="290" w:lineRule="auto"/>
        <w:ind w:left="1699" w:right="1810" w:firstLine="425"/>
        <w:rPr>
          <w:rFonts w:ascii="宋体" w:hAnsi="宋体" w:eastAsia="宋体" w:cs="宋体"/>
          <w:color w:val="auto"/>
          <w:lang w:eastAsia="zh-CN"/>
        </w:rPr>
      </w:pPr>
      <w:r>
        <w:rPr>
          <w:rFonts w:ascii="宋体" w:hAnsi="宋体" w:eastAsia="宋体" w:cs="宋体"/>
          <w:color w:val="auto"/>
          <w:spacing w:val="-3"/>
          <w:lang w:eastAsia="zh-CN"/>
        </w:rPr>
        <w:t>（二）严格遵守评标纪律，保证评标过程中不发表任何涉及实质性内容的倾向性</w:t>
      </w:r>
      <w:r>
        <w:rPr>
          <w:rFonts w:ascii="宋体" w:hAnsi="宋体" w:eastAsia="宋体" w:cs="宋体"/>
          <w:color w:val="auto"/>
          <w:spacing w:val="-4"/>
          <w:lang w:eastAsia="zh-CN"/>
        </w:rPr>
        <w:t>、引导性言论，不擅离职守。</w:t>
      </w:r>
    </w:p>
    <w:p w14:paraId="55FA3919">
      <w:pPr>
        <w:spacing w:before="157" w:line="220" w:lineRule="auto"/>
        <w:ind w:left="2124"/>
        <w:rPr>
          <w:rFonts w:ascii="宋体" w:hAnsi="宋体" w:eastAsia="宋体" w:cs="宋体"/>
          <w:color w:val="auto"/>
          <w:lang w:eastAsia="zh-CN"/>
        </w:rPr>
      </w:pPr>
      <w:r>
        <w:rPr>
          <w:rFonts w:ascii="宋体" w:hAnsi="宋体" w:eastAsia="宋体" w:cs="宋体"/>
          <w:color w:val="auto"/>
          <w:spacing w:val="-1"/>
          <w:lang w:eastAsia="zh-CN"/>
        </w:rPr>
        <w:t>（三）严格遵守《中华人民共和国招标投标法》《中华人民共和国保守国家秘密法》</w:t>
      </w:r>
    </w:p>
    <w:p w14:paraId="4DD205CB">
      <w:pPr>
        <w:spacing w:before="159" w:line="289" w:lineRule="auto"/>
        <w:ind w:left="1700" w:right="1806"/>
        <w:rPr>
          <w:rFonts w:ascii="宋体" w:hAnsi="宋体" w:eastAsia="宋体" w:cs="宋体"/>
          <w:color w:val="auto"/>
          <w:lang w:eastAsia="zh-CN"/>
        </w:rPr>
      </w:pPr>
      <w:r>
        <w:rPr>
          <w:rFonts w:ascii="宋体" w:hAnsi="宋体" w:eastAsia="宋体" w:cs="宋体"/>
          <w:color w:val="auto"/>
          <w:spacing w:val="-4"/>
          <w:lang w:eastAsia="zh-CN"/>
        </w:rPr>
        <w:t>《中华人民共和国招标投标法实施条例》相关规定，遵守职业道德，</w:t>
      </w:r>
      <w:r>
        <w:rPr>
          <w:rFonts w:ascii="宋体" w:hAnsi="宋体" w:eastAsia="宋体" w:cs="宋体"/>
          <w:color w:val="auto"/>
          <w:spacing w:val="-5"/>
          <w:lang w:eastAsia="zh-CN"/>
        </w:rPr>
        <w:t>对所提出的评审意见承</w:t>
      </w:r>
      <w:r>
        <w:rPr>
          <w:rFonts w:ascii="宋体" w:hAnsi="宋体" w:eastAsia="宋体" w:cs="宋体"/>
          <w:color w:val="auto"/>
          <w:spacing w:val="-2"/>
          <w:lang w:eastAsia="zh-CN"/>
        </w:rPr>
        <w:t>担个人责任，自觉维护国家利益、社会公共利益。</w:t>
      </w:r>
    </w:p>
    <w:p w14:paraId="29F67E10">
      <w:pPr>
        <w:spacing w:before="158" w:line="220" w:lineRule="auto"/>
        <w:ind w:left="2124"/>
        <w:rPr>
          <w:rFonts w:ascii="宋体" w:hAnsi="宋体" w:eastAsia="宋体" w:cs="宋体"/>
          <w:color w:val="auto"/>
          <w:lang w:eastAsia="zh-CN"/>
        </w:rPr>
      </w:pPr>
      <w:r>
        <w:rPr>
          <w:rFonts w:ascii="宋体" w:hAnsi="宋体" w:eastAsia="宋体" w:cs="宋体"/>
          <w:color w:val="auto"/>
          <w:spacing w:val="-3"/>
          <w:lang w:eastAsia="zh-CN"/>
        </w:rPr>
        <w:t>（四）对依法应当否决的投标提出否决意见。</w:t>
      </w:r>
    </w:p>
    <w:p w14:paraId="3E32ECB9">
      <w:pPr>
        <w:spacing w:before="159" w:line="220" w:lineRule="auto"/>
        <w:ind w:left="2122"/>
        <w:rPr>
          <w:rFonts w:ascii="宋体" w:hAnsi="宋体" w:eastAsia="宋体" w:cs="宋体"/>
          <w:color w:val="auto"/>
          <w:lang w:eastAsia="zh-CN"/>
        </w:rPr>
      </w:pPr>
      <w:r>
        <w:rPr>
          <w:rFonts w:ascii="宋体" w:hAnsi="宋体" w:eastAsia="宋体" w:cs="宋体"/>
          <w:color w:val="auto"/>
          <w:spacing w:val="-2"/>
          <w:lang w:eastAsia="zh-CN"/>
        </w:rPr>
        <w:t>二、回避承诺</w:t>
      </w:r>
    </w:p>
    <w:p w14:paraId="7F9A411D">
      <w:pPr>
        <w:spacing w:before="158" w:line="220" w:lineRule="auto"/>
        <w:ind w:left="2124"/>
        <w:rPr>
          <w:rFonts w:ascii="宋体" w:hAnsi="宋体" w:eastAsia="宋体" w:cs="宋体"/>
          <w:color w:val="auto"/>
          <w:lang w:eastAsia="zh-CN"/>
        </w:rPr>
      </w:pPr>
      <w:r>
        <w:rPr>
          <w:rFonts w:ascii="宋体" w:hAnsi="宋体" w:eastAsia="宋体" w:cs="宋体"/>
          <w:color w:val="auto"/>
          <w:spacing w:val="-2"/>
          <w:lang w:eastAsia="zh-CN"/>
        </w:rPr>
        <w:t>（一）与招标人或投标人的主要负责人不存在近亲属关系。</w:t>
      </w:r>
    </w:p>
    <w:p w14:paraId="78019692">
      <w:pPr>
        <w:spacing w:before="159" w:line="220" w:lineRule="auto"/>
        <w:ind w:left="2124"/>
        <w:rPr>
          <w:rFonts w:ascii="宋体" w:hAnsi="宋体" w:eastAsia="宋体" w:cs="宋体"/>
          <w:color w:val="auto"/>
          <w:lang w:eastAsia="zh-CN"/>
        </w:rPr>
      </w:pPr>
      <w:r>
        <w:rPr>
          <w:rFonts w:ascii="宋体" w:hAnsi="宋体" w:eastAsia="宋体" w:cs="宋体"/>
          <w:color w:val="auto"/>
          <w:spacing w:val="-2"/>
          <w:lang w:eastAsia="zh-CN"/>
        </w:rPr>
        <w:t>（二）非项目主管部门或者行政监督部门的人员。</w:t>
      </w:r>
    </w:p>
    <w:p w14:paraId="1C80C361">
      <w:pPr>
        <w:spacing w:before="157" w:line="220" w:lineRule="auto"/>
        <w:ind w:left="2124"/>
        <w:rPr>
          <w:rFonts w:ascii="宋体" w:hAnsi="宋体" w:eastAsia="宋体" w:cs="宋体"/>
          <w:color w:val="auto"/>
          <w:lang w:eastAsia="zh-CN"/>
        </w:rPr>
      </w:pPr>
      <w:r>
        <w:rPr>
          <w:rFonts w:ascii="宋体" w:hAnsi="宋体" w:eastAsia="宋体" w:cs="宋体"/>
          <w:color w:val="auto"/>
          <w:spacing w:val="-2"/>
          <w:lang w:eastAsia="zh-CN"/>
        </w:rPr>
        <w:t>（三）近5年未与投标人或者投标人主要负责人有其他社会关系或者经济利益关系。</w:t>
      </w:r>
    </w:p>
    <w:p w14:paraId="60891815">
      <w:pPr>
        <w:spacing w:before="159" w:line="290" w:lineRule="auto"/>
        <w:ind w:left="1708" w:right="1806" w:firstLine="416"/>
        <w:rPr>
          <w:rFonts w:ascii="宋体" w:hAnsi="宋体" w:eastAsia="宋体" w:cs="宋体"/>
          <w:color w:val="auto"/>
          <w:lang w:eastAsia="zh-CN"/>
        </w:rPr>
      </w:pPr>
      <w:r>
        <w:rPr>
          <w:rFonts w:ascii="宋体" w:hAnsi="宋体" w:eastAsia="宋体" w:cs="宋体"/>
          <w:color w:val="auto"/>
          <w:spacing w:val="-3"/>
          <w:lang w:eastAsia="zh-CN"/>
        </w:rPr>
        <w:t>（四）未曾因在招标、评标以及其他与招标投标有关活动中从事违法行为而受过行政处</w:t>
      </w:r>
      <w:r>
        <w:rPr>
          <w:rFonts w:ascii="宋体" w:hAnsi="宋体" w:eastAsia="宋体" w:cs="宋体"/>
          <w:color w:val="auto"/>
          <w:spacing w:val="-6"/>
          <w:lang w:eastAsia="zh-CN"/>
        </w:rPr>
        <w:t>罚或刑事处罚的。</w:t>
      </w:r>
    </w:p>
    <w:p w14:paraId="671E28CB">
      <w:pPr>
        <w:spacing w:before="157" w:line="220" w:lineRule="auto"/>
        <w:ind w:left="2119"/>
        <w:rPr>
          <w:rFonts w:ascii="宋体" w:hAnsi="宋体" w:eastAsia="宋体" w:cs="宋体"/>
          <w:color w:val="auto"/>
          <w:lang w:eastAsia="zh-CN"/>
        </w:rPr>
      </w:pPr>
      <w:r>
        <w:rPr>
          <w:rFonts w:ascii="宋体" w:hAnsi="宋体" w:eastAsia="宋体" w:cs="宋体"/>
          <w:color w:val="auto"/>
          <w:spacing w:val="-2"/>
          <w:lang w:eastAsia="zh-CN"/>
        </w:rPr>
        <w:t>三、保密承诺</w:t>
      </w:r>
    </w:p>
    <w:p w14:paraId="3108F1A9">
      <w:pPr>
        <w:spacing w:before="158" w:line="290" w:lineRule="auto"/>
        <w:ind w:left="1700" w:right="1866" w:firstLine="424"/>
        <w:rPr>
          <w:rFonts w:ascii="宋体" w:hAnsi="宋体" w:eastAsia="宋体" w:cs="宋体"/>
          <w:color w:val="auto"/>
          <w:lang w:eastAsia="zh-CN"/>
        </w:rPr>
      </w:pPr>
      <w:r>
        <w:rPr>
          <w:rFonts w:ascii="宋体" w:hAnsi="宋体" w:eastAsia="宋体" w:cs="宋体"/>
          <w:color w:val="auto"/>
          <w:spacing w:val="-1"/>
          <w:lang w:eastAsia="zh-CN"/>
        </w:rPr>
        <w:t>（一）不在公共社交网站、媒体、平台，如微信群、QQ群、朋友圈、个人微博等，通</w:t>
      </w:r>
      <w:r>
        <w:rPr>
          <w:rFonts w:ascii="宋体" w:hAnsi="宋体" w:eastAsia="宋体" w:cs="宋体"/>
          <w:color w:val="auto"/>
          <w:spacing w:val="-2"/>
          <w:lang w:eastAsia="zh-CN"/>
        </w:rPr>
        <w:t>过视频、图片、暗语等方式泄露评标任务。</w:t>
      </w:r>
    </w:p>
    <w:p w14:paraId="589C00BB">
      <w:pPr>
        <w:spacing w:before="158" w:line="289" w:lineRule="auto"/>
        <w:ind w:left="1698" w:right="1806" w:firstLine="426"/>
        <w:rPr>
          <w:rFonts w:ascii="宋体" w:hAnsi="宋体" w:eastAsia="宋体" w:cs="宋体"/>
          <w:color w:val="auto"/>
          <w:lang w:eastAsia="zh-CN"/>
        </w:rPr>
      </w:pPr>
      <w:r>
        <w:rPr>
          <w:rFonts w:ascii="宋体" w:hAnsi="宋体" w:eastAsia="宋体" w:cs="宋体"/>
          <w:color w:val="auto"/>
          <w:spacing w:val="-3"/>
          <w:lang w:eastAsia="zh-CN"/>
        </w:rPr>
        <w:t>（二）评审结束时，全部清退不应由个人持有的评审项目所有文件和资料，不向任何人</w:t>
      </w:r>
      <w:r>
        <w:rPr>
          <w:rFonts w:ascii="宋体" w:hAnsi="宋体" w:eastAsia="宋体" w:cs="宋体"/>
          <w:color w:val="auto"/>
          <w:spacing w:val="-1"/>
          <w:lang w:eastAsia="zh-CN"/>
        </w:rPr>
        <w:t>透露投标文件的评审和比较情况、中标候选人推荐情况以及与评审有关的其他情况。</w:t>
      </w:r>
    </w:p>
    <w:p w14:paraId="1293B83D">
      <w:pPr>
        <w:spacing w:before="159" w:line="220" w:lineRule="auto"/>
        <w:ind w:left="2139"/>
        <w:rPr>
          <w:rFonts w:ascii="宋体" w:hAnsi="宋体" w:eastAsia="宋体" w:cs="宋体"/>
          <w:color w:val="auto"/>
          <w:lang w:eastAsia="zh-CN"/>
        </w:rPr>
      </w:pPr>
      <w:r>
        <w:rPr>
          <w:rFonts w:ascii="宋体" w:hAnsi="宋体" w:eastAsia="宋体" w:cs="宋体"/>
          <w:color w:val="auto"/>
          <w:spacing w:val="-4"/>
          <w:lang w:eastAsia="zh-CN"/>
        </w:rPr>
        <w:t>四、廉洁承诺</w:t>
      </w:r>
    </w:p>
    <w:p w14:paraId="244188B8">
      <w:pPr>
        <w:spacing w:before="158" w:line="290" w:lineRule="auto"/>
        <w:ind w:left="1701" w:right="1805" w:firstLine="423"/>
        <w:rPr>
          <w:rFonts w:ascii="宋体" w:hAnsi="宋体" w:eastAsia="宋体" w:cs="宋体"/>
          <w:color w:val="auto"/>
          <w:lang w:eastAsia="zh-CN"/>
        </w:rPr>
      </w:pPr>
      <w:r>
        <w:rPr>
          <w:rFonts w:ascii="宋体" w:hAnsi="宋体" w:eastAsia="宋体" w:cs="宋体"/>
          <w:color w:val="auto"/>
          <w:spacing w:val="-3"/>
          <w:lang w:eastAsia="zh-CN"/>
        </w:rPr>
        <w:t>（一）严格履行廉政自律责任，遵守评标廉政纪律，没有私下接触招标人、招标代理机</w:t>
      </w:r>
      <w:r>
        <w:rPr>
          <w:rFonts w:ascii="宋体" w:hAnsi="宋体" w:eastAsia="宋体" w:cs="宋体"/>
          <w:color w:val="auto"/>
          <w:spacing w:val="-2"/>
          <w:lang w:eastAsia="zh-CN"/>
        </w:rPr>
        <w:t>构、投标人，没有收受利益相关人或企业的财物、好处。</w:t>
      </w:r>
    </w:p>
    <w:p w14:paraId="1702FBE8">
      <w:pPr>
        <w:spacing w:before="159" w:line="290" w:lineRule="auto"/>
        <w:ind w:left="1716" w:right="1806" w:firstLine="408"/>
        <w:rPr>
          <w:rFonts w:ascii="宋体" w:hAnsi="宋体" w:eastAsia="宋体" w:cs="宋体"/>
          <w:color w:val="auto"/>
          <w:lang w:eastAsia="zh-CN"/>
        </w:rPr>
      </w:pPr>
      <w:r>
        <w:rPr>
          <w:rFonts w:ascii="宋体" w:hAnsi="宋体" w:eastAsia="宋体" w:cs="宋体"/>
          <w:color w:val="auto"/>
          <w:spacing w:val="-3"/>
          <w:lang w:eastAsia="zh-CN"/>
        </w:rPr>
        <w:t>（二）不向招标人征询确定中标人的意向或者接受任何单位、个人明示暗示特定投标人</w:t>
      </w:r>
      <w:r>
        <w:rPr>
          <w:rFonts w:ascii="宋体" w:hAnsi="宋体" w:eastAsia="宋体" w:cs="宋体"/>
          <w:color w:val="auto"/>
          <w:spacing w:val="-11"/>
          <w:lang w:eastAsia="zh-CN"/>
        </w:rPr>
        <w:t>的要求。</w:t>
      </w:r>
    </w:p>
    <w:p w14:paraId="4707CE55">
      <w:pPr>
        <w:spacing w:before="156" w:line="220" w:lineRule="auto"/>
        <w:ind w:left="2124"/>
        <w:rPr>
          <w:rFonts w:ascii="宋体" w:hAnsi="宋体" w:eastAsia="宋体" w:cs="宋体"/>
          <w:color w:val="auto"/>
          <w:lang w:eastAsia="zh-CN"/>
        </w:rPr>
      </w:pPr>
      <w:r>
        <w:rPr>
          <w:rFonts w:ascii="宋体" w:hAnsi="宋体" w:eastAsia="宋体" w:cs="宋体"/>
          <w:color w:val="auto"/>
          <w:spacing w:val="-1"/>
          <w:lang w:eastAsia="zh-CN"/>
        </w:rPr>
        <w:t>（三）不暗示或者诱导投标人作出澄清、说明或者接受投标人主动提出的</w:t>
      </w:r>
      <w:r>
        <w:rPr>
          <w:rFonts w:ascii="宋体" w:hAnsi="宋体" w:eastAsia="宋体" w:cs="宋体"/>
          <w:color w:val="auto"/>
          <w:spacing w:val="-2"/>
          <w:lang w:eastAsia="zh-CN"/>
        </w:rPr>
        <w:t>澄清、说明。</w:t>
      </w:r>
    </w:p>
    <w:p w14:paraId="44D66B81">
      <w:pPr>
        <w:spacing w:line="220" w:lineRule="auto"/>
        <w:rPr>
          <w:rFonts w:ascii="宋体" w:hAnsi="宋体" w:eastAsia="宋体" w:cs="宋体"/>
          <w:color w:val="auto"/>
          <w:lang w:eastAsia="zh-CN"/>
        </w:rPr>
        <w:sectPr>
          <w:headerReference r:id="rId76" w:type="default"/>
          <w:footerReference r:id="rId77" w:type="default"/>
          <w:pgSz w:w="11906" w:h="16839"/>
          <w:pgMar w:top="400" w:right="0" w:bottom="938" w:left="105" w:header="0" w:footer="669" w:gutter="0"/>
          <w:cols w:space="720" w:num="1"/>
        </w:sectPr>
      </w:pPr>
    </w:p>
    <w:p w14:paraId="5B267F6B">
      <w:pPr>
        <w:pStyle w:val="8"/>
        <w:spacing w:line="249" w:lineRule="auto"/>
        <w:rPr>
          <w:lang w:eastAsia="zh-CN"/>
        </w:rPr>
      </w:pPr>
    </w:p>
    <w:p w14:paraId="03515AA8">
      <w:pPr>
        <w:pStyle w:val="8"/>
        <w:spacing w:line="249" w:lineRule="auto"/>
        <w:rPr>
          <w:lang w:eastAsia="zh-CN"/>
        </w:rPr>
      </w:pPr>
    </w:p>
    <w:p w14:paraId="123D65BC">
      <w:pPr>
        <w:pStyle w:val="8"/>
        <w:spacing w:line="250" w:lineRule="auto"/>
        <w:rPr>
          <w:lang w:eastAsia="zh-CN"/>
        </w:rPr>
      </w:pPr>
    </w:p>
    <w:p w14:paraId="7905239A">
      <w:pPr>
        <w:pStyle w:val="8"/>
        <w:spacing w:line="250" w:lineRule="auto"/>
        <w:rPr>
          <w:lang w:eastAsia="zh-CN"/>
        </w:rPr>
      </w:pPr>
    </w:p>
    <w:p w14:paraId="3A611D56">
      <w:pPr>
        <w:spacing w:before="69" w:line="359" w:lineRule="auto"/>
        <w:ind w:left="1701" w:right="1718" w:firstLine="423"/>
        <w:rPr>
          <w:rFonts w:ascii="宋体" w:hAnsi="宋体" w:eastAsia="宋体" w:cs="宋体"/>
          <w:color w:val="auto"/>
          <w:lang w:eastAsia="zh-CN"/>
        </w:rPr>
      </w:pPr>
      <w:r>
        <w:rPr>
          <w:rFonts w:ascii="宋体" w:hAnsi="宋体" w:eastAsia="宋体" w:cs="宋体"/>
          <w:color w:val="auto"/>
          <w:spacing w:val="-1"/>
          <w:lang w:eastAsia="zh-CN"/>
        </w:rPr>
        <w:t>（四）自觉抵制招标投标活动中的违法违规行为，积极配合协助行政监督部门、纪检监</w:t>
      </w:r>
      <w:r>
        <w:rPr>
          <w:rFonts w:ascii="宋体" w:hAnsi="宋体" w:eastAsia="宋体" w:cs="宋体"/>
          <w:color w:val="auto"/>
          <w:spacing w:val="-2"/>
          <w:lang w:eastAsia="zh-CN"/>
        </w:rPr>
        <w:t>察部门、公安部门、检察机关等依法进行监督。</w:t>
      </w:r>
    </w:p>
    <w:p w14:paraId="4405896A">
      <w:pPr>
        <w:spacing w:line="220" w:lineRule="auto"/>
        <w:ind w:left="2122"/>
        <w:rPr>
          <w:rFonts w:ascii="宋体" w:hAnsi="宋体" w:eastAsia="宋体" w:cs="宋体"/>
          <w:color w:val="auto"/>
          <w:lang w:eastAsia="zh-CN"/>
        </w:rPr>
      </w:pPr>
      <w:r>
        <w:rPr>
          <w:rFonts w:ascii="宋体" w:hAnsi="宋体" w:eastAsia="宋体" w:cs="宋体"/>
          <w:color w:val="auto"/>
          <w:spacing w:val="-1"/>
          <w:lang w:eastAsia="zh-CN"/>
        </w:rPr>
        <w:t>五、不参与串通投标承诺</w:t>
      </w:r>
    </w:p>
    <w:p w14:paraId="377088C7">
      <w:pPr>
        <w:spacing w:before="157" w:line="220" w:lineRule="auto"/>
        <w:ind w:left="2124"/>
        <w:rPr>
          <w:rFonts w:ascii="宋体" w:hAnsi="宋体" w:eastAsia="宋体" w:cs="宋体"/>
          <w:color w:val="auto"/>
          <w:lang w:eastAsia="zh-CN"/>
        </w:rPr>
      </w:pPr>
      <w:r>
        <w:rPr>
          <w:rFonts w:ascii="宋体" w:hAnsi="宋体" w:eastAsia="宋体" w:cs="宋体"/>
          <w:color w:val="auto"/>
          <w:spacing w:val="-2"/>
          <w:lang w:eastAsia="zh-CN"/>
        </w:rPr>
        <w:t>（一）依法依规参加本招标项目的评标工作，不参与串通投标。</w:t>
      </w:r>
    </w:p>
    <w:p w14:paraId="5587F96A">
      <w:pPr>
        <w:spacing w:before="160" w:line="331" w:lineRule="auto"/>
        <w:ind w:left="1700" w:right="1632" w:firstLine="424"/>
        <w:rPr>
          <w:rFonts w:ascii="宋体" w:hAnsi="宋体" w:eastAsia="宋体" w:cs="宋体"/>
          <w:color w:val="auto"/>
          <w:lang w:eastAsia="zh-CN"/>
        </w:rPr>
      </w:pPr>
      <w:r>
        <w:rPr>
          <w:rFonts w:ascii="宋体" w:hAnsi="宋体" w:eastAsia="宋体" w:cs="宋体"/>
          <w:color w:val="auto"/>
          <w:spacing w:val="-3"/>
          <w:lang w:eastAsia="zh-CN"/>
        </w:rPr>
        <w:t>（二）清楚并知晓《中华人民共和国刑法》第一百六十三条“公司、企业或者其他单位</w:t>
      </w:r>
      <w:r>
        <w:rPr>
          <w:rFonts w:ascii="宋体" w:hAnsi="宋体" w:eastAsia="宋体" w:cs="宋体"/>
          <w:color w:val="auto"/>
          <w:spacing w:val="2"/>
          <w:lang w:eastAsia="zh-CN"/>
        </w:rPr>
        <w:t>的工作人员，利用职务上的便利，索取他人财物或者非法收</w:t>
      </w:r>
      <w:r>
        <w:rPr>
          <w:rFonts w:ascii="宋体" w:hAnsi="宋体" w:eastAsia="宋体" w:cs="宋体"/>
          <w:color w:val="auto"/>
          <w:spacing w:val="1"/>
          <w:lang w:eastAsia="zh-CN"/>
        </w:rPr>
        <w:t>受他人财物，为他人谋取利益，</w:t>
      </w:r>
      <w:r>
        <w:rPr>
          <w:rFonts w:ascii="宋体" w:hAnsi="宋体" w:eastAsia="宋体" w:cs="宋体"/>
          <w:color w:val="auto"/>
          <w:spacing w:val="2"/>
          <w:lang w:eastAsia="zh-CN"/>
        </w:rPr>
        <w:t>数额较大的，处三年以下有期徒刑或者拘役，并处罚金；数</w:t>
      </w:r>
      <w:r>
        <w:rPr>
          <w:rFonts w:ascii="宋体" w:hAnsi="宋体" w:eastAsia="宋体" w:cs="宋体"/>
          <w:color w:val="auto"/>
          <w:spacing w:val="1"/>
          <w:lang w:eastAsia="zh-CN"/>
        </w:rPr>
        <w:t>额巨大或者有其他严重情节的，</w:t>
      </w:r>
      <w:r>
        <w:rPr>
          <w:rFonts w:ascii="宋体" w:hAnsi="宋体" w:eastAsia="宋体" w:cs="宋体"/>
          <w:color w:val="auto"/>
          <w:spacing w:val="-2"/>
          <w:lang w:eastAsia="zh-CN"/>
        </w:rPr>
        <w:t>处三年以上十年以下徒刑，并处罚金；数额</w:t>
      </w:r>
      <w:r>
        <w:rPr>
          <w:rFonts w:ascii="宋体" w:hAnsi="宋体" w:eastAsia="宋体" w:cs="宋体"/>
          <w:color w:val="auto"/>
          <w:spacing w:val="-3"/>
          <w:lang w:eastAsia="zh-CN"/>
        </w:rPr>
        <w:t>特别巨大或者有其他特别严重情节的，处十年以上有期徒刑或者无期徒刑，并处罚金”的规定。</w:t>
      </w:r>
    </w:p>
    <w:p w14:paraId="0B37771E">
      <w:pPr>
        <w:spacing w:before="157" w:line="290" w:lineRule="auto"/>
        <w:ind w:left="1698" w:right="1737" w:firstLine="426"/>
        <w:rPr>
          <w:rFonts w:ascii="宋体" w:hAnsi="宋体" w:eastAsia="宋体" w:cs="宋体"/>
          <w:color w:val="auto"/>
          <w:lang w:eastAsia="zh-CN"/>
        </w:rPr>
      </w:pPr>
      <w:r>
        <w:rPr>
          <w:rFonts w:ascii="宋体" w:hAnsi="宋体" w:eastAsia="宋体" w:cs="宋体"/>
          <w:color w:val="auto"/>
          <w:spacing w:val="-6"/>
          <w:lang w:eastAsia="zh-CN"/>
        </w:rPr>
        <w:t>（三）本人如被查实在本招标项目评标工作中</w:t>
      </w:r>
      <w:r>
        <w:rPr>
          <w:rFonts w:ascii="宋体" w:hAnsi="宋体" w:eastAsia="宋体" w:cs="宋体"/>
          <w:color w:val="auto"/>
          <w:spacing w:val="-7"/>
          <w:lang w:eastAsia="zh-CN"/>
        </w:rPr>
        <w:t>参与串通投标的，自愿承担相应法律责任，</w:t>
      </w:r>
      <w:r>
        <w:rPr>
          <w:rFonts w:ascii="宋体" w:hAnsi="宋体" w:eastAsia="宋体" w:cs="宋体"/>
          <w:color w:val="auto"/>
          <w:spacing w:val="-2"/>
          <w:lang w:eastAsia="zh-CN"/>
        </w:rPr>
        <w:t>接受相应刑事和纪律、行政处罚以及失信惩戒。</w:t>
      </w:r>
    </w:p>
    <w:p w14:paraId="36B7771B">
      <w:pPr>
        <w:spacing w:before="157" w:line="220" w:lineRule="auto"/>
        <w:ind w:left="2120"/>
        <w:rPr>
          <w:rFonts w:ascii="宋体" w:hAnsi="宋体" w:eastAsia="宋体" w:cs="宋体"/>
          <w:color w:val="auto"/>
          <w:lang w:eastAsia="zh-CN"/>
        </w:rPr>
      </w:pPr>
      <w:r>
        <w:rPr>
          <w:rFonts w:ascii="宋体" w:hAnsi="宋体" w:eastAsia="宋体" w:cs="宋体"/>
          <w:color w:val="auto"/>
          <w:spacing w:val="-3"/>
          <w:lang w:eastAsia="zh-CN"/>
        </w:rPr>
        <w:t>六、本承诺函由我本人亲自签字确认。</w:t>
      </w:r>
    </w:p>
    <w:p w14:paraId="09FD86BD">
      <w:pPr>
        <w:pStyle w:val="8"/>
        <w:spacing w:line="300" w:lineRule="auto"/>
        <w:rPr>
          <w:lang w:eastAsia="zh-CN"/>
        </w:rPr>
      </w:pPr>
    </w:p>
    <w:p w14:paraId="4804043E">
      <w:pPr>
        <w:pStyle w:val="8"/>
        <w:spacing w:line="300" w:lineRule="auto"/>
        <w:rPr>
          <w:lang w:eastAsia="zh-CN"/>
        </w:rPr>
      </w:pPr>
    </w:p>
    <w:p w14:paraId="5E769199">
      <w:pPr>
        <w:pStyle w:val="8"/>
        <w:spacing w:line="301" w:lineRule="auto"/>
        <w:rPr>
          <w:lang w:eastAsia="zh-CN"/>
        </w:rPr>
      </w:pPr>
    </w:p>
    <w:p w14:paraId="45EC9422">
      <w:pPr>
        <w:spacing w:before="68" w:line="220" w:lineRule="auto"/>
        <w:ind w:left="2120"/>
        <w:rPr>
          <w:rFonts w:ascii="宋体" w:hAnsi="宋体" w:eastAsia="宋体" w:cs="宋体"/>
          <w:color w:val="auto"/>
          <w:lang w:eastAsia="zh-CN"/>
        </w:rPr>
      </w:pPr>
      <w:r>
        <w:rPr>
          <w:rFonts w:ascii="宋体" w:hAnsi="宋体" w:eastAsia="宋体" w:cs="宋体"/>
          <w:color w:val="auto"/>
          <w:spacing w:val="-2"/>
          <w:lang w:eastAsia="zh-CN"/>
        </w:rPr>
        <w:t>本人是□ 否□为中共党员</w:t>
      </w:r>
    </w:p>
    <w:p w14:paraId="65786630">
      <w:pPr>
        <w:spacing w:before="159" w:line="220" w:lineRule="auto"/>
        <w:ind w:left="3384"/>
        <w:rPr>
          <w:rFonts w:ascii="宋体" w:hAnsi="宋体" w:eastAsia="宋体" w:cs="宋体"/>
          <w:color w:val="auto"/>
          <w:lang w:eastAsia="zh-CN"/>
        </w:rPr>
      </w:pPr>
      <w:r>
        <w:rPr>
          <w:rFonts w:ascii="宋体" w:hAnsi="宋体" w:eastAsia="宋体" w:cs="宋体"/>
          <w:color w:val="auto"/>
          <w:spacing w:val="-6"/>
          <w:lang w:eastAsia="zh-CN"/>
        </w:rPr>
        <w:t>（应单选，</w:t>
      </w:r>
      <w:r>
        <w:rPr>
          <w:rFonts w:ascii="宋体" w:hAnsi="宋体" w:eastAsia="宋体" w:cs="宋体"/>
          <w:b/>
          <w:bCs/>
          <w:color w:val="auto"/>
          <w:spacing w:val="-6"/>
          <w:lang w:eastAsia="zh-CN"/>
        </w:rPr>
        <w:t>并在方框内打“√”</w:t>
      </w:r>
      <w:r>
        <w:rPr>
          <w:rFonts w:hint="eastAsia" w:ascii="宋体" w:hAnsi="宋体" w:eastAsia="宋体" w:cs="宋体"/>
          <w:color w:val="auto"/>
          <w:spacing w:val="-6"/>
          <w:lang w:eastAsia="zh-CN"/>
        </w:rPr>
        <w:t>）</w:t>
      </w:r>
    </w:p>
    <w:p w14:paraId="2AA3FBE9">
      <w:pPr>
        <w:pStyle w:val="8"/>
        <w:spacing w:line="261" w:lineRule="auto"/>
        <w:rPr>
          <w:lang w:eastAsia="zh-CN"/>
        </w:rPr>
      </w:pPr>
    </w:p>
    <w:p w14:paraId="1AC3FF41">
      <w:pPr>
        <w:pStyle w:val="8"/>
        <w:spacing w:line="261" w:lineRule="auto"/>
        <w:rPr>
          <w:lang w:eastAsia="zh-CN"/>
        </w:rPr>
      </w:pPr>
    </w:p>
    <w:p w14:paraId="7C0EE6B7">
      <w:pPr>
        <w:pStyle w:val="8"/>
        <w:spacing w:line="261" w:lineRule="auto"/>
        <w:rPr>
          <w:lang w:eastAsia="zh-CN"/>
        </w:rPr>
      </w:pPr>
    </w:p>
    <w:p w14:paraId="0BA0EF69">
      <w:pPr>
        <w:pStyle w:val="8"/>
        <w:spacing w:line="262" w:lineRule="auto"/>
        <w:rPr>
          <w:lang w:eastAsia="zh-CN"/>
        </w:rPr>
      </w:pPr>
    </w:p>
    <w:p w14:paraId="60ED9386">
      <w:pPr>
        <w:pStyle w:val="8"/>
        <w:spacing w:line="262" w:lineRule="auto"/>
        <w:rPr>
          <w:lang w:eastAsia="zh-CN"/>
        </w:rPr>
      </w:pPr>
    </w:p>
    <w:p w14:paraId="04D47150">
      <w:pPr>
        <w:spacing w:before="69" w:line="220" w:lineRule="auto"/>
        <w:ind w:left="6485"/>
        <w:rPr>
          <w:rFonts w:ascii="宋体" w:hAnsi="宋体" w:eastAsia="宋体" w:cs="宋体"/>
          <w:color w:val="auto"/>
          <w:lang w:eastAsia="zh-CN"/>
        </w:rPr>
      </w:pPr>
      <w:r>
        <w:rPr>
          <w:rFonts w:ascii="宋体" w:hAnsi="宋体" w:eastAsia="宋体" w:cs="宋体"/>
          <w:color w:val="auto"/>
          <w:spacing w:val="-3"/>
          <w:lang w:eastAsia="zh-CN"/>
        </w:rPr>
        <w:t>承 诺人</w:t>
      </w:r>
      <w:r>
        <w:rPr>
          <w:rFonts w:ascii="宋体" w:hAnsi="宋体" w:eastAsia="宋体" w:cs="宋体"/>
          <w:color w:val="auto"/>
          <w:spacing w:val="-5"/>
          <w:lang w:eastAsia="zh-CN"/>
        </w:rPr>
        <w:t>：（</w:t>
      </w:r>
      <w:r>
        <w:rPr>
          <w:rFonts w:ascii="宋体" w:hAnsi="宋体" w:eastAsia="宋体" w:cs="宋体"/>
          <w:color w:val="auto"/>
          <w:spacing w:val="-3"/>
          <w:lang w:eastAsia="zh-CN"/>
        </w:rPr>
        <w:t>签字）</w:t>
      </w:r>
    </w:p>
    <w:p w14:paraId="2F1B05B9">
      <w:pPr>
        <w:pStyle w:val="8"/>
        <w:spacing w:line="247" w:lineRule="auto"/>
        <w:rPr>
          <w:lang w:eastAsia="zh-CN"/>
        </w:rPr>
      </w:pPr>
    </w:p>
    <w:p w14:paraId="6EF8F94C">
      <w:pPr>
        <w:pStyle w:val="8"/>
        <w:spacing w:line="248" w:lineRule="auto"/>
        <w:rPr>
          <w:lang w:eastAsia="zh-CN"/>
        </w:rPr>
      </w:pPr>
    </w:p>
    <w:p w14:paraId="6692056D">
      <w:pPr>
        <w:spacing w:before="69" w:line="220" w:lineRule="auto"/>
        <w:ind w:left="6275"/>
        <w:rPr>
          <w:rFonts w:ascii="宋体" w:hAnsi="宋体" w:eastAsia="宋体" w:cs="宋体"/>
          <w:color w:val="auto"/>
          <w:lang w:eastAsia="zh-CN"/>
        </w:rPr>
      </w:pPr>
      <w:r>
        <w:rPr>
          <w:rFonts w:ascii="宋体" w:hAnsi="宋体" w:eastAsia="宋体" w:cs="宋体"/>
          <w:color w:val="auto"/>
          <w:spacing w:val="-2"/>
          <w:lang w:eastAsia="zh-CN"/>
        </w:rPr>
        <w:t>承诺时间：    年月日</w:t>
      </w:r>
    </w:p>
    <w:p w14:paraId="3D635DDD">
      <w:pPr>
        <w:spacing w:line="220" w:lineRule="auto"/>
        <w:rPr>
          <w:rFonts w:ascii="宋体" w:hAnsi="宋体" w:eastAsia="宋体" w:cs="宋体"/>
          <w:color w:val="auto"/>
          <w:lang w:eastAsia="zh-CN"/>
        </w:rPr>
        <w:sectPr>
          <w:headerReference r:id="rId78" w:type="default"/>
          <w:footerReference r:id="rId79" w:type="default"/>
          <w:pgSz w:w="11906" w:h="16839"/>
          <w:pgMar w:top="400" w:right="0" w:bottom="938" w:left="105" w:header="0" w:footer="669" w:gutter="0"/>
          <w:cols w:space="720" w:num="1"/>
        </w:sectPr>
      </w:pPr>
    </w:p>
    <w:p w14:paraId="6EC13A42">
      <w:pPr>
        <w:pStyle w:val="8"/>
        <w:spacing w:line="267" w:lineRule="auto"/>
        <w:rPr>
          <w:lang w:eastAsia="zh-CN"/>
        </w:rPr>
      </w:pPr>
    </w:p>
    <w:p w14:paraId="7688FB4E">
      <w:pPr>
        <w:pStyle w:val="8"/>
        <w:spacing w:line="267" w:lineRule="auto"/>
        <w:rPr>
          <w:lang w:eastAsia="zh-CN"/>
        </w:rPr>
      </w:pPr>
    </w:p>
    <w:p w14:paraId="45F7C10D">
      <w:pPr>
        <w:pStyle w:val="8"/>
        <w:spacing w:line="267" w:lineRule="auto"/>
        <w:rPr>
          <w:lang w:eastAsia="zh-CN"/>
        </w:rPr>
      </w:pPr>
    </w:p>
    <w:p w14:paraId="61BB5C9C">
      <w:pPr>
        <w:pStyle w:val="8"/>
        <w:spacing w:line="268" w:lineRule="auto"/>
        <w:rPr>
          <w:lang w:eastAsia="zh-CN"/>
        </w:rPr>
      </w:pPr>
    </w:p>
    <w:p w14:paraId="553E6484">
      <w:pPr>
        <w:spacing w:before="78" w:line="221" w:lineRule="auto"/>
        <w:ind w:left="1831"/>
        <w:outlineLvl w:val="2"/>
        <w:rPr>
          <w:rFonts w:ascii="黑体" w:hAnsi="黑体" w:eastAsia="黑体" w:cs="黑体"/>
          <w:color w:val="auto"/>
          <w:sz w:val="24"/>
          <w:szCs w:val="24"/>
          <w:lang w:eastAsia="zh-CN"/>
        </w:rPr>
      </w:pPr>
      <w:bookmarkStart w:id="322" w:name="bookmark247"/>
      <w:bookmarkEnd w:id="322"/>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A-3</w:t>
      </w:r>
      <w:r>
        <w:rPr>
          <w:rFonts w:ascii="黑体" w:hAnsi="黑体" w:eastAsia="黑体" w:cs="黑体"/>
          <w:color w:val="auto"/>
          <w:spacing w:val="-3"/>
          <w:sz w:val="24"/>
          <w:szCs w:val="24"/>
          <w:lang w:eastAsia="zh-CN"/>
        </w:rPr>
        <w:t>：技术暗标编号确认表</w:t>
      </w:r>
    </w:p>
    <w:p w14:paraId="6E827101">
      <w:pPr>
        <w:pStyle w:val="8"/>
        <w:spacing w:line="403" w:lineRule="auto"/>
        <w:rPr>
          <w:lang w:eastAsia="zh-CN"/>
        </w:rPr>
      </w:pPr>
    </w:p>
    <w:p w14:paraId="213E02DE">
      <w:pPr>
        <w:spacing w:before="117" w:line="221" w:lineRule="auto"/>
        <w:ind w:left="4241"/>
        <w:rPr>
          <w:rFonts w:ascii="黑体" w:hAnsi="黑体" w:eastAsia="黑体" w:cs="黑体"/>
          <w:color w:val="auto"/>
          <w:sz w:val="36"/>
          <w:szCs w:val="36"/>
          <w:lang w:eastAsia="zh-CN"/>
        </w:rPr>
      </w:pPr>
      <w:bookmarkStart w:id="323" w:name="bookmark129"/>
      <w:bookmarkEnd w:id="323"/>
      <w:r>
        <w:rPr>
          <w:rFonts w:ascii="黑体" w:hAnsi="黑体" w:eastAsia="黑体" w:cs="黑体"/>
          <w:color w:val="auto"/>
          <w:spacing w:val="-2"/>
          <w:sz w:val="36"/>
          <w:szCs w:val="36"/>
          <w:lang w:eastAsia="zh-CN"/>
        </w:rPr>
        <w:t>技术暗标编号确认表</w:t>
      </w:r>
    </w:p>
    <w:p w14:paraId="7D72F220">
      <w:pPr>
        <w:spacing w:before="239"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2AE3319C">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302"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87"/>
        <w:gridCol w:w="605"/>
        <w:gridCol w:w="603"/>
        <w:gridCol w:w="603"/>
        <w:gridCol w:w="603"/>
        <w:gridCol w:w="603"/>
        <w:gridCol w:w="603"/>
        <w:gridCol w:w="604"/>
        <w:gridCol w:w="604"/>
        <w:gridCol w:w="604"/>
        <w:gridCol w:w="733"/>
      </w:tblGrid>
      <w:tr w14:paraId="70664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50" w:type="dxa"/>
            <w:vMerge w:val="restart"/>
            <w:tcBorders>
              <w:bottom w:val="nil"/>
            </w:tcBorders>
          </w:tcPr>
          <w:p w14:paraId="246C4EE8">
            <w:pPr>
              <w:spacing w:line="251" w:lineRule="auto"/>
              <w:rPr>
                <w:color w:val="auto"/>
              </w:rPr>
            </w:pPr>
          </w:p>
          <w:p w14:paraId="5D8249EE">
            <w:pPr>
              <w:pStyle w:val="21"/>
              <w:spacing w:before="68" w:line="222" w:lineRule="auto"/>
              <w:ind w:left="214"/>
              <w:rPr>
                <w:color w:val="auto"/>
              </w:rPr>
            </w:pPr>
            <w:r>
              <w:rPr>
                <w:b/>
                <w:bCs/>
                <w:color w:val="auto"/>
                <w:spacing w:val="-6"/>
              </w:rPr>
              <w:t>序号</w:t>
            </w:r>
          </w:p>
        </w:tc>
        <w:tc>
          <w:tcPr>
            <w:tcW w:w="1287" w:type="dxa"/>
            <w:vMerge w:val="restart"/>
            <w:tcBorders>
              <w:bottom w:val="nil"/>
            </w:tcBorders>
          </w:tcPr>
          <w:p w14:paraId="5BD667A4">
            <w:pPr>
              <w:spacing w:line="251" w:lineRule="auto"/>
              <w:rPr>
                <w:color w:val="auto"/>
              </w:rPr>
            </w:pPr>
          </w:p>
          <w:p w14:paraId="203A361C">
            <w:pPr>
              <w:pStyle w:val="21"/>
              <w:spacing w:before="69" w:line="221" w:lineRule="auto"/>
              <w:ind w:left="118"/>
              <w:rPr>
                <w:color w:val="auto"/>
              </w:rPr>
            </w:pPr>
            <w:r>
              <w:rPr>
                <w:b/>
                <w:bCs/>
                <w:color w:val="auto"/>
                <w:spacing w:val="-4"/>
              </w:rPr>
              <w:t>投标人名称</w:t>
            </w:r>
          </w:p>
        </w:tc>
        <w:tc>
          <w:tcPr>
            <w:tcW w:w="5432" w:type="dxa"/>
            <w:gridSpan w:val="9"/>
          </w:tcPr>
          <w:p w14:paraId="398FEE3B">
            <w:pPr>
              <w:pStyle w:val="21"/>
              <w:spacing w:before="107" w:line="220" w:lineRule="auto"/>
              <w:ind w:left="1770"/>
              <w:rPr>
                <w:color w:val="auto"/>
              </w:rPr>
            </w:pPr>
            <w:r>
              <w:rPr>
                <w:b/>
                <w:bCs/>
                <w:color w:val="auto"/>
                <w:spacing w:val="-3"/>
              </w:rPr>
              <w:t>评审标准及评审意见</w:t>
            </w:r>
          </w:p>
        </w:tc>
        <w:tc>
          <w:tcPr>
            <w:tcW w:w="733" w:type="dxa"/>
            <w:vMerge w:val="restart"/>
            <w:tcBorders>
              <w:bottom w:val="nil"/>
            </w:tcBorders>
          </w:tcPr>
          <w:p w14:paraId="7AC0F653">
            <w:pPr>
              <w:pStyle w:val="21"/>
              <w:spacing w:before="185" w:line="242" w:lineRule="auto"/>
              <w:ind w:left="165" w:right="149" w:hanging="5"/>
              <w:rPr>
                <w:color w:val="auto"/>
              </w:rPr>
            </w:pPr>
            <w:r>
              <w:rPr>
                <w:b/>
                <w:bCs/>
                <w:color w:val="auto"/>
                <w:spacing w:val="-6"/>
              </w:rPr>
              <w:t>评审</w:t>
            </w:r>
            <w:r>
              <w:rPr>
                <w:b/>
                <w:bCs/>
                <w:color w:val="auto"/>
                <w:spacing w:val="-9"/>
              </w:rPr>
              <w:t>结论</w:t>
            </w:r>
          </w:p>
        </w:tc>
      </w:tr>
      <w:tr w14:paraId="110A5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850" w:type="dxa"/>
            <w:vMerge w:val="continue"/>
            <w:tcBorders>
              <w:top w:val="nil"/>
            </w:tcBorders>
          </w:tcPr>
          <w:p w14:paraId="5C7B35D1">
            <w:pPr>
              <w:rPr>
                <w:color w:val="auto"/>
              </w:rPr>
            </w:pPr>
          </w:p>
        </w:tc>
        <w:tc>
          <w:tcPr>
            <w:tcW w:w="1287" w:type="dxa"/>
            <w:vMerge w:val="continue"/>
            <w:tcBorders>
              <w:top w:val="nil"/>
            </w:tcBorders>
          </w:tcPr>
          <w:p w14:paraId="3FEB21F3">
            <w:pPr>
              <w:rPr>
                <w:color w:val="auto"/>
              </w:rPr>
            </w:pPr>
          </w:p>
        </w:tc>
        <w:tc>
          <w:tcPr>
            <w:tcW w:w="605" w:type="dxa"/>
          </w:tcPr>
          <w:p w14:paraId="47A0B649">
            <w:pPr>
              <w:rPr>
                <w:color w:val="auto"/>
              </w:rPr>
            </w:pPr>
          </w:p>
        </w:tc>
        <w:tc>
          <w:tcPr>
            <w:tcW w:w="603" w:type="dxa"/>
          </w:tcPr>
          <w:p w14:paraId="1C175DD1">
            <w:pPr>
              <w:rPr>
                <w:color w:val="auto"/>
              </w:rPr>
            </w:pPr>
          </w:p>
        </w:tc>
        <w:tc>
          <w:tcPr>
            <w:tcW w:w="603" w:type="dxa"/>
          </w:tcPr>
          <w:p w14:paraId="0B21BD67">
            <w:pPr>
              <w:rPr>
                <w:color w:val="auto"/>
              </w:rPr>
            </w:pPr>
          </w:p>
        </w:tc>
        <w:tc>
          <w:tcPr>
            <w:tcW w:w="603" w:type="dxa"/>
          </w:tcPr>
          <w:p w14:paraId="0ECD5BF8">
            <w:pPr>
              <w:rPr>
                <w:color w:val="auto"/>
              </w:rPr>
            </w:pPr>
          </w:p>
        </w:tc>
        <w:tc>
          <w:tcPr>
            <w:tcW w:w="603" w:type="dxa"/>
          </w:tcPr>
          <w:p w14:paraId="709202C4">
            <w:pPr>
              <w:rPr>
                <w:color w:val="auto"/>
              </w:rPr>
            </w:pPr>
          </w:p>
        </w:tc>
        <w:tc>
          <w:tcPr>
            <w:tcW w:w="603" w:type="dxa"/>
          </w:tcPr>
          <w:p w14:paraId="7B338D56">
            <w:pPr>
              <w:rPr>
                <w:color w:val="auto"/>
              </w:rPr>
            </w:pPr>
          </w:p>
        </w:tc>
        <w:tc>
          <w:tcPr>
            <w:tcW w:w="604" w:type="dxa"/>
          </w:tcPr>
          <w:p w14:paraId="2800DBFC">
            <w:pPr>
              <w:rPr>
                <w:color w:val="auto"/>
              </w:rPr>
            </w:pPr>
          </w:p>
        </w:tc>
        <w:tc>
          <w:tcPr>
            <w:tcW w:w="604" w:type="dxa"/>
          </w:tcPr>
          <w:p w14:paraId="16B0AD47">
            <w:pPr>
              <w:rPr>
                <w:color w:val="auto"/>
              </w:rPr>
            </w:pPr>
          </w:p>
        </w:tc>
        <w:tc>
          <w:tcPr>
            <w:tcW w:w="604" w:type="dxa"/>
          </w:tcPr>
          <w:p w14:paraId="2091E603">
            <w:pPr>
              <w:rPr>
                <w:color w:val="auto"/>
              </w:rPr>
            </w:pPr>
          </w:p>
        </w:tc>
        <w:tc>
          <w:tcPr>
            <w:tcW w:w="733" w:type="dxa"/>
            <w:vMerge w:val="continue"/>
            <w:tcBorders>
              <w:top w:val="nil"/>
            </w:tcBorders>
          </w:tcPr>
          <w:p w14:paraId="6CBAEA4C">
            <w:pPr>
              <w:rPr>
                <w:color w:val="auto"/>
              </w:rPr>
            </w:pPr>
          </w:p>
        </w:tc>
      </w:tr>
      <w:tr w14:paraId="40098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4676188A">
            <w:pPr>
              <w:pStyle w:val="21"/>
              <w:spacing w:before="175" w:line="242" w:lineRule="auto"/>
              <w:ind w:left="389"/>
              <w:rPr>
                <w:color w:val="auto"/>
              </w:rPr>
            </w:pPr>
            <w:r>
              <w:rPr>
                <w:color w:val="auto"/>
              </w:rPr>
              <w:t>1</w:t>
            </w:r>
          </w:p>
        </w:tc>
        <w:tc>
          <w:tcPr>
            <w:tcW w:w="1287" w:type="dxa"/>
          </w:tcPr>
          <w:p w14:paraId="6760A05A">
            <w:pPr>
              <w:rPr>
                <w:color w:val="auto"/>
              </w:rPr>
            </w:pPr>
          </w:p>
        </w:tc>
        <w:tc>
          <w:tcPr>
            <w:tcW w:w="605" w:type="dxa"/>
          </w:tcPr>
          <w:p w14:paraId="13403640">
            <w:pPr>
              <w:rPr>
                <w:color w:val="auto"/>
              </w:rPr>
            </w:pPr>
          </w:p>
        </w:tc>
        <w:tc>
          <w:tcPr>
            <w:tcW w:w="603" w:type="dxa"/>
          </w:tcPr>
          <w:p w14:paraId="71FD63C1">
            <w:pPr>
              <w:rPr>
                <w:color w:val="auto"/>
              </w:rPr>
            </w:pPr>
          </w:p>
        </w:tc>
        <w:tc>
          <w:tcPr>
            <w:tcW w:w="603" w:type="dxa"/>
          </w:tcPr>
          <w:p w14:paraId="69DBAD12">
            <w:pPr>
              <w:rPr>
                <w:color w:val="auto"/>
              </w:rPr>
            </w:pPr>
          </w:p>
        </w:tc>
        <w:tc>
          <w:tcPr>
            <w:tcW w:w="603" w:type="dxa"/>
          </w:tcPr>
          <w:p w14:paraId="0E71E2ED">
            <w:pPr>
              <w:rPr>
                <w:color w:val="auto"/>
              </w:rPr>
            </w:pPr>
          </w:p>
        </w:tc>
        <w:tc>
          <w:tcPr>
            <w:tcW w:w="603" w:type="dxa"/>
          </w:tcPr>
          <w:p w14:paraId="18C98D02">
            <w:pPr>
              <w:rPr>
                <w:color w:val="auto"/>
              </w:rPr>
            </w:pPr>
          </w:p>
        </w:tc>
        <w:tc>
          <w:tcPr>
            <w:tcW w:w="603" w:type="dxa"/>
          </w:tcPr>
          <w:p w14:paraId="4C118A74">
            <w:pPr>
              <w:rPr>
                <w:color w:val="auto"/>
              </w:rPr>
            </w:pPr>
          </w:p>
        </w:tc>
        <w:tc>
          <w:tcPr>
            <w:tcW w:w="604" w:type="dxa"/>
          </w:tcPr>
          <w:p w14:paraId="586420A5">
            <w:pPr>
              <w:rPr>
                <w:color w:val="auto"/>
              </w:rPr>
            </w:pPr>
          </w:p>
        </w:tc>
        <w:tc>
          <w:tcPr>
            <w:tcW w:w="604" w:type="dxa"/>
          </w:tcPr>
          <w:p w14:paraId="08179D47">
            <w:pPr>
              <w:rPr>
                <w:color w:val="auto"/>
              </w:rPr>
            </w:pPr>
          </w:p>
        </w:tc>
        <w:tc>
          <w:tcPr>
            <w:tcW w:w="604" w:type="dxa"/>
          </w:tcPr>
          <w:p w14:paraId="1408E035">
            <w:pPr>
              <w:rPr>
                <w:color w:val="auto"/>
              </w:rPr>
            </w:pPr>
          </w:p>
        </w:tc>
        <w:tc>
          <w:tcPr>
            <w:tcW w:w="733" w:type="dxa"/>
          </w:tcPr>
          <w:p w14:paraId="58BE8171">
            <w:pPr>
              <w:rPr>
                <w:color w:val="auto"/>
              </w:rPr>
            </w:pPr>
          </w:p>
        </w:tc>
      </w:tr>
      <w:tr w14:paraId="5E0E1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2AD19FF9">
            <w:pPr>
              <w:pStyle w:val="21"/>
              <w:spacing w:before="176" w:line="242" w:lineRule="auto"/>
              <w:ind w:left="376"/>
              <w:rPr>
                <w:color w:val="auto"/>
              </w:rPr>
            </w:pPr>
            <w:r>
              <w:rPr>
                <w:color w:val="auto"/>
              </w:rPr>
              <w:t>2</w:t>
            </w:r>
          </w:p>
        </w:tc>
        <w:tc>
          <w:tcPr>
            <w:tcW w:w="1287" w:type="dxa"/>
          </w:tcPr>
          <w:p w14:paraId="10B926CF">
            <w:pPr>
              <w:rPr>
                <w:color w:val="auto"/>
              </w:rPr>
            </w:pPr>
          </w:p>
        </w:tc>
        <w:tc>
          <w:tcPr>
            <w:tcW w:w="605" w:type="dxa"/>
          </w:tcPr>
          <w:p w14:paraId="01852A91">
            <w:pPr>
              <w:rPr>
                <w:color w:val="auto"/>
              </w:rPr>
            </w:pPr>
          </w:p>
        </w:tc>
        <w:tc>
          <w:tcPr>
            <w:tcW w:w="603" w:type="dxa"/>
          </w:tcPr>
          <w:p w14:paraId="347780D5">
            <w:pPr>
              <w:rPr>
                <w:color w:val="auto"/>
              </w:rPr>
            </w:pPr>
          </w:p>
        </w:tc>
        <w:tc>
          <w:tcPr>
            <w:tcW w:w="603" w:type="dxa"/>
          </w:tcPr>
          <w:p w14:paraId="417E03BB">
            <w:pPr>
              <w:rPr>
                <w:color w:val="auto"/>
              </w:rPr>
            </w:pPr>
          </w:p>
        </w:tc>
        <w:tc>
          <w:tcPr>
            <w:tcW w:w="603" w:type="dxa"/>
          </w:tcPr>
          <w:p w14:paraId="4688AAD4">
            <w:pPr>
              <w:rPr>
                <w:color w:val="auto"/>
              </w:rPr>
            </w:pPr>
          </w:p>
        </w:tc>
        <w:tc>
          <w:tcPr>
            <w:tcW w:w="603" w:type="dxa"/>
          </w:tcPr>
          <w:p w14:paraId="1896BCDE">
            <w:pPr>
              <w:rPr>
                <w:color w:val="auto"/>
              </w:rPr>
            </w:pPr>
          </w:p>
        </w:tc>
        <w:tc>
          <w:tcPr>
            <w:tcW w:w="603" w:type="dxa"/>
          </w:tcPr>
          <w:p w14:paraId="171DA355">
            <w:pPr>
              <w:rPr>
                <w:color w:val="auto"/>
              </w:rPr>
            </w:pPr>
          </w:p>
        </w:tc>
        <w:tc>
          <w:tcPr>
            <w:tcW w:w="604" w:type="dxa"/>
          </w:tcPr>
          <w:p w14:paraId="71DE2C6D">
            <w:pPr>
              <w:rPr>
                <w:color w:val="auto"/>
              </w:rPr>
            </w:pPr>
          </w:p>
        </w:tc>
        <w:tc>
          <w:tcPr>
            <w:tcW w:w="604" w:type="dxa"/>
          </w:tcPr>
          <w:p w14:paraId="55E385CD">
            <w:pPr>
              <w:rPr>
                <w:color w:val="auto"/>
              </w:rPr>
            </w:pPr>
          </w:p>
        </w:tc>
        <w:tc>
          <w:tcPr>
            <w:tcW w:w="604" w:type="dxa"/>
          </w:tcPr>
          <w:p w14:paraId="7783C46B">
            <w:pPr>
              <w:rPr>
                <w:color w:val="auto"/>
              </w:rPr>
            </w:pPr>
          </w:p>
        </w:tc>
        <w:tc>
          <w:tcPr>
            <w:tcW w:w="733" w:type="dxa"/>
          </w:tcPr>
          <w:p w14:paraId="16C6F4D1">
            <w:pPr>
              <w:rPr>
                <w:color w:val="auto"/>
              </w:rPr>
            </w:pPr>
          </w:p>
        </w:tc>
      </w:tr>
      <w:tr w14:paraId="3472D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14DE6A39">
            <w:pPr>
              <w:pStyle w:val="21"/>
              <w:spacing w:before="177"/>
              <w:ind w:left="377"/>
              <w:rPr>
                <w:color w:val="auto"/>
              </w:rPr>
            </w:pPr>
            <w:r>
              <w:rPr>
                <w:color w:val="auto"/>
              </w:rPr>
              <w:t>3</w:t>
            </w:r>
          </w:p>
        </w:tc>
        <w:tc>
          <w:tcPr>
            <w:tcW w:w="1287" w:type="dxa"/>
          </w:tcPr>
          <w:p w14:paraId="3BEDC0EA">
            <w:pPr>
              <w:rPr>
                <w:color w:val="auto"/>
              </w:rPr>
            </w:pPr>
          </w:p>
        </w:tc>
        <w:tc>
          <w:tcPr>
            <w:tcW w:w="605" w:type="dxa"/>
          </w:tcPr>
          <w:p w14:paraId="51AFCC2C">
            <w:pPr>
              <w:rPr>
                <w:color w:val="auto"/>
              </w:rPr>
            </w:pPr>
          </w:p>
        </w:tc>
        <w:tc>
          <w:tcPr>
            <w:tcW w:w="603" w:type="dxa"/>
          </w:tcPr>
          <w:p w14:paraId="64C4801B">
            <w:pPr>
              <w:rPr>
                <w:color w:val="auto"/>
              </w:rPr>
            </w:pPr>
          </w:p>
        </w:tc>
        <w:tc>
          <w:tcPr>
            <w:tcW w:w="603" w:type="dxa"/>
          </w:tcPr>
          <w:p w14:paraId="7F660B13">
            <w:pPr>
              <w:rPr>
                <w:color w:val="auto"/>
              </w:rPr>
            </w:pPr>
          </w:p>
        </w:tc>
        <w:tc>
          <w:tcPr>
            <w:tcW w:w="603" w:type="dxa"/>
          </w:tcPr>
          <w:p w14:paraId="00E36325">
            <w:pPr>
              <w:rPr>
                <w:color w:val="auto"/>
              </w:rPr>
            </w:pPr>
          </w:p>
        </w:tc>
        <w:tc>
          <w:tcPr>
            <w:tcW w:w="603" w:type="dxa"/>
          </w:tcPr>
          <w:p w14:paraId="16D19D4D">
            <w:pPr>
              <w:rPr>
                <w:color w:val="auto"/>
              </w:rPr>
            </w:pPr>
          </w:p>
        </w:tc>
        <w:tc>
          <w:tcPr>
            <w:tcW w:w="603" w:type="dxa"/>
          </w:tcPr>
          <w:p w14:paraId="1AE9E2BA">
            <w:pPr>
              <w:rPr>
                <w:color w:val="auto"/>
              </w:rPr>
            </w:pPr>
          </w:p>
        </w:tc>
        <w:tc>
          <w:tcPr>
            <w:tcW w:w="604" w:type="dxa"/>
          </w:tcPr>
          <w:p w14:paraId="2097726B">
            <w:pPr>
              <w:rPr>
                <w:color w:val="auto"/>
              </w:rPr>
            </w:pPr>
          </w:p>
        </w:tc>
        <w:tc>
          <w:tcPr>
            <w:tcW w:w="604" w:type="dxa"/>
          </w:tcPr>
          <w:p w14:paraId="79552771">
            <w:pPr>
              <w:rPr>
                <w:color w:val="auto"/>
              </w:rPr>
            </w:pPr>
          </w:p>
        </w:tc>
        <w:tc>
          <w:tcPr>
            <w:tcW w:w="604" w:type="dxa"/>
          </w:tcPr>
          <w:p w14:paraId="4DC747AD">
            <w:pPr>
              <w:rPr>
                <w:color w:val="auto"/>
              </w:rPr>
            </w:pPr>
          </w:p>
        </w:tc>
        <w:tc>
          <w:tcPr>
            <w:tcW w:w="733" w:type="dxa"/>
          </w:tcPr>
          <w:p w14:paraId="1E5BD681">
            <w:pPr>
              <w:rPr>
                <w:color w:val="auto"/>
              </w:rPr>
            </w:pPr>
          </w:p>
        </w:tc>
      </w:tr>
      <w:tr w14:paraId="65FC7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2B39D6A0">
            <w:pPr>
              <w:pStyle w:val="21"/>
              <w:spacing w:before="178" w:line="242" w:lineRule="auto"/>
              <w:ind w:left="372"/>
              <w:rPr>
                <w:color w:val="auto"/>
              </w:rPr>
            </w:pPr>
            <w:r>
              <w:rPr>
                <w:color w:val="auto"/>
              </w:rPr>
              <w:t>4</w:t>
            </w:r>
          </w:p>
        </w:tc>
        <w:tc>
          <w:tcPr>
            <w:tcW w:w="1287" w:type="dxa"/>
          </w:tcPr>
          <w:p w14:paraId="0D05DA10">
            <w:pPr>
              <w:rPr>
                <w:color w:val="auto"/>
              </w:rPr>
            </w:pPr>
          </w:p>
        </w:tc>
        <w:tc>
          <w:tcPr>
            <w:tcW w:w="605" w:type="dxa"/>
          </w:tcPr>
          <w:p w14:paraId="3EC6D575">
            <w:pPr>
              <w:rPr>
                <w:color w:val="auto"/>
              </w:rPr>
            </w:pPr>
          </w:p>
        </w:tc>
        <w:tc>
          <w:tcPr>
            <w:tcW w:w="603" w:type="dxa"/>
          </w:tcPr>
          <w:p w14:paraId="11392EEA">
            <w:pPr>
              <w:rPr>
                <w:color w:val="auto"/>
              </w:rPr>
            </w:pPr>
          </w:p>
        </w:tc>
        <w:tc>
          <w:tcPr>
            <w:tcW w:w="603" w:type="dxa"/>
          </w:tcPr>
          <w:p w14:paraId="1245BF2C">
            <w:pPr>
              <w:rPr>
                <w:color w:val="auto"/>
              </w:rPr>
            </w:pPr>
          </w:p>
        </w:tc>
        <w:tc>
          <w:tcPr>
            <w:tcW w:w="603" w:type="dxa"/>
          </w:tcPr>
          <w:p w14:paraId="01B0FF80">
            <w:pPr>
              <w:rPr>
                <w:color w:val="auto"/>
              </w:rPr>
            </w:pPr>
          </w:p>
        </w:tc>
        <w:tc>
          <w:tcPr>
            <w:tcW w:w="603" w:type="dxa"/>
          </w:tcPr>
          <w:p w14:paraId="7D298C3A">
            <w:pPr>
              <w:rPr>
                <w:color w:val="auto"/>
              </w:rPr>
            </w:pPr>
          </w:p>
        </w:tc>
        <w:tc>
          <w:tcPr>
            <w:tcW w:w="603" w:type="dxa"/>
          </w:tcPr>
          <w:p w14:paraId="1470448A">
            <w:pPr>
              <w:rPr>
                <w:color w:val="auto"/>
              </w:rPr>
            </w:pPr>
          </w:p>
        </w:tc>
        <w:tc>
          <w:tcPr>
            <w:tcW w:w="604" w:type="dxa"/>
          </w:tcPr>
          <w:p w14:paraId="356AD770">
            <w:pPr>
              <w:rPr>
                <w:color w:val="auto"/>
              </w:rPr>
            </w:pPr>
          </w:p>
        </w:tc>
        <w:tc>
          <w:tcPr>
            <w:tcW w:w="604" w:type="dxa"/>
          </w:tcPr>
          <w:p w14:paraId="0BF11D6F">
            <w:pPr>
              <w:rPr>
                <w:color w:val="auto"/>
              </w:rPr>
            </w:pPr>
          </w:p>
        </w:tc>
        <w:tc>
          <w:tcPr>
            <w:tcW w:w="604" w:type="dxa"/>
          </w:tcPr>
          <w:p w14:paraId="53494D3E">
            <w:pPr>
              <w:rPr>
                <w:color w:val="auto"/>
              </w:rPr>
            </w:pPr>
          </w:p>
        </w:tc>
        <w:tc>
          <w:tcPr>
            <w:tcW w:w="733" w:type="dxa"/>
          </w:tcPr>
          <w:p w14:paraId="4DD41A96">
            <w:pPr>
              <w:rPr>
                <w:color w:val="auto"/>
              </w:rPr>
            </w:pPr>
          </w:p>
        </w:tc>
      </w:tr>
      <w:tr w14:paraId="2C9CA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14E5E705">
            <w:pPr>
              <w:pStyle w:val="21"/>
              <w:spacing w:before="179"/>
              <w:ind w:left="377"/>
              <w:rPr>
                <w:color w:val="auto"/>
              </w:rPr>
            </w:pPr>
            <w:r>
              <w:rPr>
                <w:color w:val="auto"/>
              </w:rPr>
              <w:t>5</w:t>
            </w:r>
          </w:p>
        </w:tc>
        <w:tc>
          <w:tcPr>
            <w:tcW w:w="1287" w:type="dxa"/>
          </w:tcPr>
          <w:p w14:paraId="06EECBA8">
            <w:pPr>
              <w:rPr>
                <w:color w:val="auto"/>
              </w:rPr>
            </w:pPr>
          </w:p>
        </w:tc>
        <w:tc>
          <w:tcPr>
            <w:tcW w:w="605" w:type="dxa"/>
          </w:tcPr>
          <w:p w14:paraId="77182912">
            <w:pPr>
              <w:rPr>
                <w:color w:val="auto"/>
              </w:rPr>
            </w:pPr>
          </w:p>
        </w:tc>
        <w:tc>
          <w:tcPr>
            <w:tcW w:w="603" w:type="dxa"/>
          </w:tcPr>
          <w:p w14:paraId="52FA725E">
            <w:pPr>
              <w:rPr>
                <w:color w:val="auto"/>
              </w:rPr>
            </w:pPr>
          </w:p>
        </w:tc>
        <w:tc>
          <w:tcPr>
            <w:tcW w:w="603" w:type="dxa"/>
          </w:tcPr>
          <w:p w14:paraId="3B256E73">
            <w:pPr>
              <w:rPr>
                <w:color w:val="auto"/>
              </w:rPr>
            </w:pPr>
          </w:p>
        </w:tc>
        <w:tc>
          <w:tcPr>
            <w:tcW w:w="603" w:type="dxa"/>
          </w:tcPr>
          <w:p w14:paraId="2F5CA0AA">
            <w:pPr>
              <w:rPr>
                <w:color w:val="auto"/>
              </w:rPr>
            </w:pPr>
          </w:p>
        </w:tc>
        <w:tc>
          <w:tcPr>
            <w:tcW w:w="603" w:type="dxa"/>
          </w:tcPr>
          <w:p w14:paraId="64E78355">
            <w:pPr>
              <w:rPr>
                <w:color w:val="auto"/>
              </w:rPr>
            </w:pPr>
          </w:p>
        </w:tc>
        <w:tc>
          <w:tcPr>
            <w:tcW w:w="603" w:type="dxa"/>
          </w:tcPr>
          <w:p w14:paraId="6B2087D8">
            <w:pPr>
              <w:rPr>
                <w:color w:val="auto"/>
              </w:rPr>
            </w:pPr>
          </w:p>
        </w:tc>
        <w:tc>
          <w:tcPr>
            <w:tcW w:w="604" w:type="dxa"/>
          </w:tcPr>
          <w:p w14:paraId="132FE0F6">
            <w:pPr>
              <w:rPr>
                <w:color w:val="auto"/>
              </w:rPr>
            </w:pPr>
          </w:p>
        </w:tc>
        <w:tc>
          <w:tcPr>
            <w:tcW w:w="604" w:type="dxa"/>
          </w:tcPr>
          <w:p w14:paraId="76D2DD39">
            <w:pPr>
              <w:rPr>
                <w:color w:val="auto"/>
              </w:rPr>
            </w:pPr>
          </w:p>
        </w:tc>
        <w:tc>
          <w:tcPr>
            <w:tcW w:w="604" w:type="dxa"/>
          </w:tcPr>
          <w:p w14:paraId="74D17CF5">
            <w:pPr>
              <w:rPr>
                <w:color w:val="auto"/>
              </w:rPr>
            </w:pPr>
          </w:p>
        </w:tc>
        <w:tc>
          <w:tcPr>
            <w:tcW w:w="733" w:type="dxa"/>
          </w:tcPr>
          <w:p w14:paraId="4116D49C">
            <w:pPr>
              <w:rPr>
                <w:color w:val="auto"/>
              </w:rPr>
            </w:pPr>
          </w:p>
        </w:tc>
      </w:tr>
      <w:tr w14:paraId="36CB5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0D5A5180">
            <w:pPr>
              <w:pStyle w:val="21"/>
              <w:spacing w:before="180"/>
              <w:ind w:left="375"/>
              <w:rPr>
                <w:color w:val="auto"/>
              </w:rPr>
            </w:pPr>
            <w:r>
              <w:rPr>
                <w:color w:val="auto"/>
              </w:rPr>
              <w:t>6</w:t>
            </w:r>
          </w:p>
        </w:tc>
        <w:tc>
          <w:tcPr>
            <w:tcW w:w="1287" w:type="dxa"/>
          </w:tcPr>
          <w:p w14:paraId="449871AD">
            <w:pPr>
              <w:rPr>
                <w:color w:val="auto"/>
              </w:rPr>
            </w:pPr>
          </w:p>
        </w:tc>
        <w:tc>
          <w:tcPr>
            <w:tcW w:w="605" w:type="dxa"/>
          </w:tcPr>
          <w:p w14:paraId="4E5380D8">
            <w:pPr>
              <w:rPr>
                <w:color w:val="auto"/>
              </w:rPr>
            </w:pPr>
          </w:p>
        </w:tc>
        <w:tc>
          <w:tcPr>
            <w:tcW w:w="603" w:type="dxa"/>
          </w:tcPr>
          <w:p w14:paraId="51EC0D32">
            <w:pPr>
              <w:rPr>
                <w:color w:val="auto"/>
              </w:rPr>
            </w:pPr>
          </w:p>
        </w:tc>
        <w:tc>
          <w:tcPr>
            <w:tcW w:w="603" w:type="dxa"/>
          </w:tcPr>
          <w:p w14:paraId="17E59735">
            <w:pPr>
              <w:rPr>
                <w:color w:val="auto"/>
              </w:rPr>
            </w:pPr>
          </w:p>
        </w:tc>
        <w:tc>
          <w:tcPr>
            <w:tcW w:w="603" w:type="dxa"/>
          </w:tcPr>
          <w:p w14:paraId="5741C310">
            <w:pPr>
              <w:rPr>
                <w:color w:val="auto"/>
              </w:rPr>
            </w:pPr>
          </w:p>
        </w:tc>
        <w:tc>
          <w:tcPr>
            <w:tcW w:w="603" w:type="dxa"/>
          </w:tcPr>
          <w:p w14:paraId="05A85375">
            <w:pPr>
              <w:rPr>
                <w:color w:val="auto"/>
              </w:rPr>
            </w:pPr>
          </w:p>
        </w:tc>
        <w:tc>
          <w:tcPr>
            <w:tcW w:w="603" w:type="dxa"/>
          </w:tcPr>
          <w:p w14:paraId="0036357A">
            <w:pPr>
              <w:rPr>
                <w:color w:val="auto"/>
              </w:rPr>
            </w:pPr>
          </w:p>
        </w:tc>
        <w:tc>
          <w:tcPr>
            <w:tcW w:w="604" w:type="dxa"/>
          </w:tcPr>
          <w:p w14:paraId="50EA8AC5">
            <w:pPr>
              <w:rPr>
                <w:color w:val="auto"/>
              </w:rPr>
            </w:pPr>
          </w:p>
        </w:tc>
        <w:tc>
          <w:tcPr>
            <w:tcW w:w="604" w:type="dxa"/>
          </w:tcPr>
          <w:p w14:paraId="40EE485F">
            <w:pPr>
              <w:rPr>
                <w:color w:val="auto"/>
              </w:rPr>
            </w:pPr>
          </w:p>
        </w:tc>
        <w:tc>
          <w:tcPr>
            <w:tcW w:w="604" w:type="dxa"/>
          </w:tcPr>
          <w:p w14:paraId="194FCF17">
            <w:pPr>
              <w:rPr>
                <w:color w:val="auto"/>
              </w:rPr>
            </w:pPr>
          </w:p>
        </w:tc>
        <w:tc>
          <w:tcPr>
            <w:tcW w:w="733" w:type="dxa"/>
          </w:tcPr>
          <w:p w14:paraId="7D37CE6F">
            <w:pPr>
              <w:rPr>
                <w:color w:val="auto"/>
              </w:rPr>
            </w:pPr>
          </w:p>
        </w:tc>
      </w:tr>
      <w:tr w14:paraId="64E6B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133CFB73">
            <w:pPr>
              <w:pStyle w:val="21"/>
              <w:spacing w:before="181" w:line="331" w:lineRule="exact"/>
              <w:ind w:left="334"/>
              <w:rPr>
                <w:color w:val="auto"/>
              </w:rPr>
            </w:pPr>
            <w:r>
              <w:rPr>
                <w:color w:val="auto"/>
                <w:position w:val="2"/>
              </w:rPr>
              <w:t>…</w:t>
            </w:r>
          </w:p>
        </w:tc>
        <w:tc>
          <w:tcPr>
            <w:tcW w:w="1287" w:type="dxa"/>
          </w:tcPr>
          <w:p w14:paraId="10DA6A25">
            <w:pPr>
              <w:rPr>
                <w:color w:val="auto"/>
              </w:rPr>
            </w:pPr>
          </w:p>
        </w:tc>
        <w:tc>
          <w:tcPr>
            <w:tcW w:w="605" w:type="dxa"/>
          </w:tcPr>
          <w:p w14:paraId="52D56E33">
            <w:pPr>
              <w:rPr>
                <w:color w:val="auto"/>
              </w:rPr>
            </w:pPr>
          </w:p>
        </w:tc>
        <w:tc>
          <w:tcPr>
            <w:tcW w:w="603" w:type="dxa"/>
          </w:tcPr>
          <w:p w14:paraId="2C1327A4">
            <w:pPr>
              <w:rPr>
                <w:color w:val="auto"/>
              </w:rPr>
            </w:pPr>
          </w:p>
        </w:tc>
        <w:tc>
          <w:tcPr>
            <w:tcW w:w="603" w:type="dxa"/>
          </w:tcPr>
          <w:p w14:paraId="32C15254">
            <w:pPr>
              <w:rPr>
                <w:color w:val="auto"/>
              </w:rPr>
            </w:pPr>
          </w:p>
        </w:tc>
        <w:tc>
          <w:tcPr>
            <w:tcW w:w="603" w:type="dxa"/>
          </w:tcPr>
          <w:p w14:paraId="1DFEBE3B">
            <w:pPr>
              <w:rPr>
                <w:color w:val="auto"/>
              </w:rPr>
            </w:pPr>
          </w:p>
        </w:tc>
        <w:tc>
          <w:tcPr>
            <w:tcW w:w="603" w:type="dxa"/>
          </w:tcPr>
          <w:p w14:paraId="10EE4023">
            <w:pPr>
              <w:rPr>
                <w:color w:val="auto"/>
              </w:rPr>
            </w:pPr>
          </w:p>
        </w:tc>
        <w:tc>
          <w:tcPr>
            <w:tcW w:w="603" w:type="dxa"/>
          </w:tcPr>
          <w:p w14:paraId="00169EFD">
            <w:pPr>
              <w:rPr>
                <w:color w:val="auto"/>
              </w:rPr>
            </w:pPr>
          </w:p>
        </w:tc>
        <w:tc>
          <w:tcPr>
            <w:tcW w:w="604" w:type="dxa"/>
          </w:tcPr>
          <w:p w14:paraId="64BD6C71">
            <w:pPr>
              <w:rPr>
                <w:color w:val="auto"/>
              </w:rPr>
            </w:pPr>
          </w:p>
        </w:tc>
        <w:tc>
          <w:tcPr>
            <w:tcW w:w="604" w:type="dxa"/>
          </w:tcPr>
          <w:p w14:paraId="10965EEB">
            <w:pPr>
              <w:rPr>
                <w:color w:val="auto"/>
              </w:rPr>
            </w:pPr>
          </w:p>
        </w:tc>
        <w:tc>
          <w:tcPr>
            <w:tcW w:w="604" w:type="dxa"/>
          </w:tcPr>
          <w:p w14:paraId="2EE256C7">
            <w:pPr>
              <w:rPr>
                <w:color w:val="auto"/>
              </w:rPr>
            </w:pPr>
          </w:p>
        </w:tc>
        <w:tc>
          <w:tcPr>
            <w:tcW w:w="733" w:type="dxa"/>
          </w:tcPr>
          <w:p w14:paraId="200AC345">
            <w:pPr>
              <w:rPr>
                <w:color w:val="auto"/>
              </w:rPr>
            </w:pPr>
          </w:p>
        </w:tc>
      </w:tr>
      <w:tr w14:paraId="285C4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6" w:hRule="atLeast"/>
        </w:trPr>
        <w:tc>
          <w:tcPr>
            <w:tcW w:w="8302" w:type="dxa"/>
            <w:gridSpan w:val="12"/>
          </w:tcPr>
          <w:p w14:paraId="59E0FD73">
            <w:pPr>
              <w:pStyle w:val="21"/>
              <w:spacing w:before="289" w:line="220" w:lineRule="auto"/>
              <w:ind w:left="110"/>
              <w:rPr>
                <w:color w:val="auto"/>
                <w:lang w:eastAsia="zh-CN"/>
              </w:rPr>
            </w:pPr>
            <w:r>
              <w:rPr>
                <w:color w:val="auto"/>
                <w:spacing w:val="-5"/>
                <w:lang w:eastAsia="zh-CN"/>
              </w:rPr>
              <w:t>评标委员会全体成员签名：</w:t>
            </w:r>
          </w:p>
        </w:tc>
      </w:tr>
    </w:tbl>
    <w:p w14:paraId="7CB6774F">
      <w:pPr>
        <w:spacing w:before="274" w:line="220" w:lineRule="auto"/>
        <w:ind w:left="7107"/>
        <w:rPr>
          <w:rFonts w:ascii="宋体" w:hAnsi="宋体" w:eastAsia="宋体" w:cs="宋体"/>
          <w:color w:val="auto"/>
          <w:lang w:eastAsia="zh-CN"/>
        </w:rPr>
      </w:pPr>
      <w:r>
        <w:rPr>
          <w:rFonts w:ascii="宋体" w:hAnsi="宋体" w:eastAsia="宋体" w:cs="宋体"/>
          <w:color w:val="auto"/>
          <w:spacing w:val="-12"/>
          <w:lang w:eastAsia="zh-CN"/>
        </w:rPr>
        <w:t>日期：年月日</w:t>
      </w:r>
    </w:p>
    <w:p w14:paraId="551AC377">
      <w:pPr>
        <w:spacing w:line="220" w:lineRule="auto"/>
        <w:rPr>
          <w:rFonts w:ascii="宋体" w:hAnsi="宋体" w:eastAsia="宋体" w:cs="宋体"/>
          <w:color w:val="auto"/>
          <w:lang w:eastAsia="zh-CN"/>
        </w:rPr>
        <w:sectPr>
          <w:headerReference r:id="rId80" w:type="default"/>
          <w:footerReference r:id="rId81" w:type="default"/>
          <w:pgSz w:w="11906" w:h="16839"/>
          <w:pgMar w:top="400" w:right="0" w:bottom="938" w:left="105" w:header="0" w:footer="669" w:gutter="0"/>
          <w:cols w:space="720" w:num="1"/>
        </w:sectPr>
      </w:pPr>
    </w:p>
    <w:p w14:paraId="5BBB0553">
      <w:pPr>
        <w:pStyle w:val="8"/>
        <w:spacing w:line="267" w:lineRule="auto"/>
        <w:rPr>
          <w:lang w:eastAsia="zh-CN"/>
        </w:rPr>
      </w:pPr>
    </w:p>
    <w:p w14:paraId="195FCD87">
      <w:pPr>
        <w:pStyle w:val="8"/>
        <w:spacing w:line="267" w:lineRule="auto"/>
        <w:rPr>
          <w:lang w:eastAsia="zh-CN"/>
        </w:rPr>
      </w:pPr>
    </w:p>
    <w:p w14:paraId="194ECD13">
      <w:pPr>
        <w:pStyle w:val="8"/>
        <w:spacing w:line="267" w:lineRule="auto"/>
        <w:rPr>
          <w:lang w:eastAsia="zh-CN"/>
        </w:rPr>
      </w:pPr>
    </w:p>
    <w:p w14:paraId="4F9B85DE">
      <w:pPr>
        <w:pStyle w:val="8"/>
        <w:spacing w:line="267" w:lineRule="auto"/>
        <w:rPr>
          <w:lang w:eastAsia="zh-CN"/>
        </w:rPr>
      </w:pPr>
    </w:p>
    <w:p w14:paraId="2E4EA338">
      <w:pPr>
        <w:spacing w:before="78" w:line="222" w:lineRule="auto"/>
        <w:ind w:left="1831"/>
        <w:outlineLvl w:val="2"/>
        <w:rPr>
          <w:rFonts w:ascii="黑体" w:hAnsi="黑体" w:eastAsia="黑体" w:cs="黑体"/>
          <w:color w:val="auto"/>
          <w:sz w:val="24"/>
          <w:szCs w:val="24"/>
          <w:lang w:eastAsia="zh-CN"/>
        </w:rPr>
      </w:pPr>
      <w:bookmarkStart w:id="324" w:name="bookmark248"/>
      <w:bookmarkEnd w:id="324"/>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A-4</w:t>
      </w:r>
      <w:r>
        <w:rPr>
          <w:rFonts w:ascii="黑体" w:hAnsi="黑体" w:eastAsia="黑体" w:cs="黑体"/>
          <w:color w:val="auto"/>
          <w:spacing w:val="-3"/>
          <w:sz w:val="24"/>
          <w:szCs w:val="24"/>
          <w:lang w:eastAsia="zh-CN"/>
        </w:rPr>
        <w:t>：形式评审记录表</w:t>
      </w:r>
    </w:p>
    <w:p w14:paraId="644DBBEE">
      <w:pPr>
        <w:pStyle w:val="8"/>
        <w:spacing w:line="252" w:lineRule="auto"/>
        <w:rPr>
          <w:lang w:eastAsia="zh-CN"/>
        </w:rPr>
      </w:pPr>
    </w:p>
    <w:p w14:paraId="4BBE4ECF">
      <w:pPr>
        <w:pStyle w:val="8"/>
        <w:spacing w:line="253" w:lineRule="auto"/>
        <w:rPr>
          <w:lang w:eastAsia="zh-CN"/>
        </w:rPr>
      </w:pPr>
    </w:p>
    <w:p w14:paraId="140B1765">
      <w:pPr>
        <w:spacing w:before="118" w:line="222" w:lineRule="auto"/>
        <w:ind w:left="4604"/>
        <w:rPr>
          <w:rFonts w:ascii="黑体" w:hAnsi="黑体" w:eastAsia="黑体" w:cs="黑体"/>
          <w:color w:val="auto"/>
          <w:sz w:val="36"/>
          <w:szCs w:val="36"/>
          <w:lang w:eastAsia="zh-CN"/>
        </w:rPr>
      </w:pPr>
      <w:bookmarkStart w:id="325" w:name="bookmark130"/>
      <w:bookmarkEnd w:id="325"/>
      <w:r>
        <w:rPr>
          <w:rFonts w:ascii="黑体" w:hAnsi="黑体" w:eastAsia="黑体" w:cs="黑体"/>
          <w:color w:val="auto"/>
          <w:spacing w:val="-3"/>
          <w:sz w:val="36"/>
          <w:szCs w:val="36"/>
          <w:lang w:eastAsia="zh-CN"/>
        </w:rPr>
        <w:t>形式评审记录表</w:t>
      </w:r>
    </w:p>
    <w:p w14:paraId="61E30A60">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1BA29B00">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302"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1287"/>
        <w:gridCol w:w="605"/>
        <w:gridCol w:w="603"/>
        <w:gridCol w:w="603"/>
        <w:gridCol w:w="603"/>
        <w:gridCol w:w="603"/>
        <w:gridCol w:w="603"/>
        <w:gridCol w:w="604"/>
        <w:gridCol w:w="604"/>
        <w:gridCol w:w="604"/>
        <w:gridCol w:w="733"/>
      </w:tblGrid>
      <w:tr w14:paraId="53E09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50" w:type="dxa"/>
            <w:vMerge w:val="restart"/>
            <w:tcBorders>
              <w:bottom w:val="nil"/>
            </w:tcBorders>
          </w:tcPr>
          <w:p w14:paraId="02D7A399">
            <w:pPr>
              <w:spacing w:line="251" w:lineRule="auto"/>
              <w:rPr>
                <w:color w:val="auto"/>
              </w:rPr>
            </w:pPr>
          </w:p>
          <w:p w14:paraId="357DEA86">
            <w:pPr>
              <w:pStyle w:val="21"/>
              <w:spacing w:before="68" w:line="222" w:lineRule="auto"/>
              <w:ind w:left="214"/>
              <w:rPr>
                <w:color w:val="auto"/>
              </w:rPr>
            </w:pPr>
            <w:r>
              <w:rPr>
                <w:b/>
                <w:bCs/>
                <w:color w:val="auto"/>
                <w:spacing w:val="-6"/>
              </w:rPr>
              <w:t>序号</w:t>
            </w:r>
          </w:p>
        </w:tc>
        <w:tc>
          <w:tcPr>
            <w:tcW w:w="1287" w:type="dxa"/>
            <w:vMerge w:val="restart"/>
            <w:tcBorders>
              <w:bottom w:val="nil"/>
            </w:tcBorders>
          </w:tcPr>
          <w:p w14:paraId="2759DF3B">
            <w:pPr>
              <w:spacing w:line="251" w:lineRule="auto"/>
              <w:rPr>
                <w:color w:val="auto"/>
              </w:rPr>
            </w:pPr>
          </w:p>
          <w:p w14:paraId="03212804">
            <w:pPr>
              <w:pStyle w:val="21"/>
              <w:spacing w:before="69" w:line="221" w:lineRule="auto"/>
              <w:ind w:left="118"/>
              <w:rPr>
                <w:color w:val="auto"/>
              </w:rPr>
            </w:pPr>
            <w:r>
              <w:rPr>
                <w:b/>
                <w:bCs/>
                <w:color w:val="auto"/>
                <w:spacing w:val="-4"/>
              </w:rPr>
              <w:t>投标人名称</w:t>
            </w:r>
          </w:p>
        </w:tc>
        <w:tc>
          <w:tcPr>
            <w:tcW w:w="5432" w:type="dxa"/>
            <w:gridSpan w:val="9"/>
          </w:tcPr>
          <w:p w14:paraId="2189E00A">
            <w:pPr>
              <w:pStyle w:val="21"/>
              <w:spacing w:before="107" w:line="220" w:lineRule="auto"/>
              <w:ind w:left="1770"/>
              <w:rPr>
                <w:color w:val="auto"/>
              </w:rPr>
            </w:pPr>
            <w:r>
              <w:rPr>
                <w:b/>
                <w:bCs/>
                <w:color w:val="auto"/>
                <w:spacing w:val="-3"/>
              </w:rPr>
              <w:t>评审标准及评审意见</w:t>
            </w:r>
          </w:p>
        </w:tc>
        <w:tc>
          <w:tcPr>
            <w:tcW w:w="733" w:type="dxa"/>
            <w:vMerge w:val="restart"/>
            <w:tcBorders>
              <w:bottom w:val="nil"/>
            </w:tcBorders>
          </w:tcPr>
          <w:p w14:paraId="2DD0ABCE">
            <w:pPr>
              <w:pStyle w:val="21"/>
              <w:spacing w:before="185" w:line="242" w:lineRule="auto"/>
              <w:ind w:left="165" w:right="149" w:hanging="5"/>
              <w:rPr>
                <w:color w:val="auto"/>
              </w:rPr>
            </w:pPr>
            <w:r>
              <w:rPr>
                <w:b/>
                <w:bCs/>
                <w:color w:val="auto"/>
                <w:spacing w:val="-6"/>
              </w:rPr>
              <w:t>评审</w:t>
            </w:r>
            <w:r>
              <w:rPr>
                <w:b/>
                <w:bCs/>
                <w:color w:val="auto"/>
                <w:spacing w:val="-9"/>
              </w:rPr>
              <w:t>结论</w:t>
            </w:r>
          </w:p>
        </w:tc>
      </w:tr>
      <w:tr w14:paraId="4B149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850" w:type="dxa"/>
            <w:vMerge w:val="continue"/>
            <w:tcBorders>
              <w:top w:val="nil"/>
            </w:tcBorders>
          </w:tcPr>
          <w:p w14:paraId="5152F0EE">
            <w:pPr>
              <w:rPr>
                <w:color w:val="auto"/>
              </w:rPr>
            </w:pPr>
          </w:p>
        </w:tc>
        <w:tc>
          <w:tcPr>
            <w:tcW w:w="1287" w:type="dxa"/>
            <w:vMerge w:val="continue"/>
            <w:tcBorders>
              <w:top w:val="nil"/>
            </w:tcBorders>
          </w:tcPr>
          <w:p w14:paraId="2CD8502D">
            <w:pPr>
              <w:rPr>
                <w:color w:val="auto"/>
              </w:rPr>
            </w:pPr>
          </w:p>
        </w:tc>
        <w:tc>
          <w:tcPr>
            <w:tcW w:w="605" w:type="dxa"/>
          </w:tcPr>
          <w:p w14:paraId="67EC25AD">
            <w:pPr>
              <w:rPr>
                <w:color w:val="auto"/>
              </w:rPr>
            </w:pPr>
          </w:p>
        </w:tc>
        <w:tc>
          <w:tcPr>
            <w:tcW w:w="603" w:type="dxa"/>
          </w:tcPr>
          <w:p w14:paraId="1972887C">
            <w:pPr>
              <w:rPr>
                <w:color w:val="auto"/>
              </w:rPr>
            </w:pPr>
          </w:p>
        </w:tc>
        <w:tc>
          <w:tcPr>
            <w:tcW w:w="603" w:type="dxa"/>
          </w:tcPr>
          <w:p w14:paraId="70B26B57">
            <w:pPr>
              <w:rPr>
                <w:color w:val="auto"/>
              </w:rPr>
            </w:pPr>
          </w:p>
        </w:tc>
        <w:tc>
          <w:tcPr>
            <w:tcW w:w="603" w:type="dxa"/>
          </w:tcPr>
          <w:p w14:paraId="61AF0477">
            <w:pPr>
              <w:rPr>
                <w:color w:val="auto"/>
              </w:rPr>
            </w:pPr>
          </w:p>
        </w:tc>
        <w:tc>
          <w:tcPr>
            <w:tcW w:w="603" w:type="dxa"/>
          </w:tcPr>
          <w:p w14:paraId="09614A07">
            <w:pPr>
              <w:rPr>
                <w:color w:val="auto"/>
              </w:rPr>
            </w:pPr>
          </w:p>
        </w:tc>
        <w:tc>
          <w:tcPr>
            <w:tcW w:w="603" w:type="dxa"/>
          </w:tcPr>
          <w:p w14:paraId="7A8D24D2">
            <w:pPr>
              <w:rPr>
                <w:color w:val="auto"/>
              </w:rPr>
            </w:pPr>
          </w:p>
        </w:tc>
        <w:tc>
          <w:tcPr>
            <w:tcW w:w="604" w:type="dxa"/>
          </w:tcPr>
          <w:p w14:paraId="002D3783">
            <w:pPr>
              <w:rPr>
                <w:color w:val="auto"/>
              </w:rPr>
            </w:pPr>
          </w:p>
        </w:tc>
        <w:tc>
          <w:tcPr>
            <w:tcW w:w="604" w:type="dxa"/>
          </w:tcPr>
          <w:p w14:paraId="55CCF5F7">
            <w:pPr>
              <w:rPr>
                <w:color w:val="auto"/>
              </w:rPr>
            </w:pPr>
          </w:p>
        </w:tc>
        <w:tc>
          <w:tcPr>
            <w:tcW w:w="604" w:type="dxa"/>
          </w:tcPr>
          <w:p w14:paraId="64A49E2B">
            <w:pPr>
              <w:rPr>
                <w:color w:val="auto"/>
              </w:rPr>
            </w:pPr>
          </w:p>
        </w:tc>
        <w:tc>
          <w:tcPr>
            <w:tcW w:w="733" w:type="dxa"/>
            <w:vMerge w:val="continue"/>
            <w:tcBorders>
              <w:top w:val="nil"/>
            </w:tcBorders>
          </w:tcPr>
          <w:p w14:paraId="39A1ED23">
            <w:pPr>
              <w:rPr>
                <w:color w:val="auto"/>
              </w:rPr>
            </w:pPr>
          </w:p>
        </w:tc>
      </w:tr>
      <w:tr w14:paraId="656A5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69E44493">
            <w:pPr>
              <w:pStyle w:val="21"/>
              <w:spacing w:before="175" w:line="242" w:lineRule="auto"/>
              <w:ind w:left="389"/>
              <w:rPr>
                <w:color w:val="auto"/>
              </w:rPr>
            </w:pPr>
            <w:r>
              <w:rPr>
                <w:color w:val="auto"/>
              </w:rPr>
              <w:t>1</w:t>
            </w:r>
          </w:p>
        </w:tc>
        <w:tc>
          <w:tcPr>
            <w:tcW w:w="1287" w:type="dxa"/>
          </w:tcPr>
          <w:p w14:paraId="4E57BAA5">
            <w:pPr>
              <w:rPr>
                <w:color w:val="auto"/>
              </w:rPr>
            </w:pPr>
          </w:p>
        </w:tc>
        <w:tc>
          <w:tcPr>
            <w:tcW w:w="605" w:type="dxa"/>
          </w:tcPr>
          <w:p w14:paraId="7084F462">
            <w:pPr>
              <w:rPr>
                <w:color w:val="auto"/>
              </w:rPr>
            </w:pPr>
          </w:p>
        </w:tc>
        <w:tc>
          <w:tcPr>
            <w:tcW w:w="603" w:type="dxa"/>
          </w:tcPr>
          <w:p w14:paraId="4E464A7A">
            <w:pPr>
              <w:rPr>
                <w:color w:val="auto"/>
              </w:rPr>
            </w:pPr>
          </w:p>
        </w:tc>
        <w:tc>
          <w:tcPr>
            <w:tcW w:w="603" w:type="dxa"/>
          </w:tcPr>
          <w:p w14:paraId="600FCF58">
            <w:pPr>
              <w:rPr>
                <w:color w:val="auto"/>
              </w:rPr>
            </w:pPr>
          </w:p>
        </w:tc>
        <w:tc>
          <w:tcPr>
            <w:tcW w:w="603" w:type="dxa"/>
          </w:tcPr>
          <w:p w14:paraId="14F7A10F">
            <w:pPr>
              <w:rPr>
                <w:color w:val="auto"/>
              </w:rPr>
            </w:pPr>
          </w:p>
        </w:tc>
        <w:tc>
          <w:tcPr>
            <w:tcW w:w="603" w:type="dxa"/>
          </w:tcPr>
          <w:p w14:paraId="40F5CEC0">
            <w:pPr>
              <w:rPr>
                <w:color w:val="auto"/>
              </w:rPr>
            </w:pPr>
          </w:p>
        </w:tc>
        <w:tc>
          <w:tcPr>
            <w:tcW w:w="603" w:type="dxa"/>
          </w:tcPr>
          <w:p w14:paraId="71A0E3AD">
            <w:pPr>
              <w:rPr>
                <w:color w:val="auto"/>
              </w:rPr>
            </w:pPr>
          </w:p>
        </w:tc>
        <w:tc>
          <w:tcPr>
            <w:tcW w:w="604" w:type="dxa"/>
          </w:tcPr>
          <w:p w14:paraId="570D0DD9">
            <w:pPr>
              <w:rPr>
                <w:color w:val="auto"/>
              </w:rPr>
            </w:pPr>
          </w:p>
        </w:tc>
        <w:tc>
          <w:tcPr>
            <w:tcW w:w="604" w:type="dxa"/>
          </w:tcPr>
          <w:p w14:paraId="4208FB5D">
            <w:pPr>
              <w:rPr>
                <w:color w:val="auto"/>
              </w:rPr>
            </w:pPr>
          </w:p>
        </w:tc>
        <w:tc>
          <w:tcPr>
            <w:tcW w:w="604" w:type="dxa"/>
          </w:tcPr>
          <w:p w14:paraId="6920041F">
            <w:pPr>
              <w:rPr>
                <w:color w:val="auto"/>
              </w:rPr>
            </w:pPr>
          </w:p>
        </w:tc>
        <w:tc>
          <w:tcPr>
            <w:tcW w:w="733" w:type="dxa"/>
          </w:tcPr>
          <w:p w14:paraId="309DF9F3">
            <w:pPr>
              <w:rPr>
                <w:color w:val="auto"/>
              </w:rPr>
            </w:pPr>
          </w:p>
        </w:tc>
      </w:tr>
      <w:tr w14:paraId="3F52F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7C651E9A">
            <w:pPr>
              <w:pStyle w:val="21"/>
              <w:spacing w:before="176" w:line="242" w:lineRule="auto"/>
              <w:ind w:left="376"/>
              <w:rPr>
                <w:color w:val="auto"/>
              </w:rPr>
            </w:pPr>
            <w:r>
              <w:rPr>
                <w:color w:val="auto"/>
              </w:rPr>
              <w:t>2</w:t>
            </w:r>
          </w:p>
        </w:tc>
        <w:tc>
          <w:tcPr>
            <w:tcW w:w="1287" w:type="dxa"/>
          </w:tcPr>
          <w:p w14:paraId="32DA5CDC">
            <w:pPr>
              <w:rPr>
                <w:color w:val="auto"/>
              </w:rPr>
            </w:pPr>
          </w:p>
        </w:tc>
        <w:tc>
          <w:tcPr>
            <w:tcW w:w="605" w:type="dxa"/>
          </w:tcPr>
          <w:p w14:paraId="15D75DFC">
            <w:pPr>
              <w:rPr>
                <w:color w:val="auto"/>
              </w:rPr>
            </w:pPr>
          </w:p>
        </w:tc>
        <w:tc>
          <w:tcPr>
            <w:tcW w:w="603" w:type="dxa"/>
          </w:tcPr>
          <w:p w14:paraId="21B80F72">
            <w:pPr>
              <w:rPr>
                <w:color w:val="auto"/>
              </w:rPr>
            </w:pPr>
          </w:p>
        </w:tc>
        <w:tc>
          <w:tcPr>
            <w:tcW w:w="603" w:type="dxa"/>
          </w:tcPr>
          <w:p w14:paraId="1A559713">
            <w:pPr>
              <w:rPr>
                <w:color w:val="auto"/>
              </w:rPr>
            </w:pPr>
          </w:p>
        </w:tc>
        <w:tc>
          <w:tcPr>
            <w:tcW w:w="603" w:type="dxa"/>
          </w:tcPr>
          <w:p w14:paraId="1059B350">
            <w:pPr>
              <w:rPr>
                <w:color w:val="auto"/>
              </w:rPr>
            </w:pPr>
          </w:p>
        </w:tc>
        <w:tc>
          <w:tcPr>
            <w:tcW w:w="603" w:type="dxa"/>
          </w:tcPr>
          <w:p w14:paraId="34A4E7F5">
            <w:pPr>
              <w:rPr>
                <w:color w:val="auto"/>
              </w:rPr>
            </w:pPr>
          </w:p>
        </w:tc>
        <w:tc>
          <w:tcPr>
            <w:tcW w:w="603" w:type="dxa"/>
          </w:tcPr>
          <w:p w14:paraId="3C2BC903">
            <w:pPr>
              <w:rPr>
                <w:color w:val="auto"/>
              </w:rPr>
            </w:pPr>
          </w:p>
        </w:tc>
        <w:tc>
          <w:tcPr>
            <w:tcW w:w="604" w:type="dxa"/>
          </w:tcPr>
          <w:p w14:paraId="777EEE0A">
            <w:pPr>
              <w:rPr>
                <w:color w:val="auto"/>
              </w:rPr>
            </w:pPr>
          </w:p>
        </w:tc>
        <w:tc>
          <w:tcPr>
            <w:tcW w:w="604" w:type="dxa"/>
          </w:tcPr>
          <w:p w14:paraId="690673F4">
            <w:pPr>
              <w:rPr>
                <w:color w:val="auto"/>
              </w:rPr>
            </w:pPr>
          </w:p>
        </w:tc>
        <w:tc>
          <w:tcPr>
            <w:tcW w:w="604" w:type="dxa"/>
          </w:tcPr>
          <w:p w14:paraId="6659B2F7">
            <w:pPr>
              <w:rPr>
                <w:color w:val="auto"/>
              </w:rPr>
            </w:pPr>
          </w:p>
        </w:tc>
        <w:tc>
          <w:tcPr>
            <w:tcW w:w="733" w:type="dxa"/>
          </w:tcPr>
          <w:p w14:paraId="01CF5E55">
            <w:pPr>
              <w:rPr>
                <w:color w:val="auto"/>
              </w:rPr>
            </w:pPr>
          </w:p>
        </w:tc>
      </w:tr>
      <w:tr w14:paraId="2CD6A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30EA53F2">
            <w:pPr>
              <w:pStyle w:val="21"/>
              <w:spacing w:before="177"/>
              <w:ind w:left="377"/>
              <w:rPr>
                <w:color w:val="auto"/>
              </w:rPr>
            </w:pPr>
            <w:r>
              <w:rPr>
                <w:color w:val="auto"/>
              </w:rPr>
              <w:t>3</w:t>
            </w:r>
          </w:p>
        </w:tc>
        <w:tc>
          <w:tcPr>
            <w:tcW w:w="1287" w:type="dxa"/>
          </w:tcPr>
          <w:p w14:paraId="7E45BA40">
            <w:pPr>
              <w:rPr>
                <w:color w:val="auto"/>
              </w:rPr>
            </w:pPr>
          </w:p>
        </w:tc>
        <w:tc>
          <w:tcPr>
            <w:tcW w:w="605" w:type="dxa"/>
          </w:tcPr>
          <w:p w14:paraId="7A094EA1">
            <w:pPr>
              <w:rPr>
                <w:color w:val="auto"/>
              </w:rPr>
            </w:pPr>
          </w:p>
        </w:tc>
        <w:tc>
          <w:tcPr>
            <w:tcW w:w="603" w:type="dxa"/>
          </w:tcPr>
          <w:p w14:paraId="143B3BB4">
            <w:pPr>
              <w:rPr>
                <w:color w:val="auto"/>
              </w:rPr>
            </w:pPr>
          </w:p>
        </w:tc>
        <w:tc>
          <w:tcPr>
            <w:tcW w:w="603" w:type="dxa"/>
          </w:tcPr>
          <w:p w14:paraId="2B5D010E">
            <w:pPr>
              <w:rPr>
                <w:color w:val="auto"/>
              </w:rPr>
            </w:pPr>
          </w:p>
        </w:tc>
        <w:tc>
          <w:tcPr>
            <w:tcW w:w="603" w:type="dxa"/>
          </w:tcPr>
          <w:p w14:paraId="5656B0FF">
            <w:pPr>
              <w:rPr>
                <w:color w:val="auto"/>
              </w:rPr>
            </w:pPr>
          </w:p>
        </w:tc>
        <w:tc>
          <w:tcPr>
            <w:tcW w:w="603" w:type="dxa"/>
          </w:tcPr>
          <w:p w14:paraId="1D027C28">
            <w:pPr>
              <w:rPr>
                <w:color w:val="auto"/>
              </w:rPr>
            </w:pPr>
          </w:p>
        </w:tc>
        <w:tc>
          <w:tcPr>
            <w:tcW w:w="603" w:type="dxa"/>
          </w:tcPr>
          <w:p w14:paraId="4B89DBE7">
            <w:pPr>
              <w:rPr>
                <w:color w:val="auto"/>
              </w:rPr>
            </w:pPr>
          </w:p>
        </w:tc>
        <w:tc>
          <w:tcPr>
            <w:tcW w:w="604" w:type="dxa"/>
          </w:tcPr>
          <w:p w14:paraId="73EDD6F7">
            <w:pPr>
              <w:rPr>
                <w:color w:val="auto"/>
              </w:rPr>
            </w:pPr>
          </w:p>
        </w:tc>
        <w:tc>
          <w:tcPr>
            <w:tcW w:w="604" w:type="dxa"/>
          </w:tcPr>
          <w:p w14:paraId="7532BC16">
            <w:pPr>
              <w:rPr>
                <w:color w:val="auto"/>
              </w:rPr>
            </w:pPr>
          </w:p>
        </w:tc>
        <w:tc>
          <w:tcPr>
            <w:tcW w:w="604" w:type="dxa"/>
          </w:tcPr>
          <w:p w14:paraId="3169DC00">
            <w:pPr>
              <w:rPr>
                <w:color w:val="auto"/>
              </w:rPr>
            </w:pPr>
          </w:p>
        </w:tc>
        <w:tc>
          <w:tcPr>
            <w:tcW w:w="733" w:type="dxa"/>
          </w:tcPr>
          <w:p w14:paraId="1BB83C0A">
            <w:pPr>
              <w:rPr>
                <w:color w:val="auto"/>
              </w:rPr>
            </w:pPr>
          </w:p>
        </w:tc>
      </w:tr>
      <w:tr w14:paraId="0305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4673F4F1">
            <w:pPr>
              <w:pStyle w:val="21"/>
              <w:spacing w:before="178" w:line="242" w:lineRule="auto"/>
              <w:ind w:left="372"/>
              <w:rPr>
                <w:color w:val="auto"/>
              </w:rPr>
            </w:pPr>
            <w:r>
              <w:rPr>
                <w:color w:val="auto"/>
              </w:rPr>
              <w:t>4</w:t>
            </w:r>
          </w:p>
        </w:tc>
        <w:tc>
          <w:tcPr>
            <w:tcW w:w="1287" w:type="dxa"/>
          </w:tcPr>
          <w:p w14:paraId="48CE417D">
            <w:pPr>
              <w:rPr>
                <w:color w:val="auto"/>
              </w:rPr>
            </w:pPr>
          </w:p>
        </w:tc>
        <w:tc>
          <w:tcPr>
            <w:tcW w:w="605" w:type="dxa"/>
          </w:tcPr>
          <w:p w14:paraId="41482AEB">
            <w:pPr>
              <w:rPr>
                <w:color w:val="auto"/>
              </w:rPr>
            </w:pPr>
          </w:p>
        </w:tc>
        <w:tc>
          <w:tcPr>
            <w:tcW w:w="603" w:type="dxa"/>
          </w:tcPr>
          <w:p w14:paraId="751EE866">
            <w:pPr>
              <w:rPr>
                <w:color w:val="auto"/>
              </w:rPr>
            </w:pPr>
          </w:p>
        </w:tc>
        <w:tc>
          <w:tcPr>
            <w:tcW w:w="603" w:type="dxa"/>
          </w:tcPr>
          <w:p w14:paraId="5ECC3ED2">
            <w:pPr>
              <w:rPr>
                <w:color w:val="auto"/>
              </w:rPr>
            </w:pPr>
          </w:p>
        </w:tc>
        <w:tc>
          <w:tcPr>
            <w:tcW w:w="603" w:type="dxa"/>
          </w:tcPr>
          <w:p w14:paraId="54E6346C">
            <w:pPr>
              <w:rPr>
                <w:color w:val="auto"/>
              </w:rPr>
            </w:pPr>
          </w:p>
        </w:tc>
        <w:tc>
          <w:tcPr>
            <w:tcW w:w="603" w:type="dxa"/>
          </w:tcPr>
          <w:p w14:paraId="0C56BC8B">
            <w:pPr>
              <w:rPr>
                <w:color w:val="auto"/>
              </w:rPr>
            </w:pPr>
          </w:p>
        </w:tc>
        <w:tc>
          <w:tcPr>
            <w:tcW w:w="603" w:type="dxa"/>
          </w:tcPr>
          <w:p w14:paraId="14D75240">
            <w:pPr>
              <w:rPr>
                <w:color w:val="auto"/>
              </w:rPr>
            </w:pPr>
          </w:p>
        </w:tc>
        <w:tc>
          <w:tcPr>
            <w:tcW w:w="604" w:type="dxa"/>
          </w:tcPr>
          <w:p w14:paraId="02268D0F">
            <w:pPr>
              <w:rPr>
                <w:color w:val="auto"/>
              </w:rPr>
            </w:pPr>
          </w:p>
        </w:tc>
        <w:tc>
          <w:tcPr>
            <w:tcW w:w="604" w:type="dxa"/>
          </w:tcPr>
          <w:p w14:paraId="1F1F2E78">
            <w:pPr>
              <w:rPr>
                <w:color w:val="auto"/>
              </w:rPr>
            </w:pPr>
          </w:p>
        </w:tc>
        <w:tc>
          <w:tcPr>
            <w:tcW w:w="604" w:type="dxa"/>
          </w:tcPr>
          <w:p w14:paraId="3856E3E7">
            <w:pPr>
              <w:rPr>
                <w:color w:val="auto"/>
              </w:rPr>
            </w:pPr>
          </w:p>
        </w:tc>
        <w:tc>
          <w:tcPr>
            <w:tcW w:w="733" w:type="dxa"/>
          </w:tcPr>
          <w:p w14:paraId="59CF495F">
            <w:pPr>
              <w:rPr>
                <w:color w:val="auto"/>
              </w:rPr>
            </w:pPr>
          </w:p>
        </w:tc>
      </w:tr>
      <w:tr w14:paraId="27992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440D2511">
            <w:pPr>
              <w:pStyle w:val="21"/>
              <w:spacing w:before="179"/>
              <w:ind w:left="377"/>
              <w:rPr>
                <w:color w:val="auto"/>
              </w:rPr>
            </w:pPr>
            <w:r>
              <w:rPr>
                <w:color w:val="auto"/>
              </w:rPr>
              <w:t>5</w:t>
            </w:r>
          </w:p>
        </w:tc>
        <w:tc>
          <w:tcPr>
            <w:tcW w:w="1287" w:type="dxa"/>
          </w:tcPr>
          <w:p w14:paraId="5A921D9E">
            <w:pPr>
              <w:rPr>
                <w:color w:val="auto"/>
              </w:rPr>
            </w:pPr>
          </w:p>
        </w:tc>
        <w:tc>
          <w:tcPr>
            <w:tcW w:w="605" w:type="dxa"/>
          </w:tcPr>
          <w:p w14:paraId="40E1B880">
            <w:pPr>
              <w:rPr>
                <w:color w:val="auto"/>
              </w:rPr>
            </w:pPr>
          </w:p>
        </w:tc>
        <w:tc>
          <w:tcPr>
            <w:tcW w:w="603" w:type="dxa"/>
          </w:tcPr>
          <w:p w14:paraId="0E6EEFFA">
            <w:pPr>
              <w:rPr>
                <w:color w:val="auto"/>
              </w:rPr>
            </w:pPr>
          </w:p>
        </w:tc>
        <w:tc>
          <w:tcPr>
            <w:tcW w:w="603" w:type="dxa"/>
          </w:tcPr>
          <w:p w14:paraId="1417683C">
            <w:pPr>
              <w:rPr>
                <w:color w:val="auto"/>
              </w:rPr>
            </w:pPr>
          </w:p>
        </w:tc>
        <w:tc>
          <w:tcPr>
            <w:tcW w:w="603" w:type="dxa"/>
          </w:tcPr>
          <w:p w14:paraId="5B64AB06">
            <w:pPr>
              <w:rPr>
                <w:color w:val="auto"/>
              </w:rPr>
            </w:pPr>
          </w:p>
        </w:tc>
        <w:tc>
          <w:tcPr>
            <w:tcW w:w="603" w:type="dxa"/>
          </w:tcPr>
          <w:p w14:paraId="36B3D3A8">
            <w:pPr>
              <w:rPr>
                <w:color w:val="auto"/>
              </w:rPr>
            </w:pPr>
          </w:p>
        </w:tc>
        <w:tc>
          <w:tcPr>
            <w:tcW w:w="603" w:type="dxa"/>
          </w:tcPr>
          <w:p w14:paraId="63355229">
            <w:pPr>
              <w:rPr>
                <w:color w:val="auto"/>
              </w:rPr>
            </w:pPr>
          </w:p>
        </w:tc>
        <w:tc>
          <w:tcPr>
            <w:tcW w:w="604" w:type="dxa"/>
          </w:tcPr>
          <w:p w14:paraId="5B437CD3">
            <w:pPr>
              <w:rPr>
                <w:color w:val="auto"/>
              </w:rPr>
            </w:pPr>
          </w:p>
        </w:tc>
        <w:tc>
          <w:tcPr>
            <w:tcW w:w="604" w:type="dxa"/>
          </w:tcPr>
          <w:p w14:paraId="02F91A61">
            <w:pPr>
              <w:rPr>
                <w:color w:val="auto"/>
              </w:rPr>
            </w:pPr>
          </w:p>
        </w:tc>
        <w:tc>
          <w:tcPr>
            <w:tcW w:w="604" w:type="dxa"/>
          </w:tcPr>
          <w:p w14:paraId="26E31847">
            <w:pPr>
              <w:rPr>
                <w:color w:val="auto"/>
              </w:rPr>
            </w:pPr>
          </w:p>
        </w:tc>
        <w:tc>
          <w:tcPr>
            <w:tcW w:w="733" w:type="dxa"/>
          </w:tcPr>
          <w:p w14:paraId="598FC125">
            <w:pPr>
              <w:rPr>
                <w:color w:val="auto"/>
              </w:rPr>
            </w:pPr>
          </w:p>
        </w:tc>
      </w:tr>
      <w:tr w14:paraId="503D1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3B1597CB">
            <w:pPr>
              <w:pStyle w:val="21"/>
              <w:spacing w:before="180"/>
              <w:ind w:left="375"/>
              <w:rPr>
                <w:color w:val="auto"/>
              </w:rPr>
            </w:pPr>
            <w:r>
              <w:rPr>
                <w:color w:val="auto"/>
              </w:rPr>
              <w:t>6</w:t>
            </w:r>
          </w:p>
        </w:tc>
        <w:tc>
          <w:tcPr>
            <w:tcW w:w="1287" w:type="dxa"/>
          </w:tcPr>
          <w:p w14:paraId="397D421E">
            <w:pPr>
              <w:rPr>
                <w:color w:val="auto"/>
              </w:rPr>
            </w:pPr>
          </w:p>
        </w:tc>
        <w:tc>
          <w:tcPr>
            <w:tcW w:w="605" w:type="dxa"/>
          </w:tcPr>
          <w:p w14:paraId="3D73F5AF">
            <w:pPr>
              <w:rPr>
                <w:color w:val="auto"/>
              </w:rPr>
            </w:pPr>
          </w:p>
        </w:tc>
        <w:tc>
          <w:tcPr>
            <w:tcW w:w="603" w:type="dxa"/>
          </w:tcPr>
          <w:p w14:paraId="32F5DB03">
            <w:pPr>
              <w:rPr>
                <w:color w:val="auto"/>
              </w:rPr>
            </w:pPr>
          </w:p>
        </w:tc>
        <w:tc>
          <w:tcPr>
            <w:tcW w:w="603" w:type="dxa"/>
          </w:tcPr>
          <w:p w14:paraId="1027B86F">
            <w:pPr>
              <w:rPr>
                <w:color w:val="auto"/>
              </w:rPr>
            </w:pPr>
          </w:p>
        </w:tc>
        <w:tc>
          <w:tcPr>
            <w:tcW w:w="603" w:type="dxa"/>
          </w:tcPr>
          <w:p w14:paraId="210BA608">
            <w:pPr>
              <w:rPr>
                <w:color w:val="auto"/>
              </w:rPr>
            </w:pPr>
          </w:p>
        </w:tc>
        <w:tc>
          <w:tcPr>
            <w:tcW w:w="603" w:type="dxa"/>
          </w:tcPr>
          <w:p w14:paraId="05BB21EC">
            <w:pPr>
              <w:rPr>
                <w:color w:val="auto"/>
              </w:rPr>
            </w:pPr>
          </w:p>
        </w:tc>
        <w:tc>
          <w:tcPr>
            <w:tcW w:w="603" w:type="dxa"/>
          </w:tcPr>
          <w:p w14:paraId="2ED6C3E6">
            <w:pPr>
              <w:rPr>
                <w:color w:val="auto"/>
              </w:rPr>
            </w:pPr>
          </w:p>
        </w:tc>
        <w:tc>
          <w:tcPr>
            <w:tcW w:w="604" w:type="dxa"/>
          </w:tcPr>
          <w:p w14:paraId="28B951BC">
            <w:pPr>
              <w:rPr>
                <w:color w:val="auto"/>
              </w:rPr>
            </w:pPr>
          </w:p>
        </w:tc>
        <w:tc>
          <w:tcPr>
            <w:tcW w:w="604" w:type="dxa"/>
          </w:tcPr>
          <w:p w14:paraId="5C319AE7">
            <w:pPr>
              <w:rPr>
                <w:color w:val="auto"/>
              </w:rPr>
            </w:pPr>
          </w:p>
        </w:tc>
        <w:tc>
          <w:tcPr>
            <w:tcW w:w="604" w:type="dxa"/>
          </w:tcPr>
          <w:p w14:paraId="6E5DE37E">
            <w:pPr>
              <w:rPr>
                <w:color w:val="auto"/>
              </w:rPr>
            </w:pPr>
          </w:p>
        </w:tc>
        <w:tc>
          <w:tcPr>
            <w:tcW w:w="733" w:type="dxa"/>
          </w:tcPr>
          <w:p w14:paraId="759323B5">
            <w:pPr>
              <w:rPr>
                <w:color w:val="auto"/>
              </w:rPr>
            </w:pPr>
          </w:p>
        </w:tc>
      </w:tr>
      <w:tr w14:paraId="16186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0" w:type="dxa"/>
          </w:tcPr>
          <w:p w14:paraId="790AE7D2">
            <w:pPr>
              <w:pStyle w:val="21"/>
              <w:spacing w:before="181" w:line="331" w:lineRule="exact"/>
              <w:ind w:left="334"/>
              <w:rPr>
                <w:color w:val="auto"/>
              </w:rPr>
            </w:pPr>
            <w:r>
              <w:rPr>
                <w:color w:val="auto"/>
                <w:position w:val="2"/>
              </w:rPr>
              <w:t>…</w:t>
            </w:r>
          </w:p>
        </w:tc>
        <w:tc>
          <w:tcPr>
            <w:tcW w:w="1287" w:type="dxa"/>
          </w:tcPr>
          <w:p w14:paraId="36EF2191">
            <w:pPr>
              <w:rPr>
                <w:color w:val="auto"/>
              </w:rPr>
            </w:pPr>
          </w:p>
        </w:tc>
        <w:tc>
          <w:tcPr>
            <w:tcW w:w="605" w:type="dxa"/>
          </w:tcPr>
          <w:p w14:paraId="52094220">
            <w:pPr>
              <w:rPr>
                <w:color w:val="auto"/>
              </w:rPr>
            </w:pPr>
          </w:p>
        </w:tc>
        <w:tc>
          <w:tcPr>
            <w:tcW w:w="603" w:type="dxa"/>
          </w:tcPr>
          <w:p w14:paraId="342241FC">
            <w:pPr>
              <w:rPr>
                <w:color w:val="auto"/>
              </w:rPr>
            </w:pPr>
          </w:p>
        </w:tc>
        <w:tc>
          <w:tcPr>
            <w:tcW w:w="603" w:type="dxa"/>
          </w:tcPr>
          <w:p w14:paraId="15017333">
            <w:pPr>
              <w:rPr>
                <w:color w:val="auto"/>
              </w:rPr>
            </w:pPr>
          </w:p>
        </w:tc>
        <w:tc>
          <w:tcPr>
            <w:tcW w:w="603" w:type="dxa"/>
          </w:tcPr>
          <w:p w14:paraId="0FC653BC">
            <w:pPr>
              <w:rPr>
                <w:color w:val="auto"/>
              </w:rPr>
            </w:pPr>
          </w:p>
        </w:tc>
        <w:tc>
          <w:tcPr>
            <w:tcW w:w="603" w:type="dxa"/>
          </w:tcPr>
          <w:p w14:paraId="2A5AF2EC">
            <w:pPr>
              <w:rPr>
                <w:color w:val="auto"/>
              </w:rPr>
            </w:pPr>
          </w:p>
        </w:tc>
        <w:tc>
          <w:tcPr>
            <w:tcW w:w="603" w:type="dxa"/>
          </w:tcPr>
          <w:p w14:paraId="49F0AE9B">
            <w:pPr>
              <w:rPr>
                <w:color w:val="auto"/>
              </w:rPr>
            </w:pPr>
          </w:p>
        </w:tc>
        <w:tc>
          <w:tcPr>
            <w:tcW w:w="604" w:type="dxa"/>
          </w:tcPr>
          <w:p w14:paraId="3BE595DC">
            <w:pPr>
              <w:rPr>
                <w:color w:val="auto"/>
              </w:rPr>
            </w:pPr>
          </w:p>
        </w:tc>
        <w:tc>
          <w:tcPr>
            <w:tcW w:w="604" w:type="dxa"/>
          </w:tcPr>
          <w:p w14:paraId="2670E91D">
            <w:pPr>
              <w:rPr>
                <w:color w:val="auto"/>
              </w:rPr>
            </w:pPr>
          </w:p>
        </w:tc>
        <w:tc>
          <w:tcPr>
            <w:tcW w:w="604" w:type="dxa"/>
          </w:tcPr>
          <w:p w14:paraId="6D461D13">
            <w:pPr>
              <w:rPr>
                <w:color w:val="auto"/>
              </w:rPr>
            </w:pPr>
          </w:p>
        </w:tc>
        <w:tc>
          <w:tcPr>
            <w:tcW w:w="733" w:type="dxa"/>
          </w:tcPr>
          <w:p w14:paraId="4EACAF3B">
            <w:pPr>
              <w:rPr>
                <w:color w:val="auto"/>
              </w:rPr>
            </w:pPr>
          </w:p>
        </w:tc>
      </w:tr>
      <w:tr w14:paraId="54885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6" w:hRule="atLeast"/>
        </w:trPr>
        <w:tc>
          <w:tcPr>
            <w:tcW w:w="8302" w:type="dxa"/>
            <w:gridSpan w:val="12"/>
          </w:tcPr>
          <w:p w14:paraId="4523CD6F">
            <w:pPr>
              <w:pStyle w:val="21"/>
              <w:spacing w:before="289" w:line="220" w:lineRule="auto"/>
              <w:ind w:left="110"/>
              <w:rPr>
                <w:color w:val="auto"/>
                <w:lang w:eastAsia="zh-CN"/>
              </w:rPr>
            </w:pPr>
            <w:r>
              <w:rPr>
                <w:color w:val="auto"/>
                <w:spacing w:val="-5"/>
                <w:lang w:eastAsia="zh-CN"/>
              </w:rPr>
              <w:t>评标委员会全体成员签名：</w:t>
            </w:r>
          </w:p>
        </w:tc>
      </w:tr>
    </w:tbl>
    <w:p w14:paraId="7BF636E7">
      <w:pPr>
        <w:spacing w:before="139" w:line="220" w:lineRule="auto"/>
        <w:ind w:left="7405"/>
        <w:rPr>
          <w:rFonts w:ascii="宋体" w:hAnsi="宋体" w:eastAsia="宋体" w:cs="宋体"/>
          <w:color w:val="auto"/>
          <w:lang w:eastAsia="zh-CN"/>
        </w:rPr>
      </w:pPr>
      <w:r>
        <w:rPr>
          <w:rFonts w:ascii="宋体" w:hAnsi="宋体" w:eastAsia="宋体" w:cs="宋体"/>
          <w:color w:val="auto"/>
          <w:spacing w:val="-12"/>
          <w:lang w:eastAsia="zh-CN"/>
        </w:rPr>
        <w:t>日期：年月日</w:t>
      </w:r>
    </w:p>
    <w:p w14:paraId="6D60F1A9">
      <w:pPr>
        <w:spacing w:line="220" w:lineRule="auto"/>
        <w:rPr>
          <w:rFonts w:ascii="宋体" w:hAnsi="宋体" w:eastAsia="宋体" w:cs="宋体"/>
          <w:color w:val="auto"/>
          <w:lang w:eastAsia="zh-CN"/>
        </w:rPr>
        <w:sectPr>
          <w:headerReference r:id="rId82" w:type="default"/>
          <w:footerReference r:id="rId83" w:type="default"/>
          <w:pgSz w:w="11906" w:h="16839"/>
          <w:pgMar w:top="400" w:right="0" w:bottom="938" w:left="105" w:header="0" w:footer="669" w:gutter="0"/>
          <w:cols w:space="720" w:num="1"/>
        </w:sectPr>
      </w:pPr>
    </w:p>
    <w:p w14:paraId="3019B278">
      <w:pPr>
        <w:pStyle w:val="8"/>
        <w:spacing w:line="267" w:lineRule="auto"/>
        <w:rPr>
          <w:lang w:eastAsia="zh-CN"/>
        </w:rPr>
      </w:pPr>
    </w:p>
    <w:p w14:paraId="28FC5FFE">
      <w:pPr>
        <w:pStyle w:val="8"/>
        <w:spacing w:line="267" w:lineRule="auto"/>
        <w:rPr>
          <w:lang w:eastAsia="zh-CN"/>
        </w:rPr>
      </w:pPr>
    </w:p>
    <w:p w14:paraId="66909CA4">
      <w:pPr>
        <w:pStyle w:val="8"/>
        <w:spacing w:line="267" w:lineRule="auto"/>
        <w:rPr>
          <w:lang w:eastAsia="zh-CN"/>
        </w:rPr>
      </w:pPr>
    </w:p>
    <w:p w14:paraId="6B54DFF0">
      <w:pPr>
        <w:pStyle w:val="8"/>
        <w:spacing w:line="267" w:lineRule="auto"/>
        <w:rPr>
          <w:lang w:eastAsia="zh-CN"/>
        </w:rPr>
      </w:pPr>
    </w:p>
    <w:p w14:paraId="4D36C244">
      <w:pPr>
        <w:spacing w:before="78" w:line="222" w:lineRule="auto"/>
        <w:ind w:left="1831"/>
        <w:outlineLvl w:val="2"/>
        <w:rPr>
          <w:rFonts w:ascii="黑体" w:hAnsi="黑体" w:eastAsia="黑体" w:cs="黑体"/>
          <w:color w:val="auto"/>
          <w:sz w:val="24"/>
          <w:szCs w:val="24"/>
          <w:lang w:eastAsia="zh-CN"/>
        </w:rPr>
      </w:pPr>
      <w:bookmarkStart w:id="326" w:name="bookmark249"/>
      <w:bookmarkEnd w:id="326"/>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A-5</w:t>
      </w:r>
      <w:r>
        <w:rPr>
          <w:rFonts w:ascii="黑体" w:hAnsi="黑体" w:eastAsia="黑体" w:cs="黑体"/>
          <w:color w:val="auto"/>
          <w:spacing w:val="-3"/>
          <w:sz w:val="24"/>
          <w:szCs w:val="24"/>
          <w:lang w:eastAsia="zh-CN"/>
        </w:rPr>
        <w:t>：资格评审记录表</w:t>
      </w:r>
    </w:p>
    <w:p w14:paraId="52842F30">
      <w:pPr>
        <w:pStyle w:val="8"/>
        <w:spacing w:line="252" w:lineRule="auto"/>
        <w:rPr>
          <w:lang w:eastAsia="zh-CN"/>
        </w:rPr>
      </w:pPr>
    </w:p>
    <w:p w14:paraId="35F1ABA6">
      <w:pPr>
        <w:pStyle w:val="8"/>
        <w:spacing w:line="253" w:lineRule="auto"/>
        <w:rPr>
          <w:lang w:eastAsia="zh-CN"/>
        </w:rPr>
      </w:pPr>
    </w:p>
    <w:p w14:paraId="6F706A30">
      <w:pPr>
        <w:spacing w:before="118" w:line="222" w:lineRule="auto"/>
        <w:ind w:left="4613"/>
        <w:rPr>
          <w:rFonts w:ascii="黑体" w:hAnsi="黑体" w:eastAsia="黑体" w:cs="黑体"/>
          <w:color w:val="auto"/>
          <w:sz w:val="36"/>
          <w:szCs w:val="36"/>
          <w:lang w:eastAsia="zh-CN"/>
        </w:rPr>
      </w:pPr>
      <w:bookmarkStart w:id="327" w:name="bookmark131"/>
      <w:bookmarkEnd w:id="327"/>
      <w:r>
        <w:rPr>
          <w:rFonts w:ascii="黑体" w:hAnsi="黑体" w:eastAsia="黑体" w:cs="黑体"/>
          <w:color w:val="auto"/>
          <w:spacing w:val="-4"/>
          <w:sz w:val="36"/>
          <w:szCs w:val="36"/>
          <w:lang w:eastAsia="zh-CN"/>
        </w:rPr>
        <w:t>资格评审记录表</w:t>
      </w:r>
    </w:p>
    <w:p w14:paraId="4BC92251">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5905F1A2">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301"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541"/>
        <w:gridCol w:w="594"/>
        <w:gridCol w:w="593"/>
        <w:gridCol w:w="592"/>
        <w:gridCol w:w="593"/>
        <w:gridCol w:w="592"/>
        <w:gridCol w:w="592"/>
        <w:gridCol w:w="593"/>
        <w:gridCol w:w="592"/>
        <w:gridCol w:w="593"/>
        <w:gridCol w:w="718"/>
      </w:tblGrid>
      <w:tr w14:paraId="4839D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708" w:type="dxa"/>
            <w:vMerge w:val="restart"/>
            <w:tcBorders>
              <w:bottom w:val="nil"/>
            </w:tcBorders>
          </w:tcPr>
          <w:p w14:paraId="4A2207E8">
            <w:pPr>
              <w:spacing w:line="251" w:lineRule="auto"/>
              <w:rPr>
                <w:color w:val="auto"/>
              </w:rPr>
            </w:pPr>
          </w:p>
          <w:p w14:paraId="56091999">
            <w:pPr>
              <w:pStyle w:val="21"/>
              <w:spacing w:before="68" w:line="222" w:lineRule="auto"/>
              <w:ind w:left="143"/>
              <w:rPr>
                <w:color w:val="auto"/>
              </w:rPr>
            </w:pPr>
            <w:r>
              <w:rPr>
                <w:b/>
                <w:bCs/>
                <w:color w:val="auto"/>
                <w:spacing w:val="-6"/>
              </w:rPr>
              <w:t>序号</w:t>
            </w:r>
          </w:p>
        </w:tc>
        <w:tc>
          <w:tcPr>
            <w:tcW w:w="1541" w:type="dxa"/>
            <w:vMerge w:val="restart"/>
            <w:tcBorders>
              <w:bottom w:val="nil"/>
            </w:tcBorders>
          </w:tcPr>
          <w:p w14:paraId="11A8ADD3">
            <w:pPr>
              <w:spacing w:line="251" w:lineRule="auto"/>
              <w:rPr>
                <w:color w:val="auto"/>
              </w:rPr>
            </w:pPr>
          </w:p>
          <w:p w14:paraId="7E7B5340">
            <w:pPr>
              <w:pStyle w:val="21"/>
              <w:spacing w:before="69" w:line="221" w:lineRule="auto"/>
              <w:ind w:left="246"/>
              <w:rPr>
                <w:color w:val="auto"/>
              </w:rPr>
            </w:pPr>
            <w:r>
              <w:rPr>
                <w:b/>
                <w:bCs/>
                <w:color w:val="auto"/>
                <w:spacing w:val="-4"/>
              </w:rPr>
              <w:t>投标人名称</w:t>
            </w:r>
          </w:p>
        </w:tc>
        <w:tc>
          <w:tcPr>
            <w:tcW w:w="5334" w:type="dxa"/>
            <w:gridSpan w:val="9"/>
          </w:tcPr>
          <w:p w14:paraId="3F7A2367">
            <w:pPr>
              <w:pStyle w:val="21"/>
              <w:spacing w:before="107" w:line="220" w:lineRule="auto"/>
              <w:ind w:left="1722"/>
              <w:rPr>
                <w:color w:val="auto"/>
              </w:rPr>
            </w:pPr>
            <w:r>
              <w:rPr>
                <w:b/>
                <w:bCs/>
                <w:color w:val="auto"/>
                <w:spacing w:val="-3"/>
              </w:rPr>
              <w:t>评审标准及评审意见</w:t>
            </w:r>
          </w:p>
        </w:tc>
        <w:tc>
          <w:tcPr>
            <w:tcW w:w="718" w:type="dxa"/>
            <w:vMerge w:val="restart"/>
            <w:tcBorders>
              <w:bottom w:val="nil"/>
            </w:tcBorders>
          </w:tcPr>
          <w:p w14:paraId="2E81FBFA">
            <w:pPr>
              <w:pStyle w:val="21"/>
              <w:spacing w:before="185" w:line="242" w:lineRule="auto"/>
              <w:ind w:left="158" w:right="141" w:hanging="5"/>
              <w:rPr>
                <w:color w:val="auto"/>
              </w:rPr>
            </w:pPr>
            <w:r>
              <w:rPr>
                <w:b/>
                <w:bCs/>
                <w:color w:val="auto"/>
                <w:spacing w:val="-6"/>
              </w:rPr>
              <w:t>评审</w:t>
            </w:r>
            <w:r>
              <w:rPr>
                <w:b/>
                <w:bCs/>
                <w:color w:val="auto"/>
                <w:spacing w:val="-9"/>
              </w:rPr>
              <w:t>结论</w:t>
            </w:r>
          </w:p>
        </w:tc>
      </w:tr>
      <w:tr w14:paraId="3995B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08" w:type="dxa"/>
            <w:vMerge w:val="continue"/>
            <w:tcBorders>
              <w:top w:val="nil"/>
            </w:tcBorders>
          </w:tcPr>
          <w:p w14:paraId="7599976D">
            <w:pPr>
              <w:rPr>
                <w:color w:val="auto"/>
              </w:rPr>
            </w:pPr>
          </w:p>
        </w:tc>
        <w:tc>
          <w:tcPr>
            <w:tcW w:w="1541" w:type="dxa"/>
            <w:vMerge w:val="continue"/>
            <w:tcBorders>
              <w:top w:val="nil"/>
            </w:tcBorders>
          </w:tcPr>
          <w:p w14:paraId="78A37CE5">
            <w:pPr>
              <w:rPr>
                <w:color w:val="auto"/>
              </w:rPr>
            </w:pPr>
          </w:p>
        </w:tc>
        <w:tc>
          <w:tcPr>
            <w:tcW w:w="594" w:type="dxa"/>
          </w:tcPr>
          <w:p w14:paraId="65C41FDF">
            <w:pPr>
              <w:rPr>
                <w:color w:val="auto"/>
              </w:rPr>
            </w:pPr>
          </w:p>
        </w:tc>
        <w:tc>
          <w:tcPr>
            <w:tcW w:w="593" w:type="dxa"/>
          </w:tcPr>
          <w:p w14:paraId="3D7D821C">
            <w:pPr>
              <w:rPr>
                <w:color w:val="auto"/>
              </w:rPr>
            </w:pPr>
          </w:p>
        </w:tc>
        <w:tc>
          <w:tcPr>
            <w:tcW w:w="592" w:type="dxa"/>
          </w:tcPr>
          <w:p w14:paraId="0FDDB893">
            <w:pPr>
              <w:rPr>
                <w:color w:val="auto"/>
              </w:rPr>
            </w:pPr>
          </w:p>
        </w:tc>
        <w:tc>
          <w:tcPr>
            <w:tcW w:w="593" w:type="dxa"/>
          </w:tcPr>
          <w:p w14:paraId="6ECBE4AC">
            <w:pPr>
              <w:rPr>
                <w:color w:val="auto"/>
              </w:rPr>
            </w:pPr>
          </w:p>
        </w:tc>
        <w:tc>
          <w:tcPr>
            <w:tcW w:w="592" w:type="dxa"/>
          </w:tcPr>
          <w:p w14:paraId="245971FA">
            <w:pPr>
              <w:rPr>
                <w:color w:val="auto"/>
              </w:rPr>
            </w:pPr>
          </w:p>
        </w:tc>
        <w:tc>
          <w:tcPr>
            <w:tcW w:w="592" w:type="dxa"/>
          </w:tcPr>
          <w:p w14:paraId="1795C5E8">
            <w:pPr>
              <w:rPr>
                <w:color w:val="auto"/>
              </w:rPr>
            </w:pPr>
          </w:p>
        </w:tc>
        <w:tc>
          <w:tcPr>
            <w:tcW w:w="593" w:type="dxa"/>
          </w:tcPr>
          <w:p w14:paraId="49C76301">
            <w:pPr>
              <w:rPr>
                <w:color w:val="auto"/>
              </w:rPr>
            </w:pPr>
          </w:p>
        </w:tc>
        <w:tc>
          <w:tcPr>
            <w:tcW w:w="592" w:type="dxa"/>
          </w:tcPr>
          <w:p w14:paraId="112D6998">
            <w:pPr>
              <w:rPr>
                <w:color w:val="auto"/>
              </w:rPr>
            </w:pPr>
          </w:p>
        </w:tc>
        <w:tc>
          <w:tcPr>
            <w:tcW w:w="593" w:type="dxa"/>
          </w:tcPr>
          <w:p w14:paraId="223B2CB1">
            <w:pPr>
              <w:rPr>
                <w:color w:val="auto"/>
              </w:rPr>
            </w:pPr>
          </w:p>
        </w:tc>
        <w:tc>
          <w:tcPr>
            <w:tcW w:w="718" w:type="dxa"/>
            <w:vMerge w:val="continue"/>
            <w:tcBorders>
              <w:top w:val="nil"/>
            </w:tcBorders>
          </w:tcPr>
          <w:p w14:paraId="3791EF13">
            <w:pPr>
              <w:rPr>
                <w:color w:val="auto"/>
              </w:rPr>
            </w:pPr>
          </w:p>
        </w:tc>
      </w:tr>
      <w:tr w14:paraId="76614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3CA870CB">
            <w:pPr>
              <w:pStyle w:val="21"/>
              <w:spacing w:before="175" w:line="242" w:lineRule="auto"/>
              <w:ind w:left="318"/>
              <w:rPr>
                <w:color w:val="auto"/>
              </w:rPr>
            </w:pPr>
            <w:r>
              <w:rPr>
                <w:color w:val="auto"/>
              </w:rPr>
              <w:t>1</w:t>
            </w:r>
          </w:p>
        </w:tc>
        <w:tc>
          <w:tcPr>
            <w:tcW w:w="1541" w:type="dxa"/>
          </w:tcPr>
          <w:p w14:paraId="63DF0CDC">
            <w:pPr>
              <w:rPr>
                <w:color w:val="auto"/>
              </w:rPr>
            </w:pPr>
          </w:p>
        </w:tc>
        <w:tc>
          <w:tcPr>
            <w:tcW w:w="594" w:type="dxa"/>
          </w:tcPr>
          <w:p w14:paraId="75FCA6D3">
            <w:pPr>
              <w:rPr>
                <w:color w:val="auto"/>
              </w:rPr>
            </w:pPr>
          </w:p>
        </w:tc>
        <w:tc>
          <w:tcPr>
            <w:tcW w:w="593" w:type="dxa"/>
          </w:tcPr>
          <w:p w14:paraId="52A376BE">
            <w:pPr>
              <w:rPr>
                <w:color w:val="auto"/>
              </w:rPr>
            </w:pPr>
          </w:p>
        </w:tc>
        <w:tc>
          <w:tcPr>
            <w:tcW w:w="592" w:type="dxa"/>
          </w:tcPr>
          <w:p w14:paraId="36932C77">
            <w:pPr>
              <w:rPr>
                <w:color w:val="auto"/>
              </w:rPr>
            </w:pPr>
          </w:p>
        </w:tc>
        <w:tc>
          <w:tcPr>
            <w:tcW w:w="593" w:type="dxa"/>
          </w:tcPr>
          <w:p w14:paraId="4256E6C2">
            <w:pPr>
              <w:rPr>
                <w:color w:val="auto"/>
              </w:rPr>
            </w:pPr>
          </w:p>
        </w:tc>
        <w:tc>
          <w:tcPr>
            <w:tcW w:w="592" w:type="dxa"/>
          </w:tcPr>
          <w:p w14:paraId="0C142176">
            <w:pPr>
              <w:rPr>
                <w:color w:val="auto"/>
              </w:rPr>
            </w:pPr>
          </w:p>
        </w:tc>
        <w:tc>
          <w:tcPr>
            <w:tcW w:w="592" w:type="dxa"/>
          </w:tcPr>
          <w:p w14:paraId="57CF55A7">
            <w:pPr>
              <w:rPr>
                <w:color w:val="auto"/>
              </w:rPr>
            </w:pPr>
          </w:p>
        </w:tc>
        <w:tc>
          <w:tcPr>
            <w:tcW w:w="593" w:type="dxa"/>
          </w:tcPr>
          <w:p w14:paraId="28D3A8B5">
            <w:pPr>
              <w:rPr>
                <w:color w:val="auto"/>
              </w:rPr>
            </w:pPr>
          </w:p>
        </w:tc>
        <w:tc>
          <w:tcPr>
            <w:tcW w:w="592" w:type="dxa"/>
          </w:tcPr>
          <w:p w14:paraId="431EE896">
            <w:pPr>
              <w:rPr>
                <w:color w:val="auto"/>
              </w:rPr>
            </w:pPr>
          </w:p>
        </w:tc>
        <w:tc>
          <w:tcPr>
            <w:tcW w:w="593" w:type="dxa"/>
          </w:tcPr>
          <w:p w14:paraId="4B6923FB">
            <w:pPr>
              <w:rPr>
                <w:color w:val="auto"/>
              </w:rPr>
            </w:pPr>
          </w:p>
        </w:tc>
        <w:tc>
          <w:tcPr>
            <w:tcW w:w="718" w:type="dxa"/>
          </w:tcPr>
          <w:p w14:paraId="6C73DC92">
            <w:pPr>
              <w:rPr>
                <w:color w:val="auto"/>
              </w:rPr>
            </w:pPr>
          </w:p>
        </w:tc>
      </w:tr>
      <w:tr w14:paraId="4B471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70DB6C92">
            <w:pPr>
              <w:pStyle w:val="21"/>
              <w:spacing w:before="176" w:line="242" w:lineRule="auto"/>
              <w:ind w:left="305"/>
              <w:rPr>
                <w:color w:val="auto"/>
              </w:rPr>
            </w:pPr>
            <w:r>
              <w:rPr>
                <w:color w:val="auto"/>
              </w:rPr>
              <w:t>2</w:t>
            </w:r>
          </w:p>
        </w:tc>
        <w:tc>
          <w:tcPr>
            <w:tcW w:w="1541" w:type="dxa"/>
          </w:tcPr>
          <w:p w14:paraId="0353C505">
            <w:pPr>
              <w:rPr>
                <w:color w:val="auto"/>
              </w:rPr>
            </w:pPr>
          </w:p>
        </w:tc>
        <w:tc>
          <w:tcPr>
            <w:tcW w:w="594" w:type="dxa"/>
          </w:tcPr>
          <w:p w14:paraId="78D2A188">
            <w:pPr>
              <w:rPr>
                <w:color w:val="auto"/>
              </w:rPr>
            </w:pPr>
          </w:p>
        </w:tc>
        <w:tc>
          <w:tcPr>
            <w:tcW w:w="593" w:type="dxa"/>
          </w:tcPr>
          <w:p w14:paraId="0DAA5B83">
            <w:pPr>
              <w:rPr>
                <w:color w:val="auto"/>
              </w:rPr>
            </w:pPr>
          </w:p>
        </w:tc>
        <w:tc>
          <w:tcPr>
            <w:tcW w:w="592" w:type="dxa"/>
          </w:tcPr>
          <w:p w14:paraId="093C2A2A">
            <w:pPr>
              <w:rPr>
                <w:color w:val="auto"/>
              </w:rPr>
            </w:pPr>
          </w:p>
        </w:tc>
        <w:tc>
          <w:tcPr>
            <w:tcW w:w="593" w:type="dxa"/>
          </w:tcPr>
          <w:p w14:paraId="19E69DD0">
            <w:pPr>
              <w:rPr>
                <w:color w:val="auto"/>
              </w:rPr>
            </w:pPr>
          </w:p>
        </w:tc>
        <w:tc>
          <w:tcPr>
            <w:tcW w:w="592" w:type="dxa"/>
          </w:tcPr>
          <w:p w14:paraId="1BF25C57">
            <w:pPr>
              <w:rPr>
                <w:color w:val="auto"/>
              </w:rPr>
            </w:pPr>
          </w:p>
        </w:tc>
        <w:tc>
          <w:tcPr>
            <w:tcW w:w="592" w:type="dxa"/>
          </w:tcPr>
          <w:p w14:paraId="79C605D9">
            <w:pPr>
              <w:rPr>
                <w:color w:val="auto"/>
              </w:rPr>
            </w:pPr>
          </w:p>
        </w:tc>
        <w:tc>
          <w:tcPr>
            <w:tcW w:w="593" w:type="dxa"/>
          </w:tcPr>
          <w:p w14:paraId="42A915B4">
            <w:pPr>
              <w:rPr>
                <w:color w:val="auto"/>
              </w:rPr>
            </w:pPr>
          </w:p>
        </w:tc>
        <w:tc>
          <w:tcPr>
            <w:tcW w:w="592" w:type="dxa"/>
          </w:tcPr>
          <w:p w14:paraId="63A01C58">
            <w:pPr>
              <w:rPr>
                <w:color w:val="auto"/>
              </w:rPr>
            </w:pPr>
          </w:p>
        </w:tc>
        <w:tc>
          <w:tcPr>
            <w:tcW w:w="593" w:type="dxa"/>
          </w:tcPr>
          <w:p w14:paraId="015EF9A6">
            <w:pPr>
              <w:rPr>
                <w:color w:val="auto"/>
              </w:rPr>
            </w:pPr>
          </w:p>
        </w:tc>
        <w:tc>
          <w:tcPr>
            <w:tcW w:w="718" w:type="dxa"/>
          </w:tcPr>
          <w:p w14:paraId="6C381F2F">
            <w:pPr>
              <w:rPr>
                <w:color w:val="auto"/>
              </w:rPr>
            </w:pPr>
          </w:p>
        </w:tc>
      </w:tr>
      <w:tr w14:paraId="52A3E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4EB6848D">
            <w:pPr>
              <w:pStyle w:val="21"/>
              <w:spacing w:before="177"/>
              <w:ind w:left="306"/>
              <w:rPr>
                <w:color w:val="auto"/>
              </w:rPr>
            </w:pPr>
            <w:r>
              <w:rPr>
                <w:color w:val="auto"/>
              </w:rPr>
              <w:t>3</w:t>
            </w:r>
          </w:p>
        </w:tc>
        <w:tc>
          <w:tcPr>
            <w:tcW w:w="1541" w:type="dxa"/>
          </w:tcPr>
          <w:p w14:paraId="0280236F">
            <w:pPr>
              <w:rPr>
                <w:color w:val="auto"/>
              </w:rPr>
            </w:pPr>
          </w:p>
        </w:tc>
        <w:tc>
          <w:tcPr>
            <w:tcW w:w="594" w:type="dxa"/>
          </w:tcPr>
          <w:p w14:paraId="6E7DF4AC">
            <w:pPr>
              <w:rPr>
                <w:color w:val="auto"/>
              </w:rPr>
            </w:pPr>
          </w:p>
        </w:tc>
        <w:tc>
          <w:tcPr>
            <w:tcW w:w="593" w:type="dxa"/>
          </w:tcPr>
          <w:p w14:paraId="34371B97">
            <w:pPr>
              <w:rPr>
                <w:color w:val="auto"/>
              </w:rPr>
            </w:pPr>
          </w:p>
        </w:tc>
        <w:tc>
          <w:tcPr>
            <w:tcW w:w="592" w:type="dxa"/>
          </w:tcPr>
          <w:p w14:paraId="081E372C">
            <w:pPr>
              <w:rPr>
                <w:color w:val="auto"/>
              </w:rPr>
            </w:pPr>
          </w:p>
        </w:tc>
        <w:tc>
          <w:tcPr>
            <w:tcW w:w="593" w:type="dxa"/>
          </w:tcPr>
          <w:p w14:paraId="640BA7FF">
            <w:pPr>
              <w:rPr>
                <w:color w:val="auto"/>
              </w:rPr>
            </w:pPr>
          </w:p>
        </w:tc>
        <w:tc>
          <w:tcPr>
            <w:tcW w:w="592" w:type="dxa"/>
          </w:tcPr>
          <w:p w14:paraId="45BBE081">
            <w:pPr>
              <w:rPr>
                <w:color w:val="auto"/>
              </w:rPr>
            </w:pPr>
          </w:p>
        </w:tc>
        <w:tc>
          <w:tcPr>
            <w:tcW w:w="592" w:type="dxa"/>
          </w:tcPr>
          <w:p w14:paraId="2E83370D">
            <w:pPr>
              <w:rPr>
                <w:color w:val="auto"/>
              </w:rPr>
            </w:pPr>
          </w:p>
        </w:tc>
        <w:tc>
          <w:tcPr>
            <w:tcW w:w="593" w:type="dxa"/>
          </w:tcPr>
          <w:p w14:paraId="75973FEE">
            <w:pPr>
              <w:rPr>
                <w:color w:val="auto"/>
              </w:rPr>
            </w:pPr>
          </w:p>
        </w:tc>
        <w:tc>
          <w:tcPr>
            <w:tcW w:w="592" w:type="dxa"/>
          </w:tcPr>
          <w:p w14:paraId="7B31665D">
            <w:pPr>
              <w:rPr>
                <w:color w:val="auto"/>
              </w:rPr>
            </w:pPr>
          </w:p>
        </w:tc>
        <w:tc>
          <w:tcPr>
            <w:tcW w:w="593" w:type="dxa"/>
          </w:tcPr>
          <w:p w14:paraId="728607F4">
            <w:pPr>
              <w:rPr>
                <w:color w:val="auto"/>
              </w:rPr>
            </w:pPr>
          </w:p>
        </w:tc>
        <w:tc>
          <w:tcPr>
            <w:tcW w:w="718" w:type="dxa"/>
          </w:tcPr>
          <w:p w14:paraId="713C82CF">
            <w:pPr>
              <w:rPr>
                <w:color w:val="auto"/>
              </w:rPr>
            </w:pPr>
          </w:p>
        </w:tc>
      </w:tr>
      <w:tr w14:paraId="5FD5F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6D98785B">
            <w:pPr>
              <w:pStyle w:val="21"/>
              <w:spacing w:before="178" w:line="242" w:lineRule="auto"/>
              <w:ind w:left="301"/>
              <w:rPr>
                <w:color w:val="auto"/>
              </w:rPr>
            </w:pPr>
            <w:r>
              <w:rPr>
                <w:color w:val="auto"/>
              </w:rPr>
              <w:t>4</w:t>
            </w:r>
          </w:p>
        </w:tc>
        <w:tc>
          <w:tcPr>
            <w:tcW w:w="1541" w:type="dxa"/>
          </w:tcPr>
          <w:p w14:paraId="7DB5F4FD">
            <w:pPr>
              <w:rPr>
                <w:color w:val="auto"/>
              </w:rPr>
            </w:pPr>
          </w:p>
        </w:tc>
        <w:tc>
          <w:tcPr>
            <w:tcW w:w="594" w:type="dxa"/>
          </w:tcPr>
          <w:p w14:paraId="2EAC141F">
            <w:pPr>
              <w:rPr>
                <w:color w:val="auto"/>
              </w:rPr>
            </w:pPr>
          </w:p>
        </w:tc>
        <w:tc>
          <w:tcPr>
            <w:tcW w:w="593" w:type="dxa"/>
          </w:tcPr>
          <w:p w14:paraId="62258CE2">
            <w:pPr>
              <w:rPr>
                <w:color w:val="auto"/>
              </w:rPr>
            </w:pPr>
          </w:p>
        </w:tc>
        <w:tc>
          <w:tcPr>
            <w:tcW w:w="592" w:type="dxa"/>
          </w:tcPr>
          <w:p w14:paraId="4FCD5543">
            <w:pPr>
              <w:rPr>
                <w:color w:val="auto"/>
              </w:rPr>
            </w:pPr>
          </w:p>
        </w:tc>
        <w:tc>
          <w:tcPr>
            <w:tcW w:w="593" w:type="dxa"/>
          </w:tcPr>
          <w:p w14:paraId="7BB3B20B">
            <w:pPr>
              <w:rPr>
                <w:color w:val="auto"/>
              </w:rPr>
            </w:pPr>
          </w:p>
        </w:tc>
        <w:tc>
          <w:tcPr>
            <w:tcW w:w="592" w:type="dxa"/>
          </w:tcPr>
          <w:p w14:paraId="1B040F4D">
            <w:pPr>
              <w:rPr>
                <w:color w:val="auto"/>
              </w:rPr>
            </w:pPr>
          </w:p>
        </w:tc>
        <w:tc>
          <w:tcPr>
            <w:tcW w:w="592" w:type="dxa"/>
          </w:tcPr>
          <w:p w14:paraId="3C920C6A">
            <w:pPr>
              <w:rPr>
                <w:color w:val="auto"/>
              </w:rPr>
            </w:pPr>
          </w:p>
        </w:tc>
        <w:tc>
          <w:tcPr>
            <w:tcW w:w="593" w:type="dxa"/>
          </w:tcPr>
          <w:p w14:paraId="37EF3216">
            <w:pPr>
              <w:rPr>
                <w:color w:val="auto"/>
              </w:rPr>
            </w:pPr>
          </w:p>
        </w:tc>
        <w:tc>
          <w:tcPr>
            <w:tcW w:w="592" w:type="dxa"/>
          </w:tcPr>
          <w:p w14:paraId="7F8FB197">
            <w:pPr>
              <w:rPr>
                <w:color w:val="auto"/>
              </w:rPr>
            </w:pPr>
          </w:p>
        </w:tc>
        <w:tc>
          <w:tcPr>
            <w:tcW w:w="593" w:type="dxa"/>
          </w:tcPr>
          <w:p w14:paraId="30E9BE80">
            <w:pPr>
              <w:rPr>
                <w:color w:val="auto"/>
              </w:rPr>
            </w:pPr>
          </w:p>
        </w:tc>
        <w:tc>
          <w:tcPr>
            <w:tcW w:w="718" w:type="dxa"/>
          </w:tcPr>
          <w:p w14:paraId="4DD2FCDC">
            <w:pPr>
              <w:rPr>
                <w:color w:val="auto"/>
              </w:rPr>
            </w:pPr>
          </w:p>
        </w:tc>
      </w:tr>
      <w:tr w14:paraId="25037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28BED4C6">
            <w:pPr>
              <w:pStyle w:val="21"/>
              <w:spacing w:before="179"/>
              <w:ind w:left="306"/>
              <w:rPr>
                <w:color w:val="auto"/>
              </w:rPr>
            </w:pPr>
            <w:r>
              <w:rPr>
                <w:color w:val="auto"/>
              </w:rPr>
              <w:t>5</w:t>
            </w:r>
          </w:p>
        </w:tc>
        <w:tc>
          <w:tcPr>
            <w:tcW w:w="1541" w:type="dxa"/>
          </w:tcPr>
          <w:p w14:paraId="058A66B3">
            <w:pPr>
              <w:rPr>
                <w:color w:val="auto"/>
              </w:rPr>
            </w:pPr>
          </w:p>
        </w:tc>
        <w:tc>
          <w:tcPr>
            <w:tcW w:w="594" w:type="dxa"/>
          </w:tcPr>
          <w:p w14:paraId="5E432082">
            <w:pPr>
              <w:rPr>
                <w:color w:val="auto"/>
              </w:rPr>
            </w:pPr>
          </w:p>
        </w:tc>
        <w:tc>
          <w:tcPr>
            <w:tcW w:w="593" w:type="dxa"/>
          </w:tcPr>
          <w:p w14:paraId="5F316EBB">
            <w:pPr>
              <w:rPr>
                <w:color w:val="auto"/>
              </w:rPr>
            </w:pPr>
          </w:p>
        </w:tc>
        <w:tc>
          <w:tcPr>
            <w:tcW w:w="592" w:type="dxa"/>
          </w:tcPr>
          <w:p w14:paraId="33BD1EAE">
            <w:pPr>
              <w:rPr>
                <w:color w:val="auto"/>
              </w:rPr>
            </w:pPr>
          </w:p>
        </w:tc>
        <w:tc>
          <w:tcPr>
            <w:tcW w:w="593" w:type="dxa"/>
          </w:tcPr>
          <w:p w14:paraId="0BA35F0A">
            <w:pPr>
              <w:rPr>
                <w:color w:val="auto"/>
              </w:rPr>
            </w:pPr>
          </w:p>
        </w:tc>
        <w:tc>
          <w:tcPr>
            <w:tcW w:w="592" w:type="dxa"/>
          </w:tcPr>
          <w:p w14:paraId="4EF5E9B6">
            <w:pPr>
              <w:rPr>
                <w:color w:val="auto"/>
              </w:rPr>
            </w:pPr>
          </w:p>
        </w:tc>
        <w:tc>
          <w:tcPr>
            <w:tcW w:w="592" w:type="dxa"/>
          </w:tcPr>
          <w:p w14:paraId="2C2D468B">
            <w:pPr>
              <w:rPr>
                <w:color w:val="auto"/>
              </w:rPr>
            </w:pPr>
          </w:p>
        </w:tc>
        <w:tc>
          <w:tcPr>
            <w:tcW w:w="593" w:type="dxa"/>
          </w:tcPr>
          <w:p w14:paraId="7505EFDD">
            <w:pPr>
              <w:rPr>
                <w:color w:val="auto"/>
              </w:rPr>
            </w:pPr>
          </w:p>
        </w:tc>
        <w:tc>
          <w:tcPr>
            <w:tcW w:w="592" w:type="dxa"/>
          </w:tcPr>
          <w:p w14:paraId="0F77B6C4">
            <w:pPr>
              <w:rPr>
                <w:color w:val="auto"/>
              </w:rPr>
            </w:pPr>
          </w:p>
        </w:tc>
        <w:tc>
          <w:tcPr>
            <w:tcW w:w="593" w:type="dxa"/>
          </w:tcPr>
          <w:p w14:paraId="3ACA6431">
            <w:pPr>
              <w:rPr>
                <w:color w:val="auto"/>
              </w:rPr>
            </w:pPr>
          </w:p>
        </w:tc>
        <w:tc>
          <w:tcPr>
            <w:tcW w:w="718" w:type="dxa"/>
          </w:tcPr>
          <w:p w14:paraId="29D1F3A1">
            <w:pPr>
              <w:rPr>
                <w:color w:val="auto"/>
              </w:rPr>
            </w:pPr>
          </w:p>
        </w:tc>
      </w:tr>
      <w:tr w14:paraId="379F1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18F06DB4">
            <w:pPr>
              <w:pStyle w:val="21"/>
              <w:spacing w:before="180"/>
              <w:ind w:left="304"/>
              <w:rPr>
                <w:color w:val="auto"/>
              </w:rPr>
            </w:pPr>
            <w:r>
              <w:rPr>
                <w:color w:val="auto"/>
              </w:rPr>
              <w:t>6</w:t>
            </w:r>
          </w:p>
        </w:tc>
        <w:tc>
          <w:tcPr>
            <w:tcW w:w="1541" w:type="dxa"/>
          </w:tcPr>
          <w:p w14:paraId="17A9FAC1">
            <w:pPr>
              <w:rPr>
                <w:color w:val="auto"/>
              </w:rPr>
            </w:pPr>
          </w:p>
        </w:tc>
        <w:tc>
          <w:tcPr>
            <w:tcW w:w="594" w:type="dxa"/>
          </w:tcPr>
          <w:p w14:paraId="527CE2C8">
            <w:pPr>
              <w:rPr>
                <w:color w:val="auto"/>
              </w:rPr>
            </w:pPr>
          </w:p>
        </w:tc>
        <w:tc>
          <w:tcPr>
            <w:tcW w:w="593" w:type="dxa"/>
          </w:tcPr>
          <w:p w14:paraId="7EBDCFE5">
            <w:pPr>
              <w:rPr>
                <w:color w:val="auto"/>
              </w:rPr>
            </w:pPr>
          </w:p>
        </w:tc>
        <w:tc>
          <w:tcPr>
            <w:tcW w:w="592" w:type="dxa"/>
          </w:tcPr>
          <w:p w14:paraId="27D5E863">
            <w:pPr>
              <w:rPr>
                <w:color w:val="auto"/>
              </w:rPr>
            </w:pPr>
          </w:p>
        </w:tc>
        <w:tc>
          <w:tcPr>
            <w:tcW w:w="593" w:type="dxa"/>
          </w:tcPr>
          <w:p w14:paraId="78968C98">
            <w:pPr>
              <w:rPr>
                <w:color w:val="auto"/>
              </w:rPr>
            </w:pPr>
          </w:p>
        </w:tc>
        <w:tc>
          <w:tcPr>
            <w:tcW w:w="592" w:type="dxa"/>
          </w:tcPr>
          <w:p w14:paraId="7FF26AC3">
            <w:pPr>
              <w:rPr>
                <w:color w:val="auto"/>
              </w:rPr>
            </w:pPr>
          </w:p>
        </w:tc>
        <w:tc>
          <w:tcPr>
            <w:tcW w:w="592" w:type="dxa"/>
          </w:tcPr>
          <w:p w14:paraId="1771D42A">
            <w:pPr>
              <w:rPr>
                <w:color w:val="auto"/>
              </w:rPr>
            </w:pPr>
          </w:p>
        </w:tc>
        <w:tc>
          <w:tcPr>
            <w:tcW w:w="593" w:type="dxa"/>
          </w:tcPr>
          <w:p w14:paraId="4DCE140C">
            <w:pPr>
              <w:rPr>
                <w:color w:val="auto"/>
              </w:rPr>
            </w:pPr>
          </w:p>
        </w:tc>
        <w:tc>
          <w:tcPr>
            <w:tcW w:w="592" w:type="dxa"/>
          </w:tcPr>
          <w:p w14:paraId="61F8D1AA">
            <w:pPr>
              <w:rPr>
                <w:color w:val="auto"/>
              </w:rPr>
            </w:pPr>
          </w:p>
        </w:tc>
        <w:tc>
          <w:tcPr>
            <w:tcW w:w="593" w:type="dxa"/>
          </w:tcPr>
          <w:p w14:paraId="2707C743">
            <w:pPr>
              <w:rPr>
                <w:color w:val="auto"/>
              </w:rPr>
            </w:pPr>
          </w:p>
        </w:tc>
        <w:tc>
          <w:tcPr>
            <w:tcW w:w="718" w:type="dxa"/>
          </w:tcPr>
          <w:p w14:paraId="181EE611">
            <w:pPr>
              <w:rPr>
                <w:color w:val="auto"/>
              </w:rPr>
            </w:pPr>
          </w:p>
        </w:tc>
      </w:tr>
      <w:tr w14:paraId="2CEDD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2A16E249">
            <w:pPr>
              <w:pStyle w:val="21"/>
              <w:spacing w:before="181" w:line="331" w:lineRule="exact"/>
              <w:ind w:left="263"/>
              <w:rPr>
                <w:color w:val="auto"/>
              </w:rPr>
            </w:pPr>
            <w:r>
              <w:rPr>
                <w:color w:val="auto"/>
                <w:position w:val="2"/>
              </w:rPr>
              <w:t>…</w:t>
            </w:r>
          </w:p>
        </w:tc>
        <w:tc>
          <w:tcPr>
            <w:tcW w:w="1541" w:type="dxa"/>
          </w:tcPr>
          <w:p w14:paraId="63F4DB9C">
            <w:pPr>
              <w:rPr>
                <w:color w:val="auto"/>
              </w:rPr>
            </w:pPr>
          </w:p>
        </w:tc>
        <w:tc>
          <w:tcPr>
            <w:tcW w:w="594" w:type="dxa"/>
          </w:tcPr>
          <w:p w14:paraId="73251BDA">
            <w:pPr>
              <w:rPr>
                <w:color w:val="auto"/>
              </w:rPr>
            </w:pPr>
          </w:p>
        </w:tc>
        <w:tc>
          <w:tcPr>
            <w:tcW w:w="593" w:type="dxa"/>
          </w:tcPr>
          <w:p w14:paraId="3FA64939">
            <w:pPr>
              <w:rPr>
                <w:color w:val="auto"/>
              </w:rPr>
            </w:pPr>
          </w:p>
        </w:tc>
        <w:tc>
          <w:tcPr>
            <w:tcW w:w="592" w:type="dxa"/>
          </w:tcPr>
          <w:p w14:paraId="2F732806">
            <w:pPr>
              <w:rPr>
                <w:color w:val="auto"/>
              </w:rPr>
            </w:pPr>
          </w:p>
        </w:tc>
        <w:tc>
          <w:tcPr>
            <w:tcW w:w="593" w:type="dxa"/>
          </w:tcPr>
          <w:p w14:paraId="6084C97F">
            <w:pPr>
              <w:rPr>
                <w:color w:val="auto"/>
              </w:rPr>
            </w:pPr>
          </w:p>
        </w:tc>
        <w:tc>
          <w:tcPr>
            <w:tcW w:w="592" w:type="dxa"/>
          </w:tcPr>
          <w:p w14:paraId="40545D47">
            <w:pPr>
              <w:rPr>
                <w:color w:val="auto"/>
              </w:rPr>
            </w:pPr>
          </w:p>
        </w:tc>
        <w:tc>
          <w:tcPr>
            <w:tcW w:w="592" w:type="dxa"/>
          </w:tcPr>
          <w:p w14:paraId="1BB7481A">
            <w:pPr>
              <w:rPr>
                <w:color w:val="auto"/>
              </w:rPr>
            </w:pPr>
          </w:p>
        </w:tc>
        <w:tc>
          <w:tcPr>
            <w:tcW w:w="593" w:type="dxa"/>
          </w:tcPr>
          <w:p w14:paraId="7D79FB92">
            <w:pPr>
              <w:rPr>
                <w:color w:val="auto"/>
              </w:rPr>
            </w:pPr>
          </w:p>
        </w:tc>
        <w:tc>
          <w:tcPr>
            <w:tcW w:w="592" w:type="dxa"/>
          </w:tcPr>
          <w:p w14:paraId="4BE569AD">
            <w:pPr>
              <w:rPr>
                <w:color w:val="auto"/>
              </w:rPr>
            </w:pPr>
          </w:p>
        </w:tc>
        <w:tc>
          <w:tcPr>
            <w:tcW w:w="593" w:type="dxa"/>
          </w:tcPr>
          <w:p w14:paraId="6FAFA985">
            <w:pPr>
              <w:rPr>
                <w:color w:val="auto"/>
              </w:rPr>
            </w:pPr>
          </w:p>
        </w:tc>
        <w:tc>
          <w:tcPr>
            <w:tcW w:w="718" w:type="dxa"/>
          </w:tcPr>
          <w:p w14:paraId="733C6F64">
            <w:pPr>
              <w:rPr>
                <w:color w:val="auto"/>
              </w:rPr>
            </w:pPr>
          </w:p>
        </w:tc>
      </w:tr>
      <w:tr w14:paraId="1C5CB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6" w:hRule="atLeast"/>
        </w:trPr>
        <w:tc>
          <w:tcPr>
            <w:tcW w:w="8301" w:type="dxa"/>
            <w:gridSpan w:val="12"/>
          </w:tcPr>
          <w:p w14:paraId="692F70D3">
            <w:pPr>
              <w:pStyle w:val="21"/>
              <w:spacing w:before="289" w:line="220" w:lineRule="auto"/>
              <w:ind w:left="110"/>
              <w:rPr>
                <w:color w:val="auto"/>
                <w:lang w:eastAsia="zh-CN"/>
              </w:rPr>
            </w:pPr>
            <w:r>
              <w:rPr>
                <w:color w:val="auto"/>
                <w:spacing w:val="-5"/>
                <w:lang w:eastAsia="zh-CN"/>
              </w:rPr>
              <w:t>评标委员会全体成员签名：</w:t>
            </w:r>
          </w:p>
        </w:tc>
      </w:tr>
    </w:tbl>
    <w:p w14:paraId="20FC8973">
      <w:pPr>
        <w:spacing w:before="139" w:line="220" w:lineRule="auto"/>
        <w:ind w:left="7510"/>
        <w:rPr>
          <w:rFonts w:ascii="宋体" w:hAnsi="宋体" w:eastAsia="宋体" w:cs="宋体"/>
          <w:color w:val="auto"/>
          <w:lang w:eastAsia="zh-CN"/>
        </w:rPr>
      </w:pPr>
      <w:r>
        <w:rPr>
          <w:rFonts w:ascii="宋体" w:hAnsi="宋体" w:eastAsia="宋体" w:cs="宋体"/>
          <w:color w:val="auto"/>
          <w:spacing w:val="-12"/>
          <w:lang w:eastAsia="zh-CN"/>
        </w:rPr>
        <w:t>日期：年月日</w:t>
      </w:r>
    </w:p>
    <w:p w14:paraId="22E99512">
      <w:pPr>
        <w:spacing w:line="220" w:lineRule="auto"/>
        <w:rPr>
          <w:rFonts w:ascii="宋体" w:hAnsi="宋体" w:eastAsia="宋体" w:cs="宋体"/>
          <w:color w:val="auto"/>
          <w:lang w:eastAsia="zh-CN"/>
        </w:rPr>
        <w:sectPr>
          <w:headerReference r:id="rId84" w:type="default"/>
          <w:footerReference r:id="rId85" w:type="default"/>
          <w:pgSz w:w="11906" w:h="16839"/>
          <w:pgMar w:top="400" w:right="0" w:bottom="938" w:left="105" w:header="0" w:footer="669" w:gutter="0"/>
          <w:cols w:space="720" w:num="1"/>
        </w:sectPr>
      </w:pPr>
    </w:p>
    <w:p w14:paraId="28A5E23B">
      <w:pPr>
        <w:pStyle w:val="8"/>
        <w:spacing w:line="267" w:lineRule="auto"/>
        <w:rPr>
          <w:lang w:eastAsia="zh-CN"/>
        </w:rPr>
      </w:pPr>
    </w:p>
    <w:p w14:paraId="357B9789">
      <w:pPr>
        <w:pStyle w:val="8"/>
        <w:spacing w:line="267" w:lineRule="auto"/>
        <w:rPr>
          <w:lang w:eastAsia="zh-CN"/>
        </w:rPr>
      </w:pPr>
    </w:p>
    <w:p w14:paraId="385E2FF7">
      <w:pPr>
        <w:pStyle w:val="8"/>
        <w:spacing w:line="267" w:lineRule="auto"/>
        <w:rPr>
          <w:lang w:eastAsia="zh-CN"/>
        </w:rPr>
      </w:pPr>
    </w:p>
    <w:p w14:paraId="102C5F44">
      <w:pPr>
        <w:pStyle w:val="8"/>
        <w:spacing w:line="267" w:lineRule="auto"/>
        <w:rPr>
          <w:lang w:eastAsia="zh-CN"/>
        </w:rPr>
      </w:pPr>
    </w:p>
    <w:p w14:paraId="2EBAA270">
      <w:pPr>
        <w:spacing w:before="78" w:line="222" w:lineRule="auto"/>
        <w:ind w:left="1831"/>
        <w:outlineLvl w:val="2"/>
        <w:rPr>
          <w:rFonts w:ascii="黑体" w:hAnsi="黑体" w:eastAsia="黑体" w:cs="黑体"/>
          <w:color w:val="auto"/>
          <w:sz w:val="24"/>
          <w:szCs w:val="24"/>
          <w:lang w:eastAsia="zh-CN"/>
        </w:rPr>
      </w:pPr>
      <w:bookmarkStart w:id="328" w:name="bookmark250"/>
      <w:bookmarkEnd w:id="328"/>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A-6</w:t>
      </w:r>
      <w:r>
        <w:rPr>
          <w:rFonts w:ascii="黑体" w:hAnsi="黑体" w:eastAsia="黑体" w:cs="黑体"/>
          <w:color w:val="auto"/>
          <w:spacing w:val="-3"/>
          <w:sz w:val="24"/>
          <w:szCs w:val="24"/>
          <w:lang w:eastAsia="zh-CN"/>
        </w:rPr>
        <w:t>：响应性评审记录表</w:t>
      </w:r>
    </w:p>
    <w:p w14:paraId="567AB851">
      <w:pPr>
        <w:pStyle w:val="8"/>
        <w:spacing w:line="252" w:lineRule="auto"/>
        <w:rPr>
          <w:lang w:eastAsia="zh-CN"/>
        </w:rPr>
      </w:pPr>
    </w:p>
    <w:p w14:paraId="3A2F1F7C">
      <w:pPr>
        <w:pStyle w:val="8"/>
        <w:spacing w:line="253" w:lineRule="auto"/>
        <w:rPr>
          <w:lang w:eastAsia="zh-CN"/>
        </w:rPr>
      </w:pPr>
    </w:p>
    <w:p w14:paraId="6D59446A">
      <w:pPr>
        <w:spacing w:before="118" w:line="222" w:lineRule="auto"/>
        <w:ind w:left="4435"/>
        <w:rPr>
          <w:rFonts w:ascii="黑体" w:hAnsi="黑体" w:eastAsia="黑体" w:cs="黑体"/>
          <w:color w:val="auto"/>
          <w:sz w:val="36"/>
          <w:szCs w:val="36"/>
          <w:lang w:eastAsia="zh-CN"/>
        </w:rPr>
      </w:pPr>
      <w:bookmarkStart w:id="329" w:name="bookmark132"/>
      <w:bookmarkEnd w:id="329"/>
      <w:r>
        <w:rPr>
          <w:rFonts w:ascii="黑体" w:hAnsi="黑体" w:eastAsia="黑体" w:cs="黑体"/>
          <w:color w:val="auto"/>
          <w:spacing w:val="-4"/>
          <w:sz w:val="36"/>
          <w:szCs w:val="36"/>
          <w:lang w:eastAsia="zh-CN"/>
        </w:rPr>
        <w:t>响应性评审记录表</w:t>
      </w:r>
    </w:p>
    <w:p w14:paraId="303274BA">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664FD36A">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301"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588"/>
        <w:gridCol w:w="583"/>
        <w:gridCol w:w="583"/>
        <w:gridCol w:w="582"/>
        <w:gridCol w:w="582"/>
        <w:gridCol w:w="582"/>
        <w:gridCol w:w="582"/>
        <w:gridCol w:w="583"/>
        <w:gridCol w:w="583"/>
        <w:gridCol w:w="583"/>
        <w:gridCol w:w="762"/>
      </w:tblGrid>
      <w:tr w14:paraId="580D8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08" w:type="dxa"/>
            <w:vMerge w:val="restart"/>
            <w:tcBorders>
              <w:bottom w:val="nil"/>
            </w:tcBorders>
          </w:tcPr>
          <w:p w14:paraId="5AF64853">
            <w:pPr>
              <w:spacing w:line="251" w:lineRule="auto"/>
              <w:rPr>
                <w:color w:val="auto"/>
              </w:rPr>
            </w:pPr>
          </w:p>
          <w:p w14:paraId="254298B0">
            <w:pPr>
              <w:pStyle w:val="21"/>
              <w:spacing w:before="68" w:line="222" w:lineRule="auto"/>
              <w:ind w:left="143"/>
              <w:rPr>
                <w:color w:val="auto"/>
              </w:rPr>
            </w:pPr>
            <w:r>
              <w:rPr>
                <w:b/>
                <w:bCs/>
                <w:color w:val="auto"/>
                <w:spacing w:val="-6"/>
              </w:rPr>
              <w:t>序号</w:t>
            </w:r>
          </w:p>
        </w:tc>
        <w:tc>
          <w:tcPr>
            <w:tcW w:w="1588" w:type="dxa"/>
            <w:vMerge w:val="restart"/>
            <w:tcBorders>
              <w:bottom w:val="nil"/>
            </w:tcBorders>
          </w:tcPr>
          <w:p w14:paraId="6D18EFDB">
            <w:pPr>
              <w:spacing w:line="251" w:lineRule="auto"/>
              <w:rPr>
                <w:color w:val="auto"/>
              </w:rPr>
            </w:pPr>
          </w:p>
          <w:p w14:paraId="547DF908">
            <w:pPr>
              <w:pStyle w:val="21"/>
              <w:spacing w:before="69" w:line="221" w:lineRule="auto"/>
              <w:ind w:left="269"/>
              <w:rPr>
                <w:color w:val="auto"/>
              </w:rPr>
            </w:pPr>
            <w:r>
              <w:rPr>
                <w:b/>
                <w:bCs/>
                <w:color w:val="auto"/>
                <w:spacing w:val="-4"/>
              </w:rPr>
              <w:t>投标人名称</w:t>
            </w:r>
          </w:p>
        </w:tc>
        <w:tc>
          <w:tcPr>
            <w:tcW w:w="5243" w:type="dxa"/>
            <w:gridSpan w:val="9"/>
          </w:tcPr>
          <w:p w14:paraId="03D50F10">
            <w:pPr>
              <w:pStyle w:val="21"/>
              <w:spacing w:before="107" w:line="220" w:lineRule="auto"/>
              <w:ind w:left="1676"/>
              <w:rPr>
                <w:color w:val="auto"/>
              </w:rPr>
            </w:pPr>
            <w:r>
              <w:rPr>
                <w:b/>
                <w:bCs/>
                <w:color w:val="auto"/>
                <w:spacing w:val="-3"/>
              </w:rPr>
              <w:t>评审标准及评审意见</w:t>
            </w:r>
          </w:p>
        </w:tc>
        <w:tc>
          <w:tcPr>
            <w:tcW w:w="762" w:type="dxa"/>
            <w:vMerge w:val="restart"/>
            <w:tcBorders>
              <w:bottom w:val="nil"/>
            </w:tcBorders>
          </w:tcPr>
          <w:p w14:paraId="597886E1">
            <w:pPr>
              <w:pStyle w:val="21"/>
              <w:spacing w:before="185" w:line="242" w:lineRule="auto"/>
              <w:ind w:left="180" w:right="163" w:hanging="5"/>
              <w:rPr>
                <w:color w:val="auto"/>
              </w:rPr>
            </w:pPr>
            <w:r>
              <w:rPr>
                <w:b/>
                <w:bCs/>
                <w:color w:val="auto"/>
                <w:spacing w:val="-6"/>
              </w:rPr>
              <w:t>评审</w:t>
            </w:r>
            <w:r>
              <w:rPr>
                <w:b/>
                <w:bCs/>
                <w:color w:val="auto"/>
                <w:spacing w:val="-9"/>
              </w:rPr>
              <w:t>结论</w:t>
            </w:r>
          </w:p>
        </w:tc>
      </w:tr>
      <w:tr w14:paraId="0E7EC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08" w:type="dxa"/>
            <w:vMerge w:val="continue"/>
            <w:tcBorders>
              <w:top w:val="nil"/>
            </w:tcBorders>
          </w:tcPr>
          <w:p w14:paraId="5B65002F">
            <w:pPr>
              <w:rPr>
                <w:color w:val="auto"/>
              </w:rPr>
            </w:pPr>
          </w:p>
        </w:tc>
        <w:tc>
          <w:tcPr>
            <w:tcW w:w="1588" w:type="dxa"/>
            <w:vMerge w:val="continue"/>
            <w:tcBorders>
              <w:top w:val="nil"/>
            </w:tcBorders>
          </w:tcPr>
          <w:p w14:paraId="7AB871C7">
            <w:pPr>
              <w:rPr>
                <w:color w:val="auto"/>
              </w:rPr>
            </w:pPr>
          </w:p>
        </w:tc>
        <w:tc>
          <w:tcPr>
            <w:tcW w:w="583" w:type="dxa"/>
          </w:tcPr>
          <w:p w14:paraId="7E0B5450">
            <w:pPr>
              <w:rPr>
                <w:color w:val="auto"/>
              </w:rPr>
            </w:pPr>
          </w:p>
        </w:tc>
        <w:tc>
          <w:tcPr>
            <w:tcW w:w="583" w:type="dxa"/>
          </w:tcPr>
          <w:p w14:paraId="001967B1">
            <w:pPr>
              <w:rPr>
                <w:color w:val="auto"/>
              </w:rPr>
            </w:pPr>
          </w:p>
        </w:tc>
        <w:tc>
          <w:tcPr>
            <w:tcW w:w="582" w:type="dxa"/>
          </w:tcPr>
          <w:p w14:paraId="00CBACEA">
            <w:pPr>
              <w:rPr>
                <w:color w:val="auto"/>
              </w:rPr>
            </w:pPr>
          </w:p>
        </w:tc>
        <w:tc>
          <w:tcPr>
            <w:tcW w:w="582" w:type="dxa"/>
          </w:tcPr>
          <w:p w14:paraId="271F11B0">
            <w:pPr>
              <w:rPr>
                <w:color w:val="auto"/>
              </w:rPr>
            </w:pPr>
          </w:p>
        </w:tc>
        <w:tc>
          <w:tcPr>
            <w:tcW w:w="582" w:type="dxa"/>
          </w:tcPr>
          <w:p w14:paraId="35858DDF">
            <w:pPr>
              <w:rPr>
                <w:color w:val="auto"/>
              </w:rPr>
            </w:pPr>
          </w:p>
        </w:tc>
        <w:tc>
          <w:tcPr>
            <w:tcW w:w="582" w:type="dxa"/>
          </w:tcPr>
          <w:p w14:paraId="4574164C">
            <w:pPr>
              <w:rPr>
                <w:color w:val="auto"/>
              </w:rPr>
            </w:pPr>
          </w:p>
        </w:tc>
        <w:tc>
          <w:tcPr>
            <w:tcW w:w="583" w:type="dxa"/>
          </w:tcPr>
          <w:p w14:paraId="404A7F36">
            <w:pPr>
              <w:rPr>
                <w:color w:val="auto"/>
              </w:rPr>
            </w:pPr>
          </w:p>
        </w:tc>
        <w:tc>
          <w:tcPr>
            <w:tcW w:w="583" w:type="dxa"/>
          </w:tcPr>
          <w:p w14:paraId="3581D94D">
            <w:pPr>
              <w:rPr>
                <w:color w:val="auto"/>
              </w:rPr>
            </w:pPr>
          </w:p>
        </w:tc>
        <w:tc>
          <w:tcPr>
            <w:tcW w:w="583" w:type="dxa"/>
          </w:tcPr>
          <w:p w14:paraId="302EA49C">
            <w:pPr>
              <w:rPr>
                <w:color w:val="auto"/>
              </w:rPr>
            </w:pPr>
          </w:p>
        </w:tc>
        <w:tc>
          <w:tcPr>
            <w:tcW w:w="762" w:type="dxa"/>
            <w:vMerge w:val="continue"/>
            <w:tcBorders>
              <w:top w:val="nil"/>
            </w:tcBorders>
          </w:tcPr>
          <w:p w14:paraId="649A5621">
            <w:pPr>
              <w:rPr>
                <w:color w:val="auto"/>
              </w:rPr>
            </w:pPr>
          </w:p>
        </w:tc>
      </w:tr>
      <w:tr w14:paraId="566A1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588B3998">
            <w:pPr>
              <w:pStyle w:val="21"/>
              <w:spacing w:before="176" w:line="242" w:lineRule="auto"/>
              <w:ind w:left="318"/>
              <w:rPr>
                <w:color w:val="auto"/>
              </w:rPr>
            </w:pPr>
            <w:r>
              <w:rPr>
                <w:color w:val="auto"/>
              </w:rPr>
              <w:t>1</w:t>
            </w:r>
          </w:p>
        </w:tc>
        <w:tc>
          <w:tcPr>
            <w:tcW w:w="1588" w:type="dxa"/>
          </w:tcPr>
          <w:p w14:paraId="35795E97">
            <w:pPr>
              <w:rPr>
                <w:color w:val="auto"/>
              </w:rPr>
            </w:pPr>
          </w:p>
        </w:tc>
        <w:tc>
          <w:tcPr>
            <w:tcW w:w="583" w:type="dxa"/>
          </w:tcPr>
          <w:p w14:paraId="61EE01C9">
            <w:pPr>
              <w:rPr>
                <w:color w:val="auto"/>
              </w:rPr>
            </w:pPr>
          </w:p>
        </w:tc>
        <w:tc>
          <w:tcPr>
            <w:tcW w:w="583" w:type="dxa"/>
          </w:tcPr>
          <w:p w14:paraId="642B1EEE">
            <w:pPr>
              <w:rPr>
                <w:color w:val="auto"/>
              </w:rPr>
            </w:pPr>
          </w:p>
        </w:tc>
        <w:tc>
          <w:tcPr>
            <w:tcW w:w="582" w:type="dxa"/>
          </w:tcPr>
          <w:p w14:paraId="2158BB04">
            <w:pPr>
              <w:rPr>
                <w:color w:val="auto"/>
              </w:rPr>
            </w:pPr>
          </w:p>
        </w:tc>
        <w:tc>
          <w:tcPr>
            <w:tcW w:w="582" w:type="dxa"/>
          </w:tcPr>
          <w:p w14:paraId="388EEA26">
            <w:pPr>
              <w:rPr>
                <w:color w:val="auto"/>
              </w:rPr>
            </w:pPr>
          </w:p>
        </w:tc>
        <w:tc>
          <w:tcPr>
            <w:tcW w:w="582" w:type="dxa"/>
          </w:tcPr>
          <w:p w14:paraId="22363783">
            <w:pPr>
              <w:rPr>
                <w:color w:val="auto"/>
              </w:rPr>
            </w:pPr>
          </w:p>
        </w:tc>
        <w:tc>
          <w:tcPr>
            <w:tcW w:w="582" w:type="dxa"/>
          </w:tcPr>
          <w:p w14:paraId="3C2831A4">
            <w:pPr>
              <w:rPr>
                <w:color w:val="auto"/>
              </w:rPr>
            </w:pPr>
          </w:p>
        </w:tc>
        <w:tc>
          <w:tcPr>
            <w:tcW w:w="583" w:type="dxa"/>
          </w:tcPr>
          <w:p w14:paraId="03F6570E">
            <w:pPr>
              <w:rPr>
                <w:color w:val="auto"/>
              </w:rPr>
            </w:pPr>
          </w:p>
        </w:tc>
        <w:tc>
          <w:tcPr>
            <w:tcW w:w="583" w:type="dxa"/>
          </w:tcPr>
          <w:p w14:paraId="77F1DDDB">
            <w:pPr>
              <w:rPr>
                <w:color w:val="auto"/>
              </w:rPr>
            </w:pPr>
          </w:p>
        </w:tc>
        <w:tc>
          <w:tcPr>
            <w:tcW w:w="583" w:type="dxa"/>
          </w:tcPr>
          <w:p w14:paraId="193B3A1A">
            <w:pPr>
              <w:rPr>
                <w:color w:val="auto"/>
              </w:rPr>
            </w:pPr>
          </w:p>
        </w:tc>
        <w:tc>
          <w:tcPr>
            <w:tcW w:w="762" w:type="dxa"/>
          </w:tcPr>
          <w:p w14:paraId="2BE5CB60">
            <w:pPr>
              <w:rPr>
                <w:color w:val="auto"/>
              </w:rPr>
            </w:pPr>
          </w:p>
        </w:tc>
      </w:tr>
      <w:tr w14:paraId="7ACD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6F8498C8">
            <w:pPr>
              <w:pStyle w:val="21"/>
              <w:spacing w:before="177" w:line="242" w:lineRule="auto"/>
              <w:ind w:left="305"/>
              <w:rPr>
                <w:color w:val="auto"/>
              </w:rPr>
            </w:pPr>
            <w:r>
              <w:rPr>
                <w:color w:val="auto"/>
              </w:rPr>
              <w:t>2</w:t>
            </w:r>
          </w:p>
        </w:tc>
        <w:tc>
          <w:tcPr>
            <w:tcW w:w="1588" w:type="dxa"/>
          </w:tcPr>
          <w:p w14:paraId="5ECB2B3E">
            <w:pPr>
              <w:rPr>
                <w:color w:val="auto"/>
              </w:rPr>
            </w:pPr>
          </w:p>
        </w:tc>
        <w:tc>
          <w:tcPr>
            <w:tcW w:w="583" w:type="dxa"/>
          </w:tcPr>
          <w:p w14:paraId="727875F8">
            <w:pPr>
              <w:rPr>
                <w:color w:val="auto"/>
              </w:rPr>
            </w:pPr>
          </w:p>
        </w:tc>
        <w:tc>
          <w:tcPr>
            <w:tcW w:w="583" w:type="dxa"/>
          </w:tcPr>
          <w:p w14:paraId="597BC48E">
            <w:pPr>
              <w:rPr>
                <w:color w:val="auto"/>
              </w:rPr>
            </w:pPr>
          </w:p>
        </w:tc>
        <w:tc>
          <w:tcPr>
            <w:tcW w:w="582" w:type="dxa"/>
          </w:tcPr>
          <w:p w14:paraId="63526B60">
            <w:pPr>
              <w:rPr>
                <w:color w:val="auto"/>
              </w:rPr>
            </w:pPr>
          </w:p>
        </w:tc>
        <w:tc>
          <w:tcPr>
            <w:tcW w:w="582" w:type="dxa"/>
          </w:tcPr>
          <w:p w14:paraId="7CCE5979">
            <w:pPr>
              <w:rPr>
                <w:color w:val="auto"/>
              </w:rPr>
            </w:pPr>
          </w:p>
        </w:tc>
        <w:tc>
          <w:tcPr>
            <w:tcW w:w="582" w:type="dxa"/>
          </w:tcPr>
          <w:p w14:paraId="0C07FC53">
            <w:pPr>
              <w:rPr>
                <w:color w:val="auto"/>
              </w:rPr>
            </w:pPr>
          </w:p>
        </w:tc>
        <w:tc>
          <w:tcPr>
            <w:tcW w:w="582" w:type="dxa"/>
          </w:tcPr>
          <w:p w14:paraId="57008831">
            <w:pPr>
              <w:rPr>
                <w:color w:val="auto"/>
              </w:rPr>
            </w:pPr>
          </w:p>
        </w:tc>
        <w:tc>
          <w:tcPr>
            <w:tcW w:w="583" w:type="dxa"/>
          </w:tcPr>
          <w:p w14:paraId="64A28BBF">
            <w:pPr>
              <w:rPr>
                <w:color w:val="auto"/>
              </w:rPr>
            </w:pPr>
          </w:p>
        </w:tc>
        <w:tc>
          <w:tcPr>
            <w:tcW w:w="583" w:type="dxa"/>
          </w:tcPr>
          <w:p w14:paraId="7D7FFC8F">
            <w:pPr>
              <w:rPr>
                <w:color w:val="auto"/>
              </w:rPr>
            </w:pPr>
          </w:p>
        </w:tc>
        <w:tc>
          <w:tcPr>
            <w:tcW w:w="583" w:type="dxa"/>
          </w:tcPr>
          <w:p w14:paraId="675E1AD3">
            <w:pPr>
              <w:rPr>
                <w:color w:val="auto"/>
              </w:rPr>
            </w:pPr>
          </w:p>
        </w:tc>
        <w:tc>
          <w:tcPr>
            <w:tcW w:w="762" w:type="dxa"/>
          </w:tcPr>
          <w:p w14:paraId="5413747A">
            <w:pPr>
              <w:rPr>
                <w:color w:val="auto"/>
              </w:rPr>
            </w:pPr>
          </w:p>
        </w:tc>
      </w:tr>
      <w:tr w14:paraId="7F446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1139145E">
            <w:pPr>
              <w:pStyle w:val="21"/>
              <w:spacing w:before="178"/>
              <w:ind w:left="306"/>
              <w:rPr>
                <w:color w:val="auto"/>
              </w:rPr>
            </w:pPr>
            <w:r>
              <w:rPr>
                <w:color w:val="auto"/>
              </w:rPr>
              <w:t>3</w:t>
            </w:r>
          </w:p>
        </w:tc>
        <w:tc>
          <w:tcPr>
            <w:tcW w:w="1588" w:type="dxa"/>
          </w:tcPr>
          <w:p w14:paraId="48583B41">
            <w:pPr>
              <w:rPr>
                <w:color w:val="auto"/>
              </w:rPr>
            </w:pPr>
          </w:p>
        </w:tc>
        <w:tc>
          <w:tcPr>
            <w:tcW w:w="583" w:type="dxa"/>
          </w:tcPr>
          <w:p w14:paraId="1BBCC68A">
            <w:pPr>
              <w:rPr>
                <w:color w:val="auto"/>
              </w:rPr>
            </w:pPr>
          </w:p>
        </w:tc>
        <w:tc>
          <w:tcPr>
            <w:tcW w:w="583" w:type="dxa"/>
          </w:tcPr>
          <w:p w14:paraId="49BE5F85">
            <w:pPr>
              <w:rPr>
                <w:color w:val="auto"/>
              </w:rPr>
            </w:pPr>
          </w:p>
        </w:tc>
        <w:tc>
          <w:tcPr>
            <w:tcW w:w="582" w:type="dxa"/>
          </w:tcPr>
          <w:p w14:paraId="003965CD">
            <w:pPr>
              <w:rPr>
                <w:color w:val="auto"/>
              </w:rPr>
            </w:pPr>
          </w:p>
        </w:tc>
        <w:tc>
          <w:tcPr>
            <w:tcW w:w="582" w:type="dxa"/>
          </w:tcPr>
          <w:p w14:paraId="1EB4FC80">
            <w:pPr>
              <w:rPr>
                <w:color w:val="auto"/>
              </w:rPr>
            </w:pPr>
          </w:p>
        </w:tc>
        <w:tc>
          <w:tcPr>
            <w:tcW w:w="582" w:type="dxa"/>
          </w:tcPr>
          <w:p w14:paraId="1A266A6E">
            <w:pPr>
              <w:rPr>
                <w:color w:val="auto"/>
              </w:rPr>
            </w:pPr>
          </w:p>
        </w:tc>
        <w:tc>
          <w:tcPr>
            <w:tcW w:w="582" w:type="dxa"/>
          </w:tcPr>
          <w:p w14:paraId="7DADC782">
            <w:pPr>
              <w:rPr>
                <w:color w:val="auto"/>
              </w:rPr>
            </w:pPr>
          </w:p>
        </w:tc>
        <w:tc>
          <w:tcPr>
            <w:tcW w:w="583" w:type="dxa"/>
          </w:tcPr>
          <w:p w14:paraId="2538E4E0">
            <w:pPr>
              <w:rPr>
                <w:color w:val="auto"/>
              </w:rPr>
            </w:pPr>
          </w:p>
        </w:tc>
        <w:tc>
          <w:tcPr>
            <w:tcW w:w="583" w:type="dxa"/>
          </w:tcPr>
          <w:p w14:paraId="28B002FE">
            <w:pPr>
              <w:rPr>
                <w:color w:val="auto"/>
              </w:rPr>
            </w:pPr>
          </w:p>
        </w:tc>
        <w:tc>
          <w:tcPr>
            <w:tcW w:w="583" w:type="dxa"/>
          </w:tcPr>
          <w:p w14:paraId="1887FDBE">
            <w:pPr>
              <w:rPr>
                <w:color w:val="auto"/>
              </w:rPr>
            </w:pPr>
          </w:p>
        </w:tc>
        <w:tc>
          <w:tcPr>
            <w:tcW w:w="762" w:type="dxa"/>
          </w:tcPr>
          <w:p w14:paraId="49C6A5F8">
            <w:pPr>
              <w:rPr>
                <w:color w:val="auto"/>
              </w:rPr>
            </w:pPr>
          </w:p>
        </w:tc>
      </w:tr>
      <w:tr w14:paraId="56803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0B322CBF">
            <w:pPr>
              <w:pStyle w:val="21"/>
              <w:spacing w:before="179" w:line="242" w:lineRule="auto"/>
              <w:ind w:left="301"/>
              <w:rPr>
                <w:color w:val="auto"/>
              </w:rPr>
            </w:pPr>
            <w:r>
              <w:rPr>
                <w:color w:val="auto"/>
              </w:rPr>
              <w:t>4</w:t>
            </w:r>
          </w:p>
        </w:tc>
        <w:tc>
          <w:tcPr>
            <w:tcW w:w="1588" w:type="dxa"/>
          </w:tcPr>
          <w:p w14:paraId="6590B674">
            <w:pPr>
              <w:rPr>
                <w:color w:val="auto"/>
              </w:rPr>
            </w:pPr>
          </w:p>
        </w:tc>
        <w:tc>
          <w:tcPr>
            <w:tcW w:w="583" w:type="dxa"/>
          </w:tcPr>
          <w:p w14:paraId="3483B69A">
            <w:pPr>
              <w:rPr>
                <w:color w:val="auto"/>
              </w:rPr>
            </w:pPr>
          </w:p>
        </w:tc>
        <w:tc>
          <w:tcPr>
            <w:tcW w:w="583" w:type="dxa"/>
          </w:tcPr>
          <w:p w14:paraId="2D7A16B2">
            <w:pPr>
              <w:rPr>
                <w:color w:val="auto"/>
              </w:rPr>
            </w:pPr>
          </w:p>
        </w:tc>
        <w:tc>
          <w:tcPr>
            <w:tcW w:w="582" w:type="dxa"/>
          </w:tcPr>
          <w:p w14:paraId="5944DB4F">
            <w:pPr>
              <w:rPr>
                <w:color w:val="auto"/>
              </w:rPr>
            </w:pPr>
          </w:p>
        </w:tc>
        <w:tc>
          <w:tcPr>
            <w:tcW w:w="582" w:type="dxa"/>
          </w:tcPr>
          <w:p w14:paraId="110606E1">
            <w:pPr>
              <w:rPr>
                <w:color w:val="auto"/>
              </w:rPr>
            </w:pPr>
          </w:p>
        </w:tc>
        <w:tc>
          <w:tcPr>
            <w:tcW w:w="582" w:type="dxa"/>
          </w:tcPr>
          <w:p w14:paraId="1E8062F4">
            <w:pPr>
              <w:rPr>
                <w:color w:val="auto"/>
              </w:rPr>
            </w:pPr>
          </w:p>
        </w:tc>
        <w:tc>
          <w:tcPr>
            <w:tcW w:w="582" w:type="dxa"/>
          </w:tcPr>
          <w:p w14:paraId="4C53C0FF">
            <w:pPr>
              <w:rPr>
                <w:color w:val="auto"/>
              </w:rPr>
            </w:pPr>
          </w:p>
        </w:tc>
        <w:tc>
          <w:tcPr>
            <w:tcW w:w="583" w:type="dxa"/>
          </w:tcPr>
          <w:p w14:paraId="70AF01BD">
            <w:pPr>
              <w:rPr>
                <w:color w:val="auto"/>
              </w:rPr>
            </w:pPr>
          </w:p>
        </w:tc>
        <w:tc>
          <w:tcPr>
            <w:tcW w:w="583" w:type="dxa"/>
          </w:tcPr>
          <w:p w14:paraId="1EC62C4F">
            <w:pPr>
              <w:rPr>
                <w:color w:val="auto"/>
              </w:rPr>
            </w:pPr>
          </w:p>
        </w:tc>
        <w:tc>
          <w:tcPr>
            <w:tcW w:w="583" w:type="dxa"/>
          </w:tcPr>
          <w:p w14:paraId="1BF894AE">
            <w:pPr>
              <w:rPr>
                <w:color w:val="auto"/>
              </w:rPr>
            </w:pPr>
          </w:p>
        </w:tc>
        <w:tc>
          <w:tcPr>
            <w:tcW w:w="762" w:type="dxa"/>
          </w:tcPr>
          <w:p w14:paraId="5920FDB5">
            <w:pPr>
              <w:rPr>
                <w:color w:val="auto"/>
              </w:rPr>
            </w:pPr>
          </w:p>
        </w:tc>
      </w:tr>
      <w:tr w14:paraId="02FFB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5B8C94C4">
            <w:pPr>
              <w:pStyle w:val="21"/>
              <w:spacing w:before="180"/>
              <w:ind w:left="306"/>
              <w:rPr>
                <w:color w:val="auto"/>
              </w:rPr>
            </w:pPr>
            <w:r>
              <w:rPr>
                <w:color w:val="auto"/>
              </w:rPr>
              <w:t>5</w:t>
            </w:r>
          </w:p>
        </w:tc>
        <w:tc>
          <w:tcPr>
            <w:tcW w:w="1588" w:type="dxa"/>
          </w:tcPr>
          <w:p w14:paraId="28E962A9">
            <w:pPr>
              <w:rPr>
                <w:color w:val="auto"/>
              </w:rPr>
            </w:pPr>
          </w:p>
        </w:tc>
        <w:tc>
          <w:tcPr>
            <w:tcW w:w="583" w:type="dxa"/>
          </w:tcPr>
          <w:p w14:paraId="0DC6D5C9">
            <w:pPr>
              <w:rPr>
                <w:color w:val="auto"/>
              </w:rPr>
            </w:pPr>
          </w:p>
        </w:tc>
        <w:tc>
          <w:tcPr>
            <w:tcW w:w="583" w:type="dxa"/>
          </w:tcPr>
          <w:p w14:paraId="494F8848">
            <w:pPr>
              <w:rPr>
                <w:color w:val="auto"/>
              </w:rPr>
            </w:pPr>
          </w:p>
        </w:tc>
        <w:tc>
          <w:tcPr>
            <w:tcW w:w="582" w:type="dxa"/>
          </w:tcPr>
          <w:p w14:paraId="506C6D59">
            <w:pPr>
              <w:rPr>
                <w:color w:val="auto"/>
              </w:rPr>
            </w:pPr>
          </w:p>
        </w:tc>
        <w:tc>
          <w:tcPr>
            <w:tcW w:w="582" w:type="dxa"/>
          </w:tcPr>
          <w:p w14:paraId="4E9070D1">
            <w:pPr>
              <w:rPr>
                <w:color w:val="auto"/>
              </w:rPr>
            </w:pPr>
          </w:p>
        </w:tc>
        <w:tc>
          <w:tcPr>
            <w:tcW w:w="582" w:type="dxa"/>
          </w:tcPr>
          <w:p w14:paraId="0B6CAAF6">
            <w:pPr>
              <w:rPr>
                <w:color w:val="auto"/>
              </w:rPr>
            </w:pPr>
          </w:p>
        </w:tc>
        <w:tc>
          <w:tcPr>
            <w:tcW w:w="582" w:type="dxa"/>
          </w:tcPr>
          <w:p w14:paraId="506C3B9F">
            <w:pPr>
              <w:rPr>
                <w:color w:val="auto"/>
              </w:rPr>
            </w:pPr>
          </w:p>
        </w:tc>
        <w:tc>
          <w:tcPr>
            <w:tcW w:w="583" w:type="dxa"/>
          </w:tcPr>
          <w:p w14:paraId="59C6AB8E">
            <w:pPr>
              <w:rPr>
                <w:color w:val="auto"/>
              </w:rPr>
            </w:pPr>
          </w:p>
        </w:tc>
        <w:tc>
          <w:tcPr>
            <w:tcW w:w="583" w:type="dxa"/>
          </w:tcPr>
          <w:p w14:paraId="29A8E171">
            <w:pPr>
              <w:rPr>
                <w:color w:val="auto"/>
              </w:rPr>
            </w:pPr>
          </w:p>
        </w:tc>
        <w:tc>
          <w:tcPr>
            <w:tcW w:w="583" w:type="dxa"/>
          </w:tcPr>
          <w:p w14:paraId="6D06068C">
            <w:pPr>
              <w:rPr>
                <w:color w:val="auto"/>
              </w:rPr>
            </w:pPr>
          </w:p>
        </w:tc>
        <w:tc>
          <w:tcPr>
            <w:tcW w:w="762" w:type="dxa"/>
          </w:tcPr>
          <w:p w14:paraId="13D90E82">
            <w:pPr>
              <w:rPr>
                <w:color w:val="auto"/>
              </w:rPr>
            </w:pPr>
          </w:p>
        </w:tc>
      </w:tr>
      <w:tr w14:paraId="2DC6E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21E5A0D1">
            <w:pPr>
              <w:pStyle w:val="21"/>
              <w:spacing w:before="181"/>
              <w:ind w:left="304"/>
              <w:rPr>
                <w:color w:val="auto"/>
              </w:rPr>
            </w:pPr>
            <w:r>
              <w:rPr>
                <w:color w:val="auto"/>
              </w:rPr>
              <w:t>6</w:t>
            </w:r>
          </w:p>
        </w:tc>
        <w:tc>
          <w:tcPr>
            <w:tcW w:w="1588" w:type="dxa"/>
          </w:tcPr>
          <w:p w14:paraId="60E5AD20">
            <w:pPr>
              <w:rPr>
                <w:color w:val="auto"/>
              </w:rPr>
            </w:pPr>
          </w:p>
        </w:tc>
        <w:tc>
          <w:tcPr>
            <w:tcW w:w="583" w:type="dxa"/>
          </w:tcPr>
          <w:p w14:paraId="31094CDF">
            <w:pPr>
              <w:rPr>
                <w:color w:val="auto"/>
              </w:rPr>
            </w:pPr>
          </w:p>
        </w:tc>
        <w:tc>
          <w:tcPr>
            <w:tcW w:w="583" w:type="dxa"/>
          </w:tcPr>
          <w:p w14:paraId="0892B438">
            <w:pPr>
              <w:rPr>
                <w:color w:val="auto"/>
              </w:rPr>
            </w:pPr>
          </w:p>
        </w:tc>
        <w:tc>
          <w:tcPr>
            <w:tcW w:w="582" w:type="dxa"/>
          </w:tcPr>
          <w:p w14:paraId="594C89FD">
            <w:pPr>
              <w:rPr>
                <w:color w:val="auto"/>
              </w:rPr>
            </w:pPr>
          </w:p>
        </w:tc>
        <w:tc>
          <w:tcPr>
            <w:tcW w:w="582" w:type="dxa"/>
          </w:tcPr>
          <w:p w14:paraId="132E61F5">
            <w:pPr>
              <w:rPr>
                <w:color w:val="auto"/>
              </w:rPr>
            </w:pPr>
          </w:p>
        </w:tc>
        <w:tc>
          <w:tcPr>
            <w:tcW w:w="582" w:type="dxa"/>
          </w:tcPr>
          <w:p w14:paraId="657FCB66">
            <w:pPr>
              <w:rPr>
                <w:color w:val="auto"/>
              </w:rPr>
            </w:pPr>
          </w:p>
        </w:tc>
        <w:tc>
          <w:tcPr>
            <w:tcW w:w="582" w:type="dxa"/>
          </w:tcPr>
          <w:p w14:paraId="5B1E3298">
            <w:pPr>
              <w:rPr>
                <w:color w:val="auto"/>
              </w:rPr>
            </w:pPr>
          </w:p>
        </w:tc>
        <w:tc>
          <w:tcPr>
            <w:tcW w:w="583" w:type="dxa"/>
          </w:tcPr>
          <w:p w14:paraId="684CC826">
            <w:pPr>
              <w:rPr>
                <w:color w:val="auto"/>
              </w:rPr>
            </w:pPr>
          </w:p>
        </w:tc>
        <w:tc>
          <w:tcPr>
            <w:tcW w:w="583" w:type="dxa"/>
          </w:tcPr>
          <w:p w14:paraId="6C4E88DA">
            <w:pPr>
              <w:rPr>
                <w:color w:val="auto"/>
              </w:rPr>
            </w:pPr>
          </w:p>
        </w:tc>
        <w:tc>
          <w:tcPr>
            <w:tcW w:w="583" w:type="dxa"/>
          </w:tcPr>
          <w:p w14:paraId="6D32EAFE">
            <w:pPr>
              <w:rPr>
                <w:color w:val="auto"/>
              </w:rPr>
            </w:pPr>
          </w:p>
        </w:tc>
        <w:tc>
          <w:tcPr>
            <w:tcW w:w="762" w:type="dxa"/>
          </w:tcPr>
          <w:p w14:paraId="1624813C">
            <w:pPr>
              <w:rPr>
                <w:color w:val="auto"/>
              </w:rPr>
            </w:pPr>
          </w:p>
        </w:tc>
      </w:tr>
      <w:tr w14:paraId="2F820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1C5E2556">
            <w:pPr>
              <w:pStyle w:val="21"/>
              <w:spacing w:before="182" w:line="331" w:lineRule="exact"/>
              <w:ind w:left="263"/>
              <w:rPr>
                <w:color w:val="auto"/>
              </w:rPr>
            </w:pPr>
            <w:r>
              <w:rPr>
                <w:color w:val="auto"/>
                <w:position w:val="2"/>
              </w:rPr>
              <w:t>…</w:t>
            </w:r>
          </w:p>
        </w:tc>
        <w:tc>
          <w:tcPr>
            <w:tcW w:w="1588" w:type="dxa"/>
          </w:tcPr>
          <w:p w14:paraId="1CFC0002">
            <w:pPr>
              <w:rPr>
                <w:color w:val="auto"/>
              </w:rPr>
            </w:pPr>
          </w:p>
        </w:tc>
        <w:tc>
          <w:tcPr>
            <w:tcW w:w="583" w:type="dxa"/>
          </w:tcPr>
          <w:p w14:paraId="0CE7B1C6">
            <w:pPr>
              <w:rPr>
                <w:color w:val="auto"/>
              </w:rPr>
            </w:pPr>
          </w:p>
        </w:tc>
        <w:tc>
          <w:tcPr>
            <w:tcW w:w="583" w:type="dxa"/>
          </w:tcPr>
          <w:p w14:paraId="0CCD6366">
            <w:pPr>
              <w:rPr>
                <w:color w:val="auto"/>
              </w:rPr>
            </w:pPr>
          </w:p>
        </w:tc>
        <w:tc>
          <w:tcPr>
            <w:tcW w:w="582" w:type="dxa"/>
          </w:tcPr>
          <w:p w14:paraId="44B59C0A">
            <w:pPr>
              <w:rPr>
                <w:color w:val="auto"/>
              </w:rPr>
            </w:pPr>
          </w:p>
        </w:tc>
        <w:tc>
          <w:tcPr>
            <w:tcW w:w="582" w:type="dxa"/>
          </w:tcPr>
          <w:p w14:paraId="4DC486DD">
            <w:pPr>
              <w:rPr>
                <w:color w:val="auto"/>
              </w:rPr>
            </w:pPr>
          </w:p>
        </w:tc>
        <w:tc>
          <w:tcPr>
            <w:tcW w:w="582" w:type="dxa"/>
          </w:tcPr>
          <w:p w14:paraId="7CC7AB13">
            <w:pPr>
              <w:rPr>
                <w:color w:val="auto"/>
              </w:rPr>
            </w:pPr>
          </w:p>
        </w:tc>
        <w:tc>
          <w:tcPr>
            <w:tcW w:w="582" w:type="dxa"/>
          </w:tcPr>
          <w:p w14:paraId="1F23C961">
            <w:pPr>
              <w:rPr>
                <w:color w:val="auto"/>
              </w:rPr>
            </w:pPr>
          </w:p>
        </w:tc>
        <w:tc>
          <w:tcPr>
            <w:tcW w:w="583" w:type="dxa"/>
          </w:tcPr>
          <w:p w14:paraId="1C3E12B9">
            <w:pPr>
              <w:rPr>
                <w:color w:val="auto"/>
              </w:rPr>
            </w:pPr>
          </w:p>
        </w:tc>
        <w:tc>
          <w:tcPr>
            <w:tcW w:w="583" w:type="dxa"/>
          </w:tcPr>
          <w:p w14:paraId="5D96A32F">
            <w:pPr>
              <w:rPr>
                <w:color w:val="auto"/>
              </w:rPr>
            </w:pPr>
          </w:p>
        </w:tc>
        <w:tc>
          <w:tcPr>
            <w:tcW w:w="583" w:type="dxa"/>
          </w:tcPr>
          <w:p w14:paraId="4A712EC8">
            <w:pPr>
              <w:rPr>
                <w:color w:val="auto"/>
              </w:rPr>
            </w:pPr>
          </w:p>
        </w:tc>
        <w:tc>
          <w:tcPr>
            <w:tcW w:w="762" w:type="dxa"/>
          </w:tcPr>
          <w:p w14:paraId="61AAEDFF">
            <w:pPr>
              <w:rPr>
                <w:color w:val="auto"/>
              </w:rPr>
            </w:pPr>
          </w:p>
        </w:tc>
      </w:tr>
      <w:tr w14:paraId="45513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4" w:hRule="atLeast"/>
        </w:trPr>
        <w:tc>
          <w:tcPr>
            <w:tcW w:w="8301" w:type="dxa"/>
            <w:gridSpan w:val="12"/>
          </w:tcPr>
          <w:p w14:paraId="40313955">
            <w:pPr>
              <w:spacing w:line="285" w:lineRule="auto"/>
              <w:rPr>
                <w:color w:val="auto"/>
                <w:lang w:eastAsia="zh-CN"/>
              </w:rPr>
            </w:pPr>
          </w:p>
          <w:p w14:paraId="26943C6B">
            <w:pPr>
              <w:pStyle w:val="21"/>
              <w:spacing w:before="68" w:line="220" w:lineRule="auto"/>
              <w:ind w:left="110"/>
              <w:rPr>
                <w:color w:val="auto"/>
                <w:lang w:eastAsia="zh-CN"/>
              </w:rPr>
            </w:pPr>
            <w:r>
              <w:rPr>
                <w:color w:val="auto"/>
                <w:spacing w:val="-5"/>
                <w:lang w:eastAsia="zh-CN"/>
              </w:rPr>
              <w:t>评标委员会全体成员签名：</w:t>
            </w:r>
          </w:p>
        </w:tc>
      </w:tr>
    </w:tbl>
    <w:p w14:paraId="6EC0CE8A">
      <w:pPr>
        <w:spacing w:before="139" w:line="220" w:lineRule="auto"/>
        <w:ind w:left="7510"/>
        <w:rPr>
          <w:rFonts w:ascii="宋体" w:hAnsi="宋体" w:eastAsia="宋体" w:cs="宋体"/>
          <w:color w:val="auto"/>
          <w:lang w:eastAsia="zh-CN"/>
        </w:rPr>
      </w:pPr>
      <w:r>
        <w:rPr>
          <w:rFonts w:ascii="宋体" w:hAnsi="宋体" w:eastAsia="宋体" w:cs="宋体"/>
          <w:color w:val="auto"/>
          <w:spacing w:val="-12"/>
          <w:lang w:eastAsia="zh-CN"/>
        </w:rPr>
        <w:t>日期：年月日</w:t>
      </w:r>
    </w:p>
    <w:p w14:paraId="77C5BB1F">
      <w:pPr>
        <w:spacing w:line="220" w:lineRule="auto"/>
        <w:rPr>
          <w:rFonts w:ascii="宋体" w:hAnsi="宋体" w:eastAsia="宋体" w:cs="宋体"/>
          <w:color w:val="auto"/>
          <w:lang w:eastAsia="zh-CN"/>
        </w:rPr>
        <w:sectPr>
          <w:footerReference r:id="rId86" w:type="default"/>
          <w:pgSz w:w="11906" w:h="16839"/>
          <w:pgMar w:top="400" w:right="0" w:bottom="938" w:left="105" w:header="0" w:footer="669" w:gutter="0"/>
          <w:cols w:space="720" w:num="1"/>
        </w:sectPr>
      </w:pPr>
    </w:p>
    <w:p w14:paraId="4A484B29">
      <w:pPr>
        <w:pStyle w:val="8"/>
        <w:spacing w:line="267" w:lineRule="auto"/>
        <w:rPr>
          <w:lang w:eastAsia="zh-CN"/>
        </w:rPr>
      </w:pPr>
    </w:p>
    <w:p w14:paraId="73997236">
      <w:pPr>
        <w:pStyle w:val="8"/>
        <w:spacing w:line="267" w:lineRule="auto"/>
        <w:rPr>
          <w:lang w:eastAsia="zh-CN"/>
        </w:rPr>
      </w:pPr>
    </w:p>
    <w:p w14:paraId="4858FD78">
      <w:pPr>
        <w:pStyle w:val="8"/>
        <w:spacing w:line="267" w:lineRule="auto"/>
        <w:rPr>
          <w:lang w:eastAsia="zh-CN"/>
        </w:rPr>
      </w:pPr>
    </w:p>
    <w:p w14:paraId="30D7BBC0">
      <w:pPr>
        <w:pStyle w:val="8"/>
        <w:spacing w:line="268" w:lineRule="auto"/>
        <w:rPr>
          <w:lang w:eastAsia="zh-CN"/>
        </w:rPr>
      </w:pPr>
    </w:p>
    <w:p w14:paraId="7F4AE4FF">
      <w:pPr>
        <w:spacing w:before="78" w:line="221" w:lineRule="auto"/>
        <w:ind w:left="1831"/>
        <w:outlineLvl w:val="2"/>
        <w:rPr>
          <w:rFonts w:ascii="黑体" w:hAnsi="黑体" w:eastAsia="黑体" w:cs="黑体"/>
          <w:color w:val="auto"/>
          <w:sz w:val="24"/>
          <w:szCs w:val="24"/>
          <w:lang w:eastAsia="zh-CN"/>
        </w:rPr>
      </w:pPr>
      <w:bookmarkStart w:id="330" w:name="bookmark251"/>
      <w:bookmarkEnd w:id="330"/>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A-7</w:t>
      </w:r>
      <w:r>
        <w:rPr>
          <w:rFonts w:ascii="黑体" w:hAnsi="黑体" w:eastAsia="黑体" w:cs="黑体"/>
          <w:color w:val="auto"/>
          <w:spacing w:val="-3"/>
          <w:sz w:val="24"/>
          <w:szCs w:val="24"/>
          <w:lang w:eastAsia="zh-CN"/>
        </w:rPr>
        <w:t>：技术方案评审记录表（合格性）</w:t>
      </w:r>
    </w:p>
    <w:p w14:paraId="2ADCA397">
      <w:pPr>
        <w:pStyle w:val="8"/>
        <w:spacing w:line="321" w:lineRule="auto"/>
        <w:rPr>
          <w:lang w:eastAsia="zh-CN"/>
        </w:rPr>
      </w:pPr>
    </w:p>
    <w:p w14:paraId="30803A48">
      <w:pPr>
        <w:pStyle w:val="8"/>
        <w:spacing w:line="322" w:lineRule="auto"/>
        <w:rPr>
          <w:lang w:eastAsia="zh-CN"/>
        </w:rPr>
      </w:pPr>
    </w:p>
    <w:p w14:paraId="24470999">
      <w:pPr>
        <w:spacing w:before="117" w:line="221" w:lineRule="auto"/>
        <w:ind w:left="4241"/>
        <w:rPr>
          <w:rFonts w:ascii="黑体" w:hAnsi="黑体" w:eastAsia="黑体" w:cs="黑体"/>
          <w:color w:val="auto"/>
          <w:sz w:val="36"/>
          <w:szCs w:val="36"/>
          <w:lang w:eastAsia="zh-CN"/>
        </w:rPr>
      </w:pPr>
      <w:bookmarkStart w:id="331" w:name="bookmark133"/>
      <w:bookmarkEnd w:id="331"/>
      <w:r>
        <w:rPr>
          <w:rFonts w:ascii="黑体" w:hAnsi="黑体" w:eastAsia="黑体" w:cs="黑体"/>
          <w:color w:val="auto"/>
          <w:spacing w:val="-2"/>
          <w:sz w:val="36"/>
          <w:szCs w:val="36"/>
          <w:lang w:eastAsia="zh-CN"/>
        </w:rPr>
        <w:t>技术方案评审记录表</w:t>
      </w:r>
    </w:p>
    <w:p w14:paraId="0C4350DD">
      <w:pPr>
        <w:spacing w:before="217" w:line="225" w:lineRule="auto"/>
        <w:ind w:left="1700" w:right="3289" w:firstLine="1484"/>
        <w:rPr>
          <w:rFonts w:ascii="宋体" w:hAnsi="宋体" w:eastAsia="宋体" w:cs="宋体"/>
          <w:color w:val="auto"/>
          <w:lang w:eastAsia="zh-CN"/>
        </w:rPr>
      </w:pPr>
      <w:r>
        <w:rPr>
          <w:rFonts w:ascii="黑体" w:hAnsi="黑体" w:eastAsia="黑体" w:cs="黑体"/>
          <w:color w:val="auto"/>
          <w:spacing w:val="-5"/>
          <w:sz w:val="36"/>
          <w:szCs w:val="36"/>
          <w:lang w:eastAsia="zh-CN"/>
        </w:rPr>
        <w:t>（适用于经评审的最低投标价法）</w:t>
      </w:r>
      <w:r>
        <w:rPr>
          <w:rFonts w:ascii="宋体" w:hAnsi="宋体" w:eastAsia="宋体" w:cs="宋体"/>
          <w:color w:val="auto"/>
          <w:spacing w:val="-10"/>
          <w:lang w:eastAsia="zh-CN"/>
        </w:rPr>
        <w:t>标段名称：</w:t>
      </w:r>
    </w:p>
    <w:p w14:paraId="76F253F8">
      <w:pPr>
        <w:spacing w:line="210"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301"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588"/>
        <w:gridCol w:w="583"/>
        <w:gridCol w:w="583"/>
        <w:gridCol w:w="582"/>
        <w:gridCol w:w="582"/>
        <w:gridCol w:w="582"/>
        <w:gridCol w:w="582"/>
        <w:gridCol w:w="583"/>
        <w:gridCol w:w="583"/>
        <w:gridCol w:w="583"/>
        <w:gridCol w:w="762"/>
      </w:tblGrid>
      <w:tr w14:paraId="0B1D1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08" w:type="dxa"/>
            <w:vMerge w:val="restart"/>
            <w:tcBorders>
              <w:bottom w:val="nil"/>
            </w:tcBorders>
          </w:tcPr>
          <w:p w14:paraId="09E23170">
            <w:pPr>
              <w:spacing w:line="251" w:lineRule="auto"/>
              <w:rPr>
                <w:color w:val="auto"/>
              </w:rPr>
            </w:pPr>
          </w:p>
          <w:p w14:paraId="192225F7">
            <w:pPr>
              <w:pStyle w:val="21"/>
              <w:spacing w:before="68" w:line="222" w:lineRule="auto"/>
              <w:ind w:left="143"/>
              <w:rPr>
                <w:color w:val="auto"/>
              </w:rPr>
            </w:pPr>
            <w:r>
              <w:rPr>
                <w:b/>
                <w:bCs/>
                <w:color w:val="auto"/>
                <w:spacing w:val="-6"/>
              </w:rPr>
              <w:t>序号</w:t>
            </w:r>
          </w:p>
        </w:tc>
        <w:tc>
          <w:tcPr>
            <w:tcW w:w="1588" w:type="dxa"/>
            <w:vMerge w:val="restart"/>
            <w:tcBorders>
              <w:bottom w:val="nil"/>
            </w:tcBorders>
          </w:tcPr>
          <w:p w14:paraId="34C58033">
            <w:pPr>
              <w:spacing w:line="251" w:lineRule="auto"/>
              <w:rPr>
                <w:color w:val="auto"/>
              </w:rPr>
            </w:pPr>
          </w:p>
          <w:p w14:paraId="2C82F4CB">
            <w:pPr>
              <w:pStyle w:val="21"/>
              <w:spacing w:before="69" w:line="221" w:lineRule="auto"/>
              <w:ind w:left="269"/>
              <w:rPr>
                <w:color w:val="auto"/>
              </w:rPr>
            </w:pPr>
            <w:r>
              <w:rPr>
                <w:b/>
                <w:bCs/>
                <w:color w:val="auto"/>
                <w:spacing w:val="-4"/>
              </w:rPr>
              <w:t>投标人名称</w:t>
            </w:r>
          </w:p>
        </w:tc>
        <w:tc>
          <w:tcPr>
            <w:tcW w:w="5243" w:type="dxa"/>
            <w:gridSpan w:val="9"/>
          </w:tcPr>
          <w:p w14:paraId="36E5C3FE">
            <w:pPr>
              <w:pStyle w:val="21"/>
              <w:spacing w:before="107" w:line="220" w:lineRule="auto"/>
              <w:ind w:left="1676"/>
              <w:rPr>
                <w:color w:val="auto"/>
              </w:rPr>
            </w:pPr>
            <w:r>
              <w:rPr>
                <w:b/>
                <w:bCs/>
                <w:color w:val="auto"/>
                <w:spacing w:val="-3"/>
              </w:rPr>
              <w:t>评审标准及评审意见</w:t>
            </w:r>
          </w:p>
        </w:tc>
        <w:tc>
          <w:tcPr>
            <w:tcW w:w="762" w:type="dxa"/>
            <w:vMerge w:val="restart"/>
            <w:tcBorders>
              <w:bottom w:val="nil"/>
            </w:tcBorders>
          </w:tcPr>
          <w:p w14:paraId="7196C78E">
            <w:pPr>
              <w:pStyle w:val="21"/>
              <w:spacing w:before="185" w:line="242" w:lineRule="auto"/>
              <w:ind w:left="180" w:right="163" w:hanging="5"/>
              <w:rPr>
                <w:color w:val="auto"/>
              </w:rPr>
            </w:pPr>
            <w:r>
              <w:rPr>
                <w:b/>
                <w:bCs/>
                <w:color w:val="auto"/>
                <w:spacing w:val="-6"/>
              </w:rPr>
              <w:t>评审</w:t>
            </w:r>
            <w:r>
              <w:rPr>
                <w:b/>
                <w:bCs/>
                <w:color w:val="auto"/>
                <w:spacing w:val="-9"/>
              </w:rPr>
              <w:t>结论</w:t>
            </w:r>
          </w:p>
        </w:tc>
      </w:tr>
      <w:tr w14:paraId="41965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08" w:type="dxa"/>
            <w:vMerge w:val="continue"/>
            <w:tcBorders>
              <w:top w:val="nil"/>
            </w:tcBorders>
          </w:tcPr>
          <w:p w14:paraId="30117B50">
            <w:pPr>
              <w:rPr>
                <w:color w:val="auto"/>
              </w:rPr>
            </w:pPr>
          </w:p>
        </w:tc>
        <w:tc>
          <w:tcPr>
            <w:tcW w:w="1588" w:type="dxa"/>
            <w:vMerge w:val="continue"/>
            <w:tcBorders>
              <w:top w:val="nil"/>
            </w:tcBorders>
          </w:tcPr>
          <w:p w14:paraId="65EDB50C">
            <w:pPr>
              <w:rPr>
                <w:color w:val="auto"/>
              </w:rPr>
            </w:pPr>
          </w:p>
        </w:tc>
        <w:tc>
          <w:tcPr>
            <w:tcW w:w="583" w:type="dxa"/>
          </w:tcPr>
          <w:p w14:paraId="3FEBFD11">
            <w:pPr>
              <w:rPr>
                <w:color w:val="auto"/>
              </w:rPr>
            </w:pPr>
          </w:p>
        </w:tc>
        <w:tc>
          <w:tcPr>
            <w:tcW w:w="583" w:type="dxa"/>
          </w:tcPr>
          <w:p w14:paraId="5EBCEC1E">
            <w:pPr>
              <w:rPr>
                <w:color w:val="auto"/>
              </w:rPr>
            </w:pPr>
          </w:p>
        </w:tc>
        <w:tc>
          <w:tcPr>
            <w:tcW w:w="582" w:type="dxa"/>
          </w:tcPr>
          <w:p w14:paraId="1DF7A5F1">
            <w:pPr>
              <w:rPr>
                <w:color w:val="auto"/>
              </w:rPr>
            </w:pPr>
          </w:p>
        </w:tc>
        <w:tc>
          <w:tcPr>
            <w:tcW w:w="582" w:type="dxa"/>
          </w:tcPr>
          <w:p w14:paraId="68456876">
            <w:pPr>
              <w:rPr>
                <w:color w:val="auto"/>
              </w:rPr>
            </w:pPr>
          </w:p>
        </w:tc>
        <w:tc>
          <w:tcPr>
            <w:tcW w:w="582" w:type="dxa"/>
          </w:tcPr>
          <w:p w14:paraId="312B1E81">
            <w:pPr>
              <w:rPr>
                <w:color w:val="auto"/>
              </w:rPr>
            </w:pPr>
          </w:p>
        </w:tc>
        <w:tc>
          <w:tcPr>
            <w:tcW w:w="582" w:type="dxa"/>
          </w:tcPr>
          <w:p w14:paraId="14AB873E">
            <w:pPr>
              <w:rPr>
                <w:color w:val="auto"/>
              </w:rPr>
            </w:pPr>
          </w:p>
        </w:tc>
        <w:tc>
          <w:tcPr>
            <w:tcW w:w="583" w:type="dxa"/>
          </w:tcPr>
          <w:p w14:paraId="70B4AA74">
            <w:pPr>
              <w:rPr>
                <w:color w:val="auto"/>
              </w:rPr>
            </w:pPr>
          </w:p>
        </w:tc>
        <w:tc>
          <w:tcPr>
            <w:tcW w:w="583" w:type="dxa"/>
          </w:tcPr>
          <w:p w14:paraId="481F4670">
            <w:pPr>
              <w:rPr>
                <w:color w:val="auto"/>
              </w:rPr>
            </w:pPr>
          </w:p>
        </w:tc>
        <w:tc>
          <w:tcPr>
            <w:tcW w:w="583" w:type="dxa"/>
          </w:tcPr>
          <w:p w14:paraId="21A17035">
            <w:pPr>
              <w:rPr>
                <w:color w:val="auto"/>
              </w:rPr>
            </w:pPr>
          </w:p>
        </w:tc>
        <w:tc>
          <w:tcPr>
            <w:tcW w:w="762" w:type="dxa"/>
            <w:vMerge w:val="continue"/>
            <w:tcBorders>
              <w:top w:val="nil"/>
            </w:tcBorders>
          </w:tcPr>
          <w:p w14:paraId="749CC708">
            <w:pPr>
              <w:rPr>
                <w:color w:val="auto"/>
              </w:rPr>
            </w:pPr>
          </w:p>
        </w:tc>
      </w:tr>
      <w:tr w14:paraId="473B9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17CF0D72">
            <w:pPr>
              <w:pStyle w:val="21"/>
              <w:spacing w:before="176" w:line="242" w:lineRule="auto"/>
              <w:ind w:left="318"/>
              <w:rPr>
                <w:color w:val="auto"/>
              </w:rPr>
            </w:pPr>
            <w:r>
              <w:rPr>
                <w:color w:val="auto"/>
              </w:rPr>
              <w:t>1</w:t>
            </w:r>
          </w:p>
        </w:tc>
        <w:tc>
          <w:tcPr>
            <w:tcW w:w="1588" w:type="dxa"/>
          </w:tcPr>
          <w:p w14:paraId="3714FB1F">
            <w:pPr>
              <w:rPr>
                <w:color w:val="auto"/>
              </w:rPr>
            </w:pPr>
          </w:p>
        </w:tc>
        <w:tc>
          <w:tcPr>
            <w:tcW w:w="583" w:type="dxa"/>
          </w:tcPr>
          <w:p w14:paraId="7A7DB3F8">
            <w:pPr>
              <w:rPr>
                <w:color w:val="auto"/>
              </w:rPr>
            </w:pPr>
          </w:p>
        </w:tc>
        <w:tc>
          <w:tcPr>
            <w:tcW w:w="583" w:type="dxa"/>
          </w:tcPr>
          <w:p w14:paraId="6B6C7F7C">
            <w:pPr>
              <w:rPr>
                <w:color w:val="auto"/>
              </w:rPr>
            </w:pPr>
          </w:p>
        </w:tc>
        <w:tc>
          <w:tcPr>
            <w:tcW w:w="582" w:type="dxa"/>
          </w:tcPr>
          <w:p w14:paraId="668E6D37">
            <w:pPr>
              <w:rPr>
                <w:color w:val="auto"/>
              </w:rPr>
            </w:pPr>
          </w:p>
        </w:tc>
        <w:tc>
          <w:tcPr>
            <w:tcW w:w="582" w:type="dxa"/>
          </w:tcPr>
          <w:p w14:paraId="0E814294">
            <w:pPr>
              <w:rPr>
                <w:color w:val="auto"/>
              </w:rPr>
            </w:pPr>
          </w:p>
        </w:tc>
        <w:tc>
          <w:tcPr>
            <w:tcW w:w="582" w:type="dxa"/>
          </w:tcPr>
          <w:p w14:paraId="299BF932">
            <w:pPr>
              <w:rPr>
                <w:color w:val="auto"/>
              </w:rPr>
            </w:pPr>
          </w:p>
        </w:tc>
        <w:tc>
          <w:tcPr>
            <w:tcW w:w="582" w:type="dxa"/>
          </w:tcPr>
          <w:p w14:paraId="74B93973">
            <w:pPr>
              <w:rPr>
                <w:color w:val="auto"/>
              </w:rPr>
            </w:pPr>
          </w:p>
        </w:tc>
        <w:tc>
          <w:tcPr>
            <w:tcW w:w="583" w:type="dxa"/>
          </w:tcPr>
          <w:p w14:paraId="1A7FCB2B">
            <w:pPr>
              <w:rPr>
                <w:color w:val="auto"/>
              </w:rPr>
            </w:pPr>
          </w:p>
        </w:tc>
        <w:tc>
          <w:tcPr>
            <w:tcW w:w="583" w:type="dxa"/>
          </w:tcPr>
          <w:p w14:paraId="05FB0356">
            <w:pPr>
              <w:rPr>
                <w:color w:val="auto"/>
              </w:rPr>
            </w:pPr>
          </w:p>
        </w:tc>
        <w:tc>
          <w:tcPr>
            <w:tcW w:w="583" w:type="dxa"/>
          </w:tcPr>
          <w:p w14:paraId="645B6EEF">
            <w:pPr>
              <w:rPr>
                <w:color w:val="auto"/>
              </w:rPr>
            </w:pPr>
          </w:p>
        </w:tc>
        <w:tc>
          <w:tcPr>
            <w:tcW w:w="762" w:type="dxa"/>
          </w:tcPr>
          <w:p w14:paraId="02091EEA">
            <w:pPr>
              <w:rPr>
                <w:color w:val="auto"/>
              </w:rPr>
            </w:pPr>
          </w:p>
        </w:tc>
      </w:tr>
      <w:tr w14:paraId="55DC2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0BDE7EBC">
            <w:pPr>
              <w:pStyle w:val="21"/>
              <w:spacing w:before="177" w:line="242" w:lineRule="auto"/>
              <w:ind w:left="305"/>
              <w:rPr>
                <w:color w:val="auto"/>
              </w:rPr>
            </w:pPr>
            <w:r>
              <w:rPr>
                <w:color w:val="auto"/>
              </w:rPr>
              <w:t>2</w:t>
            </w:r>
          </w:p>
        </w:tc>
        <w:tc>
          <w:tcPr>
            <w:tcW w:w="1588" w:type="dxa"/>
          </w:tcPr>
          <w:p w14:paraId="5A5BC002">
            <w:pPr>
              <w:rPr>
                <w:color w:val="auto"/>
              </w:rPr>
            </w:pPr>
          </w:p>
        </w:tc>
        <w:tc>
          <w:tcPr>
            <w:tcW w:w="583" w:type="dxa"/>
          </w:tcPr>
          <w:p w14:paraId="03AF37CD">
            <w:pPr>
              <w:rPr>
                <w:color w:val="auto"/>
              </w:rPr>
            </w:pPr>
          </w:p>
        </w:tc>
        <w:tc>
          <w:tcPr>
            <w:tcW w:w="583" w:type="dxa"/>
          </w:tcPr>
          <w:p w14:paraId="62F41E40">
            <w:pPr>
              <w:rPr>
                <w:color w:val="auto"/>
              </w:rPr>
            </w:pPr>
          </w:p>
        </w:tc>
        <w:tc>
          <w:tcPr>
            <w:tcW w:w="582" w:type="dxa"/>
          </w:tcPr>
          <w:p w14:paraId="3C8FC092">
            <w:pPr>
              <w:rPr>
                <w:color w:val="auto"/>
              </w:rPr>
            </w:pPr>
          </w:p>
        </w:tc>
        <w:tc>
          <w:tcPr>
            <w:tcW w:w="582" w:type="dxa"/>
          </w:tcPr>
          <w:p w14:paraId="534B9187">
            <w:pPr>
              <w:rPr>
                <w:color w:val="auto"/>
              </w:rPr>
            </w:pPr>
          </w:p>
        </w:tc>
        <w:tc>
          <w:tcPr>
            <w:tcW w:w="582" w:type="dxa"/>
          </w:tcPr>
          <w:p w14:paraId="7B28AC25">
            <w:pPr>
              <w:rPr>
                <w:color w:val="auto"/>
              </w:rPr>
            </w:pPr>
          </w:p>
        </w:tc>
        <w:tc>
          <w:tcPr>
            <w:tcW w:w="582" w:type="dxa"/>
          </w:tcPr>
          <w:p w14:paraId="223A7D97">
            <w:pPr>
              <w:rPr>
                <w:color w:val="auto"/>
              </w:rPr>
            </w:pPr>
          </w:p>
        </w:tc>
        <w:tc>
          <w:tcPr>
            <w:tcW w:w="583" w:type="dxa"/>
          </w:tcPr>
          <w:p w14:paraId="42D9C4F4">
            <w:pPr>
              <w:rPr>
                <w:color w:val="auto"/>
              </w:rPr>
            </w:pPr>
          </w:p>
        </w:tc>
        <w:tc>
          <w:tcPr>
            <w:tcW w:w="583" w:type="dxa"/>
          </w:tcPr>
          <w:p w14:paraId="12D52C1D">
            <w:pPr>
              <w:rPr>
                <w:color w:val="auto"/>
              </w:rPr>
            </w:pPr>
          </w:p>
        </w:tc>
        <w:tc>
          <w:tcPr>
            <w:tcW w:w="583" w:type="dxa"/>
          </w:tcPr>
          <w:p w14:paraId="7156023D">
            <w:pPr>
              <w:rPr>
                <w:color w:val="auto"/>
              </w:rPr>
            </w:pPr>
          </w:p>
        </w:tc>
        <w:tc>
          <w:tcPr>
            <w:tcW w:w="762" w:type="dxa"/>
          </w:tcPr>
          <w:p w14:paraId="7E85EFDE">
            <w:pPr>
              <w:rPr>
                <w:color w:val="auto"/>
              </w:rPr>
            </w:pPr>
          </w:p>
        </w:tc>
      </w:tr>
      <w:tr w14:paraId="02DA7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6F8591DE">
            <w:pPr>
              <w:pStyle w:val="21"/>
              <w:spacing w:before="178"/>
              <w:ind w:left="306"/>
              <w:rPr>
                <w:color w:val="auto"/>
              </w:rPr>
            </w:pPr>
            <w:r>
              <w:rPr>
                <w:color w:val="auto"/>
              </w:rPr>
              <w:t>3</w:t>
            </w:r>
          </w:p>
        </w:tc>
        <w:tc>
          <w:tcPr>
            <w:tcW w:w="1588" w:type="dxa"/>
          </w:tcPr>
          <w:p w14:paraId="7EE5C44B">
            <w:pPr>
              <w:rPr>
                <w:color w:val="auto"/>
              </w:rPr>
            </w:pPr>
          </w:p>
        </w:tc>
        <w:tc>
          <w:tcPr>
            <w:tcW w:w="583" w:type="dxa"/>
          </w:tcPr>
          <w:p w14:paraId="272269A4">
            <w:pPr>
              <w:rPr>
                <w:color w:val="auto"/>
              </w:rPr>
            </w:pPr>
          </w:p>
        </w:tc>
        <w:tc>
          <w:tcPr>
            <w:tcW w:w="583" w:type="dxa"/>
          </w:tcPr>
          <w:p w14:paraId="3605F336">
            <w:pPr>
              <w:rPr>
                <w:color w:val="auto"/>
              </w:rPr>
            </w:pPr>
          </w:p>
        </w:tc>
        <w:tc>
          <w:tcPr>
            <w:tcW w:w="582" w:type="dxa"/>
          </w:tcPr>
          <w:p w14:paraId="133BA231">
            <w:pPr>
              <w:rPr>
                <w:color w:val="auto"/>
              </w:rPr>
            </w:pPr>
          </w:p>
        </w:tc>
        <w:tc>
          <w:tcPr>
            <w:tcW w:w="582" w:type="dxa"/>
          </w:tcPr>
          <w:p w14:paraId="55635312">
            <w:pPr>
              <w:rPr>
                <w:color w:val="auto"/>
              </w:rPr>
            </w:pPr>
          </w:p>
        </w:tc>
        <w:tc>
          <w:tcPr>
            <w:tcW w:w="582" w:type="dxa"/>
          </w:tcPr>
          <w:p w14:paraId="033C15D6">
            <w:pPr>
              <w:rPr>
                <w:color w:val="auto"/>
              </w:rPr>
            </w:pPr>
          </w:p>
        </w:tc>
        <w:tc>
          <w:tcPr>
            <w:tcW w:w="582" w:type="dxa"/>
          </w:tcPr>
          <w:p w14:paraId="393C1C08">
            <w:pPr>
              <w:rPr>
                <w:color w:val="auto"/>
              </w:rPr>
            </w:pPr>
          </w:p>
        </w:tc>
        <w:tc>
          <w:tcPr>
            <w:tcW w:w="583" w:type="dxa"/>
          </w:tcPr>
          <w:p w14:paraId="3B403457">
            <w:pPr>
              <w:rPr>
                <w:color w:val="auto"/>
              </w:rPr>
            </w:pPr>
          </w:p>
        </w:tc>
        <w:tc>
          <w:tcPr>
            <w:tcW w:w="583" w:type="dxa"/>
          </w:tcPr>
          <w:p w14:paraId="20533E97">
            <w:pPr>
              <w:rPr>
                <w:color w:val="auto"/>
              </w:rPr>
            </w:pPr>
          </w:p>
        </w:tc>
        <w:tc>
          <w:tcPr>
            <w:tcW w:w="583" w:type="dxa"/>
          </w:tcPr>
          <w:p w14:paraId="4BB10007">
            <w:pPr>
              <w:rPr>
                <w:color w:val="auto"/>
              </w:rPr>
            </w:pPr>
          </w:p>
        </w:tc>
        <w:tc>
          <w:tcPr>
            <w:tcW w:w="762" w:type="dxa"/>
          </w:tcPr>
          <w:p w14:paraId="3E763E26">
            <w:pPr>
              <w:rPr>
                <w:color w:val="auto"/>
              </w:rPr>
            </w:pPr>
          </w:p>
        </w:tc>
      </w:tr>
      <w:tr w14:paraId="2BC53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18F28BCE">
            <w:pPr>
              <w:pStyle w:val="21"/>
              <w:spacing w:before="179" w:line="242" w:lineRule="auto"/>
              <w:ind w:left="301"/>
              <w:rPr>
                <w:color w:val="auto"/>
              </w:rPr>
            </w:pPr>
            <w:r>
              <w:rPr>
                <w:color w:val="auto"/>
              </w:rPr>
              <w:t>4</w:t>
            </w:r>
          </w:p>
        </w:tc>
        <w:tc>
          <w:tcPr>
            <w:tcW w:w="1588" w:type="dxa"/>
          </w:tcPr>
          <w:p w14:paraId="018C1894">
            <w:pPr>
              <w:rPr>
                <w:color w:val="auto"/>
              </w:rPr>
            </w:pPr>
          </w:p>
        </w:tc>
        <w:tc>
          <w:tcPr>
            <w:tcW w:w="583" w:type="dxa"/>
          </w:tcPr>
          <w:p w14:paraId="39BF0163">
            <w:pPr>
              <w:rPr>
                <w:color w:val="auto"/>
              </w:rPr>
            </w:pPr>
          </w:p>
        </w:tc>
        <w:tc>
          <w:tcPr>
            <w:tcW w:w="583" w:type="dxa"/>
          </w:tcPr>
          <w:p w14:paraId="2CF11DAB">
            <w:pPr>
              <w:rPr>
                <w:color w:val="auto"/>
              </w:rPr>
            </w:pPr>
          </w:p>
        </w:tc>
        <w:tc>
          <w:tcPr>
            <w:tcW w:w="582" w:type="dxa"/>
          </w:tcPr>
          <w:p w14:paraId="7F90AECF">
            <w:pPr>
              <w:rPr>
                <w:color w:val="auto"/>
              </w:rPr>
            </w:pPr>
          </w:p>
        </w:tc>
        <w:tc>
          <w:tcPr>
            <w:tcW w:w="582" w:type="dxa"/>
          </w:tcPr>
          <w:p w14:paraId="123F5554">
            <w:pPr>
              <w:rPr>
                <w:color w:val="auto"/>
              </w:rPr>
            </w:pPr>
          </w:p>
        </w:tc>
        <w:tc>
          <w:tcPr>
            <w:tcW w:w="582" w:type="dxa"/>
          </w:tcPr>
          <w:p w14:paraId="73775803">
            <w:pPr>
              <w:rPr>
                <w:color w:val="auto"/>
              </w:rPr>
            </w:pPr>
          </w:p>
        </w:tc>
        <w:tc>
          <w:tcPr>
            <w:tcW w:w="582" w:type="dxa"/>
          </w:tcPr>
          <w:p w14:paraId="7C7DBA93">
            <w:pPr>
              <w:rPr>
                <w:color w:val="auto"/>
              </w:rPr>
            </w:pPr>
          </w:p>
        </w:tc>
        <w:tc>
          <w:tcPr>
            <w:tcW w:w="583" w:type="dxa"/>
          </w:tcPr>
          <w:p w14:paraId="40278C42">
            <w:pPr>
              <w:rPr>
                <w:color w:val="auto"/>
              </w:rPr>
            </w:pPr>
          </w:p>
        </w:tc>
        <w:tc>
          <w:tcPr>
            <w:tcW w:w="583" w:type="dxa"/>
          </w:tcPr>
          <w:p w14:paraId="3ED3B2A2">
            <w:pPr>
              <w:rPr>
                <w:color w:val="auto"/>
              </w:rPr>
            </w:pPr>
          </w:p>
        </w:tc>
        <w:tc>
          <w:tcPr>
            <w:tcW w:w="583" w:type="dxa"/>
          </w:tcPr>
          <w:p w14:paraId="43A27C4F">
            <w:pPr>
              <w:rPr>
                <w:color w:val="auto"/>
              </w:rPr>
            </w:pPr>
          </w:p>
        </w:tc>
        <w:tc>
          <w:tcPr>
            <w:tcW w:w="762" w:type="dxa"/>
          </w:tcPr>
          <w:p w14:paraId="15284A65">
            <w:pPr>
              <w:rPr>
                <w:color w:val="auto"/>
              </w:rPr>
            </w:pPr>
          </w:p>
        </w:tc>
      </w:tr>
      <w:tr w14:paraId="6138F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7007FA58">
            <w:pPr>
              <w:pStyle w:val="21"/>
              <w:spacing w:before="180"/>
              <w:ind w:left="306"/>
              <w:rPr>
                <w:color w:val="auto"/>
              </w:rPr>
            </w:pPr>
            <w:r>
              <w:rPr>
                <w:color w:val="auto"/>
              </w:rPr>
              <w:t>5</w:t>
            </w:r>
          </w:p>
        </w:tc>
        <w:tc>
          <w:tcPr>
            <w:tcW w:w="1588" w:type="dxa"/>
          </w:tcPr>
          <w:p w14:paraId="2DCDFF04">
            <w:pPr>
              <w:rPr>
                <w:color w:val="auto"/>
              </w:rPr>
            </w:pPr>
          </w:p>
        </w:tc>
        <w:tc>
          <w:tcPr>
            <w:tcW w:w="583" w:type="dxa"/>
          </w:tcPr>
          <w:p w14:paraId="5CCA78B5">
            <w:pPr>
              <w:rPr>
                <w:color w:val="auto"/>
              </w:rPr>
            </w:pPr>
          </w:p>
        </w:tc>
        <w:tc>
          <w:tcPr>
            <w:tcW w:w="583" w:type="dxa"/>
          </w:tcPr>
          <w:p w14:paraId="4D8DB7ED">
            <w:pPr>
              <w:rPr>
                <w:color w:val="auto"/>
              </w:rPr>
            </w:pPr>
          </w:p>
        </w:tc>
        <w:tc>
          <w:tcPr>
            <w:tcW w:w="582" w:type="dxa"/>
          </w:tcPr>
          <w:p w14:paraId="14163633">
            <w:pPr>
              <w:rPr>
                <w:color w:val="auto"/>
              </w:rPr>
            </w:pPr>
          </w:p>
        </w:tc>
        <w:tc>
          <w:tcPr>
            <w:tcW w:w="582" w:type="dxa"/>
          </w:tcPr>
          <w:p w14:paraId="799287A1">
            <w:pPr>
              <w:rPr>
                <w:color w:val="auto"/>
              </w:rPr>
            </w:pPr>
          </w:p>
        </w:tc>
        <w:tc>
          <w:tcPr>
            <w:tcW w:w="582" w:type="dxa"/>
          </w:tcPr>
          <w:p w14:paraId="0E87D02A">
            <w:pPr>
              <w:rPr>
                <w:color w:val="auto"/>
              </w:rPr>
            </w:pPr>
          </w:p>
        </w:tc>
        <w:tc>
          <w:tcPr>
            <w:tcW w:w="582" w:type="dxa"/>
          </w:tcPr>
          <w:p w14:paraId="4D60E475">
            <w:pPr>
              <w:rPr>
                <w:color w:val="auto"/>
              </w:rPr>
            </w:pPr>
          </w:p>
        </w:tc>
        <w:tc>
          <w:tcPr>
            <w:tcW w:w="583" w:type="dxa"/>
          </w:tcPr>
          <w:p w14:paraId="1F305AA0">
            <w:pPr>
              <w:rPr>
                <w:color w:val="auto"/>
              </w:rPr>
            </w:pPr>
          </w:p>
        </w:tc>
        <w:tc>
          <w:tcPr>
            <w:tcW w:w="583" w:type="dxa"/>
          </w:tcPr>
          <w:p w14:paraId="4674AC72">
            <w:pPr>
              <w:rPr>
                <w:color w:val="auto"/>
              </w:rPr>
            </w:pPr>
          </w:p>
        </w:tc>
        <w:tc>
          <w:tcPr>
            <w:tcW w:w="583" w:type="dxa"/>
          </w:tcPr>
          <w:p w14:paraId="0B2CAA72">
            <w:pPr>
              <w:rPr>
                <w:color w:val="auto"/>
              </w:rPr>
            </w:pPr>
          </w:p>
        </w:tc>
        <w:tc>
          <w:tcPr>
            <w:tcW w:w="762" w:type="dxa"/>
          </w:tcPr>
          <w:p w14:paraId="16B25244">
            <w:pPr>
              <w:rPr>
                <w:color w:val="auto"/>
              </w:rPr>
            </w:pPr>
          </w:p>
        </w:tc>
      </w:tr>
      <w:tr w14:paraId="2CA2E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2EABD10B">
            <w:pPr>
              <w:pStyle w:val="21"/>
              <w:spacing w:before="181"/>
              <w:ind w:left="304"/>
              <w:rPr>
                <w:color w:val="auto"/>
              </w:rPr>
            </w:pPr>
            <w:r>
              <w:rPr>
                <w:color w:val="auto"/>
              </w:rPr>
              <w:t>6</w:t>
            </w:r>
          </w:p>
        </w:tc>
        <w:tc>
          <w:tcPr>
            <w:tcW w:w="1588" w:type="dxa"/>
          </w:tcPr>
          <w:p w14:paraId="60579C29">
            <w:pPr>
              <w:rPr>
                <w:color w:val="auto"/>
              </w:rPr>
            </w:pPr>
          </w:p>
        </w:tc>
        <w:tc>
          <w:tcPr>
            <w:tcW w:w="583" w:type="dxa"/>
          </w:tcPr>
          <w:p w14:paraId="0462A1B9">
            <w:pPr>
              <w:rPr>
                <w:color w:val="auto"/>
              </w:rPr>
            </w:pPr>
          </w:p>
        </w:tc>
        <w:tc>
          <w:tcPr>
            <w:tcW w:w="583" w:type="dxa"/>
          </w:tcPr>
          <w:p w14:paraId="5926FC09">
            <w:pPr>
              <w:rPr>
                <w:color w:val="auto"/>
              </w:rPr>
            </w:pPr>
          </w:p>
        </w:tc>
        <w:tc>
          <w:tcPr>
            <w:tcW w:w="582" w:type="dxa"/>
          </w:tcPr>
          <w:p w14:paraId="5A8CFC22">
            <w:pPr>
              <w:rPr>
                <w:color w:val="auto"/>
              </w:rPr>
            </w:pPr>
          </w:p>
        </w:tc>
        <w:tc>
          <w:tcPr>
            <w:tcW w:w="582" w:type="dxa"/>
          </w:tcPr>
          <w:p w14:paraId="7F04D944">
            <w:pPr>
              <w:rPr>
                <w:color w:val="auto"/>
              </w:rPr>
            </w:pPr>
          </w:p>
        </w:tc>
        <w:tc>
          <w:tcPr>
            <w:tcW w:w="582" w:type="dxa"/>
          </w:tcPr>
          <w:p w14:paraId="71157320">
            <w:pPr>
              <w:rPr>
                <w:color w:val="auto"/>
              </w:rPr>
            </w:pPr>
          </w:p>
        </w:tc>
        <w:tc>
          <w:tcPr>
            <w:tcW w:w="582" w:type="dxa"/>
          </w:tcPr>
          <w:p w14:paraId="2E1A3D4C">
            <w:pPr>
              <w:rPr>
                <w:color w:val="auto"/>
              </w:rPr>
            </w:pPr>
          </w:p>
        </w:tc>
        <w:tc>
          <w:tcPr>
            <w:tcW w:w="583" w:type="dxa"/>
          </w:tcPr>
          <w:p w14:paraId="7E9F7101">
            <w:pPr>
              <w:rPr>
                <w:color w:val="auto"/>
              </w:rPr>
            </w:pPr>
          </w:p>
        </w:tc>
        <w:tc>
          <w:tcPr>
            <w:tcW w:w="583" w:type="dxa"/>
          </w:tcPr>
          <w:p w14:paraId="26DE731E">
            <w:pPr>
              <w:rPr>
                <w:color w:val="auto"/>
              </w:rPr>
            </w:pPr>
          </w:p>
        </w:tc>
        <w:tc>
          <w:tcPr>
            <w:tcW w:w="583" w:type="dxa"/>
          </w:tcPr>
          <w:p w14:paraId="3F72A288">
            <w:pPr>
              <w:rPr>
                <w:color w:val="auto"/>
              </w:rPr>
            </w:pPr>
          </w:p>
        </w:tc>
        <w:tc>
          <w:tcPr>
            <w:tcW w:w="762" w:type="dxa"/>
          </w:tcPr>
          <w:p w14:paraId="747B578A">
            <w:pPr>
              <w:rPr>
                <w:color w:val="auto"/>
              </w:rPr>
            </w:pPr>
          </w:p>
        </w:tc>
      </w:tr>
      <w:tr w14:paraId="29033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08" w:type="dxa"/>
          </w:tcPr>
          <w:p w14:paraId="3A5EB20E">
            <w:pPr>
              <w:pStyle w:val="21"/>
              <w:spacing w:before="182" w:line="331" w:lineRule="exact"/>
              <w:ind w:left="263"/>
              <w:rPr>
                <w:color w:val="auto"/>
              </w:rPr>
            </w:pPr>
            <w:r>
              <w:rPr>
                <w:color w:val="auto"/>
                <w:position w:val="2"/>
              </w:rPr>
              <w:t>…</w:t>
            </w:r>
          </w:p>
        </w:tc>
        <w:tc>
          <w:tcPr>
            <w:tcW w:w="1588" w:type="dxa"/>
          </w:tcPr>
          <w:p w14:paraId="43DB9EC3">
            <w:pPr>
              <w:rPr>
                <w:color w:val="auto"/>
              </w:rPr>
            </w:pPr>
          </w:p>
        </w:tc>
        <w:tc>
          <w:tcPr>
            <w:tcW w:w="583" w:type="dxa"/>
          </w:tcPr>
          <w:p w14:paraId="2501CC17">
            <w:pPr>
              <w:rPr>
                <w:color w:val="auto"/>
              </w:rPr>
            </w:pPr>
          </w:p>
        </w:tc>
        <w:tc>
          <w:tcPr>
            <w:tcW w:w="583" w:type="dxa"/>
          </w:tcPr>
          <w:p w14:paraId="28F805C4">
            <w:pPr>
              <w:rPr>
                <w:color w:val="auto"/>
              </w:rPr>
            </w:pPr>
          </w:p>
        </w:tc>
        <w:tc>
          <w:tcPr>
            <w:tcW w:w="582" w:type="dxa"/>
          </w:tcPr>
          <w:p w14:paraId="070094AE">
            <w:pPr>
              <w:rPr>
                <w:color w:val="auto"/>
              </w:rPr>
            </w:pPr>
          </w:p>
        </w:tc>
        <w:tc>
          <w:tcPr>
            <w:tcW w:w="582" w:type="dxa"/>
          </w:tcPr>
          <w:p w14:paraId="0D0F0155">
            <w:pPr>
              <w:rPr>
                <w:color w:val="auto"/>
              </w:rPr>
            </w:pPr>
          </w:p>
        </w:tc>
        <w:tc>
          <w:tcPr>
            <w:tcW w:w="582" w:type="dxa"/>
          </w:tcPr>
          <w:p w14:paraId="1A3804B2">
            <w:pPr>
              <w:rPr>
                <w:color w:val="auto"/>
              </w:rPr>
            </w:pPr>
          </w:p>
        </w:tc>
        <w:tc>
          <w:tcPr>
            <w:tcW w:w="582" w:type="dxa"/>
          </w:tcPr>
          <w:p w14:paraId="3B4248B6">
            <w:pPr>
              <w:rPr>
                <w:color w:val="auto"/>
              </w:rPr>
            </w:pPr>
          </w:p>
        </w:tc>
        <w:tc>
          <w:tcPr>
            <w:tcW w:w="583" w:type="dxa"/>
          </w:tcPr>
          <w:p w14:paraId="7600ED0C">
            <w:pPr>
              <w:rPr>
                <w:color w:val="auto"/>
              </w:rPr>
            </w:pPr>
          </w:p>
        </w:tc>
        <w:tc>
          <w:tcPr>
            <w:tcW w:w="583" w:type="dxa"/>
          </w:tcPr>
          <w:p w14:paraId="3A9C27A1">
            <w:pPr>
              <w:rPr>
                <w:color w:val="auto"/>
              </w:rPr>
            </w:pPr>
          </w:p>
        </w:tc>
        <w:tc>
          <w:tcPr>
            <w:tcW w:w="583" w:type="dxa"/>
          </w:tcPr>
          <w:p w14:paraId="6BAAC6F3">
            <w:pPr>
              <w:rPr>
                <w:color w:val="auto"/>
              </w:rPr>
            </w:pPr>
          </w:p>
        </w:tc>
        <w:tc>
          <w:tcPr>
            <w:tcW w:w="762" w:type="dxa"/>
          </w:tcPr>
          <w:p w14:paraId="5DBC2502">
            <w:pPr>
              <w:rPr>
                <w:color w:val="auto"/>
              </w:rPr>
            </w:pPr>
          </w:p>
        </w:tc>
      </w:tr>
      <w:tr w14:paraId="67C1A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4" w:hRule="atLeast"/>
        </w:trPr>
        <w:tc>
          <w:tcPr>
            <w:tcW w:w="8301" w:type="dxa"/>
            <w:gridSpan w:val="12"/>
          </w:tcPr>
          <w:p w14:paraId="7435ECC3">
            <w:pPr>
              <w:spacing w:line="285" w:lineRule="auto"/>
              <w:rPr>
                <w:color w:val="auto"/>
                <w:lang w:eastAsia="zh-CN"/>
              </w:rPr>
            </w:pPr>
          </w:p>
          <w:p w14:paraId="12196B1B">
            <w:pPr>
              <w:pStyle w:val="21"/>
              <w:spacing w:before="68" w:line="220" w:lineRule="auto"/>
              <w:ind w:left="110"/>
              <w:rPr>
                <w:color w:val="auto"/>
                <w:lang w:eastAsia="zh-CN"/>
              </w:rPr>
            </w:pPr>
            <w:r>
              <w:rPr>
                <w:color w:val="auto"/>
                <w:spacing w:val="-5"/>
                <w:lang w:eastAsia="zh-CN"/>
              </w:rPr>
              <w:t>评标委员会全体成员签名：</w:t>
            </w:r>
          </w:p>
        </w:tc>
      </w:tr>
    </w:tbl>
    <w:p w14:paraId="6643851B">
      <w:pPr>
        <w:spacing w:before="139" w:line="220" w:lineRule="auto"/>
        <w:ind w:left="7405"/>
        <w:rPr>
          <w:rFonts w:ascii="宋体" w:hAnsi="宋体" w:eastAsia="宋体" w:cs="宋体"/>
          <w:color w:val="auto"/>
          <w:lang w:eastAsia="zh-CN"/>
        </w:rPr>
      </w:pPr>
      <w:r>
        <w:rPr>
          <w:rFonts w:ascii="宋体" w:hAnsi="宋体" w:eastAsia="宋体" w:cs="宋体"/>
          <w:color w:val="auto"/>
          <w:spacing w:val="-12"/>
          <w:lang w:eastAsia="zh-CN"/>
        </w:rPr>
        <w:t>日期：年月日</w:t>
      </w:r>
    </w:p>
    <w:p w14:paraId="5F6AAE1F">
      <w:pPr>
        <w:spacing w:line="220" w:lineRule="auto"/>
        <w:rPr>
          <w:rFonts w:ascii="宋体" w:hAnsi="宋体" w:eastAsia="宋体" w:cs="宋体"/>
          <w:color w:val="auto"/>
          <w:lang w:eastAsia="zh-CN"/>
        </w:rPr>
        <w:sectPr>
          <w:headerReference r:id="rId87" w:type="default"/>
          <w:footerReference r:id="rId88" w:type="default"/>
          <w:pgSz w:w="11906" w:h="16839"/>
          <w:pgMar w:top="400" w:right="0" w:bottom="938" w:left="105" w:header="0" w:footer="669" w:gutter="0"/>
          <w:cols w:space="720" w:num="1"/>
        </w:sectPr>
      </w:pPr>
    </w:p>
    <w:p w14:paraId="462FD2F3">
      <w:pPr>
        <w:pStyle w:val="8"/>
        <w:spacing w:line="267" w:lineRule="auto"/>
        <w:rPr>
          <w:lang w:eastAsia="zh-CN"/>
        </w:rPr>
      </w:pPr>
    </w:p>
    <w:p w14:paraId="3CB3EE72">
      <w:pPr>
        <w:pStyle w:val="8"/>
        <w:spacing w:line="267" w:lineRule="auto"/>
        <w:rPr>
          <w:lang w:eastAsia="zh-CN"/>
        </w:rPr>
      </w:pPr>
    </w:p>
    <w:p w14:paraId="73B93C22">
      <w:pPr>
        <w:pStyle w:val="8"/>
        <w:spacing w:line="267" w:lineRule="auto"/>
        <w:rPr>
          <w:lang w:eastAsia="zh-CN"/>
        </w:rPr>
      </w:pPr>
    </w:p>
    <w:p w14:paraId="2703A538">
      <w:pPr>
        <w:pStyle w:val="8"/>
        <w:spacing w:line="267" w:lineRule="auto"/>
        <w:rPr>
          <w:lang w:eastAsia="zh-CN"/>
        </w:rPr>
      </w:pPr>
    </w:p>
    <w:p w14:paraId="56B59B64">
      <w:pPr>
        <w:spacing w:before="78" w:line="222" w:lineRule="auto"/>
        <w:ind w:left="1831"/>
        <w:outlineLvl w:val="2"/>
        <w:rPr>
          <w:rFonts w:ascii="黑体" w:hAnsi="黑体" w:eastAsia="黑体" w:cs="黑体"/>
          <w:color w:val="auto"/>
          <w:sz w:val="24"/>
          <w:szCs w:val="24"/>
          <w:lang w:eastAsia="zh-CN"/>
        </w:rPr>
      </w:pPr>
      <w:bookmarkStart w:id="332" w:name="bookmark252"/>
      <w:bookmarkEnd w:id="332"/>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A-8</w:t>
      </w:r>
      <w:r>
        <w:rPr>
          <w:rFonts w:ascii="黑体" w:hAnsi="黑体" w:eastAsia="黑体" w:cs="黑体"/>
          <w:color w:val="auto"/>
          <w:spacing w:val="-3"/>
          <w:sz w:val="24"/>
          <w:szCs w:val="24"/>
          <w:lang w:eastAsia="zh-CN"/>
        </w:rPr>
        <w:t>：初步评审汇总记录表</w:t>
      </w:r>
    </w:p>
    <w:p w14:paraId="5C53F3F2">
      <w:pPr>
        <w:pStyle w:val="8"/>
        <w:spacing w:line="313" w:lineRule="auto"/>
        <w:rPr>
          <w:lang w:eastAsia="zh-CN"/>
        </w:rPr>
      </w:pPr>
    </w:p>
    <w:p w14:paraId="03FB05B0">
      <w:pPr>
        <w:pStyle w:val="8"/>
        <w:spacing w:line="313" w:lineRule="auto"/>
        <w:rPr>
          <w:lang w:eastAsia="zh-CN"/>
        </w:rPr>
      </w:pPr>
    </w:p>
    <w:p w14:paraId="1B37400B">
      <w:pPr>
        <w:spacing w:before="117" w:line="222" w:lineRule="auto"/>
        <w:ind w:left="4238"/>
        <w:rPr>
          <w:rFonts w:ascii="黑体" w:hAnsi="黑体" w:eastAsia="黑体" w:cs="黑体"/>
          <w:color w:val="auto"/>
          <w:sz w:val="36"/>
          <w:szCs w:val="36"/>
          <w:lang w:eastAsia="zh-CN"/>
        </w:rPr>
      </w:pPr>
      <w:bookmarkStart w:id="333" w:name="bookmark134"/>
      <w:bookmarkEnd w:id="333"/>
      <w:r>
        <w:rPr>
          <w:rFonts w:ascii="黑体" w:hAnsi="黑体" w:eastAsia="黑体" w:cs="黑体"/>
          <w:color w:val="auto"/>
          <w:spacing w:val="-2"/>
          <w:sz w:val="36"/>
          <w:szCs w:val="36"/>
          <w:lang w:eastAsia="zh-CN"/>
        </w:rPr>
        <w:t>初步评审汇总记录表</w:t>
      </w:r>
    </w:p>
    <w:p w14:paraId="74FC8E3D">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2BA8D243">
      <w:pPr>
        <w:spacing w:before="20" w:line="211" w:lineRule="auto"/>
        <w:ind w:left="1700"/>
        <w:rPr>
          <w:rFonts w:ascii="宋体" w:hAnsi="宋体" w:eastAsia="宋体" w:cs="宋体"/>
          <w:color w:val="auto"/>
          <w:lang w:eastAsia="zh-CN"/>
        </w:rPr>
      </w:pPr>
      <w:r>
        <w:rPr>
          <w:rFonts w:ascii="宋体" w:hAnsi="宋体" w:eastAsia="宋体" w:cs="宋体"/>
          <w:color w:val="auto"/>
          <w:lang w:eastAsia="zh-CN"/>
        </w:rPr>
        <w:t xml:space="preserve">标段唯一标识码：                                               </w:t>
      </w:r>
      <w:r>
        <w:rPr>
          <w:rFonts w:ascii="宋体" w:hAnsi="宋体" w:eastAsia="宋体" w:cs="宋体"/>
          <w:color w:val="auto"/>
          <w:spacing w:val="-1"/>
          <w:lang w:eastAsia="zh-CN"/>
        </w:rPr>
        <w:t xml:space="preserve">  单位：人民币元</w:t>
      </w:r>
    </w:p>
    <w:tbl>
      <w:tblPr>
        <w:tblStyle w:val="20"/>
        <w:tblW w:w="8414" w:type="dxa"/>
        <w:tblInd w:w="16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7"/>
        <w:gridCol w:w="995"/>
        <w:gridCol w:w="997"/>
        <w:gridCol w:w="996"/>
        <w:gridCol w:w="1082"/>
        <w:gridCol w:w="1327"/>
        <w:gridCol w:w="1273"/>
        <w:gridCol w:w="1117"/>
      </w:tblGrid>
      <w:tr w14:paraId="23602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27" w:type="dxa"/>
            <w:textDirection w:val="tbRlV"/>
          </w:tcPr>
          <w:p w14:paraId="1AEA8B1F">
            <w:pPr>
              <w:pStyle w:val="21"/>
              <w:spacing w:before="205" w:line="210" w:lineRule="auto"/>
              <w:ind w:left="32"/>
              <w:rPr>
                <w:color w:val="auto"/>
              </w:rPr>
            </w:pPr>
            <w:r>
              <w:rPr>
                <w:b/>
                <w:bCs/>
                <w:color w:val="auto"/>
                <w:spacing w:val="29"/>
              </w:rPr>
              <w:t>序号</w:t>
            </w:r>
          </w:p>
        </w:tc>
        <w:tc>
          <w:tcPr>
            <w:tcW w:w="995" w:type="dxa"/>
          </w:tcPr>
          <w:p w14:paraId="047D0169">
            <w:pPr>
              <w:pStyle w:val="21"/>
              <w:spacing w:before="33" w:line="222" w:lineRule="auto"/>
              <w:ind w:left="288" w:right="180" w:hanging="105"/>
              <w:rPr>
                <w:color w:val="auto"/>
              </w:rPr>
            </w:pPr>
            <w:r>
              <w:rPr>
                <w:b/>
                <w:bCs/>
                <w:color w:val="auto"/>
                <w:spacing w:val="-6"/>
              </w:rPr>
              <w:t>投标人</w:t>
            </w:r>
            <w:r>
              <w:rPr>
                <w:b/>
                <w:bCs/>
                <w:color w:val="auto"/>
                <w:spacing w:val="-8"/>
              </w:rPr>
              <w:t>名称</w:t>
            </w:r>
          </w:p>
        </w:tc>
        <w:tc>
          <w:tcPr>
            <w:tcW w:w="997" w:type="dxa"/>
          </w:tcPr>
          <w:p w14:paraId="33DD7200">
            <w:pPr>
              <w:pStyle w:val="21"/>
              <w:spacing w:before="32" w:line="221" w:lineRule="auto"/>
              <w:ind w:left="185"/>
              <w:rPr>
                <w:color w:val="auto"/>
              </w:rPr>
            </w:pPr>
            <w:r>
              <w:rPr>
                <w:b/>
                <w:bCs/>
                <w:color w:val="auto"/>
                <w:spacing w:val="-6"/>
              </w:rPr>
              <w:t>形式评</w:t>
            </w:r>
          </w:p>
          <w:p w14:paraId="0A3653A7">
            <w:pPr>
              <w:pStyle w:val="21"/>
              <w:spacing w:before="20" w:line="206" w:lineRule="auto"/>
              <w:ind w:left="189"/>
              <w:rPr>
                <w:color w:val="auto"/>
              </w:rPr>
            </w:pPr>
            <w:r>
              <w:rPr>
                <w:b/>
                <w:bCs/>
                <w:color w:val="auto"/>
                <w:spacing w:val="-7"/>
              </w:rPr>
              <w:t>审结果</w:t>
            </w:r>
          </w:p>
        </w:tc>
        <w:tc>
          <w:tcPr>
            <w:tcW w:w="996" w:type="dxa"/>
          </w:tcPr>
          <w:p w14:paraId="16E01E81">
            <w:pPr>
              <w:pStyle w:val="21"/>
              <w:spacing w:before="33" w:line="220" w:lineRule="auto"/>
              <w:ind w:left="192"/>
              <w:rPr>
                <w:color w:val="auto"/>
              </w:rPr>
            </w:pPr>
            <w:r>
              <w:rPr>
                <w:b/>
                <w:bCs/>
                <w:color w:val="auto"/>
                <w:spacing w:val="-8"/>
              </w:rPr>
              <w:t>资格评</w:t>
            </w:r>
          </w:p>
          <w:p w14:paraId="1ADD1284">
            <w:pPr>
              <w:pStyle w:val="21"/>
              <w:spacing w:before="21" w:line="206" w:lineRule="auto"/>
              <w:ind w:left="189"/>
              <w:rPr>
                <w:color w:val="auto"/>
              </w:rPr>
            </w:pPr>
            <w:r>
              <w:rPr>
                <w:b/>
                <w:bCs/>
                <w:color w:val="auto"/>
                <w:spacing w:val="-7"/>
              </w:rPr>
              <w:t>审结果</w:t>
            </w:r>
          </w:p>
        </w:tc>
        <w:tc>
          <w:tcPr>
            <w:tcW w:w="1082" w:type="dxa"/>
          </w:tcPr>
          <w:p w14:paraId="53800881">
            <w:pPr>
              <w:pStyle w:val="21"/>
              <w:spacing w:before="33" w:line="222" w:lineRule="auto"/>
              <w:ind w:left="233" w:right="115" w:hanging="101"/>
              <w:rPr>
                <w:color w:val="auto"/>
              </w:rPr>
            </w:pPr>
            <w:r>
              <w:rPr>
                <w:b/>
                <w:bCs/>
                <w:color w:val="auto"/>
                <w:spacing w:val="-7"/>
              </w:rPr>
              <w:t>响应性评审结果</w:t>
            </w:r>
          </w:p>
        </w:tc>
        <w:tc>
          <w:tcPr>
            <w:tcW w:w="1327" w:type="dxa"/>
          </w:tcPr>
          <w:p w14:paraId="512411A7">
            <w:pPr>
              <w:pStyle w:val="21"/>
              <w:spacing w:before="33" w:line="220" w:lineRule="auto"/>
              <w:ind w:left="246"/>
              <w:rPr>
                <w:color w:val="auto"/>
              </w:rPr>
            </w:pPr>
            <w:r>
              <w:rPr>
                <w:b/>
                <w:bCs/>
                <w:color w:val="auto"/>
                <w:spacing w:val="-4"/>
              </w:rPr>
              <w:t>技术方案</w:t>
            </w:r>
          </w:p>
          <w:p w14:paraId="19CEB004">
            <w:pPr>
              <w:pStyle w:val="21"/>
              <w:spacing w:before="21" w:line="206" w:lineRule="auto"/>
              <w:ind w:left="251"/>
              <w:rPr>
                <w:color w:val="auto"/>
              </w:rPr>
            </w:pPr>
            <w:r>
              <w:rPr>
                <w:b/>
                <w:bCs/>
                <w:color w:val="auto"/>
                <w:spacing w:val="-6"/>
              </w:rPr>
              <w:t>（如有）</w:t>
            </w:r>
          </w:p>
        </w:tc>
        <w:tc>
          <w:tcPr>
            <w:tcW w:w="1273" w:type="dxa"/>
          </w:tcPr>
          <w:p w14:paraId="42C095EF">
            <w:pPr>
              <w:pStyle w:val="21"/>
              <w:spacing w:before="168" w:line="219" w:lineRule="auto"/>
              <w:ind w:left="197"/>
              <w:rPr>
                <w:color w:val="auto"/>
              </w:rPr>
            </w:pPr>
            <w:r>
              <w:rPr>
                <w:b/>
                <w:bCs/>
                <w:color w:val="auto"/>
                <w:spacing w:val="-5"/>
              </w:rPr>
              <w:t>投标报价</w:t>
            </w:r>
          </w:p>
        </w:tc>
        <w:tc>
          <w:tcPr>
            <w:tcW w:w="1117" w:type="dxa"/>
          </w:tcPr>
          <w:p w14:paraId="631BB708">
            <w:pPr>
              <w:pStyle w:val="21"/>
              <w:spacing w:before="169" w:line="221" w:lineRule="auto"/>
              <w:ind w:left="120"/>
              <w:rPr>
                <w:color w:val="auto"/>
              </w:rPr>
            </w:pPr>
            <w:r>
              <w:rPr>
                <w:b/>
                <w:bCs/>
                <w:color w:val="auto"/>
                <w:spacing w:val="-4"/>
              </w:rPr>
              <w:t>评审结论</w:t>
            </w:r>
          </w:p>
        </w:tc>
      </w:tr>
      <w:tr w14:paraId="2DA0B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249CD97C">
            <w:pPr>
              <w:spacing w:before="129" w:line="279" w:lineRule="exact"/>
              <w:ind w:left="272"/>
              <w:rPr>
                <w:rFonts w:ascii="黑体" w:hAnsi="黑体" w:eastAsia="黑体" w:cs="黑体"/>
                <w:color w:val="auto"/>
              </w:rPr>
            </w:pPr>
            <w:r>
              <w:rPr>
                <w:rFonts w:ascii="黑体" w:hAnsi="黑体" w:eastAsia="黑体" w:cs="黑体"/>
                <w:color w:val="auto"/>
                <w:position w:val="1"/>
              </w:rPr>
              <w:t>1</w:t>
            </w:r>
          </w:p>
        </w:tc>
        <w:tc>
          <w:tcPr>
            <w:tcW w:w="995" w:type="dxa"/>
          </w:tcPr>
          <w:p w14:paraId="71CF6599">
            <w:pPr>
              <w:rPr>
                <w:color w:val="auto"/>
              </w:rPr>
            </w:pPr>
          </w:p>
        </w:tc>
        <w:tc>
          <w:tcPr>
            <w:tcW w:w="997" w:type="dxa"/>
          </w:tcPr>
          <w:p w14:paraId="79D50C2B">
            <w:pPr>
              <w:rPr>
                <w:color w:val="auto"/>
              </w:rPr>
            </w:pPr>
          </w:p>
        </w:tc>
        <w:tc>
          <w:tcPr>
            <w:tcW w:w="996" w:type="dxa"/>
          </w:tcPr>
          <w:p w14:paraId="55072314">
            <w:pPr>
              <w:rPr>
                <w:color w:val="auto"/>
              </w:rPr>
            </w:pPr>
          </w:p>
        </w:tc>
        <w:tc>
          <w:tcPr>
            <w:tcW w:w="1082" w:type="dxa"/>
          </w:tcPr>
          <w:p w14:paraId="05B01E1D">
            <w:pPr>
              <w:rPr>
                <w:color w:val="auto"/>
              </w:rPr>
            </w:pPr>
          </w:p>
        </w:tc>
        <w:tc>
          <w:tcPr>
            <w:tcW w:w="1327" w:type="dxa"/>
          </w:tcPr>
          <w:p w14:paraId="20E730E2">
            <w:pPr>
              <w:rPr>
                <w:color w:val="auto"/>
              </w:rPr>
            </w:pPr>
          </w:p>
        </w:tc>
        <w:tc>
          <w:tcPr>
            <w:tcW w:w="1273" w:type="dxa"/>
          </w:tcPr>
          <w:p w14:paraId="14F096A2">
            <w:pPr>
              <w:rPr>
                <w:color w:val="auto"/>
              </w:rPr>
            </w:pPr>
          </w:p>
        </w:tc>
        <w:tc>
          <w:tcPr>
            <w:tcW w:w="1117" w:type="dxa"/>
          </w:tcPr>
          <w:p w14:paraId="5052E254">
            <w:pPr>
              <w:rPr>
                <w:color w:val="auto"/>
              </w:rPr>
            </w:pPr>
          </w:p>
        </w:tc>
      </w:tr>
      <w:tr w14:paraId="68DED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44C55745">
            <w:pPr>
              <w:spacing w:before="130" w:line="279" w:lineRule="exact"/>
              <w:ind w:left="260"/>
              <w:rPr>
                <w:rFonts w:ascii="黑体" w:hAnsi="黑体" w:eastAsia="黑体" w:cs="黑体"/>
                <w:color w:val="auto"/>
              </w:rPr>
            </w:pPr>
            <w:r>
              <w:rPr>
                <w:rFonts w:ascii="黑体" w:hAnsi="黑体" w:eastAsia="黑体" w:cs="黑体"/>
                <w:color w:val="auto"/>
                <w:position w:val="1"/>
              </w:rPr>
              <w:t>2</w:t>
            </w:r>
          </w:p>
        </w:tc>
        <w:tc>
          <w:tcPr>
            <w:tcW w:w="995" w:type="dxa"/>
          </w:tcPr>
          <w:p w14:paraId="67FFC098">
            <w:pPr>
              <w:rPr>
                <w:color w:val="auto"/>
              </w:rPr>
            </w:pPr>
          </w:p>
        </w:tc>
        <w:tc>
          <w:tcPr>
            <w:tcW w:w="997" w:type="dxa"/>
          </w:tcPr>
          <w:p w14:paraId="7B7BF6B7">
            <w:pPr>
              <w:rPr>
                <w:color w:val="auto"/>
              </w:rPr>
            </w:pPr>
          </w:p>
        </w:tc>
        <w:tc>
          <w:tcPr>
            <w:tcW w:w="996" w:type="dxa"/>
          </w:tcPr>
          <w:p w14:paraId="05D5675A">
            <w:pPr>
              <w:rPr>
                <w:color w:val="auto"/>
              </w:rPr>
            </w:pPr>
          </w:p>
        </w:tc>
        <w:tc>
          <w:tcPr>
            <w:tcW w:w="1082" w:type="dxa"/>
          </w:tcPr>
          <w:p w14:paraId="293EFD80">
            <w:pPr>
              <w:rPr>
                <w:color w:val="auto"/>
              </w:rPr>
            </w:pPr>
          </w:p>
        </w:tc>
        <w:tc>
          <w:tcPr>
            <w:tcW w:w="1327" w:type="dxa"/>
          </w:tcPr>
          <w:p w14:paraId="3F306DC0">
            <w:pPr>
              <w:rPr>
                <w:color w:val="auto"/>
              </w:rPr>
            </w:pPr>
          </w:p>
        </w:tc>
        <w:tc>
          <w:tcPr>
            <w:tcW w:w="1273" w:type="dxa"/>
          </w:tcPr>
          <w:p w14:paraId="10D362C0">
            <w:pPr>
              <w:rPr>
                <w:color w:val="auto"/>
              </w:rPr>
            </w:pPr>
          </w:p>
        </w:tc>
        <w:tc>
          <w:tcPr>
            <w:tcW w:w="1117" w:type="dxa"/>
          </w:tcPr>
          <w:p w14:paraId="4383B4EC">
            <w:pPr>
              <w:rPr>
                <w:color w:val="auto"/>
              </w:rPr>
            </w:pPr>
          </w:p>
        </w:tc>
      </w:tr>
      <w:tr w14:paraId="11699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698926C8">
            <w:pPr>
              <w:spacing w:before="131" w:line="277" w:lineRule="exact"/>
              <w:ind w:left="262"/>
              <w:rPr>
                <w:rFonts w:ascii="黑体" w:hAnsi="黑体" w:eastAsia="黑体" w:cs="黑体"/>
                <w:color w:val="auto"/>
              </w:rPr>
            </w:pPr>
            <w:r>
              <w:rPr>
                <w:rFonts w:ascii="黑体" w:hAnsi="黑体" w:eastAsia="黑体" w:cs="黑体"/>
                <w:color w:val="auto"/>
                <w:position w:val="1"/>
              </w:rPr>
              <w:t>3</w:t>
            </w:r>
          </w:p>
        </w:tc>
        <w:tc>
          <w:tcPr>
            <w:tcW w:w="995" w:type="dxa"/>
          </w:tcPr>
          <w:p w14:paraId="1AC6662A">
            <w:pPr>
              <w:rPr>
                <w:color w:val="auto"/>
              </w:rPr>
            </w:pPr>
          </w:p>
        </w:tc>
        <w:tc>
          <w:tcPr>
            <w:tcW w:w="997" w:type="dxa"/>
          </w:tcPr>
          <w:p w14:paraId="46DFD75A">
            <w:pPr>
              <w:rPr>
                <w:color w:val="auto"/>
              </w:rPr>
            </w:pPr>
          </w:p>
        </w:tc>
        <w:tc>
          <w:tcPr>
            <w:tcW w:w="996" w:type="dxa"/>
          </w:tcPr>
          <w:p w14:paraId="762E5D1B">
            <w:pPr>
              <w:rPr>
                <w:color w:val="auto"/>
              </w:rPr>
            </w:pPr>
          </w:p>
        </w:tc>
        <w:tc>
          <w:tcPr>
            <w:tcW w:w="1082" w:type="dxa"/>
          </w:tcPr>
          <w:p w14:paraId="399F61CE">
            <w:pPr>
              <w:rPr>
                <w:color w:val="auto"/>
              </w:rPr>
            </w:pPr>
          </w:p>
        </w:tc>
        <w:tc>
          <w:tcPr>
            <w:tcW w:w="1327" w:type="dxa"/>
          </w:tcPr>
          <w:p w14:paraId="1F02A746">
            <w:pPr>
              <w:rPr>
                <w:color w:val="auto"/>
              </w:rPr>
            </w:pPr>
          </w:p>
        </w:tc>
        <w:tc>
          <w:tcPr>
            <w:tcW w:w="1273" w:type="dxa"/>
          </w:tcPr>
          <w:p w14:paraId="694793C0">
            <w:pPr>
              <w:rPr>
                <w:color w:val="auto"/>
              </w:rPr>
            </w:pPr>
          </w:p>
        </w:tc>
        <w:tc>
          <w:tcPr>
            <w:tcW w:w="1117" w:type="dxa"/>
          </w:tcPr>
          <w:p w14:paraId="1C9459BE">
            <w:pPr>
              <w:rPr>
                <w:color w:val="auto"/>
              </w:rPr>
            </w:pPr>
          </w:p>
        </w:tc>
      </w:tr>
      <w:tr w14:paraId="22943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0A440BF0">
            <w:pPr>
              <w:spacing w:before="132" w:line="279" w:lineRule="exact"/>
              <w:ind w:left="256"/>
              <w:rPr>
                <w:rFonts w:ascii="黑体" w:hAnsi="黑体" w:eastAsia="黑体" w:cs="黑体"/>
                <w:color w:val="auto"/>
              </w:rPr>
            </w:pPr>
            <w:r>
              <w:rPr>
                <w:rFonts w:ascii="黑体" w:hAnsi="黑体" w:eastAsia="黑体" w:cs="黑体"/>
                <w:color w:val="auto"/>
                <w:position w:val="1"/>
              </w:rPr>
              <w:t>4</w:t>
            </w:r>
          </w:p>
        </w:tc>
        <w:tc>
          <w:tcPr>
            <w:tcW w:w="995" w:type="dxa"/>
          </w:tcPr>
          <w:p w14:paraId="0007A4E0">
            <w:pPr>
              <w:rPr>
                <w:color w:val="auto"/>
              </w:rPr>
            </w:pPr>
          </w:p>
        </w:tc>
        <w:tc>
          <w:tcPr>
            <w:tcW w:w="997" w:type="dxa"/>
          </w:tcPr>
          <w:p w14:paraId="641D5CBA">
            <w:pPr>
              <w:rPr>
                <w:color w:val="auto"/>
              </w:rPr>
            </w:pPr>
          </w:p>
        </w:tc>
        <w:tc>
          <w:tcPr>
            <w:tcW w:w="996" w:type="dxa"/>
          </w:tcPr>
          <w:p w14:paraId="76171A9B">
            <w:pPr>
              <w:rPr>
                <w:color w:val="auto"/>
              </w:rPr>
            </w:pPr>
          </w:p>
        </w:tc>
        <w:tc>
          <w:tcPr>
            <w:tcW w:w="1082" w:type="dxa"/>
          </w:tcPr>
          <w:p w14:paraId="2B79E2FF">
            <w:pPr>
              <w:rPr>
                <w:color w:val="auto"/>
              </w:rPr>
            </w:pPr>
          </w:p>
        </w:tc>
        <w:tc>
          <w:tcPr>
            <w:tcW w:w="1327" w:type="dxa"/>
          </w:tcPr>
          <w:p w14:paraId="7AC481A2">
            <w:pPr>
              <w:rPr>
                <w:color w:val="auto"/>
              </w:rPr>
            </w:pPr>
          </w:p>
        </w:tc>
        <w:tc>
          <w:tcPr>
            <w:tcW w:w="1273" w:type="dxa"/>
          </w:tcPr>
          <w:p w14:paraId="1CB446DF">
            <w:pPr>
              <w:rPr>
                <w:color w:val="auto"/>
              </w:rPr>
            </w:pPr>
          </w:p>
        </w:tc>
        <w:tc>
          <w:tcPr>
            <w:tcW w:w="1117" w:type="dxa"/>
          </w:tcPr>
          <w:p w14:paraId="01A15A44">
            <w:pPr>
              <w:rPr>
                <w:color w:val="auto"/>
              </w:rPr>
            </w:pPr>
          </w:p>
        </w:tc>
      </w:tr>
      <w:tr w14:paraId="45BA3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7ECC7048">
            <w:pPr>
              <w:spacing w:before="133" w:line="276" w:lineRule="exact"/>
              <w:ind w:left="257"/>
              <w:rPr>
                <w:rFonts w:ascii="黑体" w:hAnsi="黑体" w:eastAsia="黑体" w:cs="黑体"/>
                <w:color w:val="auto"/>
              </w:rPr>
            </w:pPr>
            <w:r>
              <w:rPr>
                <w:rFonts w:ascii="黑体" w:hAnsi="黑体" w:eastAsia="黑体" w:cs="黑体"/>
                <w:color w:val="auto"/>
                <w:position w:val="1"/>
              </w:rPr>
              <w:t>5</w:t>
            </w:r>
          </w:p>
        </w:tc>
        <w:tc>
          <w:tcPr>
            <w:tcW w:w="995" w:type="dxa"/>
          </w:tcPr>
          <w:p w14:paraId="708016A1">
            <w:pPr>
              <w:rPr>
                <w:color w:val="auto"/>
              </w:rPr>
            </w:pPr>
          </w:p>
        </w:tc>
        <w:tc>
          <w:tcPr>
            <w:tcW w:w="997" w:type="dxa"/>
          </w:tcPr>
          <w:p w14:paraId="06787ECD">
            <w:pPr>
              <w:rPr>
                <w:color w:val="auto"/>
              </w:rPr>
            </w:pPr>
          </w:p>
        </w:tc>
        <w:tc>
          <w:tcPr>
            <w:tcW w:w="996" w:type="dxa"/>
          </w:tcPr>
          <w:p w14:paraId="45DF5A45">
            <w:pPr>
              <w:rPr>
                <w:color w:val="auto"/>
              </w:rPr>
            </w:pPr>
          </w:p>
        </w:tc>
        <w:tc>
          <w:tcPr>
            <w:tcW w:w="1082" w:type="dxa"/>
          </w:tcPr>
          <w:p w14:paraId="33A07A75">
            <w:pPr>
              <w:rPr>
                <w:color w:val="auto"/>
              </w:rPr>
            </w:pPr>
          </w:p>
        </w:tc>
        <w:tc>
          <w:tcPr>
            <w:tcW w:w="1327" w:type="dxa"/>
          </w:tcPr>
          <w:p w14:paraId="44569755">
            <w:pPr>
              <w:rPr>
                <w:color w:val="auto"/>
              </w:rPr>
            </w:pPr>
          </w:p>
        </w:tc>
        <w:tc>
          <w:tcPr>
            <w:tcW w:w="1273" w:type="dxa"/>
          </w:tcPr>
          <w:p w14:paraId="725ACFCB">
            <w:pPr>
              <w:rPr>
                <w:color w:val="auto"/>
              </w:rPr>
            </w:pPr>
          </w:p>
        </w:tc>
        <w:tc>
          <w:tcPr>
            <w:tcW w:w="1117" w:type="dxa"/>
          </w:tcPr>
          <w:p w14:paraId="77FECFAC">
            <w:pPr>
              <w:rPr>
                <w:color w:val="auto"/>
              </w:rPr>
            </w:pPr>
          </w:p>
        </w:tc>
      </w:tr>
      <w:tr w14:paraId="36C61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627" w:type="dxa"/>
          </w:tcPr>
          <w:p w14:paraId="4474CC8B">
            <w:pPr>
              <w:spacing w:before="223" w:line="153" w:lineRule="exact"/>
              <w:ind w:left="221"/>
              <w:rPr>
                <w:rFonts w:ascii="黑体" w:hAnsi="黑体" w:eastAsia="黑体" w:cs="黑体"/>
                <w:color w:val="auto"/>
              </w:rPr>
            </w:pPr>
            <w:r>
              <w:rPr>
                <w:rFonts w:ascii="黑体" w:hAnsi="黑体" w:eastAsia="黑体" w:cs="黑体"/>
                <w:color w:val="auto"/>
                <w:position w:val="-3"/>
              </w:rPr>
              <w:t>…</w:t>
            </w:r>
          </w:p>
        </w:tc>
        <w:tc>
          <w:tcPr>
            <w:tcW w:w="995" w:type="dxa"/>
          </w:tcPr>
          <w:p w14:paraId="5DC2750A">
            <w:pPr>
              <w:rPr>
                <w:color w:val="auto"/>
              </w:rPr>
            </w:pPr>
          </w:p>
        </w:tc>
        <w:tc>
          <w:tcPr>
            <w:tcW w:w="997" w:type="dxa"/>
          </w:tcPr>
          <w:p w14:paraId="21A455DB">
            <w:pPr>
              <w:rPr>
                <w:color w:val="auto"/>
              </w:rPr>
            </w:pPr>
          </w:p>
        </w:tc>
        <w:tc>
          <w:tcPr>
            <w:tcW w:w="996" w:type="dxa"/>
          </w:tcPr>
          <w:p w14:paraId="54F0FB9F">
            <w:pPr>
              <w:rPr>
                <w:color w:val="auto"/>
              </w:rPr>
            </w:pPr>
          </w:p>
        </w:tc>
        <w:tc>
          <w:tcPr>
            <w:tcW w:w="1082" w:type="dxa"/>
          </w:tcPr>
          <w:p w14:paraId="3D392164">
            <w:pPr>
              <w:rPr>
                <w:color w:val="auto"/>
              </w:rPr>
            </w:pPr>
          </w:p>
        </w:tc>
        <w:tc>
          <w:tcPr>
            <w:tcW w:w="1327" w:type="dxa"/>
          </w:tcPr>
          <w:p w14:paraId="43B79F35">
            <w:pPr>
              <w:rPr>
                <w:color w:val="auto"/>
              </w:rPr>
            </w:pPr>
          </w:p>
        </w:tc>
        <w:tc>
          <w:tcPr>
            <w:tcW w:w="1273" w:type="dxa"/>
          </w:tcPr>
          <w:p w14:paraId="26FCF9BE">
            <w:pPr>
              <w:rPr>
                <w:color w:val="auto"/>
              </w:rPr>
            </w:pPr>
          </w:p>
        </w:tc>
        <w:tc>
          <w:tcPr>
            <w:tcW w:w="1117" w:type="dxa"/>
          </w:tcPr>
          <w:p w14:paraId="5CCA5046">
            <w:pPr>
              <w:rPr>
                <w:color w:val="auto"/>
              </w:rPr>
            </w:pPr>
          </w:p>
        </w:tc>
      </w:tr>
      <w:tr w14:paraId="345EF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0" w:hRule="atLeast"/>
        </w:trPr>
        <w:tc>
          <w:tcPr>
            <w:tcW w:w="8414" w:type="dxa"/>
            <w:gridSpan w:val="8"/>
          </w:tcPr>
          <w:p w14:paraId="2E908C55">
            <w:pPr>
              <w:pStyle w:val="21"/>
              <w:spacing w:before="34" w:line="220" w:lineRule="auto"/>
              <w:ind w:left="110"/>
              <w:rPr>
                <w:color w:val="auto"/>
                <w:lang w:eastAsia="zh-CN"/>
              </w:rPr>
            </w:pPr>
            <w:r>
              <w:rPr>
                <w:color w:val="auto"/>
                <w:spacing w:val="-5"/>
                <w:lang w:eastAsia="zh-CN"/>
              </w:rPr>
              <w:t>评标委员会全体成员签名：</w:t>
            </w:r>
          </w:p>
        </w:tc>
      </w:tr>
    </w:tbl>
    <w:p w14:paraId="4E4E6502">
      <w:pPr>
        <w:spacing w:before="305" w:line="220" w:lineRule="auto"/>
        <w:ind w:left="7527"/>
        <w:rPr>
          <w:rFonts w:ascii="宋体" w:hAnsi="宋体" w:eastAsia="宋体" w:cs="宋体"/>
          <w:color w:val="auto"/>
          <w:lang w:eastAsia="zh-CN"/>
        </w:rPr>
      </w:pPr>
      <w:r>
        <w:rPr>
          <w:rFonts w:ascii="宋体" w:hAnsi="宋体" w:eastAsia="宋体" w:cs="宋体"/>
          <w:color w:val="auto"/>
          <w:spacing w:val="-12"/>
          <w:lang w:eastAsia="zh-CN"/>
        </w:rPr>
        <w:t>日期：年月日</w:t>
      </w:r>
    </w:p>
    <w:p w14:paraId="179E32B4">
      <w:pPr>
        <w:spacing w:line="220" w:lineRule="auto"/>
        <w:rPr>
          <w:rFonts w:ascii="宋体" w:hAnsi="宋体" w:eastAsia="宋体" w:cs="宋体"/>
          <w:color w:val="auto"/>
          <w:lang w:eastAsia="zh-CN"/>
        </w:rPr>
        <w:sectPr>
          <w:headerReference r:id="rId89" w:type="default"/>
          <w:footerReference r:id="rId90" w:type="default"/>
          <w:pgSz w:w="11906" w:h="16839"/>
          <w:pgMar w:top="400" w:right="0" w:bottom="938" w:left="105" w:header="0" w:footer="669" w:gutter="0"/>
          <w:cols w:space="720" w:num="1"/>
        </w:sectPr>
      </w:pPr>
    </w:p>
    <w:p w14:paraId="22104106">
      <w:pPr>
        <w:pStyle w:val="8"/>
        <w:spacing w:line="267" w:lineRule="auto"/>
        <w:rPr>
          <w:lang w:eastAsia="zh-CN"/>
        </w:rPr>
      </w:pPr>
    </w:p>
    <w:p w14:paraId="1D69A737">
      <w:pPr>
        <w:pStyle w:val="8"/>
        <w:spacing w:line="267" w:lineRule="auto"/>
        <w:rPr>
          <w:lang w:eastAsia="zh-CN"/>
        </w:rPr>
      </w:pPr>
    </w:p>
    <w:p w14:paraId="3A579FDC">
      <w:pPr>
        <w:pStyle w:val="8"/>
        <w:spacing w:line="267" w:lineRule="auto"/>
        <w:rPr>
          <w:lang w:eastAsia="zh-CN"/>
        </w:rPr>
      </w:pPr>
    </w:p>
    <w:p w14:paraId="651AF20C">
      <w:pPr>
        <w:pStyle w:val="8"/>
        <w:spacing w:line="268" w:lineRule="auto"/>
        <w:rPr>
          <w:lang w:eastAsia="zh-CN"/>
        </w:rPr>
      </w:pPr>
    </w:p>
    <w:p w14:paraId="53403CD3">
      <w:pPr>
        <w:spacing w:before="78" w:line="221" w:lineRule="auto"/>
        <w:ind w:left="1831"/>
        <w:outlineLvl w:val="2"/>
        <w:rPr>
          <w:rFonts w:ascii="黑体" w:hAnsi="黑体" w:eastAsia="黑体" w:cs="黑体"/>
          <w:color w:val="auto"/>
          <w:sz w:val="24"/>
          <w:szCs w:val="24"/>
          <w:lang w:eastAsia="zh-CN"/>
        </w:rPr>
      </w:pPr>
      <w:bookmarkStart w:id="334" w:name="bookmark253"/>
      <w:bookmarkEnd w:id="334"/>
      <w:r>
        <w:rPr>
          <w:rFonts w:ascii="黑体" w:hAnsi="黑体" w:eastAsia="黑体" w:cs="黑体"/>
          <w:color w:val="auto"/>
          <w:spacing w:val="-4"/>
          <w:sz w:val="24"/>
          <w:szCs w:val="24"/>
          <w:lang w:eastAsia="zh-CN"/>
        </w:rPr>
        <w:t>附表</w:t>
      </w:r>
      <w:r>
        <w:rPr>
          <w:rFonts w:ascii="Times New Roman" w:hAnsi="Times New Roman" w:eastAsia="Times New Roman" w:cs="Times New Roman"/>
          <w:color w:val="auto"/>
          <w:spacing w:val="-4"/>
          <w:sz w:val="24"/>
          <w:szCs w:val="24"/>
          <w:lang w:eastAsia="zh-CN"/>
        </w:rPr>
        <w:t>A-9</w:t>
      </w:r>
      <w:r>
        <w:rPr>
          <w:rFonts w:ascii="黑体" w:hAnsi="黑体" w:eastAsia="黑体" w:cs="黑体"/>
          <w:color w:val="auto"/>
          <w:spacing w:val="-4"/>
          <w:sz w:val="24"/>
          <w:szCs w:val="24"/>
          <w:lang w:eastAsia="zh-CN"/>
        </w:rPr>
        <w:t>：否决投标的情况说明</w:t>
      </w:r>
    </w:p>
    <w:p w14:paraId="218778CB">
      <w:pPr>
        <w:pStyle w:val="8"/>
        <w:spacing w:line="313" w:lineRule="auto"/>
        <w:rPr>
          <w:lang w:eastAsia="zh-CN"/>
        </w:rPr>
      </w:pPr>
    </w:p>
    <w:p w14:paraId="4F72FE09">
      <w:pPr>
        <w:pStyle w:val="8"/>
        <w:spacing w:line="314" w:lineRule="auto"/>
        <w:rPr>
          <w:lang w:eastAsia="zh-CN"/>
        </w:rPr>
      </w:pPr>
    </w:p>
    <w:p w14:paraId="5DAABCF6">
      <w:pPr>
        <w:spacing w:before="117" w:line="221" w:lineRule="auto"/>
        <w:ind w:left="4241"/>
        <w:rPr>
          <w:rFonts w:ascii="黑体" w:hAnsi="黑体" w:eastAsia="黑体" w:cs="黑体"/>
          <w:color w:val="auto"/>
          <w:sz w:val="36"/>
          <w:szCs w:val="36"/>
          <w:lang w:eastAsia="zh-CN"/>
        </w:rPr>
      </w:pPr>
      <w:bookmarkStart w:id="335" w:name="bookmark135"/>
      <w:bookmarkEnd w:id="335"/>
      <w:r>
        <w:rPr>
          <w:rFonts w:ascii="黑体" w:hAnsi="黑体" w:eastAsia="黑体" w:cs="黑体"/>
          <w:color w:val="auto"/>
          <w:spacing w:val="-2"/>
          <w:sz w:val="36"/>
          <w:szCs w:val="36"/>
          <w:lang w:eastAsia="zh-CN"/>
        </w:rPr>
        <w:t>否决投标的情况说明</w:t>
      </w:r>
    </w:p>
    <w:p w14:paraId="29F52629">
      <w:pPr>
        <w:spacing w:before="239"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039D9D0D">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8499" w:type="dxa"/>
        <w:tblInd w:w="15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9"/>
        <w:gridCol w:w="1546"/>
        <w:gridCol w:w="1778"/>
        <w:gridCol w:w="4486"/>
      </w:tblGrid>
      <w:tr w14:paraId="60F6F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89" w:type="dxa"/>
          </w:tcPr>
          <w:p w14:paraId="05B8CE45">
            <w:pPr>
              <w:pStyle w:val="21"/>
              <w:spacing w:before="136" w:line="222" w:lineRule="auto"/>
              <w:ind w:left="134"/>
              <w:rPr>
                <w:color w:val="auto"/>
              </w:rPr>
            </w:pPr>
            <w:r>
              <w:rPr>
                <w:b/>
                <w:bCs/>
                <w:color w:val="auto"/>
                <w:spacing w:val="-6"/>
              </w:rPr>
              <w:t>序号</w:t>
            </w:r>
          </w:p>
        </w:tc>
        <w:tc>
          <w:tcPr>
            <w:tcW w:w="1546" w:type="dxa"/>
          </w:tcPr>
          <w:p w14:paraId="36EA76E9">
            <w:pPr>
              <w:pStyle w:val="21"/>
              <w:spacing w:before="136" w:line="221" w:lineRule="auto"/>
              <w:ind w:left="248"/>
              <w:rPr>
                <w:color w:val="auto"/>
              </w:rPr>
            </w:pPr>
            <w:r>
              <w:rPr>
                <w:b/>
                <w:bCs/>
                <w:color w:val="auto"/>
                <w:spacing w:val="-4"/>
              </w:rPr>
              <w:t>投标人名称</w:t>
            </w:r>
          </w:p>
        </w:tc>
        <w:tc>
          <w:tcPr>
            <w:tcW w:w="1778" w:type="dxa"/>
          </w:tcPr>
          <w:p w14:paraId="46731AD6">
            <w:pPr>
              <w:pStyle w:val="21"/>
              <w:spacing w:before="136" w:line="220" w:lineRule="auto"/>
              <w:ind w:left="159"/>
              <w:rPr>
                <w:color w:val="auto"/>
              </w:rPr>
            </w:pPr>
            <w:r>
              <w:rPr>
                <w:b/>
                <w:bCs/>
                <w:color w:val="auto"/>
                <w:spacing w:val="-4"/>
              </w:rPr>
              <w:t>否决投标的依据</w:t>
            </w:r>
          </w:p>
        </w:tc>
        <w:tc>
          <w:tcPr>
            <w:tcW w:w="4486" w:type="dxa"/>
          </w:tcPr>
          <w:p w14:paraId="4CD94127">
            <w:pPr>
              <w:pStyle w:val="21"/>
              <w:spacing w:before="137" w:line="220" w:lineRule="auto"/>
              <w:ind w:left="878"/>
              <w:rPr>
                <w:color w:val="auto"/>
                <w:lang w:eastAsia="zh-CN"/>
              </w:rPr>
            </w:pPr>
            <w:r>
              <w:rPr>
                <w:b/>
                <w:bCs/>
                <w:color w:val="auto"/>
                <w:spacing w:val="-3"/>
                <w:lang w:eastAsia="zh-CN"/>
              </w:rPr>
              <w:t>投标文件存在的具体问题描述</w:t>
            </w:r>
          </w:p>
        </w:tc>
      </w:tr>
      <w:tr w14:paraId="63518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423BBEA5">
            <w:pPr>
              <w:pStyle w:val="21"/>
              <w:spacing w:before="117" w:line="242" w:lineRule="auto"/>
              <w:ind w:left="304"/>
              <w:rPr>
                <w:color w:val="auto"/>
                <w:sz w:val="24"/>
                <w:szCs w:val="24"/>
              </w:rPr>
            </w:pPr>
            <w:r>
              <w:rPr>
                <w:color w:val="auto"/>
                <w:sz w:val="24"/>
                <w:szCs w:val="24"/>
              </w:rPr>
              <w:t>1</w:t>
            </w:r>
          </w:p>
        </w:tc>
        <w:tc>
          <w:tcPr>
            <w:tcW w:w="1546" w:type="dxa"/>
          </w:tcPr>
          <w:p w14:paraId="7CDC1061">
            <w:pPr>
              <w:rPr>
                <w:color w:val="auto"/>
              </w:rPr>
            </w:pPr>
          </w:p>
        </w:tc>
        <w:tc>
          <w:tcPr>
            <w:tcW w:w="1778" w:type="dxa"/>
          </w:tcPr>
          <w:p w14:paraId="3A74B063">
            <w:pPr>
              <w:rPr>
                <w:color w:val="auto"/>
              </w:rPr>
            </w:pPr>
          </w:p>
        </w:tc>
        <w:tc>
          <w:tcPr>
            <w:tcW w:w="4486" w:type="dxa"/>
          </w:tcPr>
          <w:p w14:paraId="326534C9">
            <w:pPr>
              <w:rPr>
                <w:color w:val="auto"/>
              </w:rPr>
            </w:pPr>
          </w:p>
        </w:tc>
      </w:tr>
      <w:tr w14:paraId="39F05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79CAF7BC">
            <w:pPr>
              <w:pStyle w:val="21"/>
              <w:spacing w:before="118" w:line="242" w:lineRule="auto"/>
              <w:ind w:left="289"/>
              <w:rPr>
                <w:color w:val="auto"/>
                <w:sz w:val="24"/>
                <w:szCs w:val="24"/>
              </w:rPr>
            </w:pPr>
            <w:r>
              <w:rPr>
                <w:color w:val="auto"/>
                <w:sz w:val="24"/>
                <w:szCs w:val="24"/>
              </w:rPr>
              <w:t>2</w:t>
            </w:r>
          </w:p>
        </w:tc>
        <w:tc>
          <w:tcPr>
            <w:tcW w:w="1546" w:type="dxa"/>
          </w:tcPr>
          <w:p w14:paraId="7D1845EE">
            <w:pPr>
              <w:rPr>
                <w:color w:val="auto"/>
              </w:rPr>
            </w:pPr>
          </w:p>
        </w:tc>
        <w:tc>
          <w:tcPr>
            <w:tcW w:w="1778" w:type="dxa"/>
          </w:tcPr>
          <w:p w14:paraId="1A65F9F5">
            <w:pPr>
              <w:rPr>
                <w:color w:val="auto"/>
              </w:rPr>
            </w:pPr>
          </w:p>
        </w:tc>
        <w:tc>
          <w:tcPr>
            <w:tcW w:w="4486" w:type="dxa"/>
          </w:tcPr>
          <w:p w14:paraId="4CDC13A0">
            <w:pPr>
              <w:rPr>
                <w:color w:val="auto"/>
              </w:rPr>
            </w:pPr>
          </w:p>
        </w:tc>
      </w:tr>
      <w:tr w14:paraId="5707A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89" w:type="dxa"/>
          </w:tcPr>
          <w:p w14:paraId="1BE95D03">
            <w:pPr>
              <w:pStyle w:val="21"/>
              <w:spacing w:before="189"/>
              <w:ind w:left="291"/>
              <w:rPr>
                <w:color w:val="auto"/>
                <w:sz w:val="24"/>
                <w:szCs w:val="24"/>
              </w:rPr>
            </w:pPr>
            <w:r>
              <w:rPr>
                <w:color w:val="auto"/>
                <w:sz w:val="24"/>
                <w:szCs w:val="24"/>
              </w:rPr>
              <w:t>3</w:t>
            </w:r>
          </w:p>
        </w:tc>
        <w:tc>
          <w:tcPr>
            <w:tcW w:w="1546" w:type="dxa"/>
          </w:tcPr>
          <w:p w14:paraId="38884C6D">
            <w:pPr>
              <w:rPr>
                <w:color w:val="auto"/>
              </w:rPr>
            </w:pPr>
          </w:p>
        </w:tc>
        <w:tc>
          <w:tcPr>
            <w:tcW w:w="1778" w:type="dxa"/>
          </w:tcPr>
          <w:p w14:paraId="106642C2">
            <w:pPr>
              <w:rPr>
                <w:color w:val="auto"/>
              </w:rPr>
            </w:pPr>
          </w:p>
        </w:tc>
        <w:tc>
          <w:tcPr>
            <w:tcW w:w="4486" w:type="dxa"/>
          </w:tcPr>
          <w:p w14:paraId="7B26E7C9">
            <w:pPr>
              <w:rPr>
                <w:color w:val="auto"/>
              </w:rPr>
            </w:pPr>
          </w:p>
        </w:tc>
      </w:tr>
      <w:tr w14:paraId="75F90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66042707">
            <w:pPr>
              <w:pStyle w:val="21"/>
              <w:spacing w:before="120" w:line="242" w:lineRule="auto"/>
              <w:ind w:left="285"/>
              <w:rPr>
                <w:color w:val="auto"/>
                <w:sz w:val="24"/>
                <w:szCs w:val="24"/>
              </w:rPr>
            </w:pPr>
            <w:r>
              <w:rPr>
                <w:color w:val="auto"/>
                <w:sz w:val="24"/>
                <w:szCs w:val="24"/>
              </w:rPr>
              <w:t>4</w:t>
            </w:r>
          </w:p>
        </w:tc>
        <w:tc>
          <w:tcPr>
            <w:tcW w:w="1546" w:type="dxa"/>
          </w:tcPr>
          <w:p w14:paraId="3AC6D076">
            <w:pPr>
              <w:rPr>
                <w:color w:val="auto"/>
              </w:rPr>
            </w:pPr>
          </w:p>
        </w:tc>
        <w:tc>
          <w:tcPr>
            <w:tcW w:w="1778" w:type="dxa"/>
          </w:tcPr>
          <w:p w14:paraId="154C5A73">
            <w:pPr>
              <w:rPr>
                <w:color w:val="auto"/>
              </w:rPr>
            </w:pPr>
          </w:p>
        </w:tc>
        <w:tc>
          <w:tcPr>
            <w:tcW w:w="4486" w:type="dxa"/>
          </w:tcPr>
          <w:p w14:paraId="21F600E8">
            <w:pPr>
              <w:rPr>
                <w:color w:val="auto"/>
              </w:rPr>
            </w:pPr>
          </w:p>
        </w:tc>
      </w:tr>
      <w:tr w14:paraId="19C8C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2E77322B">
            <w:pPr>
              <w:pStyle w:val="21"/>
              <w:spacing w:before="122"/>
              <w:ind w:left="291"/>
              <w:rPr>
                <w:color w:val="auto"/>
                <w:sz w:val="24"/>
                <w:szCs w:val="24"/>
              </w:rPr>
            </w:pPr>
            <w:r>
              <w:rPr>
                <w:color w:val="auto"/>
                <w:sz w:val="24"/>
                <w:szCs w:val="24"/>
              </w:rPr>
              <w:t>5</w:t>
            </w:r>
          </w:p>
        </w:tc>
        <w:tc>
          <w:tcPr>
            <w:tcW w:w="1546" w:type="dxa"/>
          </w:tcPr>
          <w:p w14:paraId="4D8180C6">
            <w:pPr>
              <w:rPr>
                <w:color w:val="auto"/>
              </w:rPr>
            </w:pPr>
          </w:p>
        </w:tc>
        <w:tc>
          <w:tcPr>
            <w:tcW w:w="1778" w:type="dxa"/>
          </w:tcPr>
          <w:p w14:paraId="2BFBFA4B">
            <w:pPr>
              <w:rPr>
                <w:color w:val="auto"/>
              </w:rPr>
            </w:pPr>
          </w:p>
        </w:tc>
        <w:tc>
          <w:tcPr>
            <w:tcW w:w="4486" w:type="dxa"/>
          </w:tcPr>
          <w:p w14:paraId="1F737887">
            <w:pPr>
              <w:rPr>
                <w:color w:val="auto"/>
              </w:rPr>
            </w:pPr>
          </w:p>
        </w:tc>
      </w:tr>
      <w:tr w14:paraId="1594E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073E1B01">
            <w:pPr>
              <w:pStyle w:val="21"/>
              <w:spacing w:before="123"/>
              <w:ind w:left="288"/>
              <w:rPr>
                <w:color w:val="auto"/>
                <w:sz w:val="24"/>
                <w:szCs w:val="24"/>
              </w:rPr>
            </w:pPr>
            <w:r>
              <w:rPr>
                <w:color w:val="auto"/>
                <w:sz w:val="24"/>
                <w:szCs w:val="24"/>
              </w:rPr>
              <w:t>6</w:t>
            </w:r>
          </w:p>
        </w:tc>
        <w:tc>
          <w:tcPr>
            <w:tcW w:w="1546" w:type="dxa"/>
          </w:tcPr>
          <w:p w14:paraId="5BFF5CCB">
            <w:pPr>
              <w:rPr>
                <w:color w:val="auto"/>
              </w:rPr>
            </w:pPr>
          </w:p>
        </w:tc>
        <w:tc>
          <w:tcPr>
            <w:tcW w:w="1778" w:type="dxa"/>
          </w:tcPr>
          <w:p w14:paraId="4E4624A0">
            <w:pPr>
              <w:rPr>
                <w:color w:val="auto"/>
              </w:rPr>
            </w:pPr>
          </w:p>
        </w:tc>
        <w:tc>
          <w:tcPr>
            <w:tcW w:w="4486" w:type="dxa"/>
          </w:tcPr>
          <w:p w14:paraId="7498088C">
            <w:pPr>
              <w:rPr>
                <w:color w:val="auto"/>
              </w:rPr>
            </w:pPr>
          </w:p>
        </w:tc>
      </w:tr>
      <w:tr w14:paraId="46E2C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89" w:type="dxa"/>
          </w:tcPr>
          <w:p w14:paraId="769E29AE">
            <w:pPr>
              <w:pStyle w:val="21"/>
              <w:spacing w:before="124"/>
              <w:ind w:left="292"/>
              <w:rPr>
                <w:color w:val="auto"/>
                <w:sz w:val="24"/>
                <w:szCs w:val="24"/>
              </w:rPr>
            </w:pPr>
            <w:r>
              <w:rPr>
                <w:color w:val="auto"/>
                <w:sz w:val="24"/>
                <w:szCs w:val="24"/>
              </w:rPr>
              <w:t>7</w:t>
            </w:r>
          </w:p>
        </w:tc>
        <w:tc>
          <w:tcPr>
            <w:tcW w:w="1546" w:type="dxa"/>
          </w:tcPr>
          <w:p w14:paraId="3AC9EA0B">
            <w:pPr>
              <w:rPr>
                <w:color w:val="auto"/>
              </w:rPr>
            </w:pPr>
          </w:p>
        </w:tc>
        <w:tc>
          <w:tcPr>
            <w:tcW w:w="1778" w:type="dxa"/>
          </w:tcPr>
          <w:p w14:paraId="3F411B18">
            <w:pPr>
              <w:rPr>
                <w:color w:val="auto"/>
              </w:rPr>
            </w:pPr>
          </w:p>
        </w:tc>
        <w:tc>
          <w:tcPr>
            <w:tcW w:w="4486" w:type="dxa"/>
          </w:tcPr>
          <w:p w14:paraId="0BE15722">
            <w:pPr>
              <w:rPr>
                <w:color w:val="auto"/>
              </w:rPr>
            </w:pPr>
          </w:p>
        </w:tc>
      </w:tr>
      <w:tr w14:paraId="6F66F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89" w:type="dxa"/>
          </w:tcPr>
          <w:p w14:paraId="39F4167C">
            <w:pPr>
              <w:pStyle w:val="21"/>
              <w:spacing w:before="125"/>
              <w:ind w:left="287"/>
              <w:rPr>
                <w:color w:val="auto"/>
                <w:sz w:val="24"/>
                <w:szCs w:val="24"/>
              </w:rPr>
            </w:pPr>
            <w:r>
              <w:rPr>
                <w:color w:val="auto"/>
                <w:sz w:val="24"/>
                <w:szCs w:val="24"/>
              </w:rPr>
              <w:t>8</w:t>
            </w:r>
          </w:p>
        </w:tc>
        <w:tc>
          <w:tcPr>
            <w:tcW w:w="1546" w:type="dxa"/>
          </w:tcPr>
          <w:p w14:paraId="401C8C9B">
            <w:pPr>
              <w:rPr>
                <w:color w:val="auto"/>
              </w:rPr>
            </w:pPr>
          </w:p>
        </w:tc>
        <w:tc>
          <w:tcPr>
            <w:tcW w:w="1778" w:type="dxa"/>
          </w:tcPr>
          <w:p w14:paraId="3EC29E6C">
            <w:pPr>
              <w:rPr>
                <w:color w:val="auto"/>
              </w:rPr>
            </w:pPr>
          </w:p>
        </w:tc>
        <w:tc>
          <w:tcPr>
            <w:tcW w:w="4486" w:type="dxa"/>
          </w:tcPr>
          <w:p w14:paraId="1AD4F9B6">
            <w:pPr>
              <w:rPr>
                <w:color w:val="auto"/>
              </w:rPr>
            </w:pPr>
          </w:p>
        </w:tc>
      </w:tr>
      <w:tr w14:paraId="2A3AF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89" w:type="dxa"/>
          </w:tcPr>
          <w:p w14:paraId="382BB18E">
            <w:pPr>
              <w:spacing w:before="228" w:line="153" w:lineRule="exact"/>
              <w:ind w:left="252"/>
              <w:rPr>
                <w:rFonts w:ascii="黑体" w:hAnsi="黑体" w:eastAsia="黑体" w:cs="黑体"/>
                <w:color w:val="auto"/>
              </w:rPr>
            </w:pPr>
            <w:r>
              <w:rPr>
                <w:rFonts w:ascii="黑体" w:hAnsi="黑体" w:eastAsia="黑体" w:cs="黑体"/>
                <w:color w:val="auto"/>
                <w:position w:val="-3"/>
              </w:rPr>
              <w:t>…</w:t>
            </w:r>
          </w:p>
        </w:tc>
        <w:tc>
          <w:tcPr>
            <w:tcW w:w="1546" w:type="dxa"/>
          </w:tcPr>
          <w:p w14:paraId="3E7CB2D9">
            <w:pPr>
              <w:rPr>
                <w:color w:val="auto"/>
              </w:rPr>
            </w:pPr>
          </w:p>
        </w:tc>
        <w:tc>
          <w:tcPr>
            <w:tcW w:w="1778" w:type="dxa"/>
          </w:tcPr>
          <w:p w14:paraId="537007C5">
            <w:pPr>
              <w:rPr>
                <w:color w:val="auto"/>
              </w:rPr>
            </w:pPr>
          </w:p>
        </w:tc>
        <w:tc>
          <w:tcPr>
            <w:tcW w:w="4486" w:type="dxa"/>
          </w:tcPr>
          <w:p w14:paraId="752C2061">
            <w:pPr>
              <w:rPr>
                <w:color w:val="auto"/>
              </w:rPr>
            </w:pPr>
          </w:p>
        </w:tc>
      </w:tr>
      <w:tr w14:paraId="5B3BA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1" w:hRule="atLeast"/>
        </w:trPr>
        <w:tc>
          <w:tcPr>
            <w:tcW w:w="8499" w:type="dxa"/>
            <w:gridSpan w:val="4"/>
          </w:tcPr>
          <w:p w14:paraId="3001C95E">
            <w:pPr>
              <w:pStyle w:val="21"/>
              <w:spacing w:before="35" w:line="220" w:lineRule="auto"/>
              <w:ind w:left="110"/>
              <w:rPr>
                <w:color w:val="auto"/>
                <w:lang w:eastAsia="zh-CN"/>
              </w:rPr>
            </w:pPr>
            <w:r>
              <w:rPr>
                <w:color w:val="auto"/>
                <w:spacing w:val="-5"/>
                <w:lang w:eastAsia="zh-CN"/>
              </w:rPr>
              <w:t>评标委员会全体成员签名：</w:t>
            </w:r>
          </w:p>
        </w:tc>
      </w:tr>
    </w:tbl>
    <w:p w14:paraId="616190D0">
      <w:pPr>
        <w:spacing w:before="33" w:line="220" w:lineRule="auto"/>
        <w:ind w:left="7405"/>
        <w:rPr>
          <w:rFonts w:ascii="宋体" w:hAnsi="宋体" w:eastAsia="宋体" w:cs="宋体"/>
          <w:color w:val="auto"/>
          <w:lang w:eastAsia="zh-CN"/>
        </w:rPr>
      </w:pPr>
      <w:r>
        <w:rPr>
          <w:rFonts w:ascii="宋体" w:hAnsi="宋体" w:eastAsia="宋体" w:cs="宋体"/>
          <w:color w:val="auto"/>
          <w:spacing w:val="-12"/>
          <w:lang w:eastAsia="zh-CN"/>
        </w:rPr>
        <w:t>日期：年月日</w:t>
      </w:r>
    </w:p>
    <w:p w14:paraId="48E662B6">
      <w:pPr>
        <w:spacing w:line="220" w:lineRule="auto"/>
        <w:rPr>
          <w:rFonts w:ascii="宋体" w:hAnsi="宋体" w:eastAsia="宋体" w:cs="宋体"/>
          <w:color w:val="auto"/>
          <w:lang w:eastAsia="zh-CN"/>
        </w:rPr>
        <w:sectPr>
          <w:headerReference r:id="rId91" w:type="default"/>
          <w:footerReference r:id="rId92" w:type="default"/>
          <w:pgSz w:w="11906" w:h="16839"/>
          <w:pgMar w:top="400" w:right="0" w:bottom="938" w:left="105" w:header="0" w:footer="669" w:gutter="0"/>
          <w:cols w:space="720" w:num="1"/>
        </w:sectPr>
      </w:pPr>
    </w:p>
    <w:p w14:paraId="1183C252">
      <w:pPr>
        <w:pStyle w:val="8"/>
        <w:spacing w:line="267" w:lineRule="auto"/>
        <w:rPr>
          <w:lang w:eastAsia="zh-CN"/>
        </w:rPr>
      </w:pPr>
    </w:p>
    <w:p w14:paraId="35973A85">
      <w:pPr>
        <w:pStyle w:val="8"/>
        <w:spacing w:line="267" w:lineRule="auto"/>
        <w:rPr>
          <w:lang w:eastAsia="zh-CN"/>
        </w:rPr>
      </w:pPr>
    </w:p>
    <w:p w14:paraId="33893846">
      <w:pPr>
        <w:pStyle w:val="8"/>
        <w:spacing w:line="267" w:lineRule="auto"/>
        <w:rPr>
          <w:lang w:eastAsia="zh-CN"/>
        </w:rPr>
      </w:pPr>
    </w:p>
    <w:p w14:paraId="456187EC">
      <w:pPr>
        <w:pStyle w:val="8"/>
        <w:spacing w:line="267" w:lineRule="auto"/>
        <w:rPr>
          <w:lang w:eastAsia="zh-CN"/>
        </w:rPr>
      </w:pPr>
    </w:p>
    <w:p w14:paraId="16ED431A">
      <w:pPr>
        <w:spacing w:before="78" w:line="222" w:lineRule="auto"/>
        <w:ind w:left="1831"/>
        <w:outlineLvl w:val="2"/>
        <w:rPr>
          <w:rFonts w:ascii="黑体" w:hAnsi="黑体" w:eastAsia="黑体" w:cs="黑体"/>
          <w:color w:val="auto"/>
          <w:sz w:val="24"/>
          <w:szCs w:val="24"/>
          <w:lang w:eastAsia="zh-CN"/>
        </w:rPr>
      </w:pPr>
      <w:bookmarkStart w:id="336" w:name="bookmark254"/>
      <w:bookmarkEnd w:id="336"/>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A-10</w:t>
      </w:r>
      <w:r>
        <w:rPr>
          <w:rFonts w:ascii="黑体" w:hAnsi="黑体" w:eastAsia="黑体" w:cs="黑体"/>
          <w:color w:val="auto"/>
          <w:spacing w:val="-3"/>
          <w:sz w:val="24"/>
          <w:szCs w:val="24"/>
          <w:lang w:eastAsia="zh-CN"/>
        </w:rPr>
        <w:t>：经济标评分记录表</w:t>
      </w:r>
    </w:p>
    <w:p w14:paraId="0CEA9215">
      <w:pPr>
        <w:spacing w:before="280" w:line="222" w:lineRule="auto"/>
        <w:ind w:left="4425"/>
        <w:rPr>
          <w:rFonts w:ascii="黑体" w:hAnsi="黑体" w:eastAsia="黑体" w:cs="黑体"/>
          <w:color w:val="auto"/>
          <w:sz w:val="36"/>
          <w:szCs w:val="36"/>
          <w:lang w:eastAsia="zh-CN"/>
        </w:rPr>
      </w:pPr>
      <w:bookmarkStart w:id="337" w:name="bookmark136"/>
      <w:bookmarkEnd w:id="337"/>
      <w:r>
        <w:rPr>
          <w:rFonts w:ascii="黑体" w:hAnsi="黑体" w:eastAsia="黑体" w:cs="黑体"/>
          <w:color w:val="auto"/>
          <w:spacing w:val="-3"/>
          <w:sz w:val="36"/>
          <w:szCs w:val="36"/>
          <w:lang w:eastAsia="zh-CN"/>
        </w:rPr>
        <w:t>经济标评分记录表</w:t>
      </w:r>
    </w:p>
    <w:p w14:paraId="65498E22">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2FB6C25C">
      <w:pPr>
        <w:spacing w:before="20" w:line="211" w:lineRule="auto"/>
        <w:ind w:left="1700"/>
        <w:rPr>
          <w:rFonts w:ascii="宋体" w:hAnsi="宋体" w:eastAsia="宋体" w:cs="宋体"/>
          <w:color w:val="auto"/>
          <w:lang w:eastAsia="zh-CN"/>
        </w:rPr>
      </w:pPr>
      <w:r>
        <w:rPr>
          <w:rFonts w:ascii="宋体" w:hAnsi="宋体" w:eastAsia="宋体" w:cs="宋体"/>
          <w:color w:val="auto"/>
          <w:lang w:eastAsia="zh-CN"/>
        </w:rPr>
        <w:t xml:space="preserve">标段唯一标识码：                                              </w:t>
      </w:r>
      <w:r>
        <w:rPr>
          <w:rFonts w:ascii="宋体" w:hAnsi="宋体" w:eastAsia="宋体" w:cs="宋体"/>
          <w:color w:val="auto"/>
          <w:spacing w:val="-1"/>
          <w:lang w:eastAsia="zh-CN"/>
        </w:rPr>
        <w:t xml:space="preserve">  单位：人民币元</w:t>
      </w:r>
    </w:p>
    <w:tbl>
      <w:tblPr>
        <w:tblStyle w:val="20"/>
        <w:tblW w:w="8514" w:type="dxa"/>
        <w:tblInd w:w="15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3"/>
        <w:gridCol w:w="1341"/>
        <w:gridCol w:w="704"/>
        <w:gridCol w:w="1000"/>
        <w:gridCol w:w="741"/>
        <w:gridCol w:w="952"/>
        <w:gridCol w:w="846"/>
        <w:gridCol w:w="1041"/>
        <w:gridCol w:w="1306"/>
      </w:tblGrid>
      <w:tr w14:paraId="09B91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583" w:type="dxa"/>
            <w:vMerge w:val="restart"/>
            <w:tcBorders>
              <w:bottom w:val="nil"/>
            </w:tcBorders>
            <w:textDirection w:val="tbRlV"/>
          </w:tcPr>
          <w:p w14:paraId="4D200C85">
            <w:pPr>
              <w:pStyle w:val="21"/>
              <w:spacing w:before="183" w:line="210" w:lineRule="auto"/>
              <w:ind w:left="560"/>
              <w:rPr>
                <w:color w:val="auto"/>
              </w:rPr>
            </w:pPr>
            <w:r>
              <w:rPr>
                <w:b/>
                <w:bCs/>
                <w:color w:val="auto"/>
                <w:spacing w:val="29"/>
              </w:rPr>
              <w:t>序号</w:t>
            </w:r>
          </w:p>
        </w:tc>
        <w:tc>
          <w:tcPr>
            <w:tcW w:w="1341" w:type="dxa"/>
            <w:vMerge w:val="restart"/>
            <w:tcBorders>
              <w:bottom w:val="nil"/>
            </w:tcBorders>
          </w:tcPr>
          <w:p w14:paraId="6FCC8935">
            <w:pPr>
              <w:spacing w:line="312" w:lineRule="auto"/>
              <w:rPr>
                <w:color w:val="auto"/>
              </w:rPr>
            </w:pPr>
          </w:p>
          <w:p w14:paraId="0C7B2743">
            <w:pPr>
              <w:spacing w:line="312" w:lineRule="auto"/>
              <w:rPr>
                <w:color w:val="auto"/>
              </w:rPr>
            </w:pPr>
          </w:p>
          <w:p w14:paraId="2DE2DB22">
            <w:pPr>
              <w:pStyle w:val="21"/>
              <w:spacing w:before="68" w:line="221" w:lineRule="auto"/>
              <w:ind w:left="146"/>
              <w:rPr>
                <w:color w:val="auto"/>
              </w:rPr>
            </w:pPr>
            <w:r>
              <w:rPr>
                <w:b/>
                <w:bCs/>
                <w:color w:val="auto"/>
                <w:spacing w:val="-4"/>
              </w:rPr>
              <w:t>投标人名称</w:t>
            </w:r>
          </w:p>
        </w:tc>
        <w:tc>
          <w:tcPr>
            <w:tcW w:w="6590" w:type="dxa"/>
            <w:gridSpan w:val="7"/>
          </w:tcPr>
          <w:p w14:paraId="753DEB9B">
            <w:pPr>
              <w:pStyle w:val="21"/>
              <w:spacing w:before="146" w:line="221" w:lineRule="auto"/>
              <w:ind w:left="2874"/>
              <w:rPr>
                <w:color w:val="auto"/>
              </w:rPr>
            </w:pPr>
            <w:r>
              <w:rPr>
                <w:b/>
                <w:bCs/>
                <w:color w:val="auto"/>
                <w:spacing w:val="-4"/>
              </w:rPr>
              <w:t>评审项目</w:t>
            </w:r>
          </w:p>
        </w:tc>
      </w:tr>
      <w:tr w14:paraId="22A2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583" w:type="dxa"/>
            <w:vMerge w:val="continue"/>
            <w:tcBorders>
              <w:top w:val="nil"/>
            </w:tcBorders>
            <w:textDirection w:val="tbRlV"/>
          </w:tcPr>
          <w:p w14:paraId="153921A3">
            <w:pPr>
              <w:rPr>
                <w:color w:val="auto"/>
              </w:rPr>
            </w:pPr>
          </w:p>
        </w:tc>
        <w:tc>
          <w:tcPr>
            <w:tcW w:w="1341" w:type="dxa"/>
            <w:vMerge w:val="continue"/>
            <w:tcBorders>
              <w:top w:val="nil"/>
            </w:tcBorders>
          </w:tcPr>
          <w:p w14:paraId="248546AD">
            <w:pPr>
              <w:rPr>
                <w:color w:val="auto"/>
              </w:rPr>
            </w:pPr>
          </w:p>
        </w:tc>
        <w:tc>
          <w:tcPr>
            <w:tcW w:w="704" w:type="dxa"/>
          </w:tcPr>
          <w:p w14:paraId="3921CBCD">
            <w:pPr>
              <w:pStyle w:val="21"/>
              <w:spacing w:before="300" w:line="241" w:lineRule="auto"/>
              <w:ind w:left="141" w:right="138" w:firstLine="4"/>
              <w:rPr>
                <w:color w:val="auto"/>
              </w:rPr>
            </w:pPr>
            <w:r>
              <w:rPr>
                <w:b/>
                <w:bCs/>
                <w:color w:val="auto"/>
                <w:spacing w:val="-8"/>
              </w:rPr>
              <w:t>投标</w:t>
            </w:r>
            <w:r>
              <w:rPr>
                <w:b/>
                <w:bCs/>
                <w:color w:val="auto"/>
                <w:spacing w:val="-6"/>
              </w:rPr>
              <w:t>报价</w:t>
            </w:r>
          </w:p>
        </w:tc>
        <w:tc>
          <w:tcPr>
            <w:tcW w:w="1000" w:type="dxa"/>
          </w:tcPr>
          <w:p w14:paraId="4F079A77">
            <w:pPr>
              <w:pStyle w:val="21"/>
              <w:spacing w:before="29" w:line="220" w:lineRule="auto"/>
              <w:ind w:left="186"/>
              <w:rPr>
                <w:color w:val="auto"/>
                <w:lang w:eastAsia="zh-CN"/>
              </w:rPr>
            </w:pPr>
            <w:r>
              <w:rPr>
                <w:b/>
                <w:bCs/>
                <w:color w:val="auto"/>
                <w:spacing w:val="-5"/>
                <w:lang w:eastAsia="zh-CN"/>
              </w:rPr>
              <w:t>修正后</w:t>
            </w:r>
          </w:p>
          <w:p w14:paraId="1D3C2779">
            <w:pPr>
              <w:pStyle w:val="21"/>
              <w:spacing w:before="22" w:line="220" w:lineRule="auto"/>
              <w:ind w:left="188"/>
              <w:rPr>
                <w:color w:val="auto"/>
                <w:lang w:eastAsia="zh-CN"/>
              </w:rPr>
            </w:pPr>
            <w:r>
              <w:rPr>
                <w:b/>
                <w:bCs/>
                <w:color w:val="auto"/>
                <w:spacing w:val="-6"/>
                <w:lang w:eastAsia="zh-CN"/>
              </w:rPr>
              <w:t>投标报</w:t>
            </w:r>
          </w:p>
          <w:p w14:paraId="2916496D">
            <w:pPr>
              <w:pStyle w:val="21"/>
              <w:spacing w:before="21" w:line="222" w:lineRule="auto"/>
              <w:ind w:left="292" w:right="180" w:hanging="105"/>
              <w:rPr>
                <w:color w:val="auto"/>
                <w:lang w:eastAsia="zh-CN"/>
              </w:rPr>
            </w:pPr>
            <w:r>
              <w:rPr>
                <w:b/>
                <w:bCs/>
                <w:color w:val="auto"/>
                <w:spacing w:val="-5"/>
                <w:lang w:eastAsia="zh-CN"/>
              </w:rPr>
              <w:t>价（如</w:t>
            </w:r>
            <w:r>
              <w:rPr>
                <w:b/>
                <w:bCs/>
                <w:color w:val="auto"/>
                <w:spacing w:val="-7"/>
                <w:lang w:eastAsia="zh-CN"/>
              </w:rPr>
              <w:t>有）</w:t>
            </w:r>
          </w:p>
        </w:tc>
        <w:tc>
          <w:tcPr>
            <w:tcW w:w="741" w:type="dxa"/>
          </w:tcPr>
          <w:p w14:paraId="64259EBF">
            <w:pPr>
              <w:pStyle w:val="21"/>
              <w:spacing w:before="300" w:line="241" w:lineRule="auto"/>
              <w:ind w:left="269" w:right="155" w:hanging="107"/>
              <w:rPr>
                <w:color w:val="auto"/>
              </w:rPr>
            </w:pPr>
            <w:r>
              <w:rPr>
                <w:b/>
                <w:bCs/>
                <w:color w:val="auto"/>
                <w:spacing w:val="-6"/>
              </w:rPr>
              <w:t>评标</w:t>
            </w:r>
            <w:r>
              <w:rPr>
                <w:b/>
                <w:bCs/>
                <w:color w:val="auto"/>
                <w:spacing w:val="-3"/>
              </w:rPr>
              <w:t>价</w:t>
            </w:r>
          </w:p>
        </w:tc>
        <w:tc>
          <w:tcPr>
            <w:tcW w:w="952" w:type="dxa"/>
          </w:tcPr>
          <w:p w14:paraId="5738F02C">
            <w:pPr>
              <w:pStyle w:val="21"/>
              <w:spacing w:before="300" w:line="241" w:lineRule="auto"/>
              <w:ind w:left="164" w:right="154" w:firstLine="104"/>
              <w:rPr>
                <w:color w:val="auto"/>
              </w:rPr>
            </w:pPr>
            <w:r>
              <w:rPr>
                <w:b/>
                <w:bCs/>
                <w:color w:val="auto"/>
                <w:spacing w:val="-6"/>
              </w:rPr>
              <w:t>评标</w:t>
            </w:r>
            <w:r>
              <w:rPr>
                <w:b/>
                <w:bCs/>
                <w:color w:val="auto"/>
                <w:spacing w:val="-5"/>
              </w:rPr>
              <w:t>基准价</w:t>
            </w:r>
          </w:p>
        </w:tc>
        <w:tc>
          <w:tcPr>
            <w:tcW w:w="846" w:type="dxa"/>
          </w:tcPr>
          <w:p w14:paraId="6E9EE1EC">
            <w:pPr>
              <w:pStyle w:val="21"/>
              <w:spacing w:before="302" w:line="241" w:lineRule="auto"/>
              <w:ind w:left="324" w:right="205" w:hanging="107"/>
              <w:rPr>
                <w:color w:val="auto"/>
              </w:rPr>
            </w:pPr>
            <w:r>
              <w:rPr>
                <w:b/>
                <w:bCs/>
                <w:color w:val="auto"/>
                <w:spacing w:val="-6"/>
              </w:rPr>
              <w:t>偏差</w:t>
            </w:r>
            <w:r>
              <w:rPr>
                <w:b/>
                <w:bCs/>
                <w:color w:val="auto"/>
                <w:spacing w:val="-3"/>
              </w:rPr>
              <w:t>率</w:t>
            </w:r>
          </w:p>
        </w:tc>
        <w:tc>
          <w:tcPr>
            <w:tcW w:w="1041" w:type="dxa"/>
          </w:tcPr>
          <w:p w14:paraId="02C3F9FD">
            <w:pPr>
              <w:pStyle w:val="21"/>
              <w:spacing w:before="165" w:line="220" w:lineRule="auto"/>
              <w:ind w:left="210"/>
              <w:rPr>
                <w:color w:val="auto"/>
              </w:rPr>
            </w:pPr>
            <w:r>
              <w:rPr>
                <w:b/>
                <w:bCs/>
                <w:color w:val="auto"/>
                <w:spacing w:val="-5"/>
              </w:rPr>
              <w:t>计算投</w:t>
            </w:r>
          </w:p>
          <w:p w14:paraId="7FD3F071">
            <w:pPr>
              <w:pStyle w:val="21"/>
              <w:spacing w:before="22" w:line="241" w:lineRule="auto"/>
              <w:ind w:left="316" w:right="196" w:hanging="105"/>
              <w:rPr>
                <w:color w:val="auto"/>
              </w:rPr>
            </w:pPr>
            <w:r>
              <w:rPr>
                <w:b/>
                <w:bCs/>
                <w:color w:val="auto"/>
                <w:spacing w:val="-5"/>
              </w:rPr>
              <w:t>标报价</w:t>
            </w:r>
            <w:r>
              <w:rPr>
                <w:b/>
                <w:bCs/>
                <w:color w:val="auto"/>
                <w:spacing w:val="-7"/>
              </w:rPr>
              <w:t>得分</w:t>
            </w:r>
          </w:p>
        </w:tc>
        <w:tc>
          <w:tcPr>
            <w:tcW w:w="1306" w:type="dxa"/>
          </w:tcPr>
          <w:p w14:paraId="05FF1FE6">
            <w:pPr>
              <w:pStyle w:val="21"/>
              <w:spacing w:before="302" w:line="241" w:lineRule="auto"/>
              <w:ind w:left="345" w:right="119" w:hanging="212"/>
              <w:rPr>
                <w:color w:val="auto"/>
              </w:rPr>
            </w:pPr>
            <w:r>
              <w:rPr>
                <w:b/>
                <w:bCs/>
                <w:color w:val="auto"/>
                <w:spacing w:val="-4"/>
              </w:rPr>
              <w:t>投标报价最</w:t>
            </w:r>
            <w:r>
              <w:rPr>
                <w:b/>
                <w:bCs/>
                <w:color w:val="auto"/>
                <w:spacing w:val="-6"/>
              </w:rPr>
              <w:t>终得分</w:t>
            </w:r>
          </w:p>
        </w:tc>
      </w:tr>
      <w:tr w14:paraId="35DDA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583" w:type="dxa"/>
          </w:tcPr>
          <w:p w14:paraId="0CA5FFFF">
            <w:pPr>
              <w:spacing w:before="158" w:line="186" w:lineRule="auto"/>
              <w:ind w:left="256"/>
              <w:rPr>
                <w:rFonts w:ascii="Times New Roman" w:hAnsi="Times New Roman" w:eastAsia="Times New Roman" w:cs="Times New Roman"/>
                <w:color w:val="auto"/>
              </w:rPr>
            </w:pPr>
            <w:r>
              <w:rPr>
                <w:rFonts w:ascii="Times New Roman" w:hAnsi="Times New Roman" w:eastAsia="Times New Roman" w:cs="Times New Roman"/>
                <w:color w:val="auto"/>
              </w:rPr>
              <w:t>1</w:t>
            </w:r>
          </w:p>
        </w:tc>
        <w:tc>
          <w:tcPr>
            <w:tcW w:w="1341" w:type="dxa"/>
          </w:tcPr>
          <w:p w14:paraId="12E75A61">
            <w:pPr>
              <w:rPr>
                <w:color w:val="auto"/>
              </w:rPr>
            </w:pPr>
          </w:p>
        </w:tc>
        <w:tc>
          <w:tcPr>
            <w:tcW w:w="704" w:type="dxa"/>
          </w:tcPr>
          <w:p w14:paraId="0137E2B3">
            <w:pPr>
              <w:rPr>
                <w:color w:val="auto"/>
              </w:rPr>
            </w:pPr>
          </w:p>
        </w:tc>
        <w:tc>
          <w:tcPr>
            <w:tcW w:w="1000" w:type="dxa"/>
          </w:tcPr>
          <w:p w14:paraId="1586B6B6">
            <w:pPr>
              <w:rPr>
                <w:color w:val="auto"/>
              </w:rPr>
            </w:pPr>
          </w:p>
        </w:tc>
        <w:tc>
          <w:tcPr>
            <w:tcW w:w="741" w:type="dxa"/>
          </w:tcPr>
          <w:p w14:paraId="6971C336">
            <w:pPr>
              <w:rPr>
                <w:color w:val="auto"/>
              </w:rPr>
            </w:pPr>
          </w:p>
        </w:tc>
        <w:tc>
          <w:tcPr>
            <w:tcW w:w="952" w:type="dxa"/>
            <w:vMerge w:val="restart"/>
            <w:tcBorders>
              <w:bottom w:val="nil"/>
            </w:tcBorders>
          </w:tcPr>
          <w:p w14:paraId="7D9D0B33">
            <w:pPr>
              <w:rPr>
                <w:color w:val="auto"/>
              </w:rPr>
            </w:pPr>
          </w:p>
        </w:tc>
        <w:tc>
          <w:tcPr>
            <w:tcW w:w="846" w:type="dxa"/>
          </w:tcPr>
          <w:p w14:paraId="2768B5E0">
            <w:pPr>
              <w:rPr>
                <w:color w:val="auto"/>
              </w:rPr>
            </w:pPr>
          </w:p>
        </w:tc>
        <w:tc>
          <w:tcPr>
            <w:tcW w:w="1041" w:type="dxa"/>
          </w:tcPr>
          <w:p w14:paraId="4563ABAE">
            <w:pPr>
              <w:rPr>
                <w:color w:val="auto"/>
              </w:rPr>
            </w:pPr>
          </w:p>
        </w:tc>
        <w:tc>
          <w:tcPr>
            <w:tcW w:w="1306" w:type="dxa"/>
          </w:tcPr>
          <w:p w14:paraId="7D183D4A">
            <w:pPr>
              <w:rPr>
                <w:color w:val="auto"/>
              </w:rPr>
            </w:pPr>
          </w:p>
        </w:tc>
      </w:tr>
      <w:tr w14:paraId="18F5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583" w:type="dxa"/>
          </w:tcPr>
          <w:p w14:paraId="1FCC7876">
            <w:pPr>
              <w:pStyle w:val="21"/>
              <w:spacing w:before="57" w:line="242" w:lineRule="auto"/>
              <w:ind w:left="242"/>
              <w:rPr>
                <w:color w:val="auto"/>
              </w:rPr>
            </w:pPr>
            <w:r>
              <w:rPr>
                <w:color w:val="auto"/>
              </w:rPr>
              <w:t>2</w:t>
            </w:r>
          </w:p>
        </w:tc>
        <w:tc>
          <w:tcPr>
            <w:tcW w:w="1341" w:type="dxa"/>
          </w:tcPr>
          <w:p w14:paraId="3EC27AC5">
            <w:pPr>
              <w:rPr>
                <w:color w:val="auto"/>
              </w:rPr>
            </w:pPr>
          </w:p>
        </w:tc>
        <w:tc>
          <w:tcPr>
            <w:tcW w:w="704" w:type="dxa"/>
          </w:tcPr>
          <w:p w14:paraId="2B683264">
            <w:pPr>
              <w:rPr>
                <w:color w:val="auto"/>
              </w:rPr>
            </w:pPr>
          </w:p>
        </w:tc>
        <w:tc>
          <w:tcPr>
            <w:tcW w:w="1000" w:type="dxa"/>
          </w:tcPr>
          <w:p w14:paraId="786C6295">
            <w:pPr>
              <w:rPr>
                <w:color w:val="auto"/>
              </w:rPr>
            </w:pPr>
          </w:p>
        </w:tc>
        <w:tc>
          <w:tcPr>
            <w:tcW w:w="741" w:type="dxa"/>
          </w:tcPr>
          <w:p w14:paraId="2EE301FA">
            <w:pPr>
              <w:rPr>
                <w:color w:val="auto"/>
              </w:rPr>
            </w:pPr>
          </w:p>
        </w:tc>
        <w:tc>
          <w:tcPr>
            <w:tcW w:w="952" w:type="dxa"/>
            <w:vMerge w:val="continue"/>
            <w:tcBorders>
              <w:top w:val="nil"/>
              <w:bottom w:val="nil"/>
            </w:tcBorders>
          </w:tcPr>
          <w:p w14:paraId="6ED76BCB">
            <w:pPr>
              <w:rPr>
                <w:color w:val="auto"/>
              </w:rPr>
            </w:pPr>
          </w:p>
        </w:tc>
        <w:tc>
          <w:tcPr>
            <w:tcW w:w="846" w:type="dxa"/>
          </w:tcPr>
          <w:p w14:paraId="3F3D29A7">
            <w:pPr>
              <w:rPr>
                <w:color w:val="auto"/>
              </w:rPr>
            </w:pPr>
          </w:p>
        </w:tc>
        <w:tc>
          <w:tcPr>
            <w:tcW w:w="1041" w:type="dxa"/>
          </w:tcPr>
          <w:p w14:paraId="09A169B7">
            <w:pPr>
              <w:rPr>
                <w:color w:val="auto"/>
              </w:rPr>
            </w:pPr>
          </w:p>
        </w:tc>
        <w:tc>
          <w:tcPr>
            <w:tcW w:w="1306" w:type="dxa"/>
          </w:tcPr>
          <w:p w14:paraId="624CA1BB">
            <w:pPr>
              <w:rPr>
                <w:color w:val="auto"/>
              </w:rPr>
            </w:pPr>
          </w:p>
        </w:tc>
      </w:tr>
      <w:tr w14:paraId="7B020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583" w:type="dxa"/>
          </w:tcPr>
          <w:p w14:paraId="773D1B37">
            <w:pPr>
              <w:spacing w:before="164" w:line="186" w:lineRule="auto"/>
              <w:ind w:left="240"/>
              <w:rPr>
                <w:rFonts w:ascii="Times New Roman" w:hAnsi="Times New Roman" w:eastAsia="Times New Roman" w:cs="Times New Roman"/>
                <w:color w:val="auto"/>
              </w:rPr>
            </w:pPr>
            <w:r>
              <w:rPr>
                <w:rFonts w:ascii="Times New Roman" w:hAnsi="Times New Roman" w:eastAsia="Times New Roman" w:cs="Times New Roman"/>
                <w:color w:val="auto"/>
              </w:rPr>
              <w:t>3</w:t>
            </w:r>
          </w:p>
        </w:tc>
        <w:tc>
          <w:tcPr>
            <w:tcW w:w="1341" w:type="dxa"/>
          </w:tcPr>
          <w:p w14:paraId="3F655B9C">
            <w:pPr>
              <w:rPr>
                <w:color w:val="auto"/>
              </w:rPr>
            </w:pPr>
          </w:p>
        </w:tc>
        <w:tc>
          <w:tcPr>
            <w:tcW w:w="704" w:type="dxa"/>
          </w:tcPr>
          <w:p w14:paraId="2C44948D">
            <w:pPr>
              <w:rPr>
                <w:color w:val="auto"/>
              </w:rPr>
            </w:pPr>
          </w:p>
        </w:tc>
        <w:tc>
          <w:tcPr>
            <w:tcW w:w="1000" w:type="dxa"/>
          </w:tcPr>
          <w:p w14:paraId="1C9787D4">
            <w:pPr>
              <w:rPr>
                <w:color w:val="auto"/>
              </w:rPr>
            </w:pPr>
          </w:p>
        </w:tc>
        <w:tc>
          <w:tcPr>
            <w:tcW w:w="741" w:type="dxa"/>
          </w:tcPr>
          <w:p w14:paraId="4980F004">
            <w:pPr>
              <w:rPr>
                <w:color w:val="auto"/>
              </w:rPr>
            </w:pPr>
          </w:p>
        </w:tc>
        <w:tc>
          <w:tcPr>
            <w:tcW w:w="952" w:type="dxa"/>
            <w:vMerge w:val="continue"/>
            <w:tcBorders>
              <w:top w:val="nil"/>
              <w:bottom w:val="nil"/>
            </w:tcBorders>
          </w:tcPr>
          <w:p w14:paraId="3B719569">
            <w:pPr>
              <w:rPr>
                <w:color w:val="auto"/>
              </w:rPr>
            </w:pPr>
          </w:p>
        </w:tc>
        <w:tc>
          <w:tcPr>
            <w:tcW w:w="846" w:type="dxa"/>
          </w:tcPr>
          <w:p w14:paraId="751F2AFE">
            <w:pPr>
              <w:rPr>
                <w:color w:val="auto"/>
              </w:rPr>
            </w:pPr>
          </w:p>
        </w:tc>
        <w:tc>
          <w:tcPr>
            <w:tcW w:w="1041" w:type="dxa"/>
          </w:tcPr>
          <w:p w14:paraId="1D328E8D">
            <w:pPr>
              <w:rPr>
                <w:color w:val="auto"/>
              </w:rPr>
            </w:pPr>
          </w:p>
        </w:tc>
        <w:tc>
          <w:tcPr>
            <w:tcW w:w="1306" w:type="dxa"/>
          </w:tcPr>
          <w:p w14:paraId="2C151302">
            <w:pPr>
              <w:rPr>
                <w:color w:val="auto"/>
              </w:rPr>
            </w:pPr>
          </w:p>
        </w:tc>
      </w:tr>
      <w:tr w14:paraId="10264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583" w:type="dxa"/>
          </w:tcPr>
          <w:p w14:paraId="1C4B33B4">
            <w:pPr>
              <w:pStyle w:val="21"/>
              <w:spacing w:before="128" w:line="242" w:lineRule="auto"/>
              <w:ind w:left="239"/>
              <w:rPr>
                <w:color w:val="auto"/>
              </w:rPr>
            </w:pPr>
            <w:r>
              <w:rPr>
                <w:color w:val="auto"/>
              </w:rPr>
              <w:t>4</w:t>
            </w:r>
          </w:p>
        </w:tc>
        <w:tc>
          <w:tcPr>
            <w:tcW w:w="1341" w:type="dxa"/>
          </w:tcPr>
          <w:p w14:paraId="4362A425">
            <w:pPr>
              <w:rPr>
                <w:color w:val="auto"/>
              </w:rPr>
            </w:pPr>
          </w:p>
        </w:tc>
        <w:tc>
          <w:tcPr>
            <w:tcW w:w="704" w:type="dxa"/>
          </w:tcPr>
          <w:p w14:paraId="344CBA47">
            <w:pPr>
              <w:rPr>
                <w:color w:val="auto"/>
              </w:rPr>
            </w:pPr>
          </w:p>
        </w:tc>
        <w:tc>
          <w:tcPr>
            <w:tcW w:w="1000" w:type="dxa"/>
          </w:tcPr>
          <w:p w14:paraId="41017EC5">
            <w:pPr>
              <w:rPr>
                <w:color w:val="auto"/>
              </w:rPr>
            </w:pPr>
          </w:p>
        </w:tc>
        <w:tc>
          <w:tcPr>
            <w:tcW w:w="741" w:type="dxa"/>
          </w:tcPr>
          <w:p w14:paraId="5660E1BF">
            <w:pPr>
              <w:rPr>
                <w:color w:val="auto"/>
              </w:rPr>
            </w:pPr>
          </w:p>
        </w:tc>
        <w:tc>
          <w:tcPr>
            <w:tcW w:w="952" w:type="dxa"/>
            <w:vMerge w:val="continue"/>
            <w:tcBorders>
              <w:top w:val="nil"/>
              <w:bottom w:val="nil"/>
            </w:tcBorders>
          </w:tcPr>
          <w:p w14:paraId="61A791F2">
            <w:pPr>
              <w:rPr>
                <w:color w:val="auto"/>
              </w:rPr>
            </w:pPr>
          </w:p>
        </w:tc>
        <w:tc>
          <w:tcPr>
            <w:tcW w:w="846" w:type="dxa"/>
          </w:tcPr>
          <w:p w14:paraId="2F5E3F64">
            <w:pPr>
              <w:rPr>
                <w:color w:val="auto"/>
              </w:rPr>
            </w:pPr>
          </w:p>
        </w:tc>
        <w:tc>
          <w:tcPr>
            <w:tcW w:w="1041" w:type="dxa"/>
          </w:tcPr>
          <w:p w14:paraId="1FAF2C84">
            <w:pPr>
              <w:rPr>
                <w:color w:val="auto"/>
              </w:rPr>
            </w:pPr>
          </w:p>
        </w:tc>
        <w:tc>
          <w:tcPr>
            <w:tcW w:w="1306" w:type="dxa"/>
          </w:tcPr>
          <w:p w14:paraId="6D8ED351">
            <w:pPr>
              <w:rPr>
                <w:color w:val="auto"/>
              </w:rPr>
            </w:pPr>
          </w:p>
        </w:tc>
      </w:tr>
      <w:tr w14:paraId="47970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583" w:type="dxa"/>
          </w:tcPr>
          <w:p w14:paraId="36E09604">
            <w:pPr>
              <w:spacing w:before="165" w:line="183" w:lineRule="auto"/>
              <w:ind w:left="242"/>
              <w:rPr>
                <w:rFonts w:ascii="Times New Roman" w:hAnsi="Times New Roman" w:eastAsia="Times New Roman" w:cs="Times New Roman"/>
                <w:color w:val="auto"/>
              </w:rPr>
            </w:pPr>
            <w:r>
              <w:rPr>
                <w:rFonts w:ascii="Times New Roman" w:hAnsi="Times New Roman" w:eastAsia="Times New Roman" w:cs="Times New Roman"/>
                <w:color w:val="auto"/>
              </w:rPr>
              <w:t>5</w:t>
            </w:r>
          </w:p>
        </w:tc>
        <w:tc>
          <w:tcPr>
            <w:tcW w:w="1341" w:type="dxa"/>
          </w:tcPr>
          <w:p w14:paraId="118D8982">
            <w:pPr>
              <w:rPr>
                <w:color w:val="auto"/>
              </w:rPr>
            </w:pPr>
          </w:p>
        </w:tc>
        <w:tc>
          <w:tcPr>
            <w:tcW w:w="704" w:type="dxa"/>
          </w:tcPr>
          <w:p w14:paraId="4C647203">
            <w:pPr>
              <w:rPr>
                <w:color w:val="auto"/>
              </w:rPr>
            </w:pPr>
          </w:p>
        </w:tc>
        <w:tc>
          <w:tcPr>
            <w:tcW w:w="1000" w:type="dxa"/>
          </w:tcPr>
          <w:p w14:paraId="52E2BF87">
            <w:pPr>
              <w:rPr>
                <w:color w:val="auto"/>
              </w:rPr>
            </w:pPr>
          </w:p>
        </w:tc>
        <w:tc>
          <w:tcPr>
            <w:tcW w:w="741" w:type="dxa"/>
          </w:tcPr>
          <w:p w14:paraId="5707F336">
            <w:pPr>
              <w:rPr>
                <w:color w:val="auto"/>
              </w:rPr>
            </w:pPr>
          </w:p>
        </w:tc>
        <w:tc>
          <w:tcPr>
            <w:tcW w:w="952" w:type="dxa"/>
            <w:vMerge w:val="continue"/>
            <w:tcBorders>
              <w:top w:val="nil"/>
              <w:bottom w:val="nil"/>
            </w:tcBorders>
          </w:tcPr>
          <w:p w14:paraId="7DEAD2EB">
            <w:pPr>
              <w:rPr>
                <w:color w:val="auto"/>
              </w:rPr>
            </w:pPr>
          </w:p>
        </w:tc>
        <w:tc>
          <w:tcPr>
            <w:tcW w:w="846" w:type="dxa"/>
          </w:tcPr>
          <w:p w14:paraId="3A3F667C">
            <w:pPr>
              <w:rPr>
                <w:color w:val="auto"/>
              </w:rPr>
            </w:pPr>
          </w:p>
        </w:tc>
        <w:tc>
          <w:tcPr>
            <w:tcW w:w="1041" w:type="dxa"/>
          </w:tcPr>
          <w:p w14:paraId="713CD441">
            <w:pPr>
              <w:rPr>
                <w:color w:val="auto"/>
              </w:rPr>
            </w:pPr>
          </w:p>
        </w:tc>
        <w:tc>
          <w:tcPr>
            <w:tcW w:w="1306" w:type="dxa"/>
          </w:tcPr>
          <w:p w14:paraId="10B0B3BE">
            <w:pPr>
              <w:rPr>
                <w:color w:val="auto"/>
              </w:rPr>
            </w:pPr>
          </w:p>
        </w:tc>
      </w:tr>
      <w:tr w14:paraId="4D119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583" w:type="dxa"/>
          </w:tcPr>
          <w:p w14:paraId="79C7DA78">
            <w:pPr>
              <w:spacing w:before="167" w:line="186" w:lineRule="auto"/>
              <w:ind w:left="241"/>
              <w:rPr>
                <w:rFonts w:ascii="Times New Roman" w:hAnsi="Times New Roman" w:eastAsia="Times New Roman" w:cs="Times New Roman"/>
                <w:color w:val="auto"/>
              </w:rPr>
            </w:pPr>
            <w:r>
              <w:rPr>
                <w:rFonts w:ascii="Times New Roman" w:hAnsi="Times New Roman" w:eastAsia="Times New Roman" w:cs="Times New Roman"/>
                <w:color w:val="auto"/>
              </w:rPr>
              <w:t>6</w:t>
            </w:r>
          </w:p>
        </w:tc>
        <w:tc>
          <w:tcPr>
            <w:tcW w:w="1341" w:type="dxa"/>
          </w:tcPr>
          <w:p w14:paraId="250890B8">
            <w:pPr>
              <w:rPr>
                <w:color w:val="auto"/>
              </w:rPr>
            </w:pPr>
          </w:p>
        </w:tc>
        <w:tc>
          <w:tcPr>
            <w:tcW w:w="704" w:type="dxa"/>
          </w:tcPr>
          <w:p w14:paraId="441DBD46">
            <w:pPr>
              <w:rPr>
                <w:color w:val="auto"/>
              </w:rPr>
            </w:pPr>
          </w:p>
        </w:tc>
        <w:tc>
          <w:tcPr>
            <w:tcW w:w="1000" w:type="dxa"/>
          </w:tcPr>
          <w:p w14:paraId="24F4F7FD">
            <w:pPr>
              <w:rPr>
                <w:color w:val="auto"/>
              </w:rPr>
            </w:pPr>
          </w:p>
        </w:tc>
        <w:tc>
          <w:tcPr>
            <w:tcW w:w="741" w:type="dxa"/>
          </w:tcPr>
          <w:p w14:paraId="62F1599E">
            <w:pPr>
              <w:rPr>
                <w:color w:val="auto"/>
              </w:rPr>
            </w:pPr>
          </w:p>
        </w:tc>
        <w:tc>
          <w:tcPr>
            <w:tcW w:w="952" w:type="dxa"/>
            <w:vMerge w:val="continue"/>
            <w:tcBorders>
              <w:top w:val="nil"/>
              <w:bottom w:val="nil"/>
            </w:tcBorders>
          </w:tcPr>
          <w:p w14:paraId="31929AF7">
            <w:pPr>
              <w:rPr>
                <w:color w:val="auto"/>
              </w:rPr>
            </w:pPr>
          </w:p>
        </w:tc>
        <w:tc>
          <w:tcPr>
            <w:tcW w:w="846" w:type="dxa"/>
          </w:tcPr>
          <w:p w14:paraId="2A47D905">
            <w:pPr>
              <w:rPr>
                <w:color w:val="auto"/>
              </w:rPr>
            </w:pPr>
          </w:p>
        </w:tc>
        <w:tc>
          <w:tcPr>
            <w:tcW w:w="1041" w:type="dxa"/>
          </w:tcPr>
          <w:p w14:paraId="0BD6975D">
            <w:pPr>
              <w:rPr>
                <w:color w:val="auto"/>
              </w:rPr>
            </w:pPr>
          </w:p>
        </w:tc>
        <w:tc>
          <w:tcPr>
            <w:tcW w:w="1306" w:type="dxa"/>
          </w:tcPr>
          <w:p w14:paraId="2C6717FF">
            <w:pPr>
              <w:rPr>
                <w:color w:val="auto"/>
              </w:rPr>
            </w:pPr>
          </w:p>
        </w:tc>
      </w:tr>
      <w:tr w14:paraId="13F73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583" w:type="dxa"/>
          </w:tcPr>
          <w:p w14:paraId="33628DCE">
            <w:pPr>
              <w:pStyle w:val="21"/>
              <w:spacing w:before="132" w:line="325" w:lineRule="exact"/>
              <w:ind w:left="200"/>
              <w:rPr>
                <w:color w:val="auto"/>
              </w:rPr>
            </w:pPr>
            <w:r>
              <w:rPr>
                <w:color w:val="auto"/>
                <w:position w:val="2"/>
              </w:rPr>
              <w:t>…</w:t>
            </w:r>
          </w:p>
        </w:tc>
        <w:tc>
          <w:tcPr>
            <w:tcW w:w="1341" w:type="dxa"/>
          </w:tcPr>
          <w:p w14:paraId="4142F9F5">
            <w:pPr>
              <w:rPr>
                <w:color w:val="auto"/>
              </w:rPr>
            </w:pPr>
          </w:p>
        </w:tc>
        <w:tc>
          <w:tcPr>
            <w:tcW w:w="704" w:type="dxa"/>
          </w:tcPr>
          <w:p w14:paraId="31D231F0">
            <w:pPr>
              <w:rPr>
                <w:color w:val="auto"/>
              </w:rPr>
            </w:pPr>
          </w:p>
        </w:tc>
        <w:tc>
          <w:tcPr>
            <w:tcW w:w="1000" w:type="dxa"/>
          </w:tcPr>
          <w:p w14:paraId="732B01DF">
            <w:pPr>
              <w:rPr>
                <w:color w:val="auto"/>
              </w:rPr>
            </w:pPr>
          </w:p>
        </w:tc>
        <w:tc>
          <w:tcPr>
            <w:tcW w:w="741" w:type="dxa"/>
          </w:tcPr>
          <w:p w14:paraId="7D2E6180">
            <w:pPr>
              <w:rPr>
                <w:color w:val="auto"/>
              </w:rPr>
            </w:pPr>
          </w:p>
        </w:tc>
        <w:tc>
          <w:tcPr>
            <w:tcW w:w="952" w:type="dxa"/>
            <w:vMerge w:val="continue"/>
            <w:tcBorders>
              <w:top w:val="nil"/>
            </w:tcBorders>
          </w:tcPr>
          <w:p w14:paraId="4B1ADE8B">
            <w:pPr>
              <w:rPr>
                <w:color w:val="auto"/>
              </w:rPr>
            </w:pPr>
          </w:p>
        </w:tc>
        <w:tc>
          <w:tcPr>
            <w:tcW w:w="846" w:type="dxa"/>
          </w:tcPr>
          <w:p w14:paraId="054E3A59">
            <w:pPr>
              <w:rPr>
                <w:color w:val="auto"/>
              </w:rPr>
            </w:pPr>
          </w:p>
        </w:tc>
        <w:tc>
          <w:tcPr>
            <w:tcW w:w="1041" w:type="dxa"/>
          </w:tcPr>
          <w:p w14:paraId="7F922FF0">
            <w:pPr>
              <w:rPr>
                <w:color w:val="auto"/>
              </w:rPr>
            </w:pPr>
          </w:p>
        </w:tc>
        <w:tc>
          <w:tcPr>
            <w:tcW w:w="1306" w:type="dxa"/>
          </w:tcPr>
          <w:p w14:paraId="3D0183F3">
            <w:pPr>
              <w:rPr>
                <w:color w:val="auto"/>
              </w:rPr>
            </w:pPr>
          </w:p>
        </w:tc>
      </w:tr>
      <w:tr w14:paraId="7E4B4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7" w:hRule="atLeast"/>
        </w:trPr>
        <w:tc>
          <w:tcPr>
            <w:tcW w:w="8514" w:type="dxa"/>
            <w:gridSpan w:val="9"/>
          </w:tcPr>
          <w:p w14:paraId="48E75797">
            <w:pPr>
              <w:pStyle w:val="21"/>
              <w:spacing w:before="276" w:line="221" w:lineRule="auto"/>
              <w:ind w:left="112"/>
              <w:rPr>
                <w:color w:val="auto"/>
              </w:rPr>
            </w:pPr>
            <w:r>
              <w:rPr>
                <w:color w:val="auto"/>
                <w:spacing w:val="-7"/>
              </w:rPr>
              <w:t>经济标评委签名：</w:t>
            </w:r>
          </w:p>
        </w:tc>
      </w:tr>
    </w:tbl>
    <w:p w14:paraId="06359E0F">
      <w:pPr>
        <w:spacing w:before="33" w:line="220" w:lineRule="auto"/>
        <w:ind w:left="6985"/>
        <w:rPr>
          <w:rFonts w:ascii="宋体" w:hAnsi="宋体" w:eastAsia="宋体" w:cs="宋体"/>
          <w:color w:val="auto"/>
        </w:rPr>
      </w:pPr>
      <w:r>
        <w:rPr>
          <w:rFonts w:ascii="宋体" w:hAnsi="宋体" w:eastAsia="宋体" w:cs="宋体"/>
          <w:color w:val="auto"/>
          <w:spacing w:val="-13"/>
        </w:rPr>
        <w:t>日期：      年月日</w:t>
      </w:r>
    </w:p>
    <w:p w14:paraId="7F1CEED6">
      <w:pPr>
        <w:spacing w:line="220" w:lineRule="auto"/>
        <w:rPr>
          <w:rFonts w:ascii="宋体" w:hAnsi="宋体" w:eastAsia="宋体" w:cs="宋体"/>
          <w:color w:val="auto"/>
        </w:rPr>
        <w:sectPr>
          <w:headerReference r:id="rId93" w:type="default"/>
          <w:footerReference r:id="rId94" w:type="default"/>
          <w:pgSz w:w="11906" w:h="16839"/>
          <w:pgMar w:top="400" w:right="0" w:bottom="938" w:left="105" w:header="0" w:footer="669" w:gutter="0"/>
          <w:cols w:space="720" w:num="1"/>
        </w:sectPr>
      </w:pPr>
    </w:p>
    <w:p w14:paraId="720F0A2F">
      <w:pPr>
        <w:pStyle w:val="8"/>
        <w:spacing w:line="261" w:lineRule="auto"/>
      </w:pPr>
    </w:p>
    <w:p w14:paraId="61F28F29">
      <w:pPr>
        <w:pStyle w:val="8"/>
        <w:spacing w:line="261" w:lineRule="auto"/>
      </w:pPr>
    </w:p>
    <w:p w14:paraId="725C18AD">
      <w:pPr>
        <w:pStyle w:val="8"/>
        <w:spacing w:line="262" w:lineRule="auto"/>
      </w:pPr>
    </w:p>
    <w:p w14:paraId="1B684EFB">
      <w:pPr>
        <w:pStyle w:val="8"/>
        <w:spacing w:line="262" w:lineRule="auto"/>
      </w:pPr>
    </w:p>
    <w:p w14:paraId="37DE032A">
      <w:pPr>
        <w:pStyle w:val="8"/>
        <w:spacing w:line="262" w:lineRule="auto"/>
      </w:pPr>
    </w:p>
    <w:p w14:paraId="20FADB67">
      <w:pPr>
        <w:spacing w:before="78" w:line="222" w:lineRule="auto"/>
        <w:ind w:left="1831"/>
        <w:outlineLvl w:val="2"/>
        <w:rPr>
          <w:rFonts w:ascii="黑体" w:hAnsi="黑体" w:eastAsia="黑体" w:cs="黑体"/>
          <w:color w:val="auto"/>
          <w:sz w:val="24"/>
          <w:szCs w:val="24"/>
          <w:lang w:eastAsia="zh-CN"/>
        </w:rPr>
      </w:pPr>
      <w:bookmarkStart w:id="338" w:name="bookmark255"/>
      <w:bookmarkEnd w:id="338"/>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A-11</w:t>
      </w:r>
      <w:r>
        <w:rPr>
          <w:rFonts w:ascii="黑体" w:hAnsi="黑体" w:eastAsia="黑体" w:cs="黑体"/>
          <w:color w:val="auto"/>
          <w:spacing w:val="-3"/>
          <w:sz w:val="24"/>
          <w:szCs w:val="24"/>
          <w:lang w:eastAsia="zh-CN"/>
        </w:rPr>
        <w:t>：技术标评审记录表</w:t>
      </w:r>
    </w:p>
    <w:p w14:paraId="513F6AFE">
      <w:pPr>
        <w:spacing w:before="280" w:line="222" w:lineRule="auto"/>
        <w:ind w:left="6887"/>
        <w:rPr>
          <w:rFonts w:ascii="黑体" w:hAnsi="黑体" w:eastAsia="黑体" w:cs="黑体"/>
          <w:color w:val="auto"/>
          <w:sz w:val="36"/>
          <w:szCs w:val="36"/>
          <w:lang w:eastAsia="zh-CN"/>
        </w:rPr>
      </w:pPr>
      <w:bookmarkStart w:id="339" w:name="bookmark137"/>
      <w:bookmarkEnd w:id="339"/>
      <w:r>
        <w:rPr>
          <w:rFonts w:ascii="黑体" w:hAnsi="黑体" w:eastAsia="黑体" w:cs="黑体"/>
          <w:color w:val="auto"/>
          <w:spacing w:val="-2"/>
          <w:sz w:val="36"/>
          <w:szCs w:val="36"/>
          <w:lang w:eastAsia="zh-CN"/>
        </w:rPr>
        <w:t>技术标评审记录表</w:t>
      </w:r>
    </w:p>
    <w:p w14:paraId="6B0CADFD">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31DA4140">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13750" w:type="dxa"/>
        <w:tblInd w:w="14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9"/>
        <w:gridCol w:w="1789"/>
        <w:gridCol w:w="1340"/>
        <w:gridCol w:w="1341"/>
        <w:gridCol w:w="1341"/>
        <w:gridCol w:w="1340"/>
        <w:gridCol w:w="1341"/>
        <w:gridCol w:w="1341"/>
        <w:gridCol w:w="1350"/>
        <w:gridCol w:w="1778"/>
      </w:tblGrid>
      <w:tr w14:paraId="47CA3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89" w:type="dxa"/>
            <w:vMerge w:val="restart"/>
            <w:tcBorders>
              <w:bottom w:val="nil"/>
            </w:tcBorders>
          </w:tcPr>
          <w:p w14:paraId="3F561183">
            <w:pPr>
              <w:spacing w:line="242" w:lineRule="auto"/>
              <w:rPr>
                <w:color w:val="auto"/>
              </w:rPr>
            </w:pPr>
          </w:p>
          <w:p w14:paraId="44B18267">
            <w:pPr>
              <w:pStyle w:val="21"/>
              <w:spacing w:before="68" w:line="222" w:lineRule="auto"/>
              <w:ind w:left="184"/>
              <w:rPr>
                <w:color w:val="auto"/>
              </w:rPr>
            </w:pPr>
            <w:r>
              <w:rPr>
                <w:b/>
                <w:bCs/>
                <w:color w:val="auto"/>
                <w:spacing w:val="-6"/>
              </w:rPr>
              <w:t>序号</w:t>
            </w:r>
          </w:p>
        </w:tc>
        <w:tc>
          <w:tcPr>
            <w:tcW w:w="1789" w:type="dxa"/>
            <w:vMerge w:val="restart"/>
            <w:tcBorders>
              <w:bottom w:val="nil"/>
            </w:tcBorders>
          </w:tcPr>
          <w:p w14:paraId="72C1A3F1">
            <w:pPr>
              <w:spacing w:line="242" w:lineRule="auto"/>
              <w:rPr>
                <w:color w:val="auto"/>
              </w:rPr>
            </w:pPr>
          </w:p>
          <w:p w14:paraId="58AD42EB">
            <w:pPr>
              <w:pStyle w:val="21"/>
              <w:spacing w:before="69" w:line="221" w:lineRule="auto"/>
              <w:ind w:left="369"/>
              <w:rPr>
                <w:color w:val="auto"/>
              </w:rPr>
            </w:pPr>
            <w:r>
              <w:rPr>
                <w:b/>
                <w:bCs/>
                <w:color w:val="auto"/>
                <w:spacing w:val="-4"/>
              </w:rPr>
              <w:t>投标人名称</w:t>
            </w:r>
          </w:p>
        </w:tc>
        <w:tc>
          <w:tcPr>
            <w:tcW w:w="9394" w:type="dxa"/>
            <w:gridSpan w:val="7"/>
          </w:tcPr>
          <w:p w14:paraId="53F42701">
            <w:pPr>
              <w:pStyle w:val="21"/>
              <w:spacing w:before="102" w:line="220" w:lineRule="auto"/>
              <w:ind w:left="3961"/>
              <w:rPr>
                <w:color w:val="auto"/>
              </w:rPr>
            </w:pPr>
            <w:r>
              <w:rPr>
                <w:b/>
                <w:bCs/>
                <w:color w:val="auto"/>
                <w:spacing w:val="-3"/>
              </w:rPr>
              <w:t>评委姓名及得分</w:t>
            </w:r>
          </w:p>
        </w:tc>
        <w:tc>
          <w:tcPr>
            <w:tcW w:w="1778" w:type="dxa"/>
            <w:vMerge w:val="restart"/>
            <w:tcBorders>
              <w:bottom w:val="nil"/>
            </w:tcBorders>
          </w:tcPr>
          <w:p w14:paraId="1362A565">
            <w:pPr>
              <w:spacing w:line="243" w:lineRule="auto"/>
              <w:rPr>
                <w:color w:val="auto"/>
              </w:rPr>
            </w:pPr>
          </w:p>
          <w:p w14:paraId="6E265CDB">
            <w:pPr>
              <w:pStyle w:val="21"/>
              <w:spacing w:before="68" w:line="220" w:lineRule="auto"/>
              <w:ind w:left="157"/>
              <w:rPr>
                <w:color w:val="auto"/>
              </w:rPr>
            </w:pPr>
            <w:r>
              <w:rPr>
                <w:b/>
                <w:bCs/>
                <w:color w:val="auto"/>
                <w:spacing w:val="-3"/>
              </w:rPr>
              <w:t>技术标最终得分</w:t>
            </w:r>
          </w:p>
        </w:tc>
      </w:tr>
      <w:tr w14:paraId="6089B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789" w:type="dxa"/>
            <w:vMerge w:val="continue"/>
            <w:tcBorders>
              <w:top w:val="nil"/>
            </w:tcBorders>
          </w:tcPr>
          <w:p w14:paraId="5E345D54">
            <w:pPr>
              <w:rPr>
                <w:color w:val="auto"/>
              </w:rPr>
            </w:pPr>
          </w:p>
        </w:tc>
        <w:tc>
          <w:tcPr>
            <w:tcW w:w="1789" w:type="dxa"/>
            <w:vMerge w:val="continue"/>
            <w:tcBorders>
              <w:top w:val="nil"/>
            </w:tcBorders>
          </w:tcPr>
          <w:p w14:paraId="232FD93F">
            <w:pPr>
              <w:rPr>
                <w:color w:val="auto"/>
              </w:rPr>
            </w:pPr>
          </w:p>
        </w:tc>
        <w:tc>
          <w:tcPr>
            <w:tcW w:w="1340" w:type="dxa"/>
          </w:tcPr>
          <w:p w14:paraId="7B04C629">
            <w:pPr>
              <w:pStyle w:val="21"/>
              <w:spacing w:before="98" w:line="221" w:lineRule="auto"/>
              <w:ind w:left="379"/>
              <w:rPr>
                <w:color w:val="auto"/>
              </w:rPr>
            </w:pPr>
            <w:r>
              <w:rPr>
                <w:b/>
                <w:bCs/>
                <w:color w:val="auto"/>
                <w:spacing w:val="-5"/>
              </w:rPr>
              <w:t>评委1</w:t>
            </w:r>
          </w:p>
        </w:tc>
        <w:tc>
          <w:tcPr>
            <w:tcW w:w="1341" w:type="dxa"/>
          </w:tcPr>
          <w:p w14:paraId="5F5249D6">
            <w:pPr>
              <w:pStyle w:val="21"/>
              <w:spacing w:before="98" w:line="221" w:lineRule="auto"/>
              <w:ind w:left="381"/>
              <w:rPr>
                <w:color w:val="auto"/>
              </w:rPr>
            </w:pPr>
            <w:r>
              <w:rPr>
                <w:b/>
                <w:bCs/>
                <w:color w:val="auto"/>
                <w:spacing w:val="-5"/>
              </w:rPr>
              <w:t>评委2</w:t>
            </w:r>
          </w:p>
        </w:tc>
        <w:tc>
          <w:tcPr>
            <w:tcW w:w="1341" w:type="dxa"/>
          </w:tcPr>
          <w:p w14:paraId="74D8329A">
            <w:pPr>
              <w:pStyle w:val="21"/>
              <w:spacing w:before="98" w:line="302" w:lineRule="exact"/>
              <w:ind w:left="475"/>
              <w:rPr>
                <w:color w:val="auto"/>
              </w:rPr>
            </w:pPr>
            <w:r>
              <w:rPr>
                <w:b/>
                <w:bCs/>
                <w:color w:val="auto"/>
                <w:spacing w:val="-13"/>
                <w:position w:val="1"/>
              </w:rPr>
              <w:t>……</w:t>
            </w:r>
          </w:p>
        </w:tc>
        <w:tc>
          <w:tcPr>
            <w:tcW w:w="1340" w:type="dxa"/>
          </w:tcPr>
          <w:p w14:paraId="095D408E">
            <w:pPr>
              <w:rPr>
                <w:color w:val="auto"/>
              </w:rPr>
            </w:pPr>
          </w:p>
        </w:tc>
        <w:tc>
          <w:tcPr>
            <w:tcW w:w="1341" w:type="dxa"/>
          </w:tcPr>
          <w:p w14:paraId="764BDC3D">
            <w:pPr>
              <w:rPr>
                <w:color w:val="auto"/>
              </w:rPr>
            </w:pPr>
          </w:p>
        </w:tc>
        <w:tc>
          <w:tcPr>
            <w:tcW w:w="1341" w:type="dxa"/>
          </w:tcPr>
          <w:p w14:paraId="64FEE76F">
            <w:pPr>
              <w:rPr>
                <w:color w:val="auto"/>
              </w:rPr>
            </w:pPr>
          </w:p>
        </w:tc>
        <w:tc>
          <w:tcPr>
            <w:tcW w:w="1350" w:type="dxa"/>
          </w:tcPr>
          <w:p w14:paraId="5A9AD712">
            <w:pPr>
              <w:rPr>
                <w:color w:val="auto"/>
              </w:rPr>
            </w:pPr>
          </w:p>
        </w:tc>
        <w:tc>
          <w:tcPr>
            <w:tcW w:w="1778" w:type="dxa"/>
            <w:vMerge w:val="continue"/>
            <w:tcBorders>
              <w:top w:val="nil"/>
            </w:tcBorders>
          </w:tcPr>
          <w:p w14:paraId="2EF87F60">
            <w:pPr>
              <w:rPr>
                <w:color w:val="auto"/>
              </w:rPr>
            </w:pPr>
          </w:p>
        </w:tc>
      </w:tr>
      <w:tr w14:paraId="35317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67461A20">
            <w:pPr>
              <w:pStyle w:val="21"/>
              <w:spacing w:before="171" w:line="242" w:lineRule="auto"/>
              <w:ind w:left="358"/>
              <w:rPr>
                <w:color w:val="auto"/>
              </w:rPr>
            </w:pPr>
            <w:r>
              <w:rPr>
                <w:color w:val="auto"/>
              </w:rPr>
              <w:t>1</w:t>
            </w:r>
          </w:p>
        </w:tc>
        <w:tc>
          <w:tcPr>
            <w:tcW w:w="1789" w:type="dxa"/>
          </w:tcPr>
          <w:p w14:paraId="26B772DB">
            <w:pPr>
              <w:rPr>
                <w:color w:val="auto"/>
              </w:rPr>
            </w:pPr>
          </w:p>
        </w:tc>
        <w:tc>
          <w:tcPr>
            <w:tcW w:w="1340" w:type="dxa"/>
          </w:tcPr>
          <w:p w14:paraId="1923F5A8">
            <w:pPr>
              <w:rPr>
                <w:color w:val="auto"/>
              </w:rPr>
            </w:pPr>
          </w:p>
        </w:tc>
        <w:tc>
          <w:tcPr>
            <w:tcW w:w="1341" w:type="dxa"/>
          </w:tcPr>
          <w:p w14:paraId="6B4C3B2B">
            <w:pPr>
              <w:rPr>
                <w:color w:val="auto"/>
              </w:rPr>
            </w:pPr>
          </w:p>
        </w:tc>
        <w:tc>
          <w:tcPr>
            <w:tcW w:w="1341" w:type="dxa"/>
          </w:tcPr>
          <w:p w14:paraId="42CC00D4">
            <w:pPr>
              <w:rPr>
                <w:color w:val="auto"/>
              </w:rPr>
            </w:pPr>
          </w:p>
        </w:tc>
        <w:tc>
          <w:tcPr>
            <w:tcW w:w="1340" w:type="dxa"/>
          </w:tcPr>
          <w:p w14:paraId="70A5B1AB">
            <w:pPr>
              <w:rPr>
                <w:color w:val="auto"/>
              </w:rPr>
            </w:pPr>
          </w:p>
        </w:tc>
        <w:tc>
          <w:tcPr>
            <w:tcW w:w="1341" w:type="dxa"/>
          </w:tcPr>
          <w:p w14:paraId="71DECF0C">
            <w:pPr>
              <w:rPr>
                <w:color w:val="auto"/>
              </w:rPr>
            </w:pPr>
          </w:p>
        </w:tc>
        <w:tc>
          <w:tcPr>
            <w:tcW w:w="1341" w:type="dxa"/>
          </w:tcPr>
          <w:p w14:paraId="5094D3DA">
            <w:pPr>
              <w:rPr>
                <w:color w:val="auto"/>
              </w:rPr>
            </w:pPr>
          </w:p>
        </w:tc>
        <w:tc>
          <w:tcPr>
            <w:tcW w:w="1350" w:type="dxa"/>
          </w:tcPr>
          <w:p w14:paraId="0E09A634">
            <w:pPr>
              <w:rPr>
                <w:color w:val="auto"/>
              </w:rPr>
            </w:pPr>
          </w:p>
        </w:tc>
        <w:tc>
          <w:tcPr>
            <w:tcW w:w="1778" w:type="dxa"/>
          </w:tcPr>
          <w:p w14:paraId="11B5D587">
            <w:pPr>
              <w:rPr>
                <w:color w:val="auto"/>
              </w:rPr>
            </w:pPr>
          </w:p>
        </w:tc>
      </w:tr>
      <w:tr w14:paraId="44435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1432DCC8">
            <w:pPr>
              <w:pStyle w:val="21"/>
              <w:spacing w:before="172" w:line="242" w:lineRule="auto"/>
              <w:ind w:left="345"/>
              <w:rPr>
                <w:color w:val="auto"/>
              </w:rPr>
            </w:pPr>
            <w:r>
              <w:rPr>
                <w:color w:val="auto"/>
              </w:rPr>
              <w:t>2</w:t>
            </w:r>
          </w:p>
        </w:tc>
        <w:tc>
          <w:tcPr>
            <w:tcW w:w="1789" w:type="dxa"/>
          </w:tcPr>
          <w:p w14:paraId="64FC4D77">
            <w:pPr>
              <w:rPr>
                <w:color w:val="auto"/>
              </w:rPr>
            </w:pPr>
          </w:p>
        </w:tc>
        <w:tc>
          <w:tcPr>
            <w:tcW w:w="1340" w:type="dxa"/>
          </w:tcPr>
          <w:p w14:paraId="58BA810F">
            <w:pPr>
              <w:rPr>
                <w:color w:val="auto"/>
              </w:rPr>
            </w:pPr>
          </w:p>
        </w:tc>
        <w:tc>
          <w:tcPr>
            <w:tcW w:w="1341" w:type="dxa"/>
          </w:tcPr>
          <w:p w14:paraId="2839CA3C">
            <w:pPr>
              <w:rPr>
                <w:color w:val="auto"/>
              </w:rPr>
            </w:pPr>
          </w:p>
        </w:tc>
        <w:tc>
          <w:tcPr>
            <w:tcW w:w="1341" w:type="dxa"/>
          </w:tcPr>
          <w:p w14:paraId="60DCF791">
            <w:pPr>
              <w:rPr>
                <w:color w:val="auto"/>
              </w:rPr>
            </w:pPr>
          </w:p>
        </w:tc>
        <w:tc>
          <w:tcPr>
            <w:tcW w:w="1340" w:type="dxa"/>
          </w:tcPr>
          <w:p w14:paraId="77E3A4AC">
            <w:pPr>
              <w:rPr>
                <w:color w:val="auto"/>
              </w:rPr>
            </w:pPr>
          </w:p>
        </w:tc>
        <w:tc>
          <w:tcPr>
            <w:tcW w:w="1341" w:type="dxa"/>
          </w:tcPr>
          <w:p w14:paraId="2A228B17">
            <w:pPr>
              <w:rPr>
                <w:color w:val="auto"/>
              </w:rPr>
            </w:pPr>
          </w:p>
        </w:tc>
        <w:tc>
          <w:tcPr>
            <w:tcW w:w="1341" w:type="dxa"/>
          </w:tcPr>
          <w:p w14:paraId="595AA3CD">
            <w:pPr>
              <w:rPr>
                <w:color w:val="auto"/>
              </w:rPr>
            </w:pPr>
          </w:p>
        </w:tc>
        <w:tc>
          <w:tcPr>
            <w:tcW w:w="1350" w:type="dxa"/>
          </w:tcPr>
          <w:p w14:paraId="44FC7457">
            <w:pPr>
              <w:rPr>
                <w:color w:val="auto"/>
              </w:rPr>
            </w:pPr>
          </w:p>
        </w:tc>
        <w:tc>
          <w:tcPr>
            <w:tcW w:w="1778" w:type="dxa"/>
          </w:tcPr>
          <w:p w14:paraId="6A1E621C">
            <w:pPr>
              <w:rPr>
                <w:color w:val="auto"/>
              </w:rPr>
            </w:pPr>
          </w:p>
        </w:tc>
      </w:tr>
      <w:tr w14:paraId="460B6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6FE4D964">
            <w:pPr>
              <w:pStyle w:val="21"/>
              <w:spacing w:before="174"/>
              <w:ind w:left="347"/>
              <w:rPr>
                <w:color w:val="auto"/>
              </w:rPr>
            </w:pPr>
            <w:r>
              <w:rPr>
                <w:color w:val="auto"/>
              </w:rPr>
              <w:t>3</w:t>
            </w:r>
          </w:p>
        </w:tc>
        <w:tc>
          <w:tcPr>
            <w:tcW w:w="1789" w:type="dxa"/>
          </w:tcPr>
          <w:p w14:paraId="38C9D732">
            <w:pPr>
              <w:rPr>
                <w:color w:val="auto"/>
              </w:rPr>
            </w:pPr>
          </w:p>
        </w:tc>
        <w:tc>
          <w:tcPr>
            <w:tcW w:w="1340" w:type="dxa"/>
          </w:tcPr>
          <w:p w14:paraId="781E5199">
            <w:pPr>
              <w:rPr>
                <w:color w:val="auto"/>
              </w:rPr>
            </w:pPr>
          </w:p>
        </w:tc>
        <w:tc>
          <w:tcPr>
            <w:tcW w:w="1341" w:type="dxa"/>
          </w:tcPr>
          <w:p w14:paraId="52B68FA4">
            <w:pPr>
              <w:rPr>
                <w:color w:val="auto"/>
              </w:rPr>
            </w:pPr>
          </w:p>
        </w:tc>
        <w:tc>
          <w:tcPr>
            <w:tcW w:w="1341" w:type="dxa"/>
          </w:tcPr>
          <w:p w14:paraId="007F81BE">
            <w:pPr>
              <w:rPr>
                <w:color w:val="auto"/>
              </w:rPr>
            </w:pPr>
          </w:p>
        </w:tc>
        <w:tc>
          <w:tcPr>
            <w:tcW w:w="1340" w:type="dxa"/>
          </w:tcPr>
          <w:p w14:paraId="0E098972">
            <w:pPr>
              <w:rPr>
                <w:color w:val="auto"/>
              </w:rPr>
            </w:pPr>
          </w:p>
        </w:tc>
        <w:tc>
          <w:tcPr>
            <w:tcW w:w="1341" w:type="dxa"/>
          </w:tcPr>
          <w:p w14:paraId="0F0BEE97">
            <w:pPr>
              <w:rPr>
                <w:color w:val="auto"/>
              </w:rPr>
            </w:pPr>
          </w:p>
        </w:tc>
        <w:tc>
          <w:tcPr>
            <w:tcW w:w="1341" w:type="dxa"/>
          </w:tcPr>
          <w:p w14:paraId="30176E04">
            <w:pPr>
              <w:rPr>
                <w:color w:val="auto"/>
              </w:rPr>
            </w:pPr>
          </w:p>
        </w:tc>
        <w:tc>
          <w:tcPr>
            <w:tcW w:w="1350" w:type="dxa"/>
          </w:tcPr>
          <w:p w14:paraId="296068BC">
            <w:pPr>
              <w:rPr>
                <w:color w:val="auto"/>
              </w:rPr>
            </w:pPr>
          </w:p>
        </w:tc>
        <w:tc>
          <w:tcPr>
            <w:tcW w:w="1778" w:type="dxa"/>
          </w:tcPr>
          <w:p w14:paraId="0B215340">
            <w:pPr>
              <w:rPr>
                <w:color w:val="auto"/>
              </w:rPr>
            </w:pPr>
          </w:p>
        </w:tc>
      </w:tr>
      <w:tr w14:paraId="40CAA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56074EFE">
            <w:pPr>
              <w:pStyle w:val="21"/>
              <w:spacing w:before="174" w:line="242" w:lineRule="auto"/>
              <w:ind w:left="342"/>
              <w:rPr>
                <w:color w:val="auto"/>
              </w:rPr>
            </w:pPr>
            <w:r>
              <w:rPr>
                <w:color w:val="auto"/>
              </w:rPr>
              <w:t>4</w:t>
            </w:r>
          </w:p>
        </w:tc>
        <w:tc>
          <w:tcPr>
            <w:tcW w:w="1789" w:type="dxa"/>
          </w:tcPr>
          <w:p w14:paraId="60F4023B">
            <w:pPr>
              <w:rPr>
                <w:color w:val="auto"/>
              </w:rPr>
            </w:pPr>
          </w:p>
        </w:tc>
        <w:tc>
          <w:tcPr>
            <w:tcW w:w="1340" w:type="dxa"/>
          </w:tcPr>
          <w:p w14:paraId="0B60416B">
            <w:pPr>
              <w:rPr>
                <w:color w:val="auto"/>
              </w:rPr>
            </w:pPr>
          </w:p>
        </w:tc>
        <w:tc>
          <w:tcPr>
            <w:tcW w:w="1341" w:type="dxa"/>
          </w:tcPr>
          <w:p w14:paraId="45A62E9B">
            <w:pPr>
              <w:rPr>
                <w:color w:val="auto"/>
              </w:rPr>
            </w:pPr>
          </w:p>
        </w:tc>
        <w:tc>
          <w:tcPr>
            <w:tcW w:w="1341" w:type="dxa"/>
          </w:tcPr>
          <w:p w14:paraId="01D0E60F">
            <w:pPr>
              <w:rPr>
                <w:color w:val="auto"/>
              </w:rPr>
            </w:pPr>
          </w:p>
        </w:tc>
        <w:tc>
          <w:tcPr>
            <w:tcW w:w="1340" w:type="dxa"/>
          </w:tcPr>
          <w:p w14:paraId="31FA5FCB">
            <w:pPr>
              <w:rPr>
                <w:color w:val="auto"/>
              </w:rPr>
            </w:pPr>
          </w:p>
        </w:tc>
        <w:tc>
          <w:tcPr>
            <w:tcW w:w="1341" w:type="dxa"/>
          </w:tcPr>
          <w:p w14:paraId="0792405A">
            <w:pPr>
              <w:rPr>
                <w:color w:val="auto"/>
              </w:rPr>
            </w:pPr>
          </w:p>
        </w:tc>
        <w:tc>
          <w:tcPr>
            <w:tcW w:w="1341" w:type="dxa"/>
          </w:tcPr>
          <w:p w14:paraId="68F5EFFF">
            <w:pPr>
              <w:rPr>
                <w:color w:val="auto"/>
              </w:rPr>
            </w:pPr>
          </w:p>
        </w:tc>
        <w:tc>
          <w:tcPr>
            <w:tcW w:w="1350" w:type="dxa"/>
          </w:tcPr>
          <w:p w14:paraId="6BC6E357">
            <w:pPr>
              <w:rPr>
                <w:color w:val="auto"/>
              </w:rPr>
            </w:pPr>
          </w:p>
        </w:tc>
        <w:tc>
          <w:tcPr>
            <w:tcW w:w="1778" w:type="dxa"/>
          </w:tcPr>
          <w:p w14:paraId="76AB1254">
            <w:pPr>
              <w:rPr>
                <w:color w:val="auto"/>
              </w:rPr>
            </w:pPr>
          </w:p>
        </w:tc>
      </w:tr>
      <w:tr w14:paraId="72C50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309A71F9">
            <w:pPr>
              <w:pStyle w:val="21"/>
              <w:spacing w:before="176"/>
              <w:ind w:left="347"/>
              <w:rPr>
                <w:color w:val="auto"/>
              </w:rPr>
            </w:pPr>
            <w:r>
              <w:rPr>
                <w:color w:val="auto"/>
              </w:rPr>
              <w:t>5</w:t>
            </w:r>
          </w:p>
        </w:tc>
        <w:tc>
          <w:tcPr>
            <w:tcW w:w="1789" w:type="dxa"/>
          </w:tcPr>
          <w:p w14:paraId="174E88C2">
            <w:pPr>
              <w:rPr>
                <w:color w:val="auto"/>
              </w:rPr>
            </w:pPr>
          </w:p>
        </w:tc>
        <w:tc>
          <w:tcPr>
            <w:tcW w:w="1340" w:type="dxa"/>
          </w:tcPr>
          <w:p w14:paraId="6B9E0CF0">
            <w:pPr>
              <w:rPr>
                <w:color w:val="auto"/>
              </w:rPr>
            </w:pPr>
          </w:p>
        </w:tc>
        <w:tc>
          <w:tcPr>
            <w:tcW w:w="1341" w:type="dxa"/>
          </w:tcPr>
          <w:p w14:paraId="64EB0996">
            <w:pPr>
              <w:rPr>
                <w:color w:val="auto"/>
              </w:rPr>
            </w:pPr>
          </w:p>
        </w:tc>
        <w:tc>
          <w:tcPr>
            <w:tcW w:w="1341" w:type="dxa"/>
          </w:tcPr>
          <w:p w14:paraId="3F918CC6">
            <w:pPr>
              <w:rPr>
                <w:color w:val="auto"/>
              </w:rPr>
            </w:pPr>
          </w:p>
        </w:tc>
        <w:tc>
          <w:tcPr>
            <w:tcW w:w="1340" w:type="dxa"/>
          </w:tcPr>
          <w:p w14:paraId="5300721F">
            <w:pPr>
              <w:rPr>
                <w:color w:val="auto"/>
              </w:rPr>
            </w:pPr>
          </w:p>
        </w:tc>
        <w:tc>
          <w:tcPr>
            <w:tcW w:w="1341" w:type="dxa"/>
          </w:tcPr>
          <w:p w14:paraId="1D72C8DA">
            <w:pPr>
              <w:rPr>
                <w:color w:val="auto"/>
              </w:rPr>
            </w:pPr>
          </w:p>
        </w:tc>
        <w:tc>
          <w:tcPr>
            <w:tcW w:w="1341" w:type="dxa"/>
          </w:tcPr>
          <w:p w14:paraId="37AE3BAD">
            <w:pPr>
              <w:rPr>
                <w:color w:val="auto"/>
              </w:rPr>
            </w:pPr>
          </w:p>
        </w:tc>
        <w:tc>
          <w:tcPr>
            <w:tcW w:w="1350" w:type="dxa"/>
          </w:tcPr>
          <w:p w14:paraId="277ECCC0">
            <w:pPr>
              <w:rPr>
                <w:color w:val="auto"/>
              </w:rPr>
            </w:pPr>
          </w:p>
        </w:tc>
        <w:tc>
          <w:tcPr>
            <w:tcW w:w="1778" w:type="dxa"/>
          </w:tcPr>
          <w:p w14:paraId="12B38F2C">
            <w:pPr>
              <w:rPr>
                <w:color w:val="auto"/>
              </w:rPr>
            </w:pPr>
          </w:p>
        </w:tc>
      </w:tr>
      <w:tr w14:paraId="3BDE1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6EEB9744">
            <w:pPr>
              <w:pStyle w:val="21"/>
              <w:spacing w:before="177"/>
              <w:ind w:left="344"/>
              <w:rPr>
                <w:color w:val="auto"/>
              </w:rPr>
            </w:pPr>
            <w:r>
              <w:rPr>
                <w:color w:val="auto"/>
              </w:rPr>
              <w:t>6</w:t>
            </w:r>
          </w:p>
        </w:tc>
        <w:tc>
          <w:tcPr>
            <w:tcW w:w="1789" w:type="dxa"/>
          </w:tcPr>
          <w:p w14:paraId="24C3F251">
            <w:pPr>
              <w:rPr>
                <w:color w:val="auto"/>
              </w:rPr>
            </w:pPr>
          </w:p>
        </w:tc>
        <w:tc>
          <w:tcPr>
            <w:tcW w:w="1340" w:type="dxa"/>
          </w:tcPr>
          <w:p w14:paraId="6207726A">
            <w:pPr>
              <w:rPr>
                <w:color w:val="auto"/>
              </w:rPr>
            </w:pPr>
          </w:p>
        </w:tc>
        <w:tc>
          <w:tcPr>
            <w:tcW w:w="1341" w:type="dxa"/>
          </w:tcPr>
          <w:p w14:paraId="2BB5B84B">
            <w:pPr>
              <w:rPr>
                <w:color w:val="auto"/>
              </w:rPr>
            </w:pPr>
          </w:p>
        </w:tc>
        <w:tc>
          <w:tcPr>
            <w:tcW w:w="1341" w:type="dxa"/>
          </w:tcPr>
          <w:p w14:paraId="318F31CC">
            <w:pPr>
              <w:rPr>
                <w:color w:val="auto"/>
              </w:rPr>
            </w:pPr>
          </w:p>
        </w:tc>
        <w:tc>
          <w:tcPr>
            <w:tcW w:w="1340" w:type="dxa"/>
          </w:tcPr>
          <w:p w14:paraId="534B3BB2">
            <w:pPr>
              <w:rPr>
                <w:color w:val="auto"/>
              </w:rPr>
            </w:pPr>
          </w:p>
        </w:tc>
        <w:tc>
          <w:tcPr>
            <w:tcW w:w="1341" w:type="dxa"/>
          </w:tcPr>
          <w:p w14:paraId="52F306AF">
            <w:pPr>
              <w:rPr>
                <w:color w:val="auto"/>
              </w:rPr>
            </w:pPr>
          </w:p>
        </w:tc>
        <w:tc>
          <w:tcPr>
            <w:tcW w:w="1341" w:type="dxa"/>
          </w:tcPr>
          <w:p w14:paraId="3A193242">
            <w:pPr>
              <w:rPr>
                <w:color w:val="auto"/>
              </w:rPr>
            </w:pPr>
          </w:p>
        </w:tc>
        <w:tc>
          <w:tcPr>
            <w:tcW w:w="1350" w:type="dxa"/>
          </w:tcPr>
          <w:p w14:paraId="1D2870CC">
            <w:pPr>
              <w:rPr>
                <w:color w:val="auto"/>
              </w:rPr>
            </w:pPr>
          </w:p>
        </w:tc>
        <w:tc>
          <w:tcPr>
            <w:tcW w:w="1778" w:type="dxa"/>
          </w:tcPr>
          <w:p w14:paraId="128AEA44">
            <w:pPr>
              <w:rPr>
                <w:color w:val="auto"/>
              </w:rPr>
            </w:pPr>
          </w:p>
        </w:tc>
      </w:tr>
      <w:tr w14:paraId="5F84D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789" w:type="dxa"/>
          </w:tcPr>
          <w:p w14:paraId="6A5046EC">
            <w:pPr>
              <w:pStyle w:val="21"/>
              <w:spacing w:before="177" w:line="332" w:lineRule="exact"/>
              <w:ind w:left="198"/>
              <w:rPr>
                <w:color w:val="auto"/>
              </w:rPr>
            </w:pPr>
            <w:r>
              <w:rPr>
                <w:color w:val="auto"/>
                <w:spacing w:val="-6"/>
                <w:position w:val="2"/>
              </w:rPr>
              <w:t>……</w:t>
            </w:r>
          </w:p>
        </w:tc>
        <w:tc>
          <w:tcPr>
            <w:tcW w:w="1789" w:type="dxa"/>
          </w:tcPr>
          <w:p w14:paraId="21EC63F0">
            <w:pPr>
              <w:rPr>
                <w:color w:val="auto"/>
              </w:rPr>
            </w:pPr>
          </w:p>
        </w:tc>
        <w:tc>
          <w:tcPr>
            <w:tcW w:w="1340" w:type="dxa"/>
          </w:tcPr>
          <w:p w14:paraId="210A84C5">
            <w:pPr>
              <w:rPr>
                <w:color w:val="auto"/>
              </w:rPr>
            </w:pPr>
          </w:p>
        </w:tc>
        <w:tc>
          <w:tcPr>
            <w:tcW w:w="1341" w:type="dxa"/>
          </w:tcPr>
          <w:p w14:paraId="2B286961">
            <w:pPr>
              <w:rPr>
                <w:color w:val="auto"/>
              </w:rPr>
            </w:pPr>
          </w:p>
        </w:tc>
        <w:tc>
          <w:tcPr>
            <w:tcW w:w="1341" w:type="dxa"/>
          </w:tcPr>
          <w:p w14:paraId="4E3D7BE7">
            <w:pPr>
              <w:rPr>
                <w:color w:val="auto"/>
              </w:rPr>
            </w:pPr>
          </w:p>
        </w:tc>
        <w:tc>
          <w:tcPr>
            <w:tcW w:w="1340" w:type="dxa"/>
          </w:tcPr>
          <w:p w14:paraId="59319410">
            <w:pPr>
              <w:rPr>
                <w:color w:val="auto"/>
              </w:rPr>
            </w:pPr>
          </w:p>
        </w:tc>
        <w:tc>
          <w:tcPr>
            <w:tcW w:w="1341" w:type="dxa"/>
          </w:tcPr>
          <w:p w14:paraId="092700F2">
            <w:pPr>
              <w:rPr>
                <w:color w:val="auto"/>
              </w:rPr>
            </w:pPr>
          </w:p>
        </w:tc>
        <w:tc>
          <w:tcPr>
            <w:tcW w:w="1341" w:type="dxa"/>
          </w:tcPr>
          <w:p w14:paraId="0DF8404F">
            <w:pPr>
              <w:rPr>
                <w:color w:val="auto"/>
              </w:rPr>
            </w:pPr>
          </w:p>
        </w:tc>
        <w:tc>
          <w:tcPr>
            <w:tcW w:w="1350" w:type="dxa"/>
          </w:tcPr>
          <w:p w14:paraId="6E31B979">
            <w:pPr>
              <w:rPr>
                <w:color w:val="auto"/>
              </w:rPr>
            </w:pPr>
          </w:p>
        </w:tc>
        <w:tc>
          <w:tcPr>
            <w:tcW w:w="1778" w:type="dxa"/>
          </w:tcPr>
          <w:p w14:paraId="5EF2CC9B">
            <w:pPr>
              <w:rPr>
                <w:color w:val="auto"/>
              </w:rPr>
            </w:pPr>
          </w:p>
        </w:tc>
      </w:tr>
      <w:tr w14:paraId="6C89B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13750" w:type="dxa"/>
            <w:gridSpan w:val="10"/>
          </w:tcPr>
          <w:p w14:paraId="021F4FF0">
            <w:pPr>
              <w:pStyle w:val="21"/>
              <w:spacing w:before="37" w:line="220" w:lineRule="auto"/>
              <w:ind w:left="112"/>
              <w:rPr>
                <w:color w:val="auto"/>
              </w:rPr>
            </w:pPr>
            <w:r>
              <w:rPr>
                <w:color w:val="auto"/>
                <w:spacing w:val="-7"/>
              </w:rPr>
              <w:t>技术标评委签名：</w:t>
            </w:r>
          </w:p>
        </w:tc>
      </w:tr>
    </w:tbl>
    <w:p w14:paraId="12CB951B">
      <w:pPr>
        <w:spacing w:before="33" w:line="220" w:lineRule="auto"/>
        <w:ind w:left="12354"/>
        <w:rPr>
          <w:rFonts w:ascii="宋体" w:hAnsi="宋体" w:eastAsia="宋体" w:cs="宋体"/>
          <w:color w:val="auto"/>
        </w:rPr>
      </w:pPr>
      <w:r>
        <w:rPr>
          <w:rFonts w:ascii="宋体" w:hAnsi="宋体" w:eastAsia="宋体" w:cs="宋体"/>
          <w:color w:val="auto"/>
          <w:spacing w:val="-12"/>
        </w:rPr>
        <w:t>日期：年月日</w:t>
      </w:r>
    </w:p>
    <w:p w14:paraId="09C02796">
      <w:pPr>
        <w:spacing w:line="220" w:lineRule="auto"/>
        <w:rPr>
          <w:rFonts w:ascii="宋体" w:hAnsi="宋体" w:eastAsia="宋体" w:cs="宋体"/>
          <w:color w:val="auto"/>
        </w:rPr>
        <w:sectPr>
          <w:headerReference r:id="rId95" w:type="default"/>
          <w:footerReference r:id="rId96" w:type="default"/>
          <w:pgSz w:w="16839" w:h="11906"/>
          <w:pgMar w:top="400" w:right="535" w:bottom="1254" w:left="105" w:header="0" w:footer="985" w:gutter="0"/>
          <w:cols w:space="720" w:num="1"/>
        </w:sectPr>
      </w:pPr>
    </w:p>
    <w:p w14:paraId="5D01E0B6">
      <w:pPr>
        <w:pStyle w:val="8"/>
        <w:spacing w:line="267" w:lineRule="auto"/>
      </w:pPr>
    </w:p>
    <w:p w14:paraId="36287B5B">
      <w:pPr>
        <w:pStyle w:val="8"/>
        <w:spacing w:line="267" w:lineRule="auto"/>
      </w:pPr>
    </w:p>
    <w:p w14:paraId="15389458">
      <w:pPr>
        <w:pStyle w:val="8"/>
        <w:spacing w:line="267" w:lineRule="auto"/>
      </w:pPr>
    </w:p>
    <w:p w14:paraId="37E1CDEB">
      <w:pPr>
        <w:pStyle w:val="8"/>
        <w:spacing w:line="267" w:lineRule="auto"/>
      </w:pPr>
    </w:p>
    <w:p w14:paraId="4EE3FC50">
      <w:pPr>
        <w:spacing w:before="78" w:line="222" w:lineRule="auto"/>
        <w:ind w:left="1831"/>
        <w:outlineLvl w:val="2"/>
        <w:rPr>
          <w:rFonts w:ascii="黑体" w:hAnsi="黑体" w:eastAsia="黑体" w:cs="黑体"/>
          <w:color w:val="auto"/>
          <w:sz w:val="24"/>
          <w:szCs w:val="24"/>
          <w:lang w:eastAsia="zh-CN"/>
        </w:rPr>
      </w:pPr>
      <w:bookmarkStart w:id="340" w:name="bookmark256"/>
      <w:bookmarkEnd w:id="340"/>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A-12</w:t>
      </w:r>
      <w:r>
        <w:rPr>
          <w:rFonts w:ascii="黑体" w:hAnsi="黑体" w:eastAsia="黑体" w:cs="黑体"/>
          <w:color w:val="auto"/>
          <w:spacing w:val="-3"/>
          <w:sz w:val="24"/>
          <w:szCs w:val="24"/>
          <w:lang w:eastAsia="zh-CN"/>
        </w:rPr>
        <w:t>：技术标评审记录表（个人）</w:t>
      </w:r>
    </w:p>
    <w:p w14:paraId="1721E3AB">
      <w:pPr>
        <w:spacing w:before="280" w:line="222" w:lineRule="auto"/>
        <w:ind w:left="6167"/>
        <w:rPr>
          <w:rFonts w:ascii="黑体" w:hAnsi="黑体" w:eastAsia="黑体" w:cs="黑体"/>
          <w:color w:val="auto"/>
          <w:sz w:val="36"/>
          <w:szCs w:val="36"/>
          <w:lang w:eastAsia="zh-CN"/>
        </w:rPr>
      </w:pPr>
      <w:bookmarkStart w:id="341" w:name="bookmark138"/>
      <w:bookmarkEnd w:id="341"/>
      <w:r>
        <w:rPr>
          <w:rFonts w:ascii="黑体" w:hAnsi="黑体" w:eastAsia="黑体" w:cs="黑体"/>
          <w:color w:val="auto"/>
          <w:spacing w:val="-4"/>
          <w:sz w:val="36"/>
          <w:szCs w:val="36"/>
          <w:lang w:eastAsia="zh-CN"/>
        </w:rPr>
        <w:t>技术标评审记录表（个人）</w:t>
      </w:r>
    </w:p>
    <w:p w14:paraId="21EEB5E5">
      <w:pPr>
        <w:spacing w:before="238"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0BB74B07">
      <w:pPr>
        <w:spacing w:before="20" w:line="211" w:lineRule="auto"/>
        <w:ind w:left="1700"/>
        <w:rPr>
          <w:rFonts w:ascii="宋体" w:hAnsi="宋体" w:eastAsia="宋体" w:cs="宋体"/>
          <w:color w:val="auto"/>
          <w:lang w:eastAsia="zh-CN"/>
        </w:rPr>
      </w:pPr>
      <w:r>
        <w:rPr>
          <w:rFonts w:ascii="宋体" w:hAnsi="宋体" w:eastAsia="宋体" w:cs="宋体"/>
          <w:color w:val="auto"/>
          <w:spacing w:val="-6"/>
          <w:lang w:eastAsia="zh-CN"/>
        </w:rPr>
        <w:t>标段唯一标识码：</w:t>
      </w:r>
    </w:p>
    <w:tbl>
      <w:tblPr>
        <w:tblStyle w:val="20"/>
        <w:tblW w:w="13955" w:type="dxa"/>
        <w:tblInd w:w="13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2203"/>
        <w:gridCol w:w="1110"/>
        <w:gridCol w:w="1111"/>
        <w:gridCol w:w="1111"/>
        <w:gridCol w:w="1111"/>
        <w:gridCol w:w="1111"/>
        <w:gridCol w:w="1110"/>
        <w:gridCol w:w="1111"/>
        <w:gridCol w:w="1111"/>
        <w:gridCol w:w="1026"/>
        <w:gridCol w:w="1202"/>
      </w:tblGrid>
      <w:tr w14:paraId="6F9C0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638" w:type="dxa"/>
            <w:vMerge w:val="restart"/>
            <w:tcBorders>
              <w:bottom w:val="nil"/>
            </w:tcBorders>
            <w:textDirection w:val="tbRlV"/>
          </w:tcPr>
          <w:p w14:paraId="61F09F74">
            <w:pPr>
              <w:pStyle w:val="21"/>
              <w:spacing w:before="211" w:line="210" w:lineRule="auto"/>
              <w:ind w:left="287"/>
              <w:rPr>
                <w:color w:val="auto"/>
              </w:rPr>
            </w:pPr>
            <w:r>
              <w:rPr>
                <w:b/>
                <w:bCs/>
                <w:color w:val="auto"/>
                <w:spacing w:val="29"/>
              </w:rPr>
              <w:t>序号</w:t>
            </w:r>
          </w:p>
        </w:tc>
        <w:tc>
          <w:tcPr>
            <w:tcW w:w="2203" w:type="dxa"/>
            <w:vMerge w:val="restart"/>
            <w:tcBorders>
              <w:bottom w:val="nil"/>
            </w:tcBorders>
          </w:tcPr>
          <w:p w14:paraId="11B6B6FC">
            <w:pPr>
              <w:spacing w:line="352" w:lineRule="auto"/>
              <w:rPr>
                <w:color w:val="auto"/>
              </w:rPr>
            </w:pPr>
          </w:p>
          <w:p w14:paraId="2B47F77C">
            <w:pPr>
              <w:pStyle w:val="21"/>
              <w:spacing w:before="69" w:line="221" w:lineRule="auto"/>
              <w:ind w:left="575"/>
              <w:rPr>
                <w:color w:val="auto"/>
              </w:rPr>
            </w:pPr>
            <w:r>
              <w:rPr>
                <w:b/>
                <w:bCs/>
                <w:color w:val="auto"/>
                <w:spacing w:val="-4"/>
              </w:rPr>
              <w:t>投标人名称</w:t>
            </w:r>
          </w:p>
        </w:tc>
        <w:tc>
          <w:tcPr>
            <w:tcW w:w="9912" w:type="dxa"/>
            <w:gridSpan w:val="9"/>
          </w:tcPr>
          <w:p w14:paraId="560D4535">
            <w:pPr>
              <w:pStyle w:val="21"/>
              <w:spacing w:before="33" w:line="220" w:lineRule="auto"/>
              <w:ind w:left="4009"/>
              <w:rPr>
                <w:color w:val="auto"/>
              </w:rPr>
            </w:pPr>
            <w:r>
              <w:rPr>
                <w:b/>
                <w:bCs/>
                <w:color w:val="auto"/>
                <w:spacing w:val="-3"/>
              </w:rPr>
              <w:t>评审因素及评审得分</w:t>
            </w:r>
          </w:p>
        </w:tc>
        <w:tc>
          <w:tcPr>
            <w:tcW w:w="1202" w:type="dxa"/>
            <w:vMerge w:val="restart"/>
            <w:tcBorders>
              <w:bottom w:val="nil"/>
            </w:tcBorders>
          </w:tcPr>
          <w:p w14:paraId="1A9783B8">
            <w:pPr>
              <w:spacing w:line="353" w:lineRule="auto"/>
              <w:rPr>
                <w:color w:val="auto"/>
              </w:rPr>
            </w:pPr>
          </w:p>
          <w:p w14:paraId="2B8611CD">
            <w:pPr>
              <w:pStyle w:val="21"/>
              <w:spacing w:before="68" w:line="220" w:lineRule="auto"/>
              <w:ind w:left="396"/>
              <w:rPr>
                <w:color w:val="auto"/>
              </w:rPr>
            </w:pPr>
            <w:r>
              <w:rPr>
                <w:b/>
                <w:bCs/>
                <w:color w:val="auto"/>
                <w:spacing w:val="-7"/>
              </w:rPr>
              <w:t>得分</w:t>
            </w:r>
          </w:p>
        </w:tc>
      </w:tr>
      <w:tr w14:paraId="12B9F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638" w:type="dxa"/>
            <w:vMerge w:val="continue"/>
            <w:tcBorders>
              <w:top w:val="nil"/>
              <w:bottom w:val="nil"/>
            </w:tcBorders>
            <w:textDirection w:val="tbRlV"/>
          </w:tcPr>
          <w:p w14:paraId="21DBBEEF">
            <w:pPr>
              <w:rPr>
                <w:color w:val="auto"/>
              </w:rPr>
            </w:pPr>
          </w:p>
        </w:tc>
        <w:tc>
          <w:tcPr>
            <w:tcW w:w="2203" w:type="dxa"/>
            <w:vMerge w:val="continue"/>
            <w:tcBorders>
              <w:top w:val="nil"/>
              <w:bottom w:val="nil"/>
            </w:tcBorders>
          </w:tcPr>
          <w:p w14:paraId="0FEC56A4">
            <w:pPr>
              <w:rPr>
                <w:color w:val="auto"/>
              </w:rPr>
            </w:pPr>
          </w:p>
        </w:tc>
        <w:tc>
          <w:tcPr>
            <w:tcW w:w="1110" w:type="dxa"/>
          </w:tcPr>
          <w:p w14:paraId="3781B24F">
            <w:pPr>
              <w:rPr>
                <w:color w:val="auto"/>
              </w:rPr>
            </w:pPr>
          </w:p>
        </w:tc>
        <w:tc>
          <w:tcPr>
            <w:tcW w:w="1111" w:type="dxa"/>
          </w:tcPr>
          <w:p w14:paraId="6C519DCA">
            <w:pPr>
              <w:rPr>
                <w:color w:val="auto"/>
              </w:rPr>
            </w:pPr>
          </w:p>
        </w:tc>
        <w:tc>
          <w:tcPr>
            <w:tcW w:w="1111" w:type="dxa"/>
          </w:tcPr>
          <w:p w14:paraId="28494900">
            <w:pPr>
              <w:rPr>
                <w:color w:val="auto"/>
              </w:rPr>
            </w:pPr>
          </w:p>
        </w:tc>
        <w:tc>
          <w:tcPr>
            <w:tcW w:w="1111" w:type="dxa"/>
          </w:tcPr>
          <w:p w14:paraId="3695831C">
            <w:pPr>
              <w:rPr>
                <w:color w:val="auto"/>
              </w:rPr>
            </w:pPr>
          </w:p>
        </w:tc>
        <w:tc>
          <w:tcPr>
            <w:tcW w:w="1111" w:type="dxa"/>
          </w:tcPr>
          <w:p w14:paraId="5FFA67F3">
            <w:pPr>
              <w:rPr>
                <w:color w:val="auto"/>
              </w:rPr>
            </w:pPr>
          </w:p>
        </w:tc>
        <w:tc>
          <w:tcPr>
            <w:tcW w:w="1110" w:type="dxa"/>
          </w:tcPr>
          <w:p w14:paraId="0FDC5EE5">
            <w:pPr>
              <w:rPr>
                <w:color w:val="auto"/>
              </w:rPr>
            </w:pPr>
          </w:p>
        </w:tc>
        <w:tc>
          <w:tcPr>
            <w:tcW w:w="1111" w:type="dxa"/>
          </w:tcPr>
          <w:p w14:paraId="42E91323">
            <w:pPr>
              <w:rPr>
                <w:color w:val="auto"/>
              </w:rPr>
            </w:pPr>
          </w:p>
        </w:tc>
        <w:tc>
          <w:tcPr>
            <w:tcW w:w="1111" w:type="dxa"/>
          </w:tcPr>
          <w:p w14:paraId="2D221298">
            <w:pPr>
              <w:rPr>
                <w:color w:val="auto"/>
              </w:rPr>
            </w:pPr>
          </w:p>
        </w:tc>
        <w:tc>
          <w:tcPr>
            <w:tcW w:w="1026" w:type="dxa"/>
          </w:tcPr>
          <w:p w14:paraId="495AE6FE">
            <w:pPr>
              <w:rPr>
                <w:color w:val="auto"/>
              </w:rPr>
            </w:pPr>
          </w:p>
        </w:tc>
        <w:tc>
          <w:tcPr>
            <w:tcW w:w="1202" w:type="dxa"/>
            <w:vMerge w:val="continue"/>
            <w:tcBorders>
              <w:top w:val="nil"/>
              <w:bottom w:val="nil"/>
            </w:tcBorders>
          </w:tcPr>
          <w:p w14:paraId="33B574C4">
            <w:pPr>
              <w:rPr>
                <w:color w:val="auto"/>
              </w:rPr>
            </w:pPr>
          </w:p>
        </w:tc>
      </w:tr>
      <w:tr w14:paraId="365EE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638" w:type="dxa"/>
            <w:vMerge w:val="continue"/>
            <w:tcBorders>
              <w:top w:val="nil"/>
            </w:tcBorders>
            <w:textDirection w:val="tbRlV"/>
          </w:tcPr>
          <w:p w14:paraId="6E3894A4">
            <w:pPr>
              <w:rPr>
                <w:color w:val="auto"/>
              </w:rPr>
            </w:pPr>
          </w:p>
        </w:tc>
        <w:tc>
          <w:tcPr>
            <w:tcW w:w="2203" w:type="dxa"/>
            <w:vMerge w:val="continue"/>
            <w:tcBorders>
              <w:top w:val="nil"/>
            </w:tcBorders>
          </w:tcPr>
          <w:p w14:paraId="25CEE467">
            <w:pPr>
              <w:rPr>
                <w:color w:val="auto"/>
              </w:rPr>
            </w:pPr>
          </w:p>
        </w:tc>
        <w:tc>
          <w:tcPr>
            <w:tcW w:w="1110" w:type="dxa"/>
          </w:tcPr>
          <w:p w14:paraId="471CC585">
            <w:pPr>
              <w:pStyle w:val="21"/>
              <w:spacing w:before="63" w:line="220" w:lineRule="auto"/>
              <w:ind w:left="344"/>
              <w:rPr>
                <w:color w:val="auto"/>
              </w:rPr>
            </w:pPr>
            <w:r>
              <w:rPr>
                <w:b/>
                <w:bCs/>
                <w:color w:val="auto"/>
                <w:spacing w:val="-7"/>
              </w:rPr>
              <w:t>得分</w:t>
            </w:r>
          </w:p>
        </w:tc>
        <w:tc>
          <w:tcPr>
            <w:tcW w:w="1111" w:type="dxa"/>
          </w:tcPr>
          <w:p w14:paraId="1262A117">
            <w:pPr>
              <w:pStyle w:val="21"/>
              <w:spacing w:before="63" w:line="220" w:lineRule="auto"/>
              <w:ind w:left="346"/>
              <w:rPr>
                <w:color w:val="auto"/>
              </w:rPr>
            </w:pPr>
            <w:r>
              <w:rPr>
                <w:b/>
                <w:bCs/>
                <w:color w:val="auto"/>
                <w:spacing w:val="-7"/>
              </w:rPr>
              <w:t>得分</w:t>
            </w:r>
          </w:p>
        </w:tc>
        <w:tc>
          <w:tcPr>
            <w:tcW w:w="1111" w:type="dxa"/>
          </w:tcPr>
          <w:p w14:paraId="5760C4B7">
            <w:pPr>
              <w:pStyle w:val="21"/>
              <w:spacing w:before="63" w:line="220" w:lineRule="auto"/>
              <w:ind w:left="347"/>
              <w:rPr>
                <w:color w:val="auto"/>
              </w:rPr>
            </w:pPr>
            <w:r>
              <w:rPr>
                <w:b/>
                <w:bCs/>
                <w:color w:val="auto"/>
                <w:spacing w:val="-7"/>
              </w:rPr>
              <w:t>得分</w:t>
            </w:r>
          </w:p>
        </w:tc>
        <w:tc>
          <w:tcPr>
            <w:tcW w:w="1111" w:type="dxa"/>
          </w:tcPr>
          <w:p w14:paraId="46DB36BB">
            <w:pPr>
              <w:pStyle w:val="21"/>
              <w:spacing w:before="63" w:line="220" w:lineRule="auto"/>
              <w:ind w:left="348"/>
              <w:rPr>
                <w:color w:val="auto"/>
              </w:rPr>
            </w:pPr>
            <w:r>
              <w:rPr>
                <w:b/>
                <w:bCs/>
                <w:color w:val="auto"/>
                <w:spacing w:val="-7"/>
              </w:rPr>
              <w:t>得分</w:t>
            </w:r>
          </w:p>
        </w:tc>
        <w:tc>
          <w:tcPr>
            <w:tcW w:w="1111" w:type="dxa"/>
          </w:tcPr>
          <w:p w14:paraId="633DE77E">
            <w:pPr>
              <w:pStyle w:val="21"/>
              <w:spacing w:before="63" w:line="220" w:lineRule="auto"/>
              <w:ind w:left="349"/>
              <w:rPr>
                <w:color w:val="auto"/>
              </w:rPr>
            </w:pPr>
            <w:r>
              <w:rPr>
                <w:b/>
                <w:bCs/>
                <w:color w:val="auto"/>
                <w:spacing w:val="-7"/>
              </w:rPr>
              <w:t>得分</w:t>
            </w:r>
          </w:p>
        </w:tc>
        <w:tc>
          <w:tcPr>
            <w:tcW w:w="1110" w:type="dxa"/>
          </w:tcPr>
          <w:p w14:paraId="6E3E759C">
            <w:pPr>
              <w:pStyle w:val="21"/>
              <w:spacing w:before="63" w:line="220" w:lineRule="auto"/>
              <w:ind w:left="349"/>
              <w:rPr>
                <w:color w:val="auto"/>
              </w:rPr>
            </w:pPr>
            <w:r>
              <w:rPr>
                <w:b/>
                <w:bCs/>
                <w:color w:val="auto"/>
                <w:spacing w:val="-7"/>
              </w:rPr>
              <w:t>得分</w:t>
            </w:r>
          </w:p>
        </w:tc>
        <w:tc>
          <w:tcPr>
            <w:tcW w:w="1111" w:type="dxa"/>
          </w:tcPr>
          <w:p w14:paraId="303E52CD">
            <w:pPr>
              <w:pStyle w:val="21"/>
              <w:spacing w:before="63" w:line="220" w:lineRule="auto"/>
              <w:ind w:left="351"/>
              <w:rPr>
                <w:color w:val="auto"/>
              </w:rPr>
            </w:pPr>
            <w:r>
              <w:rPr>
                <w:b/>
                <w:bCs/>
                <w:color w:val="auto"/>
                <w:spacing w:val="-7"/>
              </w:rPr>
              <w:t>得分</w:t>
            </w:r>
          </w:p>
        </w:tc>
        <w:tc>
          <w:tcPr>
            <w:tcW w:w="1111" w:type="dxa"/>
          </w:tcPr>
          <w:p w14:paraId="09F61BE3">
            <w:pPr>
              <w:pStyle w:val="21"/>
              <w:spacing w:before="63" w:line="220" w:lineRule="auto"/>
              <w:ind w:left="352"/>
              <w:rPr>
                <w:color w:val="auto"/>
              </w:rPr>
            </w:pPr>
            <w:r>
              <w:rPr>
                <w:b/>
                <w:bCs/>
                <w:color w:val="auto"/>
                <w:spacing w:val="-7"/>
              </w:rPr>
              <w:t>得分</w:t>
            </w:r>
          </w:p>
        </w:tc>
        <w:tc>
          <w:tcPr>
            <w:tcW w:w="1026" w:type="dxa"/>
          </w:tcPr>
          <w:p w14:paraId="3C2E1948">
            <w:pPr>
              <w:pStyle w:val="21"/>
              <w:spacing w:before="63" w:line="220" w:lineRule="auto"/>
              <w:ind w:left="310"/>
              <w:rPr>
                <w:color w:val="auto"/>
              </w:rPr>
            </w:pPr>
            <w:r>
              <w:rPr>
                <w:b/>
                <w:bCs/>
                <w:color w:val="auto"/>
                <w:spacing w:val="-7"/>
              </w:rPr>
              <w:t>得分</w:t>
            </w:r>
          </w:p>
        </w:tc>
        <w:tc>
          <w:tcPr>
            <w:tcW w:w="1202" w:type="dxa"/>
            <w:vMerge w:val="continue"/>
            <w:tcBorders>
              <w:top w:val="nil"/>
            </w:tcBorders>
          </w:tcPr>
          <w:p w14:paraId="58760BB4">
            <w:pPr>
              <w:rPr>
                <w:color w:val="auto"/>
              </w:rPr>
            </w:pPr>
          </w:p>
        </w:tc>
      </w:tr>
      <w:tr w14:paraId="0F066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8" w:type="dxa"/>
          </w:tcPr>
          <w:p w14:paraId="08E7FC01">
            <w:pPr>
              <w:pStyle w:val="21"/>
              <w:spacing w:before="178" w:line="242" w:lineRule="auto"/>
              <w:ind w:left="282"/>
              <w:rPr>
                <w:color w:val="auto"/>
              </w:rPr>
            </w:pPr>
            <w:r>
              <w:rPr>
                <w:color w:val="auto"/>
              </w:rPr>
              <w:t>1</w:t>
            </w:r>
          </w:p>
        </w:tc>
        <w:tc>
          <w:tcPr>
            <w:tcW w:w="2203" w:type="dxa"/>
          </w:tcPr>
          <w:p w14:paraId="0263F15F">
            <w:pPr>
              <w:rPr>
                <w:color w:val="auto"/>
              </w:rPr>
            </w:pPr>
          </w:p>
        </w:tc>
        <w:tc>
          <w:tcPr>
            <w:tcW w:w="1110" w:type="dxa"/>
          </w:tcPr>
          <w:p w14:paraId="4672ECCB">
            <w:pPr>
              <w:rPr>
                <w:color w:val="auto"/>
              </w:rPr>
            </w:pPr>
          </w:p>
        </w:tc>
        <w:tc>
          <w:tcPr>
            <w:tcW w:w="1111" w:type="dxa"/>
          </w:tcPr>
          <w:p w14:paraId="6379D37F">
            <w:pPr>
              <w:rPr>
                <w:color w:val="auto"/>
              </w:rPr>
            </w:pPr>
          </w:p>
        </w:tc>
        <w:tc>
          <w:tcPr>
            <w:tcW w:w="1111" w:type="dxa"/>
          </w:tcPr>
          <w:p w14:paraId="5EA6629F">
            <w:pPr>
              <w:rPr>
                <w:color w:val="auto"/>
              </w:rPr>
            </w:pPr>
          </w:p>
        </w:tc>
        <w:tc>
          <w:tcPr>
            <w:tcW w:w="1111" w:type="dxa"/>
          </w:tcPr>
          <w:p w14:paraId="7F635F92">
            <w:pPr>
              <w:rPr>
                <w:color w:val="auto"/>
              </w:rPr>
            </w:pPr>
          </w:p>
        </w:tc>
        <w:tc>
          <w:tcPr>
            <w:tcW w:w="1111" w:type="dxa"/>
          </w:tcPr>
          <w:p w14:paraId="5071FE64">
            <w:pPr>
              <w:rPr>
                <w:color w:val="auto"/>
              </w:rPr>
            </w:pPr>
          </w:p>
        </w:tc>
        <w:tc>
          <w:tcPr>
            <w:tcW w:w="1110" w:type="dxa"/>
          </w:tcPr>
          <w:p w14:paraId="193A7994">
            <w:pPr>
              <w:rPr>
                <w:color w:val="auto"/>
              </w:rPr>
            </w:pPr>
          </w:p>
        </w:tc>
        <w:tc>
          <w:tcPr>
            <w:tcW w:w="1111" w:type="dxa"/>
          </w:tcPr>
          <w:p w14:paraId="4D348D66">
            <w:pPr>
              <w:rPr>
                <w:color w:val="auto"/>
              </w:rPr>
            </w:pPr>
          </w:p>
        </w:tc>
        <w:tc>
          <w:tcPr>
            <w:tcW w:w="1111" w:type="dxa"/>
          </w:tcPr>
          <w:p w14:paraId="546672B0">
            <w:pPr>
              <w:rPr>
                <w:color w:val="auto"/>
              </w:rPr>
            </w:pPr>
          </w:p>
        </w:tc>
        <w:tc>
          <w:tcPr>
            <w:tcW w:w="1026" w:type="dxa"/>
          </w:tcPr>
          <w:p w14:paraId="02F17330">
            <w:pPr>
              <w:rPr>
                <w:color w:val="auto"/>
              </w:rPr>
            </w:pPr>
          </w:p>
        </w:tc>
        <w:tc>
          <w:tcPr>
            <w:tcW w:w="1202" w:type="dxa"/>
          </w:tcPr>
          <w:p w14:paraId="158F9A0C">
            <w:pPr>
              <w:rPr>
                <w:color w:val="auto"/>
              </w:rPr>
            </w:pPr>
          </w:p>
        </w:tc>
      </w:tr>
      <w:tr w14:paraId="19BB5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8" w:type="dxa"/>
          </w:tcPr>
          <w:p w14:paraId="05705A4C">
            <w:pPr>
              <w:pStyle w:val="21"/>
              <w:spacing w:before="179" w:line="242" w:lineRule="auto"/>
              <w:ind w:left="269"/>
              <w:rPr>
                <w:color w:val="auto"/>
              </w:rPr>
            </w:pPr>
            <w:r>
              <w:rPr>
                <w:color w:val="auto"/>
              </w:rPr>
              <w:t>2</w:t>
            </w:r>
          </w:p>
        </w:tc>
        <w:tc>
          <w:tcPr>
            <w:tcW w:w="2203" w:type="dxa"/>
          </w:tcPr>
          <w:p w14:paraId="326CD136">
            <w:pPr>
              <w:rPr>
                <w:color w:val="auto"/>
              </w:rPr>
            </w:pPr>
          </w:p>
        </w:tc>
        <w:tc>
          <w:tcPr>
            <w:tcW w:w="1110" w:type="dxa"/>
          </w:tcPr>
          <w:p w14:paraId="4E24FC0F">
            <w:pPr>
              <w:rPr>
                <w:color w:val="auto"/>
              </w:rPr>
            </w:pPr>
          </w:p>
        </w:tc>
        <w:tc>
          <w:tcPr>
            <w:tcW w:w="1111" w:type="dxa"/>
          </w:tcPr>
          <w:p w14:paraId="0BA5E109">
            <w:pPr>
              <w:rPr>
                <w:color w:val="auto"/>
              </w:rPr>
            </w:pPr>
          </w:p>
        </w:tc>
        <w:tc>
          <w:tcPr>
            <w:tcW w:w="1111" w:type="dxa"/>
          </w:tcPr>
          <w:p w14:paraId="4F18315F">
            <w:pPr>
              <w:rPr>
                <w:color w:val="auto"/>
              </w:rPr>
            </w:pPr>
          </w:p>
        </w:tc>
        <w:tc>
          <w:tcPr>
            <w:tcW w:w="1111" w:type="dxa"/>
          </w:tcPr>
          <w:p w14:paraId="62229C55">
            <w:pPr>
              <w:rPr>
                <w:color w:val="auto"/>
              </w:rPr>
            </w:pPr>
          </w:p>
        </w:tc>
        <w:tc>
          <w:tcPr>
            <w:tcW w:w="1111" w:type="dxa"/>
          </w:tcPr>
          <w:p w14:paraId="045C5380">
            <w:pPr>
              <w:rPr>
                <w:color w:val="auto"/>
              </w:rPr>
            </w:pPr>
          </w:p>
        </w:tc>
        <w:tc>
          <w:tcPr>
            <w:tcW w:w="1110" w:type="dxa"/>
          </w:tcPr>
          <w:p w14:paraId="242517B2">
            <w:pPr>
              <w:rPr>
                <w:color w:val="auto"/>
              </w:rPr>
            </w:pPr>
          </w:p>
        </w:tc>
        <w:tc>
          <w:tcPr>
            <w:tcW w:w="1111" w:type="dxa"/>
          </w:tcPr>
          <w:p w14:paraId="0ED0D4ED">
            <w:pPr>
              <w:rPr>
                <w:color w:val="auto"/>
              </w:rPr>
            </w:pPr>
          </w:p>
        </w:tc>
        <w:tc>
          <w:tcPr>
            <w:tcW w:w="1111" w:type="dxa"/>
          </w:tcPr>
          <w:p w14:paraId="7F9E3F84">
            <w:pPr>
              <w:rPr>
                <w:color w:val="auto"/>
              </w:rPr>
            </w:pPr>
          </w:p>
        </w:tc>
        <w:tc>
          <w:tcPr>
            <w:tcW w:w="1026" w:type="dxa"/>
          </w:tcPr>
          <w:p w14:paraId="6C2A0925">
            <w:pPr>
              <w:rPr>
                <w:color w:val="auto"/>
              </w:rPr>
            </w:pPr>
          </w:p>
        </w:tc>
        <w:tc>
          <w:tcPr>
            <w:tcW w:w="1202" w:type="dxa"/>
          </w:tcPr>
          <w:p w14:paraId="6A98C382">
            <w:pPr>
              <w:rPr>
                <w:color w:val="auto"/>
              </w:rPr>
            </w:pPr>
          </w:p>
        </w:tc>
      </w:tr>
      <w:tr w14:paraId="72641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8" w:type="dxa"/>
          </w:tcPr>
          <w:p w14:paraId="151D1742">
            <w:pPr>
              <w:pStyle w:val="21"/>
              <w:spacing w:before="180"/>
              <w:ind w:left="271"/>
              <w:rPr>
                <w:color w:val="auto"/>
              </w:rPr>
            </w:pPr>
            <w:r>
              <w:rPr>
                <w:color w:val="auto"/>
              </w:rPr>
              <w:t>3</w:t>
            </w:r>
          </w:p>
        </w:tc>
        <w:tc>
          <w:tcPr>
            <w:tcW w:w="2203" w:type="dxa"/>
          </w:tcPr>
          <w:p w14:paraId="1E63134A">
            <w:pPr>
              <w:rPr>
                <w:color w:val="auto"/>
              </w:rPr>
            </w:pPr>
          </w:p>
        </w:tc>
        <w:tc>
          <w:tcPr>
            <w:tcW w:w="1110" w:type="dxa"/>
          </w:tcPr>
          <w:p w14:paraId="0290A58D">
            <w:pPr>
              <w:rPr>
                <w:color w:val="auto"/>
              </w:rPr>
            </w:pPr>
          </w:p>
        </w:tc>
        <w:tc>
          <w:tcPr>
            <w:tcW w:w="1111" w:type="dxa"/>
          </w:tcPr>
          <w:p w14:paraId="42EBEC17">
            <w:pPr>
              <w:rPr>
                <w:color w:val="auto"/>
              </w:rPr>
            </w:pPr>
          </w:p>
        </w:tc>
        <w:tc>
          <w:tcPr>
            <w:tcW w:w="1111" w:type="dxa"/>
          </w:tcPr>
          <w:p w14:paraId="79CAD865">
            <w:pPr>
              <w:rPr>
                <w:color w:val="auto"/>
              </w:rPr>
            </w:pPr>
          </w:p>
        </w:tc>
        <w:tc>
          <w:tcPr>
            <w:tcW w:w="1111" w:type="dxa"/>
          </w:tcPr>
          <w:p w14:paraId="397CD6CC">
            <w:pPr>
              <w:rPr>
                <w:color w:val="auto"/>
              </w:rPr>
            </w:pPr>
          </w:p>
        </w:tc>
        <w:tc>
          <w:tcPr>
            <w:tcW w:w="1111" w:type="dxa"/>
          </w:tcPr>
          <w:p w14:paraId="1F350B05">
            <w:pPr>
              <w:rPr>
                <w:color w:val="auto"/>
              </w:rPr>
            </w:pPr>
          </w:p>
        </w:tc>
        <w:tc>
          <w:tcPr>
            <w:tcW w:w="1110" w:type="dxa"/>
          </w:tcPr>
          <w:p w14:paraId="082F626D">
            <w:pPr>
              <w:rPr>
                <w:color w:val="auto"/>
              </w:rPr>
            </w:pPr>
          </w:p>
        </w:tc>
        <w:tc>
          <w:tcPr>
            <w:tcW w:w="1111" w:type="dxa"/>
          </w:tcPr>
          <w:p w14:paraId="7A9E62ED">
            <w:pPr>
              <w:rPr>
                <w:color w:val="auto"/>
              </w:rPr>
            </w:pPr>
          </w:p>
        </w:tc>
        <w:tc>
          <w:tcPr>
            <w:tcW w:w="1111" w:type="dxa"/>
          </w:tcPr>
          <w:p w14:paraId="1F15C242">
            <w:pPr>
              <w:rPr>
                <w:color w:val="auto"/>
              </w:rPr>
            </w:pPr>
          </w:p>
        </w:tc>
        <w:tc>
          <w:tcPr>
            <w:tcW w:w="1026" w:type="dxa"/>
          </w:tcPr>
          <w:p w14:paraId="310313BA">
            <w:pPr>
              <w:rPr>
                <w:color w:val="auto"/>
              </w:rPr>
            </w:pPr>
          </w:p>
        </w:tc>
        <w:tc>
          <w:tcPr>
            <w:tcW w:w="1202" w:type="dxa"/>
          </w:tcPr>
          <w:p w14:paraId="6F03E75C">
            <w:pPr>
              <w:rPr>
                <w:color w:val="auto"/>
              </w:rPr>
            </w:pPr>
          </w:p>
        </w:tc>
      </w:tr>
      <w:tr w14:paraId="26564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8" w:type="dxa"/>
          </w:tcPr>
          <w:p w14:paraId="68D1338F">
            <w:pPr>
              <w:pStyle w:val="21"/>
              <w:spacing w:before="181" w:line="242" w:lineRule="auto"/>
              <w:ind w:left="266"/>
              <w:rPr>
                <w:color w:val="auto"/>
              </w:rPr>
            </w:pPr>
            <w:r>
              <w:rPr>
                <w:color w:val="auto"/>
              </w:rPr>
              <w:t>4</w:t>
            </w:r>
          </w:p>
        </w:tc>
        <w:tc>
          <w:tcPr>
            <w:tcW w:w="2203" w:type="dxa"/>
          </w:tcPr>
          <w:p w14:paraId="65FCEB0A">
            <w:pPr>
              <w:rPr>
                <w:color w:val="auto"/>
              </w:rPr>
            </w:pPr>
          </w:p>
        </w:tc>
        <w:tc>
          <w:tcPr>
            <w:tcW w:w="1110" w:type="dxa"/>
          </w:tcPr>
          <w:p w14:paraId="2E8E5AEC">
            <w:pPr>
              <w:rPr>
                <w:color w:val="auto"/>
              </w:rPr>
            </w:pPr>
          </w:p>
        </w:tc>
        <w:tc>
          <w:tcPr>
            <w:tcW w:w="1111" w:type="dxa"/>
          </w:tcPr>
          <w:p w14:paraId="347C86A9">
            <w:pPr>
              <w:rPr>
                <w:color w:val="auto"/>
              </w:rPr>
            </w:pPr>
          </w:p>
        </w:tc>
        <w:tc>
          <w:tcPr>
            <w:tcW w:w="1111" w:type="dxa"/>
          </w:tcPr>
          <w:p w14:paraId="15F2014A">
            <w:pPr>
              <w:rPr>
                <w:color w:val="auto"/>
              </w:rPr>
            </w:pPr>
          </w:p>
        </w:tc>
        <w:tc>
          <w:tcPr>
            <w:tcW w:w="1111" w:type="dxa"/>
          </w:tcPr>
          <w:p w14:paraId="4788951C">
            <w:pPr>
              <w:rPr>
                <w:color w:val="auto"/>
              </w:rPr>
            </w:pPr>
          </w:p>
        </w:tc>
        <w:tc>
          <w:tcPr>
            <w:tcW w:w="1111" w:type="dxa"/>
          </w:tcPr>
          <w:p w14:paraId="44A1AE4A">
            <w:pPr>
              <w:rPr>
                <w:color w:val="auto"/>
              </w:rPr>
            </w:pPr>
          </w:p>
        </w:tc>
        <w:tc>
          <w:tcPr>
            <w:tcW w:w="1110" w:type="dxa"/>
          </w:tcPr>
          <w:p w14:paraId="759FC655">
            <w:pPr>
              <w:rPr>
                <w:color w:val="auto"/>
              </w:rPr>
            </w:pPr>
          </w:p>
        </w:tc>
        <w:tc>
          <w:tcPr>
            <w:tcW w:w="1111" w:type="dxa"/>
          </w:tcPr>
          <w:p w14:paraId="74D57636">
            <w:pPr>
              <w:rPr>
                <w:color w:val="auto"/>
              </w:rPr>
            </w:pPr>
          </w:p>
        </w:tc>
        <w:tc>
          <w:tcPr>
            <w:tcW w:w="1111" w:type="dxa"/>
          </w:tcPr>
          <w:p w14:paraId="3AFAFFC2">
            <w:pPr>
              <w:rPr>
                <w:color w:val="auto"/>
              </w:rPr>
            </w:pPr>
          </w:p>
        </w:tc>
        <w:tc>
          <w:tcPr>
            <w:tcW w:w="1026" w:type="dxa"/>
          </w:tcPr>
          <w:p w14:paraId="30E66BD5">
            <w:pPr>
              <w:rPr>
                <w:color w:val="auto"/>
              </w:rPr>
            </w:pPr>
          </w:p>
        </w:tc>
        <w:tc>
          <w:tcPr>
            <w:tcW w:w="1202" w:type="dxa"/>
          </w:tcPr>
          <w:p w14:paraId="433CAC7D">
            <w:pPr>
              <w:rPr>
                <w:color w:val="auto"/>
              </w:rPr>
            </w:pPr>
          </w:p>
        </w:tc>
      </w:tr>
      <w:tr w14:paraId="1EA95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38" w:type="dxa"/>
          </w:tcPr>
          <w:p w14:paraId="06C53F28">
            <w:pPr>
              <w:pStyle w:val="21"/>
              <w:spacing w:before="182"/>
              <w:ind w:left="271"/>
              <w:rPr>
                <w:color w:val="auto"/>
              </w:rPr>
            </w:pPr>
            <w:r>
              <w:rPr>
                <w:color w:val="auto"/>
              </w:rPr>
              <w:t>5</w:t>
            </w:r>
          </w:p>
        </w:tc>
        <w:tc>
          <w:tcPr>
            <w:tcW w:w="2203" w:type="dxa"/>
          </w:tcPr>
          <w:p w14:paraId="4D224DAB">
            <w:pPr>
              <w:rPr>
                <w:color w:val="auto"/>
              </w:rPr>
            </w:pPr>
          </w:p>
        </w:tc>
        <w:tc>
          <w:tcPr>
            <w:tcW w:w="1110" w:type="dxa"/>
          </w:tcPr>
          <w:p w14:paraId="6B68E59C">
            <w:pPr>
              <w:rPr>
                <w:color w:val="auto"/>
              </w:rPr>
            </w:pPr>
          </w:p>
        </w:tc>
        <w:tc>
          <w:tcPr>
            <w:tcW w:w="1111" w:type="dxa"/>
          </w:tcPr>
          <w:p w14:paraId="49E7033D">
            <w:pPr>
              <w:rPr>
                <w:color w:val="auto"/>
              </w:rPr>
            </w:pPr>
          </w:p>
        </w:tc>
        <w:tc>
          <w:tcPr>
            <w:tcW w:w="1111" w:type="dxa"/>
          </w:tcPr>
          <w:p w14:paraId="35CE2EEA">
            <w:pPr>
              <w:rPr>
                <w:color w:val="auto"/>
              </w:rPr>
            </w:pPr>
          </w:p>
        </w:tc>
        <w:tc>
          <w:tcPr>
            <w:tcW w:w="1111" w:type="dxa"/>
          </w:tcPr>
          <w:p w14:paraId="7161E534">
            <w:pPr>
              <w:rPr>
                <w:color w:val="auto"/>
              </w:rPr>
            </w:pPr>
          </w:p>
        </w:tc>
        <w:tc>
          <w:tcPr>
            <w:tcW w:w="1111" w:type="dxa"/>
          </w:tcPr>
          <w:p w14:paraId="4F7792B1">
            <w:pPr>
              <w:rPr>
                <w:color w:val="auto"/>
              </w:rPr>
            </w:pPr>
          </w:p>
        </w:tc>
        <w:tc>
          <w:tcPr>
            <w:tcW w:w="1110" w:type="dxa"/>
          </w:tcPr>
          <w:p w14:paraId="4CF6965F">
            <w:pPr>
              <w:rPr>
                <w:color w:val="auto"/>
              </w:rPr>
            </w:pPr>
          </w:p>
        </w:tc>
        <w:tc>
          <w:tcPr>
            <w:tcW w:w="1111" w:type="dxa"/>
          </w:tcPr>
          <w:p w14:paraId="739AED63">
            <w:pPr>
              <w:rPr>
                <w:color w:val="auto"/>
              </w:rPr>
            </w:pPr>
          </w:p>
        </w:tc>
        <w:tc>
          <w:tcPr>
            <w:tcW w:w="1111" w:type="dxa"/>
          </w:tcPr>
          <w:p w14:paraId="23FAD4C9">
            <w:pPr>
              <w:rPr>
                <w:color w:val="auto"/>
              </w:rPr>
            </w:pPr>
          </w:p>
        </w:tc>
        <w:tc>
          <w:tcPr>
            <w:tcW w:w="1026" w:type="dxa"/>
          </w:tcPr>
          <w:p w14:paraId="1849767B">
            <w:pPr>
              <w:rPr>
                <w:color w:val="auto"/>
              </w:rPr>
            </w:pPr>
          </w:p>
        </w:tc>
        <w:tc>
          <w:tcPr>
            <w:tcW w:w="1202" w:type="dxa"/>
          </w:tcPr>
          <w:p w14:paraId="04CE904A">
            <w:pPr>
              <w:rPr>
                <w:color w:val="auto"/>
              </w:rPr>
            </w:pPr>
          </w:p>
        </w:tc>
      </w:tr>
      <w:tr w14:paraId="137DD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38" w:type="dxa"/>
          </w:tcPr>
          <w:p w14:paraId="0A925AC0">
            <w:pPr>
              <w:spacing w:before="271" w:line="153" w:lineRule="exact"/>
              <w:ind w:left="226"/>
              <w:rPr>
                <w:rFonts w:ascii="黑体" w:hAnsi="黑体" w:eastAsia="黑体" w:cs="黑体"/>
                <w:color w:val="auto"/>
              </w:rPr>
            </w:pPr>
            <w:r>
              <w:rPr>
                <w:rFonts w:ascii="黑体" w:hAnsi="黑体" w:eastAsia="黑体" w:cs="黑体"/>
                <w:color w:val="auto"/>
                <w:position w:val="-3"/>
              </w:rPr>
              <w:t>…</w:t>
            </w:r>
          </w:p>
        </w:tc>
        <w:tc>
          <w:tcPr>
            <w:tcW w:w="2203" w:type="dxa"/>
          </w:tcPr>
          <w:p w14:paraId="172A59EC">
            <w:pPr>
              <w:rPr>
                <w:color w:val="auto"/>
              </w:rPr>
            </w:pPr>
          </w:p>
        </w:tc>
        <w:tc>
          <w:tcPr>
            <w:tcW w:w="1110" w:type="dxa"/>
          </w:tcPr>
          <w:p w14:paraId="5526636F">
            <w:pPr>
              <w:rPr>
                <w:color w:val="auto"/>
              </w:rPr>
            </w:pPr>
          </w:p>
        </w:tc>
        <w:tc>
          <w:tcPr>
            <w:tcW w:w="1111" w:type="dxa"/>
          </w:tcPr>
          <w:p w14:paraId="697A9A6D">
            <w:pPr>
              <w:rPr>
                <w:color w:val="auto"/>
              </w:rPr>
            </w:pPr>
          </w:p>
        </w:tc>
        <w:tc>
          <w:tcPr>
            <w:tcW w:w="1111" w:type="dxa"/>
          </w:tcPr>
          <w:p w14:paraId="00C65615">
            <w:pPr>
              <w:rPr>
                <w:color w:val="auto"/>
              </w:rPr>
            </w:pPr>
          </w:p>
        </w:tc>
        <w:tc>
          <w:tcPr>
            <w:tcW w:w="1111" w:type="dxa"/>
          </w:tcPr>
          <w:p w14:paraId="7A41D60D">
            <w:pPr>
              <w:rPr>
                <w:color w:val="auto"/>
              </w:rPr>
            </w:pPr>
          </w:p>
        </w:tc>
        <w:tc>
          <w:tcPr>
            <w:tcW w:w="1111" w:type="dxa"/>
          </w:tcPr>
          <w:p w14:paraId="7A081156">
            <w:pPr>
              <w:rPr>
                <w:color w:val="auto"/>
              </w:rPr>
            </w:pPr>
          </w:p>
        </w:tc>
        <w:tc>
          <w:tcPr>
            <w:tcW w:w="1110" w:type="dxa"/>
          </w:tcPr>
          <w:p w14:paraId="0297ACFA">
            <w:pPr>
              <w:rPr>
                <w:color w:val="auto"/>
              </w:rPr>
            </w:pPr>
          </w:p>
        </w:tc>
        <w:tc>
          <w:tcPr>
            <w:tcW w:w="1111" w:type="dxa"/>
          </w:tcPr>
          <w:p w14:paraId="716EE5AF">
            <w:pPr>
              <w:rPr>
                <w:color w:val="auto"/>
              </w:rPr>
            </w:pPr>
          </w:p>
        </w:tc>
        <w:tc>
          <w:tcPr>
            <w:tcW w:w="1111" w:type="dxa"/>
          </w:tcPr>
          <w:p w14:paraId="36662A0F">
            <w:pPr>
              <w:rPr>
                <w:color w:val="auto"/>
              </w:rPr>
            </w:pPr>
          </w:p>
        </w:tc>
        <w:tc>
          <w:tcPr>
            <w:tcW w:w="1026" w:type="dxa"/>
          </w:tcPr>
          <w:p w14:paraId="19C679CC">
            <w:pPr>
              <w:rPr>
                <w:color w:val="auto"/>
              </w:rPr>
            </w:pPr>
          </w:p>
        </w:tc>
        <w:tc>
          <w:tcPr>
            <w:tcW w:w="1202" w:type="dxa"/>
          </w:tcPr>
          <w:p w14:paraId="4AEE4B1D">
            <w:pPr>
              <w:rPr>
                <w:color w:val="auto"/>
              </w:rPr>
            </w:pPr>
          </w:p>
        </w:tc>
      </w:tr>
    </w:tbl>
    <w:p w14:paraId="7C432F5F">
      <w:pPr>
        <w:spacing w:before="274" w:line="220" w:lineRule="auto"/>
        <w:ind w:left="1700"/>
        <w:rPr>
          <w:rFonts w:ascii="宋体" w:hAnsi="宋体" w:eastAsia="宋体" w:cs="宋体"/>
          <w:color w:val="auto"/>
          <w:lang w:eastAsia="zh-CN"/>
        </w:rPr>
      </w:pPr>
      <w:r>
        <w:rPr>
          <w:rFonts w:ascii="宋体" w:hAnsi="宋体" w:eastAsia="宋体" w:cs="宋体"/>
          <w:color w:val="auto"/>
          <w:spacing w:val="-2"/>
          <w:lang w:eastAsia="zh-CN"/>
        </w:rPr>
        <w:t xml:space="preserve">技术标评委签名：                                            </w:t>
      </w:r>
      <w:r>
        <w:rPr>
          <w:rFonts w:ascii="宋体" w:hAnsi="宋体" w:eastAsia="宋体" w:cs="宋体"/>
          <w:color w:val="auto"/>
          <w:spacing w:val="-3"/>
          <w:lang w:eastAsia="zh-CN"/>
        </w:rPr>
        <w:t xml:space="preserve">                                    日期：        年     月    日</w:t>
      </w:r>
    </w:p>
    <w:p w14:paraId="7B00BEDD">
      <w:pPr>
        <w:spacing w:line="220" w:lineRule="auto"/>
        <w:rPr>
          <w:rFonts w:ascii="宋体" w:hAnsi="宋体" w:eastAsia="宋体" w:cs="宋体"/>
          <w:color w:val="auto"/>
          <w:lang w:eastAsia="zh-CN"/>
        </w:rPr>
        <w:sectPr>
          <w:footerReference r:id="rId97" w:type="default"/>
          <w:pgSz w:w="16839" w:h="11906"/>
          <w:pgMar w:top="400" w:right="535" w:bottom="1254" w:left="105" w:header="0" w:footer="985" w:gutter="0"/>
          <w:cols w:space="720" w:num="1"/>
        </w:sectPr>
      </w:pPr>
    </w:p>
    <w:p w14:paraId="65BA5B95">
      <w:pPr>
        <w:pStyle w:val="8"/>
        <w:spacing w:line="267" w:lineRule="auto"/>
        <w:rPr>
          <w:lang w:eastAsia="zh-CN"/>
        </w:rPr>
      </w:pPr>
    </w:p>
    <w:p w14:paraId="2A733CE3">
      <w:pPr>
        <w:pStyle w:val="8"/>
        <w:spacing w:line="267" w:lineRule="auto"/>
        <w:rPr>
          <w:lang w:eastAsia="zh-CN"/>
        </w:rPr>
      </w:pPr>
    </w:p>
    <w:p w14:paraId="4B472B01">
      <w:pPr>
        <w:pStyle w:val="8"/>
        <w:spacing w:line="267" w:lineRule="auto"/>
        <w:rPr>
          <w:lang w:eastAsia="zh-CN"/>
        </w:rPr>
      </w:pPr>
    </w:p>
    <w:p w14:paraId="79914CB1">
      <w:pPr>
        <w:pStyle w:val="8"/>
        <w:spacing w:line="267" w:lineRule="auto"/>
        <w:rPr>
          <w:lang w:eastAsia="zh-CN"/>
        </w:rPr>
      </w:pPr>
    </w:p>
    <w:p w14:paraId="221659B7">
      <w:pPr>
        <w:spacing w:before="78" w:line="222" w:lineRule="auto"/>
        <w:ind w:left="1831"/>
        <w:outlineLvl w:val="2"/>
        <w:rPr>
          <w:rFonts w:ascii="黑体" w:hAnsi="黑体" w:eastAsia="黑体" w:cs="黑体"/>
          <w:color w:val="auto"/>
          <w:sz w:val="24"/>
          <w:szCs w:val="24"/>
          <w:lang w:eastAsia="zh-CN"/>
        </w:rPr>
      </w:pPr>
      <w:bookmarkStart w:id="342" w:name="bookmark257"/>
      <w:bookmarkEnd w:id="342"/>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A-13</w:t>
      </w:r>
      <w:r>
        <w:rPr>
          <w:rFonts w:ascii="黑体" w:hAnsi="黑体" w:eastAsia="黑体" w:cs="黑体"/>
          <w:color w:val="auto"/>
          <w:spacing w:val="-3"/>
          <w:sz w:val="24"/>
          <w:szCs w:val="24"/>
          <w:lang w:eastAsia="zh-CN"/>
        </w:rPr>
        <w:t>：资信业绩评审记录表</w:t>
      </w:r>
    </w:p>
    <w:p w14:paraId="4CA575C6">
      <w:pPr>
        <w:spacing w:before="53" w:line="222" w:lineRule="auto"/>
        <w:ind w:left="6719"/>
        <w:rPr>
          <w:rFonts w:ascii="黑体" w:hAnsi="黑体" w:eastAsia="黑体" w:cs="黑体"/>
          <w:color w:val="auto"/>
          <w:sz w:val="36"/>
          <w:szCs w:val="36"/>
          <w:lang w:eastAsia="zh-CN"/>
        </w:rPr>
      </w:pPr>
      <w:bookmarkStart w:id="343" w:name="bookmark139"/>
      <w:bookmarkEnd w:id="343"/>
      <w:r>
        <w:rPr>
          <w:rFonts w:ascii="黑体" w:hAnsi="黑体" w:eastAsia="黑体" w:cs="黑体"/>
          <w:color w:val="auto"/>
          <w:spacing w:val="-3"/>
          <w:sz w:val="36"/>
          <w:szCs w:val="36"/>
          <w:lang w:eastAsia="zh-CN"/>
        </w:rPr>
        <w:t>资信业绩评审记录表</w:t>
      </w:r>
    </w:p>
    <w:p w14:paraId="04F4647F">
      <w:pPr>
        <w:spacing w:before="251"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7FFB4335">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13900" w:type="dxa"/>
        <w:tblInd w:w="13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6"/>
        <w:gridCol w:w="1810"/>
        <w:gridCol w:w="1355"/>
        <w:gridCol w:w="1356"/>
        <w:gridCol w:w="1356"/>
        <w:gridCol w:w="1355"/>
        <w:gridCol w:w="1356"/>
        <w:gridCol w:w="1356"/>
        <w:gridCol w:w="1363"/>
        <w:gridCol w:w="1797"/>
      </w:tblGrid>
      <w:tr w14:paraId="12C48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796" w:type="dxa"/>
            <w:vMerge w:val="restart"/>
            <w:tcBorders>
              <w:bottom w:val="nil"/>
            </w:tcBorders>
          </w:tcPr>
          <w:p w14:paraId="436EE29D">
            <w:pPr>
              <w:spacing w:line="259" w:lineRule="auto"/>
              <w:rPr>
                <w:color w:val="auto"/>
              </w:rPr>
            </w:pPr>
          </w:p>
          <w:p w14:paraId="672AC653">
            <w:pPr>
              <w:pStyle w:val="21"/>
              <w:spacing w:before="68" w:line="222" w:lineRule="auto"/>
              <w:ind w:left="187"/>
              <w:rPr>
                <w:color w:val="auto"/>
              </w:rPr>
            </w:pPr>
            <w:r>
              <w:rPr>
                <w:b/>
                <w:bCs/>
                <w:color w:val="auto"/>
                <w:spacing w:val="-6"/>
              </w:rPr>
              <w:t>序号</w:t>
            </w:r>
          </w:p>
        </w:tc>
        <w:tc>
          <w:tcPr>
            <w:tcW w:w="1810" w:type="dxa"/>
            <w:vMerge w:val="restart"/>
            <w:tcBorders>
              <w:bottom w:val="nil"/>
            </w:tcBorders>
          </w:tcPr>
          <w:p w14:paraId="71868068">
            <w:pPr>
              <w:spacing w:line="259" w:lineRule="auto"/>
              <w:rPr>
                <w:color w:val="auto"/>
              </w:rPr>
            </w:pPr>
          </w:p>
          <w:p w14:paraId="112F6349">
            <w:pPr>
              <w:pStyle w:val="21"/>
              <w:spacing w:before="69" w:line="221" w:lineRule="auto"/>
              <w:ind w:left="380"/>
              <w:rPr>
                <w:color w:val="auto"/>
              </w:rPr>
            </w:pPr>
            <w:r>
              <w:rPr>
                <w:b/>
                <w:bCs/>
                <w:color w:val="auto"/>
                <w:spacing w:val="-4"/>
              </w:rPr>
              <w:t>投标人名称</w:t>
            </w:r>
          </w:p>
        </w:tc>
        <w:tc>
          <w:tcPr>
            <w:tcW w:w="9497" w:type="dxa"/>
            <w:gridSpan w:val="7"/>
          </w:tcPr>
          <w:p w14:paraId="271DF2A7">
            <w:pPr>
              <w:pStyle w:val="21"/>
              <w:spacing w:before="111" w:line="220" w:lineRule="auto"/>
              <w:ind w:left="4013"/>
              <w:rPr>
                <w:color w:val="auto"/>
              </w:rPr>
            </w:pPr>
            <w:r>
              <w:rPr>
                <w:b/>
                <w:bCs/>
                <w:color w:val="auto"/>
                <w:spacing w:val="-3"/>
              </w:rPr>
              <w:t>评委姓名及得分</w:t>
            </w:r>
          </w:p>
        </w:tc>
        <w:tc>
          <w:tcPr>
            <w:tcW w:w="1797" w:type="dxa"/>
            <w:vMerge w:val="restart"/>
            <w:tcBorders>
              <w:bottom w:val="nil"/>
            </w:tcBorders>
          </w:tcPr>
          <w:p w14:paraId="2E942F3E">
            <w:pPr>
              <w:pStyle w:val="21"/>
              <w:spacing w:before="194" w:line="241" w:lineRule="auto"/>
              <w:ind w:left="484" w:right="470" w:firstLine="6"/>
              <w:rPr>
                <w:color w:val="auto"/>
              </w:rPr>
            </w:pPr>
            <w:r>
              <w:rPr>
                <w:b/>
                <w:bCs/>
                <w:color w:val="auto"/>
                <w:spacing w:val="-6"/>
              </w:rPr>
              <w:t>资信业绩</w:t>
            </w:r>
            <w:r>
              <w:rPr>
                <w:b/>
                <w:bCs/>
                <w:color w:val="auto"/>
                <w:spacing w:val="-5"/>
              </w:rPr>
              <w:t>最终得分</w:t>
            </w:r>
          </w:p>
        </w:tc>
      </w:tr>
      <w:tr w14:paraId="1C88A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796" w:type="dxa"/>
            <w:vMerge w:val="continue"/>
            <w:tcBorders>
              <w:top w:val="nil"/>
            </w:tcBorders>
          </w:tcPr>
          <w:p w14:paraId="6579EAF8">
            <w:pPr>
              <w:rPr>
                <w:color w:val="auto"/>
              </w:rPr>
            </w:pPr>
          </w:p>
        </w:tc>
        <w:tc>
          <w:tcPr>
            <w:tcW w:w="1810" w:type="dxa"/>
            <w:vMerge w:val="continue"/>
            <w:tcBorders>
              <w:top w:val="nil"/>
            </w:tcBorders>
          </w:tcPr>
          <w:p w14:paraId="210F5F47">
            <w:pPr>
              <w:rPr>
                <w:color w:val="auto"/>
              </w:rPr>
            </w:pPr>
          </w:p>
        </w:tc>
        <w:tc>
          <w:tcPr>
            <w:tcW w:w="1355" w:type="dxa"/>
          </w:tcPr>
          <w:p w14:paraId="13FBF4DA">
            <w:pPr>
              <w:pStyle w:val="21"/>
              <w:spacing w:before="106" w:line="221" w:lineRule="auto"/>
              <w:ind w:left="387"/>
              <w:rPr>
                <w:color w:val="auto"/>
              </w:rPr>
            </w:pPr>
            <w:r>
              <w:rPr>
                <w:b/>
                <w:bCs/>
                <w:color w:val="auto"/>
                <w:spacing w:val="-5"/>
              </w:rPr>
              <w:t>评委1</w:t>
            </w:r>
          </w:p>
        </w:tc>
        <w:tc>
          <w:tcPr>
            <w:tcW w:w="1356" w:type="dxa"/>
          </w:tcPr>
          <w:p w14:paraId="0B4B45A0">
            <w:pPr>
              <w:pStyle w:val="21"/>
              <w:spacing w:before="106" w:line="221" w:lineRule="auto"/>
              <w:ind w:left="388"/>
              <w:rPr>
                <w:color w:val="auto"/>
              </w:rPr>
            </w:pPr>
            <w:r>
              <w:rPr>
                <w:b/>
                <w:bCs/>
                <w:color w:val="auto"/>
                <w:spacing w:val="-5"/>
              </w:rPr>
              <w:t>评委2</w:t>
            </w:r>
          </w:p>
        </w:tc>
        <w:tc>
          <w:tcPr>
            <w:tcW w:w="1356" w:type="dxa"/>
          </w:tcPr>
          <w:p w14:paraId="1A272AFC">
            <w:pPr>
              <w:pStyle w:val="21"/>
              <w:spacing w:before="106" w:line="311" w:lineRule="exact"/>
              <w:ind w:left="483"/>
              <w:rPr>
                <w:color w:val="auto"/>
              </w:rPr>
            </w:pPr>
            <w:r>
              <w:rPr>
                <w:b/>
                <w:bCs/>
                <w:color w:val="auto"/>
                <w:spacing w:val="-13"/>
                <w:position w:val="2"/>
              </w:rPr>
              <w:t>……</w:t>
            </w:r>
          </w:p>
        </w:tc>
        <w:tc>
          <w:tcPr>
            <w:tcW w:w="1355" w:type="dxa"/>
          </w:tcPr>
          <w:p w14:paraId="6B6B68A1">
            <w:pPr>
              <w:rPr>
                <w:color w:val="auto"/>
              </w:rPr>
            </w:pPr>
          </w:p>
        </w:tc>
        <w:tc>
          <w:tcPr>
            <w:tcW w:w="1356" w:type="dxa"/>
          </w:tcPr>
          <w:p w14:paraId="0E9FB7C5">
            <w:pPr>
              <w:rPr>
                <w:color w:val="auto"/>
              </w:rPr>
            </w:pPr>
          </w:p>
        </w:tc>
        <w:tc>
          <w:tcPr>
            <w:tcW w:w="1356" w:type="dxa"/>
          </w:tcPr>
          <w:p w14:paraId="72A833ED">
            <w:pPr>
              <w:rPr>
                <w:color w:val="auto"/>
              </w:rPr>
            </w:pPr>
          </w:p>
        </w:tc>
        <w:tc>
          <w:tcPr>
            <w:tcW w:w="1363" w:type="dxa"/>
          </w:tcPr>
          <w:p w14:paraId="2986D868">
            <w:pPr>
              <w:rPr>
                <w:color w:val="auto"/>
              </w:rPr>
            </w:pPr>
          </w:p>
        </w:tc>
        <w:tc>
          <w:tcPr>
            <w:tcW w:w="1797" w:type="dxa"/>
            <w:vMerge w:val="continue"/>
            <w:tcBorders>
              <w:top w:val="nil"/>
            </w:tcBorders>
          </w:tcPr>
          <w:p w14:paraId="634E8E41">
            <w:pPr>
              <w:rPr>
                <w:color w:val="auto"/>
              </w:rPr>
            </w:pPr>
          </w:p>
        </w:tc>
      </w:tr>
      <w:tr w14:paraId="10B73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64159D9E">
            <w:pPr>
              <w:pStyle w:val="21"/>
              <w:spacing w:before="183" w:line="242" w:lineRule="auto"/>
              <w:ind w:left="362"/>
              <w:rPr>
                <w:color w:val="auto"/>
              </w:rPr>
            </w:pPr>
            <w:r>
              <w:rPr>
                <w:color w:val="auto"/>
              </w:rPr>
              <w:t>1</w:t>
            </w:r>
          </w:p>
        </w:tc>
        <w:tc>
          <w:tcPr>
            <w:tcW w:w="1810" w:type="dxa"/>
          </w:tcPr>
          <w:p w14:paraId="607216C2">
            <w:pPr>
              <w:rPr>
                <w:color w:val="auto"/>
              </w:rPr>
            </w:pPr>
          </w:p>
        </w:tc>
        <w:tc>
          <w:tcPr>
            <w:tcW w:w="1355" w:type="dxa"/>
          </w:tcPr>
          <w:p w14:paraId="0B4EF413">
            <w:pPr>
              <w:rPr>
                <w:color w:val="auto"/>
              </w:rPr>
            </w:pPr>
          </w:p>
        </w:tc>
        <w:tc>
          <w:tcPr>
            <w:tcW w:w="1356" w:type="dxa"/>
          </w:tcPr>
          <w:p w14:paraId="02A8F803">
            <w:pPr>
              <w:rPr>
                <w:color w:val="auto"/>
              </w:rPr>
            </w:pPr>
          </w:p>
        </w:tc>
        <w:tc>
          <w:tcPr>
            <w:tcW w:w="1356" w:type="dxa"/>
          </w:tcPr>
          <w:p w14:paraId="03B08FAD">
            <w:pPr>
              <w:rPr>
                <w:color w:val="auto"/>
              </w:rPr>
            </w:pPr>
          </w:p>
        </w:tc>
        <w:tc>
          <w:tcPr>
            <w:tcW w:w="1355" w:type="dxa"/>
          </w:tcPr>
          <w:p w14:paraId="70D42C09">
            <w:pPr>
              <w:rPr>
                <w:color w:val="auto"/>
              </w:rPr>
            </w:pPr>
          </w:p>
        </w:tc>
        <w:tc>
          <w:tcPr>
            <w:tcW w:w="1356" w:type="dxa"/>
          </w:tcPr>
          <w:p w14:paraId="79F6F5DA">
            <w:pPr>
              <w:rPr>
                <w:color w:val="auto"/>
              </w:rPr>
            </w:pPr>
          </w:p>
        </w:tc>
        <w:tc>
          <w:tcPr>
            <w:tcW w:w="1356" w:type="dxa"/>
          </w:tcPr>
          <w:p w14:paraId="31C61709">
            <w:pPr>
              <w:rPr>
                <w:color w:val="auto"/>
              </w:rPr>
            </w:pPr>
          </w:p>
        </w:tc>
        <w:tc>
          <w:tcPr>
            <w:tcW w:w="1363" w:type="dxa"/>
          </w:tcPr>
          <w:p w14:paraId="54AFAD34">
            <w:pPr>
              <w:rPr>
                <w:color w:val="auto"/>
              </w:rPr>
            </w:pPr>
          </w:p>
        </w:tc>
        <w:tc>
          <w:tcPr>
            <w:tcW w:w="1797" w:type="dxa"/>
          </w:tcPr>
          <w:p w14:paraId="32F16B3F">
            <w:pPr>
              <w:rPr>
                <w:color w:val="auto"/>
              </w:rPr>
            </w:pPr>
          </w:p>
        </w:tc>
      </w:tr>
      <w:tr w14:paraId="4435D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389EA581">
            <w:pPr>
              <w:pStyle w:val="21"/>
              <w:spacing w:before="184" w:line="242" w:lineRule="auto"/>
              <w:ind w:left="349"/>
              <w:rPr>
                <w:color w:val="auto"/>
              </w:rPr>
            </w:pPr>
            <w:r>
              <w:rPr>
                <w:color w:val="auto"/>
              </w:rPr>
              <w:t>2</w:t>
            </w:r>
          </w:p>
        </w:tc>
        <w:tc>
          <w:tcPr>
            <w:tcW w:w="1810" w:type="dxa"/>
          </w:tcPr>
          <w:p w14:paraId="3FFBFA7C">
            <w:pPr>
              <w:rPr>
                <w:color w:val="auto"/>
              </w:rPr>
            </w:pPr>
          </w:p>
        </w:tc>
        <w:tc>
          <w:tcPr>
            <w:tcW w:w="1355" w:type="dxa"/>
          </w:tcPr>
          <w:p w14:paraId="4BC2011E">
            <w:pPr>
              <w:rPr>
                <w:color w:val="auto"/>
              </w:rPr>
            </w:pPr>
          </w:p>
        </w:tc>
        <w:tc>
          <w:tcPr>
            <w:tcW w:w="1356" w:type="dxa"/>
          </w:tcPr>
          <w:p w14:paraId="047CF3AB">
            <w:pPr>
              <w:rPr>
                <w:color w:val="auto"/>
              </w:rPr>
            </w:pPr>
          </w:p>
        </w:tc>
        <w:tc>
          <w:tcPr>
            <w:tcW w:w="1356" w:type="dxa"/>
          </w:tcPr>
          <w:p w14:paraId="67299BF3">
            <w:pPr>
              <w:rPr>
                <w:color w:val="auto"/>
              </w:rPr>
            </w:pPr>
          </w:p>
        </w:tc>
        <w:tc>
          <w:tcPr>
            <w:tcW w:w="1355" w:type="dxa"/>
          </w:tcPr>
          <w:p w14:paraId="30D71DD6">
            <w:pPr>
              <w:rPr>
                <w:color w:val="auto"/>
              </w:rPr>
            </w:pPr>
          </w:p>
        </w:tc>
        <w:tc>
          <w:tcPr>
            <w:tcW w:w="1356" w:type="dxa"/>
          </w:tcPr>
          <w:p w14:paraId="3295FFE6">
            <w:pPr>
              <w:rPr>
                <w:color w:val="auto"/>
              </w:rPr>
            </w:pPr>
          </w:p>
        </w:tc>
        <w:tc>
          <w:tcPr>
            <w:tcW w:w="1356" w:type="dxa"/>
          </w:tcPr>
          <w:p w14:paraId="0B764DC9">
            <w:pPr>
              <w:rPr>
                <w:color w:val="auto"/>
              </w:rPr>
            </w:pPr>
          </w:p>
        </w:tc>
        <w:tc>
          <w:tcPr>
            <w:tcW w:w="1363" w:type="dxa"/>
          </w:tcPr>
          <w:p w14:paraId="653EDA22">
            <w:pPr>
              <w:rPr>
                <w:color w:val="auto"/>
              </w:rPr>
            </w:pPr>
          </w:p>
        </w:tc>
        <w:tc>
          <w:tcPr>
            <w:tcW w:w="1797" w:type="dxa"/>
          </w:tcPr>
          <w:p w14:paraId="0DF39A81">
            <w:pPr>
              <w:rPr>
                <w:color w:val="auto"/>
              </w:rPr>
            </w:pPr>
          </w:p>
        </w:tc>
      </w:tr>
      <w:tr w14:paraId="30639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757B4D49">
            <w:pPr>
              <w:pStyle w:val="21"/>
              <w:spacing w:before="185"/>
              <w:ind w:left="350"/>
              <w:rPr>
                <w:color w:val="auto"/>
              </w:rPr>
            </w:pPr>
            <w:r>
              <w:rPr>
                <w:color w:val="auto"/>
              </w:rPr>
              <w:t>3</w:t>
            </w:r>
          </w:p>
        </w:tc>
        <w:tc>
          <w:tcPr>
            <w:tcW w:w="1810" w:type="dxa"/>
          </w:tcPr>
          <w:p w14:paraId="1683B390">
            <w:pPr>
              <w:rPr>
                <w:color w:val="auto"/>
              </w:rPr>
            </w:pPr>
          </w:p>
        </w:tc>
        <w:tc>
          <w:tcPr>
            <w:tcW w:w="1355" w:type="dxa"/>
          </w:tcPr>
          <w:p w14:paraId="0D5A9B49">
            <w:pPr>
              <w:rPr>
                <w:color w:val="auto"/>
              </w:rPr>
            </w:pPr>
          </w:p>
        </w:tc>
        <w:tc>
          <w:tcPr>
            <w:tcW w:w="1356" w:type="dxa"/>
          </w:tcPr>
          <w:p w14:paraId="0F18AC08">
            <w:pPr>
              <w:rPr>
                <w:color w:val="auto"/>
              </w:rPr>
            </w:pPr>
          </w:p>
        </w:tc>
        <w:tc>
          <w:tcPr>
            <w:tcW w:w="1356" w:type="dxa"/>
          </w:tcPr>
          <w:p w14:paraId="5D0A1680">
            <w:pPr>
              <w:rPr>
                <w:color w:val="auto"/>
              </w:rPr>
            </w:pPr>
          </w:p>
        </w:tc>
        <w:tc>
          <w:tcPr>
            <w:tcW w:w="1355" w:type="dxa"/>
          </w:tcPr>
          <w:p w14:paraId="533E1540">
            <w:pPr>
              <w:rPr>
                <w:color w:val="auto"/>
              </w:rPr>
            </w:pPr>
          </w:p>
        </w:tc>
        <w:tc>
          <w:tcPr>
            <w:tcW w:w="1356" w:type="dxa"/>
          </w:tcPr>
          <w:p w14:paraId="0FCC4E5F">
            <w:pPr>
              <w:rPr>
                <w:color w:val="auto"/>
              </w:rPr>
            </w:pPr>
          </w:p>
        </w:tc>
        <w:tc>
          <w:tcPr>
            <w:tcW w:w="1356" w:type="dxa"/>
          </w:tcPr>
          <w:p w14:paraId="7A8E8A5A">
            <w:pPr>
              <w:rPr>
                <w:color w:val="auto"/>
              </w:rPr>
            </w:pPr>
          </w:p>
        </w:tc>
        <w:tc>
          <w:tcPr>
            <w:tcW w:w="1363" w:type="dxa"/>
          </w:tcPr>
          <w:p w14:paraId="017C2370">
            <w:pPr>
              <w:rPr>
                <w:color w:val="auto"/>
              </w:rPr>
            </w:pPr>
          </w:p>
        </w:tc>
        <w:tc>
          <w:tcPr>
            <w:tcW w:w="1797" w:type="dxa"/>
          </w:tcPr>
          <w:p w14:paraId="5F08640F">
            <w:pPr>
              <w:rPr>
                <w:color w:val="auto"/>
              </w:rPr>
            </w:pPr>
          </w:p>
        </w:tc>
      </w:tr>
      <w:tr w14:paraId="5D3E2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32D86064">
            <w:pPr>
              <w:pStyle w:val="21"/>
              <w:spacing w:before="186" w:line="242" w:lineRule="auto"/>
              <w:ind w:left="345"/>
              <w:rPr>
                <w:color w:val="auto"/>
              </w:rPr>
            </w:pPr>
            <w:r>
              <w:rPr>
                <w:color w:val="auto"/>
              </w:rPr>
              <w:t>4</w:t>
            </w:r>
          </w:p>
        </w:tc>
        <w:tc>
          <w:tcPr>
            <w:tcW w:w="1810" w:type="dxa"/>
          </w:tcPr>
          <w:p w14:paraId="476D966B">
            <w:pPr>
              <w:rPr>
                <w:color w:val="auto"/>
              </w:rPr>
            </w:pPr>
          </w:p>
        </w:tc>
        <w:tc>
          <w:tcPr>
            <w:tcW w:w="1355" w:type="dxa"/>
          </w:tcPr>
          <w:p w14:paraId="69E3F0D5">
            <w:pPr>
              <w:rPr>
                <w:color w:val="auto"/>
              </w:rPr>
            </w:pPr>
          </w:p>
        </w:tc>
        <w:tc>
          <w:tcPr>
            <w:tcW w:w="1356" w:type="dxa"/>
          </w:tcPr>
          <w:p w14:paraId="2B5E8760">
            <w:pPr>
              <w:rPr>
                <w:color w:val="auto"/>
              </w:rPr>
            </w:pPr>
          </w:p>
        </w:tc>
        <w:tc>
          <w:tcPr>
            <w:tcW w:w="1356" w:type="dxa"/>
          </w:tcPr>
          <w:p w14:paraId="66CE2546">
            <w:pPr>
              <w:rPr>
                <w:color w:val="auto"/>
              </w:rPr>
            </w:pPr>
          </w:p>
        </w:tc>
        <w:tc>
          <w:tcPr>
            <w:tcW w:w="1355" w:type="dxa"/>
          </w:tcPr>
          <w:p w14:paraId="660F4675">
            <w:pPr>
              <w:rPr>
                <w:color w:val="auto"/>
              </w:rPr>
            </w:pPr>
          </w:p>
        </w:tc>
        <w:tc>
          <w:tcPr>
            <w:tcW w:w="1356" w:type="dxa"/>
          </w:tcPr>
          <w:p w14:paraId="245C444F">
            <w:pPr>
              <w:rPr>
                <w:color w:val="auto"/>
              </w:rPr>
            </w:pPr>
          </w:p>
        </w:tc>
        <w:tc>
          <w:tcPr>
            <w:tcW w:w="1356" w:type="dxa"/>
          </w:tcPr>
          <w:p w14:paraId="125E5581">
            <w:pPr>
              <w:rPr>
                <w:color w:val="auto"/>
              </w:rPr>
            </w:pPr>
          </w:p>
        </w:tc>
        <w:tc>
          <w:tcPr>
            <w:tcW w:w="1363" w:type="dxa"/>
          </w:tcPr>
          <w:p w14:paraId="0AB53B5A">
            <w:pPr>
              <w:rPr>
                <w:color w:val="auto"/>
              </w:rPr>
            </w:pPr>
          </w:p>
        </w:tc>
        <w:tc>
          <w:tcPr>
            <w:tcW w:w="1797" w:type="dxa"/>
          </w:tcPr>
          <w:p w14:paraId="4083F31E">
            <w:pPr>
              <w:rPr>
                <w:color w:val="auto"/>
              </w:rPr>
            </w:pPr>
          </w:p>
        </w:tc>
      </w:tr>
      <w:tr w14:paraId="4ADFC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726A5078">
            <w:pPr>
              <w:pStyle w:val="21"/>
              <w:spacing w:before="187"/>
              <w:ind w:left="350"/>
              <w:rPr>
                <w:color w:val="auto"/>
              </w:rPr>
            </w:pPr>
            <w:r>
              <w:rPr>
                <w:color w:val="auto"/>
              </w:rPr>
              <w:t>5</w:t>
            </w:r>
          </w:p>
        </w:tc>
        <w:tc>
          <w:tcPr>
            <w:tcW w:w="1810" w:type="dxa"/>
          </w:tcPr>
          <w:p w14:paraId="39B39CEA">
            <w:pPr>
              <w:rPr>
                <w:color w:val="auto"/>
              </w:rPr>
            </w:pPr>
          </w:p>
        </w:tc>
        <w:tc>
          <w:tcPr>
            <w:tcW w:w="1355" w:type="dxa"/>
          </w:tcPr>
          <w:p w14:paraId="7771B011">
            <w:pPr>
              <w:rPr>
                <w:color w:val="auto"/>
              </w:rPr>
            </w:pPr>
          </w:p>
        </w:tc>
        <w:tc>
          <w:tcPr>
            <w:tcW w:w="1356" w:type="dxa"/>
          </w:tcPr>
          <w:p w14:paraId="43A85ADA">
            <w:pPr>
              <w:rPr>
                <w:color w:val="auto"/>
              </w:rPr>
            </w:pPr>
          </w:p>
        </w:tc>
        <w:tc>
          <w:tcPr>
            <w:tcW w:w="1356" w:type="dxa"/>
          </w:tcPr>
          <w:p w14:paraId="4E55E24A">
            <w:pPr>
              <w:rPr>
                <w:color w:val="auto"/>
              </w:rPr>
            </w:pPr>
          </w:p>
        </w:tc>
        <w:tc>
          <w:tcPr>
            <w:tcW w:w="1355" w:type="dxa"/>
          </w:tcPr>
          <w:p w14:paraId="3E3E07B4">
            <w:pPr>
              <w:rPr>
                <w:color w:val="auto"/>
              </w:rPr>
            </w:pPr>
          </w:p>
        </w:tc>
        <w:tc>
          <w:tcPr>
            <w:tcW w:w="1356" w:type="dxa"/>
          </w:tcPr>
          <w:p w14:paraId="7CFD4CA5">
            <w:pPr>
              <w:rPr>
                <w:color w:val="auto"/>
              </w:rPr>
            </w:pPr>
          </w:p>
        </w:tc>
        <w:tc>
          <w:tcPr>
            <w:tcW w:w="1356" w:type="dxa"/>
          </w:tcPr>
          <w:p w14:paraId="71EF9FFB">
            <w:pPr>
              <w:rPr>
                <w:color w:val="auto"/>
              </w:rPr>
            </w:pPr>
          </w:p>
        </w:tc>
        <w:tc>
          <w:tcPr>
            <w:tcW w:w="1363" w:type="dxa"/>
          </w:tcPr>
          <w:p w14:paraId="3774EBB0">
            <w:pPr>
              <w:rPr>
                <w:color w:val="auto"/>
              </w:rPr>
            </w:pPr>
          </w:p>
        </w:tc>
        <w:tc>
          <w:tcPr>
            <w:tcW w:w="1797" w:type="dxa"/>
          </w:tcPr>
          <w:p w14:paraId="6300EBCA">
            <w:pPr>
              <w:rPr>
                <w:color w:val="auto"/>
              </w:rPr>
            </w:pPr>
          </w:p>
        </w:tc>
      </w:tr>
      <w:tr w14:paraId="173A9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1F05CB05">
            <w:pPr>
              <w:pStyle w:val="21"/>
              <w:spacing w:before="188"/>
              <w:ind w:left="348"/>
              <w:rPr>
                <w:color w:val="auto"/>
              </w:rPr>
            </w:pPr>
            <w:r>
              <w:rPr>
                <w:color w:val="auto"/>
              </w:rPr>
              <w:t>6</w:t>
            </w:r>
          </w:p>
        </w:tc>
        <w:tc>
          <w:tcPr>
            <w:tcW w:w="1810" w:type="dxa"/>
          </w:tcPr>
          <w:p w14:paraId="6BF7F91B">
            <w:pPr>
              <w:rPr>
                <w:color w:val="auto"/>
              </w:rPr>
            </w:pPr>
          </w:p>
        </w:tc>
        <w:tc>
          <w:tcPr>
            <w:tcW w:w="1355" w:type="dxa"/>
          </w:tcPr>
          <w:p w14:paraId="1679F2F3">
            <w:pPr>
              <w:rPr>
                <w:color w:val="auto"/>
              </w:rPr>
            </w:pPr>
          </w:p>
        </w:tc>
        <w:tc>
          <w:tcPr>
            <w:tcW w:w="1356" w:type="dxa"/>
          </w:tcPr>
          <w:p w14:paraId="58362033">
            <w:pPr>
              <w:rPr>
                <w:color w:val="auto"/>
              </w:rPr>
            </w:pPr>
          </w:p>
        </w:tc>
        <w:tc>
          <w:tcPr>
            <w:tcW w:w="1356" w:type="dxa"/>
          </w:tcPr>
          <w:p w14:paraId="564C7818">
            <w:pPr>
              <w:rPr>
                <w:color w:val="auto"/>
              </w:rPr>
            </w:pPr>
          </w:p>
        </w:tc>
        <w:tc>
          <w:tcPr>
            <w:tcW w:w="1355" w:type="dxa"/>
          </w:tcPr>
          <w:p w14:paraId="617BE13B">
            <w:pPr>
              <w:rPr>
                <w:color w:val="auto"/>
              </w:rPr>
            </w:pPr>
          </w:p>
        </w:tc>
        <w:tc>
          <w:tcPr>
            <w:tcW w:w="1356" w:type="dxa"/>
          </w:tcPr>
          <w:p w14:paraId="30255B43">
            <w:pPr>
              <w:rPr>
                <w:color w:val="auto"/>
              </w:rPr>
            </w:pPr>
          </w:p>
        </w:tc>
        <w:tc>
          <w:tcPr>
            <w:tcW w:w="1356" w:type="dxa"/>
          </w:tcPr>
          <w:p w14:paraId="22D63255">
            <w:pPr>
              <w:rPr>
                <w:color w:val="auto"/>
              </w:rPr>
            </w:pPr>
          </w:p>
        </w:tc>
        <w:tc>
          <w:tcPr>
            <w:tcW w:w="1363" w:type="dxa"/>
          </w:tcPr>
          <w:p w14:paraId="1247F478">
            <w:pPr>
              <w:rPr>
                <w:color w:val="auto"/>
              </w:rPr>
            </w:pPr>
          </w:p>
        </w:tc>
        <w:tc>
          <w:tcPr>
            <w:tcW w:w="1797" w:type="dxa"/>
          </w:tcPr>
          <w:p w14:paraId="798136AB">
            <w:pPr>
              <w:rPr>
                <w:color w:val="auto"/>
              </w:rPr>
            </w:pPr>
          </w:p>
        </w:tc>
      </w:tr>
      <w:tr w14:paraId="2D2D6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796" w:type="dxa"/>
          </w:tcPr>
          <w:p w14:paraId="3E429BD0">
            <w:pPr>
              <w:pStyle w:val="21"/>
              <w:spacing w:before="189" w:line="331" w:lineRule="exact"/>
              <w:ind w:left="202"/>
              <w:rPr>
                <w:color w:val="auto"/>
              </w:rPr>
            </w:pPr>
            <w:r>
              <w:rPr>
                <w:color w:val="auto"/>
                <w:spacing w:val="-6"/>
                <w:position w:val="2"/>
              </w:rPr>
              <w:t>……</w:t>
            </w:r>
          </w:p>
        </w:tc>
        <w:tc>
          <w:tcPr>
            <w:tcW w:w="1810" w:type="dxa"/>
          </w:tcPr>
          <w:p w14:paraId="332F8B36">
            <w:pPr>
              <w:rPr>
                <w:color w:val="auto"/>
              </w:rPr>
            </w:pPr>
          </w:p>
        </w:tc>
        <w:tc>
          <w:tcPr>
            <w:tcW w:w="1355" w:type="dxa"/>
          </w:tcPr>
          <w:p w14:paraId="0AFD8FE2">
            <w:pPr>
              <w:rPr>
                <w:color w:val="auto"/>
              </w:rPr>
            </w:pPr>
          </w:p>
        </w:tc>
        <w:tc>
          <w:tcPr>
            <w:tcW w:w="1356" w:type="dxa"/>
          </w:tcPr>
          <w:p w14:paraId="5AF91D11">
            <w:pPr>
              <w:rPr>
                <w:color w:val="auto"/>
              </w:rPr>
            </w:pPr>
          </w:p>
        </w:tc>
        <w:tc>
          <w:tcPr>
            <w:tcW w:w="1356" w:type="dxa"/>
          </w:tcPr>
          <w:p w14:paraId="7258B3BA">
            <w:pPr>
              <w:rPr>
                <w:color w:val="auto"/>
              </w:rPr>
            </w:pPr>
          </w:p>
        </w:tc>
        <w:tc>
          <w:tcPr>
            <w:tcW w:w="1355" w:type="dxa"/>
          </w:tcPr>
          <w:p w14:paraId="67BB136B">
            <w:pPr>
              <w:rPr>
                <w:color w:val="auto"/>
              </w:rPr>
            </w:pPr>
          </w:p>
        </w:tc>
        <w:tc>
          <w:tcPr>
            <w:tcW w:w="1356" w:type="dxa"/>
          </w:tcPr>
          <w:p w14:paraId="22BBB920">
            <w:pPr>
              <w:rPr>
                <w:color w:val="auto"/>
              </w:rPr>
            </w:pPr>
          </w:p>
        </w:tc>
        <w:tc>
          <w:tcPr>
            <w:tcW w:w="1356" w:type="dxa"/>
          </w:tcPr>
          <w:p w14:paraId="0C6A597C">
            <w:pPr>
              <w:rPr>
                <w:color w:val="auto"/>
              </w:rPr>
            </w:pPr>
          </w:p>
        </w:tc>
        <w:tc>
          <w:tcPr>
            <w:tcW w:w="1363" w:type="dxa"/>
          </w:tcPr>
          <w:p w14:paraId="40672E2C">
            <w:pPr>
              <w:rPr>
                <w:color w:val="auto"/>
              </w:rPr>
            </w:pPr>
          </w:p>
        </w:tc>
        <w:tc>
          <w:tcPr>
            <w:tcW w:w="1797" w:type="dxa"/>
          </w:tcPr>
          <w:p w14:paraId="62D36C98">
            <w:pPr>
              <w:rPr>
                <w:color w:val="auto"/>
              </w:rPr>
            </w:pPr>
          </w:p>
        </w:tc>
      </w:tr>
      <w:tr w14:paraId="2A227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13900" w:type="dxa"/>
            <w:gridSpan w:val="10"/>
          </w:tcPr>
          <w:p w14:paraId="57B6B55B">
            <w:pPr>
              <w:pStyle w:val="21"/>
              <w:spacing w:before="37" w:line="220" w:lineRule="auto"/>
              <w:ind w:left="120"/>
              <w:rPr>
                <w:color w:val="auto"/>
              </w:rPr>
            </w:pPr>
            <w:r>
              <w:rPr>
                <w:color w:val="auto"/>
                <w:spacing w:val="-7"/>
              </w:rPr>
              <w:t>资信业绩评委签名：</w:t>
            </w:r>
          </w:p>
        </w:tc>
      </w:tr>
    </w:tbl>
    <w:p w14:paraId="137245E9">
      <w:pPr>
        <w:spacing w:before="305" w:line="220" w:lineRule="auto"/>
        <w:ind w:left="12039"/>
        <w:rPr>
          <w:rFonts w:ascii="宋体" w:hAnsi="宋体" w:eastAsia="宋体" w:cs="宋体"/>
          <w:color w:val="auto"/>
        </w:rPr>
      </w:pPr>
      <w:r>
        <w:rPr>
          <w:rFonts w:ascii="宋体" w:hAnsi="宋体" w:eastAsia="宋体" w:cs="宋体"/>
          <w:color w:val="auto"/>
          <w:spacing w:val="-12"/>
        </w:rPr>
        <w:t>日期：年月日</w:t>
      </w:r>
    </w:p>
    <w:p w14:paraId="3A0E13F9">
      <w:pPr>
        <w:spacing w:line="220" w:lineRule="auto"/>
        <w:rPr>
          <w:rFonts w:ascii="宋体" w:hAnsi="宋体" w:eastAsia="宋体" w:cs="宋体"/>
          <w:color w:val="auto"/>
        </w:rPr>
        <w:sectPr>
          <w:footerReference r:id="rId98" w:type="default"/>
          <w:pgSz w:w="16839" w:h="11906"/>
          <w:pgMar w:top="400" w:right="535" w:bottom="1254" w:left="105" w:header="0" w:footer="985" w:gutter="0"/>
          <w:cols w:space="720" w:num="1"/>
        </w:sectPr>
      </w:pPr>
    </w:p>
    <w:p w14:paraId="168C33A6">
      <w:pPr>
        <w:pStyle w:val="8"/>
        <w:spacing w:line="267" w:lineRule="auto"/>
      </w:pPr>
    </w:p>
    <w:p w14:paraId="57246209">
      <w:pPr>
        <w:pStyle w:val="8"/>
        <w:spacing w:line="267" w:lineRule="auto"/>
      </w:pPr>
    </w:p>
    <w:p w14:paraId="356AA50C">
      <w:pPr>
        <w:pStyle w:val="8"/>
        <w:spacing w:line="267" w:lineRule="auto"/>
      </w:pPr>
    </w:p>
    <w:p w14:paraId="78D37AA3">
      <w:pPr>
        <w:pStyle w:val="8"/>
        <w:spacing w:line="267" w:lineRule="auto"/>
      </w:pPr>
    </w:p>
    <w:p w14:paraId="1DCEB339">
      <w:pPr>
        <w:spacing w:before="78" w:line="222" w:lineRule="auto"/>
        <w:ind w:left="1831"/>
        <w:outlineLvl w:val="2"/>
        <w:rPr>
          <w:rFonts w:ascii="黑体" w:hAnsi="黑体" w:eastAsia="黑体" w:cs="黑体"/>
          <w:color w:val="auto"/>
          <w:sz w:val="24"/>
          <w:szCs w:val="24"/>
          <w:lang w:eastAsia="zh-CN"/>
        </w:rPr>
      </w:pPr>
      <w:bookmarkStart w:id="344" w:name="bookmark258"/>
      <w:bookmarkEnd w:id="344"/>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A-14</w:t>
      </w:r>
      <w:r>
        <w:rPr>
          <w:rFonts w:ascii="黑体" w:hAnsi="黑体" w:eastAsia="黑体" w:cs="黑体"/>
          <w:color w:val="auto"/>
          <w:spacing w:val="-3"/>
          <w:sz w:val="24"/>
          <w:szCs w:val="24"/>
          <w:lang w:eastAsia="zh-CN"/>
        </w:rPr>
        <w:t>：其他因素评审记录表</w:t>
      </w:r>
    </w:p>
    <w:p w14:paraId="0F54C827">
      <w:pPr>
        <w:spacing w:before="53" w:line="222" w:lineRule="auto"/>
        <w:ind w:left="6711"/>
        <w:rPr>
          <w:rFonts w:ascii="黑体" w:hAnsi="黑体" w:eastAsia="黑体" w:cs="黑体"/>
          <w:color w:val="auto"/>
          <w:sz w:val="36"/>
          <w:szCs w:val="36"/>
          <w:lang w:eastAsia="zh-CN"/>
        </w:rPr>
      </w:pPr>
      <w:bookmarkStart w:id="345" w:name="bookmark140"/>
      <w:bookmarkEnd w:id="345"/>
      <w:r>
        <w:rPr>
          <w:rFonts w:ascii="黑体" w:hAnsi="黑体" w:eastAsia="黑体" w:cs="黑体"/>
          <w:color w:val="auto"/>
          <w:spacing w:val="-2"/>
          <w:sz w:val="36"/>
          <w:szCs w:val="36"/>
          <w:lang w:eastAsia="zh-CN"/>
        </w:rPr>
        <w:t>其他因素评审记录表</w:t>
      </w:r>
    </w:p>
    <w:p w14:paraId="750C51EE">
      <w:pPr>
        <w:spacing w:before="251" w:line="221" w:lineRule="auto"/>
        <w:ind w:left="2120"/>
        <w:rPr>
          <w:rFonts w:ascii="宋体" w:hAnsi="宋体" w:eastAsia="宋体" w:cs="宋体"/>
          <w:color w:val="auto"/>
          <w:lang w:eastAsia="zh-CN"/>
        </w:rPr>
      </w:pPr>
      <w:r>
        <w:rPr>
          <w:rFonts w:ascii="宋体" w:hAnsi="宋体" w:eastAsia="宋体" w:cs="宋体"/>
          <w:color w:val="auto"/>
          <w:spacing w:val="-10"/>
          <w:lang w:eastAsia="zh-CN"/>
        </w:rPr>
        <w:t>标段名称：</w:t>
      </w:r>
    </w:p>
    <w:p w14:paraId="7736D700">
      <w:pPr>
        <w:spacing w:before="20" w:line="211" w:lineRule="auto"/>
        <w:ind w:left="2120"/>
        <w:rPr>
          <w:rFonts w:ascii="宋体" w:hAnsi="宋体" w:eastAsia="宋体" w:cs="宋体"/>
          <w:color w:val="auto"/>
        </w:rPr>
      </w:pPr>
      <w:r>
        <w:rPr>
          <w:rFonts w:ascii="宋体" w:hAnsi="宋体" w:eastAsia="宋体" w:cs="宋体"/>
          <w:color w:val="auto"/>
          <w:spacing w:val="-6"/>
        </w:rPr>
        <w:t>标段唯一标识码：</w:t>
      </w:r>
    </w:p>
    <w:tbl>
      <w:tblPr>
        <w:tblStyle w:val="20"/>
        <w:tblW w:w="13466" w:type="dxa"/>
        <w:tblInd w:w="15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1751"/>
        <w:gridCol w:w="1312"/>
        <w:gridCol w:w="1313"/>
        <w:gridCol w:w="1313"/>
        <w:gridCol w:w="1312"/>
        <w:gridCol w:w="1313"/>
        <w:gridCol w:w="1313"/>
        <w:gridCol w:w="1324"/>
        <w:gridCol w:w="1742"/>
      </w:tblGrid>
      <w:tr w14:paraId="5235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773" w:type="dxa"/>
            <w:vMerge w:val="restart"/>
            <w:tcBorders>
              <w:bottom w:val="nil"/>
            </w:tcBorders>
          </w:tcPr>
          <w:p w14:paraId="27745427">
            <w:pPr>
              <w:spacing w:line="264" w:lineRule="auto"/>
              <w:rPr>
                <w:color w:val="auto"/>
              </w:rPr>
            </w:pPr>
          </w:p>
          <w:p w14:paraId="1EA5D62C">
            <w:pPr>
              <w:pStyle w:val="21"/>
              <w:spacing w:before="68" w:line="222" w:lineRule="auto"/>
              <w:ind w:left="176"/>
              <w:rPr>
                <w:color w:val="auto"/>
              </w:rPr>
            </w:pPr>
            <w:r>
              <w:rPr>
                <w:b/>
                <w:bCs/>
                <w:color w:val="auto"/>
                <w:spacing w:val="-6"/>
              </w:rPr>
              <w:t>序号</w:t>
            </w:r>
          </w:p>
        </w:tc>
        <w:tc>
          <w:tcPr>
            <w:tcW w:w="1751" w:type="dxa"/>
            <w:vMerge w:val="restart"/>
            <w:tcBorders>
              <w:bottom w:val="nil"/>
            </w:tcBorders>
          </w:tcPr>
          <w:p w14:paraId="711D7A66">
            <w:pPr>
              <w:spacing w:line="264" w:lineRule="auto"/>
              <w:rPr>
                <w:color w:val="auto"/>
              </w:rPr>
            </w:pPr>
          </w:p>
          <w:p w14:paraId="7C9F96A6">
            <w:pPr>
              <w:pStyle w:val="21"/>
              <w:spacing w:before="69" w:line="221" w:lineRule="auto"/>
              <w:ind w:left="351"/>
              <w:rPr>
                <w:color w:val="auto"/>
              </w:rPr>
            </w:pPr>
            <w:r>
              <w:rPr>
                <w:b/>
                <w:bCs/>
                <w:color w:val="auto"/>
                <w:spacing w:val="-4"/>
              </w:rPr>
              <w:t>投标人名称</w:t>
            </w:r>
          </w:p>
        </w:tc>
        <w:tc>
          <w:tcPr>
            <w:tcW w:w="9200" w:type="dxa"/>
            <w:gridSpan w:val="7"/>
          </w:tcPr>
          <w:p w14:paraId="471DECDF">
            <w:pPr>
              <w:pStyle w:val="21"/>
              <w:spacing w:before="113" w:line="220" w:lineRule="auto"/>
              <w:ind w:left="3865"/>
              <w:rPr>
                <w:color w:val="auto"/>
              </w:rPr>
            </w:pPr>
            <w:r>
              <w:rPr>
                <w:b/>
                <w:bCs/>
                <w:color w:val="auto"/>
                <w:spacing w:val="-3"/>
              </w:rPr>
              <w:t>评委姓名及得分</w:t>
            </w:r>
          </w:p>
        </w:tc>
        <w:tc>
          <w:tcPr>
            <w:tcW w:w="1742" w:type="dxa"/>
            <w:vMerge w:val="restart"/>
            <w:tcBorders>
              <w:bottom w:val="nil"/>
            </w:tcBorders>
          </w:tcPr>
          <w:p w14:paraId="724D4E96">
            <w:pPr>
              <w:pStyle w:val="21"/>
              <w:spacing w:before="199" w:line="241" w:lineRule="auto"/>
              <w:ind w:left="457" w:right="442" w:hanging="1"/>
              <w:rPr>
                <w:color w:val="auto"/>
              </w:rPr>
            </w:pPr>
            <w:r>
              <w:rPr>
                <w:b/>
                <w:bCs/>
                <w:color w:val="auto"/>
                <w:spacing w:val="-4"/>
              </w:rPr>
              <w:t>其他因素</w:t>
            </w:r>
            <w:r>
              <w:rPr>
                <w:b/>
                <w:bCs/>
                <w:color w:val="auto"/>
                <w:spacing w:val="-5"/>
              </w:rPr>
              <w:t>最终得分</w:t>
            </w:r>
          </w:p>
        </w:tc>
      </w:tr>
      <w:tr w14:paraId="284E9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773" w:type="dxa"/>
            <w:vMerge w:val="continue"/>
            <w:tcBorders>
              <w:top w:val="nil"/>
            </w:tcBorders>
          </w:tcPr>
          <w:p w14:paraId="2453A0FF">
            <w:pPr>
              <w:rPr>
                <w:color w:val="auto"/>
              </w:rPr>
            </w:pPr>
          </w:p>
        </w:tc>
        <w:tc>
          <w:tcPr>
            <w:tcW w:w="1751" w:type="dxa"/>
            <w:vMerge w:val="continue"/>
            <w:tcBorders>
              <w:top w:val="nil"/>
            </w:tcBorders>
          </w:tcPr>
          <w:p w14:paraId="4EE9A171">
            <w:pPr>
              <w:rPr>
                <w:color w:val="auto"/>
              </w:rPr>
            </w:pPr>
          </w:p>
        </w:tc>
        <w:tc>
          <w:tcPr>
            <w:tcW w:w="1312" w:type="dxa"/>
          </w:tcPr>
          <w:p w14:paraId="7AD155C6">
            <w:pPr>
              <w:pStyle w:val="21"/>
              <w:spacing w:before="109" w:line="221" w:lineRule="auto"/>
              <w:ind w:left="366"/>
              <w:rPr>
                <w:color w:val="auto"/>
              </w:rPr>
            </w:pPr>
            <w:r>
              <w:rPr>
                <w:b/>
                <w:bCs/>
                <w:color w:val="auto"/>
                <w:spacing w:val="-5"/>
              </w:rPr>
              <w:t>评委1</w:t>
            </w:r>
          </w:p>
        </w:tc>
        <w:tc>
          <w:tcPr>
            <w:tcW w:w="1313" w:type="dxa"/>
          </w:tcPr>
          <w:p w14:paraId="3DE96F31">
            <w:pPr>
              <w:pStyle w:val="21"/>
              <w:spacing w:before="109" w:line="221" w:lineRule="auto"/>
              <w:ind w:left="368"/>
              <w:rPr>
                <w:color w:val="auto"/>
              </w:rPr>
            </w:pPr>
            <w:r>
              <w:rPr>
                <w:b/>
                <w:bCs/>
                <w:color w:val="auto"/>
                <w:spacing w:val="-5"/>
              </w:rPr>
              <w:t>评委2</w:t>
            </w:r>
          </w:p>
        </w:tc>
        <w:tc>
          <w:tcPr>
            <w:tcW w:w="1313" w:type="dxa"/>
          </w:tcPr>
          <w:p w14:paraId="467D54BB">
            <w:pPr>
              <w:pStyle w:val="21"/>
              <w:spacing w:before="109" w:line="313" w:lineRule="exact"/>
              <w:ind w:left="462"/>
              <w:rPr>
                <w:color w:val="auto"/>
              </w:rPr>
            </w:pPr>
            <w:r>
              <w:rPr>
                <w:b/>
                <w:bCs/>
                <w:color w:val="auto"/>
                <w:spacing w:val="-13"/>
                <w:position w:val="2"/>
              </w:rPr>
              <w:t>……</w:t>
            </w:r>
          </w:p>
        </w:tc>
        <w:tc>
          <w:tcPr>
            <w:tcW w:w="1312" w:type="dxa"/>
          </w:tcPr>
          <w:p w14:paraId="0E7D38C4">
            <w:pPr>
              <w:rPr>
                <w:color w:val="auto"/>
              </w:rPr>
            </w:pPr>
          </w:p>
        </w:tc>
        <w:tc>
          <w:tcPr>
            <w:tcW w:w="1313" w:type="dxa"/>
          </w:tcPr>
          <w:p w14:paraId="715F90B6">
            <w:pPr>
              <w:rPr>
                <w:color w:val="auto"/>
              </w:rPr>
            </w:pPr>
          </w:p>
        </w:tc>
        <w:tc>
          <w:tcPr>
            <w:tcW w:w="1313" w:type="dxa"/>
          </w:tcPr>
          <w:p w14:paraId="6E706860">
            <w:pPr>
              <w:rPr>
                <w:color w:val="auto"/>
              </w:rPr>
            </w:pPr>
          </w:p>
        </w:tc>
        <w:tc>
          <w:tcPr>
            <w:tcW w:w="1324" w:type="dxa"/>
          </w:tcPr>
          <w:p w14:paraId="7D110478">
            <w:pPr>
              <w:rPr>
                <w:color w:val="auto"/>
              </w:rPr>
            </w:pPr>
          </w:p>
        </w:tc>
        <w:tc>
          <w:tcPr>
            <w:tcW w:w="1742" w:type="dxa"/>
            <w:vMerge w:val="continue"/>
            <w:tcBorders>
              <w:top w:val="nil"/>
            </w:tcBorders>
          </w:tcPr>
          <w:p w14:paraId="329C2DEE">
            <w:pPr>
              <w:rPr>
                <w:color w:val="auto"/>
              </w:rPr>
            </w:pPr>
          </w:p>
        </w:tc>
      </w:tr>
      <w:tr w14:paraId="12CFC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4ECEA63D">
            <w:pPr>
              <w:pStyle w:val="21"/>
              <w:spacing w:before="185" w:line="242" w:lineRule="auto"/>
              <w:ind w:left="350"/>
              <w:rPr>
                <w:color w:val="auto"/>
              </w:rPr>
            </w:pPr>
            <w:r>
              <w:rPr>
                <w:color w:val="auto"/>
              </w:rPr>
              <w:t>1</w:t>
            </w:r>
          </w:p>
        </w:tc>
        <w:tc>
          <w:tcPr>
            <w:tcW w:w="1751" w:type="dxa"/>
          </w:tcPr>
          <w:p w14:paraId="7795CCBC">
            <w:pPr>
              <w:rPr>
                <w:color w:val="auto"/>
              </w:rPr>
            </w:pPr>
          </w:p>
        </w:tc>
        <w:tc>
          <w:tcPr>
            <w:tcW w:w="1312" w:type="dxa"/>
          </w:tcPr>
          <w:p w14:paraId="58DB957C">
            <w:pPr>
              <w:rPr>
                <w:color w:val="auto"/>
              </w:rPr>
            </w:pPr>
          </w:p>
        </w:tc>
        <w:tc>
          <w:tcPr>
            <w:tcW w:w="1313" w:type="dxa"/>
          </w:tcPr>
          <w:p w14:paraId="03838494">
            <w:pPr>
              <w:rPr>
                <w:color w:val="auto"/>
              </w:rPr>
            </w:pPr>
          </w:p>
        </w:tc>
        <w:tc>
          <w:tcPr>
            <w:tcW w:w="1313" w:type="dxa"/>
          </w:tcPr>
          <w:p w14:paraId="2E1CFB61">
            <w:pPr>
              <w:rPr>
                <w:color w:val="auto"/>
              </w:rPr>
            </w:pPr>
          </w:p>
        </w:tc>
        <w:tc>
          <w:tcPr>
            <w:tcW w:w="1312" w:type="dxa"/>
          </w:tcPr>
          <w:p w14:paraId="0020C80D">
            <w:pPr>
              <w:rPr>
                <w:color w:val="auto"/>
              </w:rPr>
            </w:pPr>
          </w:p>
        </w:tc>
        <w:tc>
          <w:tcPr>
            <w:tcW w:w="1313" w:type="dxa"/>
          </w:tcPr>
          <w:p w14:paraId="04AB9FD2">
            <w:pPr>
              <w:rPr>
                <w:color w:val="auto"/>
              </w:rPr>
            </w:pPr>
          </w:p>
        </w:tc>
        <w:tc>
          <w:tcPr>
            <w:tcW w:w="1313" w:type="dxa"/>
          </w:tcPr>
          <w:p w14:paraId="25A83245">
            <w:pPr>
              <w:rPr>
                <w:color w:val="auto"/>
              </w:rPr>
            </w:pPr>
          </w:p>
        </w:tc>
        <w:tc>
          <w:tcPr>
            <w:tcW w:w="1324" w:type="dxa"/>
          </w:tcPr>
          <w:p w14:paraId="1CACB2E0">
            <w:pPr>
              <w:rPr>
                <w:color w:val="auto"/>
              </w:rPr>
            </w:pPr>
          </w:p>
        </w:tc>
        <w:tc>
          <w:tcPr>
            <w:tcW w:w="1742" w:type="dxa"/>
          </w:tcPr>
          <w:p w14:paraId="7E712ADB">
            <w:pPr>
              <w:rPr>
                <w:color w:val="auto"/>
              </w:rPr>
            </w:pPr>
          </w:p>
        </w:tc>
      </w:tr>
      <w:tr w14:paraId="04DE1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283D81A8">
            <w:pPr>
              <w:pStyle w:val="21"/>
              <w:spacing w:before="186" w:line="242" w:lineRule="auto"/>
              <w:ind w:left="337"/>
              <w:rPr>
                <w:color w:val="auto"/>
              </w:rPr>
            </w:pPr>
            <w:r>
              <w:rPr>
                <w:color w:val="auto"/>
              </w:rPr>
              <w:t>2</w:t>
            </w:r>
          </w:p>
        </w:tc>
        <w:tc>
          <w:tcPr>
            <w:tcW w:w="1751" w:type="dxa"/>
          </w:tcPr>
          <w:p w14:paraId="2BF31D03">
            <w:pPr>
              <w:rPr>
                <w:color w:val="auto"/>
              </w:rPr>
            </w:pPr>
          </w:p>
        </w:tc>
        <w:tc>
          <w:tcPr>
            <w:tcW w:w="1312" w:type="dxa"/>
          </w:tcPr>
          <w:p w14:paraId="27477305">
            <w:pPr>
              <w:rPr>
                <w:color w:val="auto"/>
              </w:rPr>
            </w:pPr>
          </w:p>
        </w:tc>
        <w:tc>
          <w:tcPr>
            <w:tcW w:w="1313" w:type="dxa"/>
          </w:tcPr>
          <w:p w14:paraId="66486182">
            <w:pPr>
              <w:rPr>
                <w:color w:val="auto"/>
              </w:rPr>
            </w:pPr>
          </w:p>
        </w:tc>
        <w:tc>
          <w:tcPr>
            <w:tcW w:w="1313" w:type="dxa"/>
          </w:tcPr>
          <w:p w14:paraId="7194E808">
            <w:pPr>
              <w:rPr>
                <w:color w:val="auto"/>
              </w:rPr>
            </w:pPr>
          </w:p>
        </w:tc>
        <w:tc>
          <w:tcPr>
            <w:tcW w:w="1312" w:type="dxa"/>
          </w:tcPr>
          <w:p w14:paraId="49366264">
            <w:pPr>
              <w:rPr>
                <w:color w:val="auto"/>
              </w:rPr>
            </w:pPr>
          </w:p>
        </w:tc>
        <w:tc>
          <w:tcPr>
            <w:tcW w:w="1313" w:type="dxa"/>
          </w:tcPr>
          <w:p w14:paraId="03ED921E">
            <w:pPr>
              <w:rPr>
                <w:color w:val="auto"/>
              </w:rPr>
            </w:pPr>
          </w:p>
        </w:tc>
        <w:tc>
          <w:tcPr>
            <w:tcW w:w="1313" w:type="dxa"/>
          </w:tcPr>
          <w:p w14:paraId="42622630">
            <w:pPr>
              <w:rPr>
                <w:color w:val="auto"/>
              </w:rPr>
            </w:pPr>
          </w:p>
        </w:tc>
        <w:tc>
          <w:tcPr>
            <w:tcW w:w="1324" w:type="dxa"/>
          </w:tcPr>
          <w:p w14:paraId="15781745">
            <w:pPr>
              <w:rPr>
                <w:color w:val="auto"/>
              </w:rPr>
            </w:pPr>
          </w:p>
        </w:tc>
        <w:tc>
          <w:tcPr>
            <w:tcW w:w="1742" w:type="dxa"/>
          </w:tcPr>
          <w:p w14:paraId="5F1D1F1F">
            <w:pPr>
              <w:rPr>
                <w:color w:val="auto"/>
              </w:rPr>
            </w:pPr>
          </w:p>
        </w:tc>
      </w:tr>
      <w:tr w14:paraId="3DA1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53F6DE38">
            <w:pPr>
              <w:pStyle w:val="21"/>
              <w:spacing w:before="188"/>
              <w:ind w:left="339"/>
              <w:rPr>
                <w:color w:val="auto"/>
              </w:rPr>
            </w:pPr>
            <w:r>
              <w:rPr>
                <w:color w:val="auto"/>
              </w:rPr>
              <w:t>3</w:t>
            </w:r>
          </w:p>
        </w:tc>
        <w:tc>
          <w:tcPr>
            <w:tcW w:w="1751" w:type="dxa"/>
          </w:tcPr>
          <w:p w14:paraId="3D9A1462">
            <w:pPr>
              <w:rPr>
                <w:color w:val="auto"/>
              </w:rPr>
            </w:pPr>
          </w:p>
        </w:tc>
        <w:tc>
          <w:tcPr>
            <w:tcW w:w="1312" w:type="dxa"/>
          </w:tcPr>
          <w:p w14:paraId="08BFEBCD">
            <w:pPr>
              <w:rPr>
                <w:color w:val="auto"/>
              </w:rPr>
            </w:pPr>
          </w:p>
        </w:tc>
        <w:tc>
          <w:tcPr>
            <w:tcW w:w="1313" w:type="dxa"/>
          </w:tcPr>
          <w:p w14:paraId="4141AC29">
            <w:pPr>
              <w:rPr>
                <w:color w:val="auto"/>
              </w:rPr>
            </w:pPr>
          </w:p>
        </w:tc>
        <w:tc>
          <w:tcPr>
            <w:tcW w:w="1313" w:type="dxa"/>
          </w:tcPr>
          <w:p w14:paraId="56545184">
            <w:pPr>
              <w:rPr>
                <w:color w:val="auto"/>
              </w:rPr>
            </w:pPr>
          </w:p>
        </w:tc>
        <w:tc>
          <w:tcPr>
            <w:tcW w:w="1312" w:type="dxa"/>
          </w:tcPr>
          <w:p w14:paraId="468C3BA8">
            <w:pPr>
              <w:rPr>
                <w:color w:val="auto"/>
              </w:rPr>
            </w:pPr>
          </w:p>
        </w:tc>
        <w:tc>
          <w:tcPr>
            <w:tcW w:w="1313" w:type="dxa"/>
          </w:tcPr>
          <w:p w14:paraId="1F6D6E1A">
            <w:pPr>
              <w:rPr>
                <w:color w:val="auto"/>
              </w:rPr>
            </w:pPr>
          </w:p>
        </w:tc>
        <w:tc>
          <w:tcPr>
            <w:tcW w:w="1313" w:type="dxa"/>
          </w:tcPr>
          <w:p w14:paraId="229C4386">
            <w:pPr>
              <w:rPr>
                <w:color w:val="auto"/>
              </w:rPr>
            </w:pPr>
          </w:p>
        </w:tc>
        <w:tc>
          <w:tcPr>
            <w:tcW w:w="1324" w:type="dxa"/>
          </w:tcPr>
          <w:p w14:paraId="12364A13">
            <w:pPr>
              <w:rPr>
                <w:color w:val="auto"/>
              </w:rPr>
            </w:pPr>
          </w:p>
        </w:tc>
        <w:tc>
          <w:tcPr>
            <w:tcW w:w="1742" w:type="dxa"/>
          </w:tcPr>
          <w:p w14:paraId="29B615F2">
            <w:pPr>
              <w:rPr>
                <w:color w:val="auto"/>
              </w:rPr>
            </w:pPr>
          </w:p>
        </w:tc>
      </w:tr>
      <w:tr w14:paraId="30AD9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66084138">
            <w:pPr>
              <w:pStyle w:val="21"/>
              <w:spacing w:before="188" w:line="242" w:lineRule="auto"/>
              <w:ind w:left="334"/>
              <w:rPr>
                <w:color w:val="auto"/>
              </w:rPr>
            </w:pPr>
            <w:r>
              <w:rPr>
                <w:color w:val="auto"/>
              </w:rPr>
              <w:t>4</w:t>
            </w:r>
          </w:p>
        </w:tc>
        <w:tc>
          <w:tcPr>
            <w:tcW w:w="1751" w:type="dxa"/>
          </w:tcPr>
          <w:p w14:paraId="71C33FB6">
            <w:pPr>
              <w:rPr>
                <w:color w:val="auto"/>
              </w:rPr>
            </w:pPr>
          </w:p>
        </w:tc>
        <w:tc>
          <w:tcPr>
            <w:tcW w:w="1312" w:type="dxa"/>
          </w:tcPr>
          <w:p w14:paraId="270DCC51">
            <w:pPr>
              <w:rPr>
                <w:color w:val="auto"/>
              </w:rPr>
            </w:pPr>
          </w:p>
        </w:tc>
        <w:tc>
          <w:tcPr>
            <w:tcW w:w="1313" w:type="dxa"/>
          </w:tcPr>
          <w:p w14:paraId="0A323CF0">
            <w:pPr>
              <w:rPr>
                <w:color w:val="auto"/>
              </w:rPr>
            </w:pPr>
          </w:p>
        </w:tc>
        <w:tc>
          <w:tcPr>
            <w:tcW w:w="1313" w:type="dxa"/>
          </w:tcPr>
          <w:p w14:paraId="64FC7D43">
            <w:pPr>
              <w:rPr>
                <w:color w:val="auto"/>
              </w:rPr>
            </w:pPr>
          </w:p>
        </w:tc>
        <w:tc>
          <w:tcPr>
            <w:tcW w:w="1312" w:type="dxa"/>
          </w:tcPr>
          <w:p w14:paraId="60254175">
            <w:pPr>
              <w:rPr>
                <w:color w:val="auto"/>
              </w:rPr>
            </w:pPr>
          </w:p>
        </w:tc>
        <w:tc>
          <w:tcPr>
            <w:tcW w:w="1313" w:type="dxa"/>
          </w:tcPr>
          <w:p w14:paraId="01F80E63">
            <w:pPr>
              <w:rPr>
                <w:color w:val="auto"/>
              </w:rPr>
            </w:pPr>
          </w:p>
        </w:tc>
        <w:tc>
          <w:tcPr>
            <w:tcW w:w="1313" w:type="dxa"/>
          </w:tcPr>
          <w:p w14:paraId="64720EFA">
            <w:pPr>
              <w:rPr>
                <w:color w:val="auto"/>
              </w:rPr>
            </w:pPr>
          </w:p>
        </w:tc>
        <w:tc>
          <w:tcPr>
            <w:tcW w:w="1324" w:type="dxa"/>
          </w:tcPr>
          <w:p w14:paraId="310D6F2B">
            <w:pPr>
              <w:rPr>
                <w:color w:val="auto"/>
              </w:rPr>
            </w:pPr>
          </w:p>
        </w:tc>
        <w:tc>
          <w:tcPr>
            <w:tcW w:w="1742" w:type="dxa"/>
          </w:tcPr>
          <w:p w14:paraId="27AB76B3">
            <w:pPr>
              <w:rPr>
                <w:color w:val="auto"/>
              </w:rPr>
            </w:pPr>
          </w:p>
        </w:tc>
      </w:tr>
      <w:tr w14:paraId="49995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43B2B5BB">
            <w:pPr>
              <w:pStyle w:val="21"/>
              <w:spacing w:before="190"/>
              <w:ind w:left="339"/>
              <w:rPr>
                <w:color w:val="auto"/>
              </w:rPr>
            </w:pPr>
            <w:r>
              <w:rPr>
                <w:color w:val="auto"/>
              </w:rPr>
              <w:t>5</w:t>
            </w:r>
          </w:p>
        </w:tc>
        <w:tc>
          <w:tcPr>
            <w:tcW w:w="1751" w:type="dxa"/>
          </w:tcPr>
          <w:p w14:paraId="13B9A736">
            <w:pPr>
              <w:rPr>
                <w:color w:val="auto"/>
              </w:rPr>
            </w:pPr>
          </w:p>
        </w:tc>
        <w:tc>
          <w:tcPr>
            <w:tcW w:w="1312" w:type="dxa"/>
          </w:tcPr>
          <w:p w14:paraId="5D29707A">
            <w:pPr>
              <w:rPr>
                <w:color w:val="auto"/>
              </w:rPr>
            </w:pPr>
          </w:p>
        </w:tc>
        <w:tc>
          <w:tcPr>
            <w:tcW w:w="1313" w:type="dxa"/>
          </w:tcPr>
          <w:p w14:paraId="7F4FC922">
            <w:pPr>
              <w:rPr>
                <w:color w:val="auto"/>
              </w:rPr>
            </w:pPr>
          </w:p>
        </w:tc>
        <w:tc>
          <w:tcPr>
            <w:tcW w:w="1313" w:type="dxa"/>
          </w:tcPr>
          <w:p w14:paraId="728FB224">
            <w:pPr>
              <w:rPr>
                <w:color w:val="auto"/>
              </w:rPr>
            </w:pPr>
          </w:p>
        </w:tc>
        <w:tc>
          <w:tcPr>
            <w:tcW w:w="1312" w:type="dxa"/>
          </w:tcPr>
          <w:p w14:paraId="1085C852">
            <w:pPr>
              <w:rPr>
                <w:color w:val="auto"/>
              </w:rPr>
            </w:pPr>
          </w:p>
        </w:tc>
        <w:tc>
          <w:tcPr>
            <w:tcW w:w="1313" w:type="dxa"/>
          </w:tcPr>
          <w:p w14:paraId="06108340">
            <w:pPr>
              <w:rPr>
                <w:color w:val="auto"/>
              </w:rPr>
            </w:pPr>
          </w:p>
        </w:tc>
        <w:tc>
          <w:tcPr>
            <w:tcW w:w="1313" w:type="dxa"/>
          </w:tcPr>
          <w:p w14:paraId="56D3EF89">
            <w:pPr>
              <w:rPr>
                <w:color w:val="auto"/>
              </w:rPr>
            </w:pPr>
          </w:p>
        </w:tc>
        <w:tc>
          <w:tcPr>
            <w:tcW w:w="1324" w:type="dxa"/>
          </w:tcPr>
          <w:p w14:paraId="385BB5C0">
            <w:pPr>
              <w:rPr>
                <w:color w:val="auto"/>
              </w:rPr>
            </w:pPr>
          </w:p>
        </w:tc>
        <w:tc>
          <w:tcPr>
            <w:tcW w:w="1742" w:type="dxa"/>
          </w:tcPr>
          <w:p w14:paraId="33AD336B">
            <w:pPr>
              <w:rPr>
                <w:color w:val="auto"/>
              </w:rPr>
            </w:pPr>
          </w:p>
        </w:tc>
      </w:tr>
      <w:tr w14:paraId="63C1E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73" w:type="dxa"/>
          </w:tcPr>
          <w:p w14:paraId="547F4778">
            <w:pPr>
              <w:pStyle w:val="21"/>
              <w:spacing w:before="190" w:line="332" w:lineRule="exact"/>
              <w:ind w:left="190"/>
              <w:rPr>
                <w:color w:val="auto"/>
              </w:rPr>
            </w:pPr>
            <w:r>
              <w:rPr>
                <w:color w:val="auto"/>
                <w:spacing w:val="-6"/>
                <w:position w:val="2"/>
              </w:rPr>
              <w:t>……</w:t>
            </w:r>
          </w:p>
        </w:tc>
        <w:tc>
          <w:tcPr>
            <w:tcW w:w="1751" w:type="dxa"/>
          </w:tcPr>
          <w:p w14:paraId="2944D269">
            <w:pPr>
              <w:rPr>
                <w:color w:val="auto"/>
              </w:rPr>
            </w:pPr>
          </w:p>
        </w:tc>
        <w:tc>
          <w:tcPr>
            <w:tcW w:w="1312" w:type="dxa"/>
          </w:tcPr>
          <w:p w14:paraId="6EF95BA8">
            <w:pPr>
              <w:rPr>
                <w:color w:val="auto"/>
              </w:rPr>
            </w:pPr>
          </w:p>
        </w:tc>
        <w:tc>
          <w:tcPr>
            <w:tcW w:w="1313" w:type="dxa"/>
          </w:tcPr>
          <w:p w14:paraId="53869E8F">
            <w:pPr>
              <w:rPr>
                <w:color w:val="auto"/>
              </w:rPr>
            </w:pPr>
          </w:p>
        </w:tc>
        <w:tc>
          <w:tcPr>
            <w:tcW w:w="1313" w:type="dxa"/>
          </w:tcPr>
          <w:p w14:paraId="78D7ADC7">
            <w:pPr>
              <w:rPr>
                <w:color w:val="auto"/>
              </w:rPr>
            </w:pPr>
          </w:p>
        </w:tc>
        <w:tc>
          <w:tcPr>
            <w:tcW w:w="1312" w:type="dxa"/>
          </w:tcPr>
          <w:p w14:paraId="7A6BC1BF">
            <w:pPr>
              <w:rPr>
                <w:color w:val="auto"/>
              </w:rPr>
            </w:pPr>
          </w:p>
        </w:tc>
        <w:tc>
          <w:tcPr>
            <w:tcW w:w="1313" w:type="dxa"/>
          </w:tcPr>
          <w:p w14:paraId="34A3F672">
            <w:pPr>
              <w:rPr>
                <w:color w:val="auto"/>
              </w:rPr>
            </w:pPr>
          </w:p>
        </w:tc>
        <w:tc>
          <w:tcPr>
            <w:tcW w:w="1313" w:type="dxa"/>
          </w:tcPr>
          <w:p w14:paraId="46CDB9A5">
            <w:pPr>
              <w:rPr>
                <w:color w:val="auto"/>
              </w:rPr>
            </w:pPr>
          </w:p>
        </w:tc>
        <w:tc>
          <w:tcPr>
            <w:tcW w:w="1324" w:type="dxa"/>
          </w:tcPr>
          <w:p w14:paraId="15CC8D11">
            <w:pPr>
              <w:rPr>
                <w:color w:val="auto"/>
              </w:rPr>
            </w:pPr>
          </w:p>
        </w:tc>
        <w:tc>
          <w:tcPr>
            <w:tcW w:w="1742" w:type="dxa"/>
          </w:tcPr>
          <w:p w14:paraId="000B1614">
            <w:pPr>
              <w:rPr>
                <w:color w:val="auto"/>
              </w:rPr>
            </w:pPr>
          </w:p>
        </w:tc>
      </w:tr>
      <w:tr w14:paraId="5FB61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13466" w:type="dxa"/>
            <w:gridSpan w:val="10"/>
          </w:tcPr>
          <w:p w14:paraId="443231A1">
            <w:pPr>
              <w:pStyle w:val="21"/>
              <w:spacing w:before="35" w:line="220" w:lineRule="auto"/>
              <w:ind w:left="110"/>
              <w:rPr>
                <w:color w:val="auto"/>
                <w:lang w:eastAsia="zh-CN"/>
              </w:rPr>
            </w:pPr>
            <w:r>
              <w:rPr>
                <w:color w:val="auto"/>
                <w:spacing w:val="-5"/>
                <w:lang w:eastAsia="zh-CN"/>
              </w:rPr>
              <w:t>评标委员会全体成员签名：</w:t>
            </w:r>
          </w:p>
        </w:tc>
      </w:tr>
    </w:tbl>
    <w:p w14:paraId="348C4027">
      <w:pPr>
        <w:spacing w:before="33" w:line="220" w:lineRule="auto"/>
        <w:ind w:left="12039"/>
        <w:rPr>
          <w:rFonts w:ascii="宋体" w:hAnsi="宋体" w:eastAsia="宋体" w:cs="宋体"/>
          <w:color w:val="auto"/>
          <w:lang w:eastAsia="zh-CN"/>
        </w:rPr>
      </w:pPr>
      <w:r>
        <w:rPr>
          <w:rFonts w:ascii="宋体" w:hAnsi="宋体" w:eastAsia="宋体" w:cs="宋体"/>
          <w:color w:val="auto"/>
          <w:spacing w:val="-12"/>
          <w:lang w:eastAsia="zh-CN"/>
        </w:rPr>
        <w:t>日期：年月日</w:t>
      </w:r>
    </w:p>
    <w:p w14:paraId="21E2B83F">
      <w:pPr>
        <w:spacing w:line="220" w:lineRule="auto"/>
        <w:rPr>
          <w:rFonts w:ascii="宋体" w:hAnsi="宋体" w:eastAsia="宋体" w:cs="宋体"/>
          <w:color w:val="auto"/>
          <w:lang w:eastAsia="zh-CN"/>
        </w:rPr>
        <w:sectPr>
          <w:headerReference r:id="rId99" w:type="default"/>
          <w:footerReference r:id="rId100" w:type="default"/>
          <w:pgSz w:w="16839" w:h="11906"/>
          <w:pgMar w:top="400" w:right="535" w:bottom="1254" w:left="105" w:header="0" w:footer="985" w:gutter="0"/>
          <w:cols w:space="720" w:num="1"/>
        </w:sectPr>
      </w:pPr>
    </w:p>
    <w:p w14:paraId="56CD310D">
      <w:pPr>
        <w:pStyle w:val="8"/>
        <w:spacing w:line="267" w:lineRule="auto"/>
        <w:rPr>
          <w:lang w:eastAsia="zh-CN"/>
        </w:rPr>
      </w:pPr>
    </w:p>
    <w:p w14:paraId="39454003">
      <w:pPr>
        <w:pStyle w:val="8"/>
        <w:spacing w:line="267" w:lineRule="auto"/>
        <w:rPr>
          <w:lang w:eastAsia="zh-CN"/>
        </w:rPr>
      </w:pPr>
    </w:p>
    <w:p w14:paraId="50BCE519">
      <w:pPr>
        <w:pStyle w:val="8"/>
        <w:spacing w:line="267" w:lineRule="auto"/>
        <w:rPr>
          <w:lang w:eastAsia="zh-CN"/>
        </w:rPr>
      </w:pPr>
    </w:p>
    <w:p w14:paraId="17A6F868">
      <w:pPr>
        <w:pStyle w:val="8"/>
        <w:spacing w:line="267" w:lineRule="auto"/>
        <w:rPr>
          <w:lang w:eastAsia="zh-CN"/>
        </w:rPr>
      </w:pPr>
    </w:p>
    <w:p w14:paraId="449A30BA">
      <w:pPr>
        <w:spacing w:before="78" w:line="222" w:lineRule="auto"/>
        <w:ind w:left="1831"/>
        <w:outlineLvl w:val="2"/>
        <w:rPr>
          <w:rFonts w:ascii="黑体" w:hAnsi="黑体" w:eastAsia="黑体" w:cs="黑体"/>
          <w:color w:val="auto"/>
          <w:sz w:val="24"/>
          <w:szCs w:val="24"/>
          <w:lang w:eastAsia="zh-CN"/>
        </w:rPr>
      </w:pPr>
      <w:bookmarkStart w:id="346" w:name="bookmark259"/>
      <w:bookmarkEnd w:id="346"/>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A-15</w:t>
      </w:r>
      <w:r>
        <w:rPr>
          <w:rFonts w:ascii="黑体" w:hAnsi="黑体" w:eastAsia="黑体" w:cs="黑体"/>
          <w:color w:val="auto"/>
          <w:spacing w:val="-3"/>
          <w:sz w:val="24"/>
          <w:szCs w:val="24"/>
          <w:lang w:eastAsia="zh-CN"/>
        </w:rPr>
        <w:t>：详细评审评分汇总表</w:t>
      </w:r>
    </w:p>
    <w:p w14:paraId="0473F4CB">
      <w:pPr>
        <w:spacing w:before="53" w:line="222" w:lineRule="auto"/>
        <w:ind w:left="6705"/>
        <w:rPr>
          <w:rFonts w:ascii="黑体" w:hAnsi="黑体" w:eastAsia="黑体" w:cs="黑体"/>
          <w:color w:val="auto"/>
          <w:sz w:val="36"/>
          <w:szCs w:val="36"/>
          <w:lang w:eastAsia="zh-CN"/>
        </w:rPr>
      </w:pPr>
      <w:bookmarkStart w:id="347" w:name="bookmark141"/>
      <w:bookmarkEnd w:id="347"/>
      <w:r>
        <w:rPr>
          <w:rFonts w:ascii="黑体" w:hAnsi="黑体" w:eastAsia="黑体" w:cs="黑体"/>
          <w:color w:val="auto"/>
          <w:spacing w:val="-2"/>
          <w:sz w:val="36"/>
          <w:szCs w:val="36"/>
          <w:lang w:eastAsia="zh-CN"/>
        </w:rPr>
        <w:t>详细评审评分汇总表</w:t>
      </w:r>
    </w:p>
    <w:p w14:paraId="29BD3089">
      <w:pPr>
        <w:spacing w:before="251" w:line="221" w:lineRule="auto"/>
        <w:ind w:left="1700"/>
        <w:rPr>
          <w:rFonts w:ascii="宋体" w:hAnsi="宋体" w:eastAsia="宋体" w:cs="宋体"/>
          <w:color w:val="auto"/>
          <w:lang w:eastAsia="zh-CN"/>
        </w:rPr>
      </w:pPr>
      <w:r>
        <w:rPr>
          <w:rFonts w:ascii="宋体" w:hAnsi="宋体" w:eastAsia="宋体" w:cs="宋体"/>
          <w:color w:val="auto"/>
          <w:spacing w:val="-10"/>
          <w:lang w:eastAsia="zh-CN"/>
        </w:rPr>
        <w:t>标段名称：</w:t>
      </w:r>
    </w:p>
    <w:p w14:paraId="30EA2AD3">
      <w:pPr>
        <w:spacing w:before="20" w:line="211" w:lineRule="auto"/>
        <w:ind w:left="1700"/>
        <w:rPr>
          <w:rFonts w:ascii="宋体" w:hAnsi="宋体" w:eastAsia="宋体" w:cs="宋体"/>
          <w:color w:val="auto"/>
        </w:rPr>
      </w:pPr>
      <w:r>
        <w:rPr>
          <w:rFonts w:ascii="宋体" w:hAnsi="宋体" w:eastAsia="宋体" w:cs="宋体"/>
          <w:color w:val="auto"/>
          <w:spacing w:val="-6"/>
        </w:rPr>
        <w:t>标段唯一标识码：</w:t>
      </w:r>
    </w:p>
    <w:tbl>
      <w:tblPr>
        <w:tblStyle w:val="20"/>
        <w:tblW w:w="14051" w:type="dxa"/>
        <w:tblInd w:w="12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961"/>
        <w:gridCol w:w="1890"/>
        <w:gridCol w:w="1891"/>
        <w:gridCol w:w="1891"/>
        <w:gridCol w:w="1891"/>
        <w:gridCol w:w="1220"/>
        <w:gridCol w:w="1302"/>
      </w:tblGrid>
      <w:tr w14:paraId="31EBB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05" w:type="dxa"/>
            <w:vMerge w:val="restart"/>
            <w:tcBorders>
              <w:bottom w:val="nil"/>
            </w:tcBorders>
          </w:tcPr>
          <w:p w14:paraId="09B17783">
            <w:pPr>
              <w:pStyle w:val="21"/>
              <w:spacing w:before="187" w:line="222" w:lineRule="auto"/>
              <w:ind w:left="292"/>
              <w:rPr>
                <w:color w:val="auto"/>
              </w:rPr>
            </w:pPr>
            <w:r>
              <w:rPr>
                <w:b/>
                <w:bCs/>
                <w:color w:val="auto"/>
                <w:spacing w:val="-6"/>
              </w:rPr>
              <w:t>序号</w:t>
            </w:r>
          </w:p>
        </w:tc>
        <w:tc>
          <w:tcPr>
            <w:tcW w:w="2961" w:type="dxa"/>
            <w:vMerge w:val="restart"/>
            <w:tcBorders>
              <w:bottom w:val="nil"/>
            </w:tcBorders>
          </w:tcPr>
          <w:p w14:paraId="47B7E3AE">
            <w:pPr>
              <w:pStyle w:val="21"/>
              <w:spacing w:before="187" w:line="221" w:lineRule="auto"/>
              <w:ind w:left="956"/>
              <w:rPr>
                <w:color w:val="auto"/>
              </w:rPr>
            </w:pPr>
            <w:r>
              <w:rPr>
                <w:b/>
                <w:bCs/>
                <w:color w:val="auto"/>
                <w:spacing w:val="-4"/>
              </w:rPr>
              <w:t>投标人名称</w:t>
            </w:r>
          </w:p>
        </w:tc>
        <w:tc>
          <w:tcPr>
            <w:tcW w:w="7563" w:type="dxa"/>
            <w:gridSpan w:val="4"/>
          </w:tcPr>
          <w:p w14:paraId="27831D21">
            <w:pPr>
              <w:pStyle w:val="21"/>
              <w:spacing w:before="39" w:line="211" w:lineRule="auto"/>
              <w:ind w:left="2940"/>
              <w:rPr>
                <w:color w:val="auto"/>
              </w:rPr>
            </w:pPr>
            <w:r>
              <w:rPr>
                <w:b/>
                <w:bCs/>
                <w:color w:val="auto"/>
                <w:spacing w:val="-3"/>
              </w:rPr>
              <w:t>评审类别评审得分</w:t>
            </w:r>
          </w:p>
        </w:tc>
        <w:tc>
          <w:tcPr>
            <w:tcW w:w="1220" w:type="dxa"/>
            <w:vMerge w:val="restart"/>
            <w:tcBorders>
              <w:bottom w:val="nil"/>
            </w:tcBorders>
          </w:tcPr>
          <w:p w14:paraId="08E5C632">
            <w:pPr>
              <w:pStyle w:val="21"/>
              <w:spacing w:before="50" w:line="231" w:lineRule="auto"/>
              <w:ind w:left="405" w:right="180" w:hanging="211"/>
              <w:rPr>
                <w:color w:val="auto"/>
              </w:rPr>
            </w:pPr>
            <w:r>
              <w:rPr>
                <w:b/>
                <w:bCs/>
                <w:color w:val="auto"/>
                <w:spacing w:val="-4"/>
              </w:rPr>
              <w:t>评审得分</w:t>
            </w:r>
            <w:r>
              <w:rPr>
                <w:b/>
                <w:bCs/>
                <w:color w:val="auto"/>
                <w:spacing w:val="-6"/>
              </w:rPr>
              <w:t>汇总</w:t>
            </w:r>
          </w:p>
        </w:tc>
        <w:tc>
          <w:tcPr>
            <w:tcW w:w="1302" w:type="dxa"/>
            <w:vMerge w:val="restart"/>
            <w:tcBorders>
              <w:bottom w:val="nil"/>
            </w:tcBorders>
          </w:tcPr>
          <w:p w14:paraId="431C1BBE">
            <w:pPr>
              <w:pStyle w:val="21"/>
              <w:spacing w:before="187" w:line="221" w:lineRule="auto"/>
              <w:ind w:left="131"/>
              <w:rPr>
                <w:color w:val="auto"/>
              </w:rPr>
            </w:pPr>
            <w:r>
              <w:rPr>
                <w:b/>
                <w:bCs/>
                <w:color w:val="auto"/>
                <w:spacing w:val="-4"/>
              </w:rPr>
              <w:t>投标人排名</w:t>
            </w:r>
          </w:p>
        </w:tc>
      </w:tr>
      <w:tr w14:paraId="63396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005" w:type="dxa"/>
            <w:vMerge w:val="continue"/>
            <w:tcBorders>
              <w:top w:val="nil"/>
            </w:tcBorders>
          </w:tcPr>
          <w:p w14:paraId="2EC773D5">
            <w:pPr>
              <w:rPr>
                <w:color w:val="auto"/>
              </w:rPr>
            </w:pPr>
          </w:p>
        </w:tc>
        <w:tc>
          <w:tcPr>
            <w:tcW w:w="2961" w:type="dxa"/>
            <w:vMerge w:val="continue"/>
            <w:tcBorders>
              <w:top w:val="nil"/>
            </w:tcBorders>
          </w:tcPr>
          <w:p w14:paraId="3E8B5CA2">
            <w:pPr>
              <w:rPr>
                <w:color w:val="auto"/>
              </w:rPr>
            </w:pPr>
          </w:p>
        </w:tc>
        <w:tc>
          <w:tcPr>
            <w:tcW w:w="1890" w:type="dxa"/>
          </w:tcPr>
          <w:p w14:paraId="37C4BFCA">
            <w:pPr>
              <w:pStyle w:val="21"/>
              <w:spacing w:before="35" w:line="211" w:lineRule="auto"/>
              <w:ind w:left="528"/>
              <w:rPr>
                <w:color w:val="auto"/>
              </w:rPr>
            </w:pPr>
            <w:r>
              <w:rPr>
                <w:b/>
                <w:bCs/>
                <w:color w:val="auto"/>
                <w:spacing w:val="-5"/>
              </w:rPr>
              <w:t>投标报价</w:t>
            </w:r>
          </w:p>
        </w:tc>
        <w:tc>
          <w:tcPr>
            <w:tcW w:w="1891" w:type="dxa"/>
          </w:tcPr>
          <w:p w14:paraId="2017A9DD">
            <w:pPr>
              <w:pStyle w:val="21"/>
              <w:spacing w:before="35" w:line="211" w:lineRule="auto"/>
              <w:ind w:left="633"/>
              <w:rPr>
                <w:color w:val="auto"/>
              </w:rPr>
            </w:pPr>
            <w:r>
              <w:rPr>
                <w:b/>
                <w:bCs/>
                <w:color w:val="auto"/>
                <w:spacing w:val="-5"/>
              </w:rPr>
              <w:t>技术标</w:t>
            </w:r>
          </w:p>
        </w:tc>
        <w:tc>
          <w:tcPr>
            <w:tcW w:w="1891" w:type="dxa"/>
          </w:tcPr>
          <w:p w14:paraId="110793BE">
            <w:pPr>
              <w:pStyle w:val="21"/>
              <w:spacing w:before="35" w:line="211" w:lineRule="auto"/>
              <w:ind w:left="642"/>
              <w:rPr>
                <w:color w:val="auto"/>
              </w:rPr>
            </w:pPr>
            <w:r>
              <w:rPr>
                <w:b/>
                <w:bCs/>
                <w:color w:val="auto"/>
                <w:spacing w:val="-8"/>
              </w:rPr>
              <w:t>资信标</w:t>
            </w:r>
          </w:p>
        </w:tc>
        <w:tc>
          <w:tcPr>
            <w:tcW w:w="1891" w:type="dxa"/>
          </w:tcPr>
          <w:p w14:paraId="04B0F9D9">
            <w:pPr>
              <w:pStyle w:val="21"/>
              <w:spacing w:before="35" w:line="211" w:lineRule="auto"/>
              <w:ind w:left="530"/>
              <w:rPr>
                <w:color w:val="auto"/>
              </w:rPr>
            </w:pPr>
            <w:r>
              <w:rPr>
                <w:b/>
                <w:bCs/>
                <w:color w:val="auto"/>
                <w:spacing w:val="-4"/>
              </w:rPr>
              <w:t>其他因素</w:t>
            </w:r>
          </w:p>
        </w:tc>
        <w:tc>
          <w:tcPr>
            <w:tcW w:w="1220" w:type="dxa"/>
            <w:vMerge w:val="continue"/>
            <w:tcBorders>
              <w:top w:val="nil"/>
            </w:tcBorders>
          </w:tcPr>
          <w:p w14:paraId="234CEB1E">
            <w:pPr>
              <w:rPr>
                <w:color w:val="auto"/>
              </w:rPr>
            </w:pPr>
          </w:p>
        </w:tc>
        <w:tc>
          <w:tcPr>
            <w:tcW w:w="1302" w:type="dxa"/>
            <w:vMerge w:val="continue"/>
            <w:tcBorders>
              <w:top w:val="nil"/>
            </w:tcBorders>
          </w:tcPr>
          <w:p w14:paraId="1D2FBD72">
            <w:pPr>
              <w:rPr>
                <w:color w:val="auto"/>
              </w:rPr>
            </w:pPr>
          </w:p>
        </w:tc>
      </w:tr>
      <w:tr w14:paraId="0FAFD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5BD3D766">
            <w:pPr>
              <w:pStyle w:val="21"/>
              <w:spacing w:before="86" w:line="242" w:lineRule="auto"/>
              <w:ind w:left="466"/>
              <w:rPr>
                <w:color w:val="auto"/>
              </w:rPr>
            </w:pPr>
            <w:r>
              <w:rPr>
                <w:color w:val="auto"/>
              </w:rPr>
              <w:t>1</w:t>
            </w:r>
          </w:p>
        </w:tc>
        <w:tc>
          <w:tcPr>
            <w:tcW w:w="2961" w:type="dxa"/>
          </w:tcPr>
          <w:p w14:paraId="7A602E2F">
            <w:pPr>
              <w:rPr>
                <w:color w:val="auto"/>
              </w:rPr>
            </w:pPr>
          </w:p>
        </w:tc>
        <w:tc>
          <w:tcPr>
            <w:tcW w:w="1890" w:type="dxa"/>
          </w:tcPr>
          <w:p w14:paraId="5049C7D6">
            <w:pPr>
              <w:rPr>
                <w:color w:val="auto"/>
              </w:rPr>
            </w:pPr>
          </w:p>
        </w:tc>
        <w:tc>
          <w:tcPr>
            <w:tcW w:w="1891" w:type="dxa"/>
          </w:tcPr>
          <w:p w14:paraId="089E5277">
            <w:pPr>
              <w:rPr>
                <w:color w:val="auto"/>
              </w:rPr>
            </w:pPr>
          </w:p>
        </w:tc>
        <w:tc>
          <w:tcPr>
            <w:tcW w:w="1891" w:type="dxa"/>
          </w:tcPr>
          <w:p w14:paraId="5CDD6D83">
            <w:pPr>
              <w:rPr>
                <w:color w:val="auto"/>
              </w:rPr>
            </w:pPr>
          </w:p>
        </w:tc>
        <w:tc>
          <w:tcPr>
            <w:tcW w:w="1891" w:type="dxa"/>
          </w:tcPr>
          <w:p w14:paraId="66840014">
            <w:pPr>
              <w:rPr>
                <w:color w:val="auto"/>
              </w:rPr>
            </w:pPr>
          </w:p>
        </w:tc>
        <w:tc>
          <w:tcPr>
            <w:tcW w:w="1220" w:type="dxa"/>
          </w:tcPr>
          <w:p w14:paraId="34F56E16">
            <w:pPr>
              <w:rPr>
                <w:color w:val="auto"/>
              </w:rPr>
            </w:pPr>
          </w:p>
        </w:tc>
        <w:tc>
          <w:tcPr>
            <w:tcW w:w="1302" w:type="dxa"/>
          </w:tcPr>
          <w:p w14:paraId="39166781">
            <w:pPr>
              <w:rPr>
                <w:color w:val="auto"/>
              </w:rPr>
            </w:pPr>
          </w:p>
        </w:tc>
      </w:tr>
      <w:tr w14:paraId="3EB69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3467C861">
            <w:pPr>
              <w:pStyle w:val="21"/>
              <w:spacing w:before="87" w:line="242" w:lineRule="auto"/>
              <w:ind w:left="453"/>
              <w:rPr>
                <w:color w:val="auto"/>
              </w:rPr>
            </w:pPr>
            <w:r>
              <w:rPr>
                <w:color w:val="auto"/>
              </w:rPr>
              <w:t>2</w:t>
            </w:r>
          </w:p>
        </w:tc>
        <w:tc>
          <w:tcPr>
            <w:tcW w:w="2961" w:type="dxa"/>
          </w:tcPr>
          <w:p w14:paraId="2E1C31CD">
            <w:pPr>
              <w:rPr>
                <w:color w:val="auto"/>
              </w:rPr>
            </w:pPr>
          </w:p>
        </w:tc>
        <w:tc>
          <w:tcPr>
            <w:tcW w:w="1890" w:type="dxa"/>
          </w:tcPr>
          <w:p w14:paraId="5F532780">
            <w:pPr>
              <w:rPr>
                <w:color w:val="auto"/>
              </w:rPr>
            </w:pPr>
          </w:p>
        </w:tc>
        <w:tc>
          <w:tcPr>
            <w:tcW w:w="1891" w:type="dxa"/>
          </w:tcPr>
          <w:p w14:paraId="7D3970DB">
            <w:pPr>
              <w:rPr>
                <w:color w:val="auto"/>
              </w:rPr>
            </w:pPr>
          </w:p>
        </w:tc>
        <w:tc>
          <w:tcPr>
            <w:tcW w:w="1891" w:type="dxa"/>
          </w:tcPr>
          <w:p w14:paraId="0C5CC4FC">
            <w:pPr>
              <w:rPr>
                <w:color w:val="auto"/>
              </w:rPr>
            </w:pPr>
          </w:p>
        </w:tc>
        <w:tc>
          <w:tcPr>
            <w:tcW w:w="1891" w:type="dxa"/>
          </w:tcPr>
          <w:p w14:paraId="77D67587">
            <w:pPr>
              <w:rPr>
                <w:color w:val="auto"/>
              </w:rPr>
            </w:pPr>
          </w:p>
        </w:tc>
        <w:tc>
          <w:tcPr>
            <w:tcW w:w="1220" w:type="dxa"/>
          </w:tcPr>
          <w:p w14:paraId="078ED34E">
            <w:pPr>
              <w:rPr>
                <w:color w:val="auto"/>
              </w:rPr>
            </w:pPr>
          </w:p>
        </w:tc>
        <w:tc>
          <w:tcPr>
            <w:tcW w:w="1302" w:type="dxa"/>
          </w:tcPr>
          <w:p w14:paraId="403F4FB5">
            <w:pPr>
              <w:rPr>
                <w:color w:val="auto"/>
              </w:rPr>
            </w:pPr>
          </w:p>
        </w:tc>
      </w:tr>
      <w:tr w14:paraId="6A860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0C9EB4F9">
            <w:pPr>
              <w:pStyle w:val="21"/>
              <w:spacing w:before="88"/>
              <w:ind w:left="455"/>
              <w:rPr>
                <w:color w:val="auto"/>
              </w:rPr>
            </w:pPr>
            <w:r>
              <w:rPr>
                <w:color w:val="auto"/>
              </w:rPr>
              <w:t>3</w:t>
            </w:r>
          </w:p>
        </w:tc>
        <w:tc>
          <w:tcPr>
            <w:tcW w:w="2961" w:type="dxa"/>
          </w:tcPr>
          <w:p w14:paraId="32ADC4CC">
            <w:pPr>
              <w:rPr>
                <w:color w:val="auto"/>
              </w:rPr>
            </w:pPr>
          </w:p>
        </w:tc>
        <w:tc>
          <w:tcPr>
            <w:tcW w:w="1890" w:type="dxa"/>
          </w:tcPr>
          <w:p w14:paraId="6077D74F">
            <w:pPr>
              <w:rPr>
                <w:color w:val="auto"/>
              </w:rPr>
            </w:pPr>
          </w:p>
        </w:tc>
        <w:tc>
          <w:tcPr>
            <w:tcW w:w="1891" w:type="dxa"/>
          </w:tcPr>
          <w:p w14:paraId="4856BD79">
            <w:pPr>
              <w:rPr>
                <w:color w:val="auto"/>
              </w:rPr>
            </w:pPr>
          </w:p>
        </w:tc>
        <w:tc>
          <w:tcPr>
            <w:tcW w:w="1891" w:type="dxa"/>
          </w:tcPr>
          <w:p w14:paraId="57013436">
            <w:pPr>
              <w:rPr>
                <w:color w:val="auto"/>
              </w:rPr>
            </w:pPr>
          </w:p>
        </w:tc>
        <w:tc>
          <w:tcPr>
            <w:tcW w:w="1891" w:type="dxa"/>
          </w:tcPr>
          <w:p w14:paraId="22858D49">
            <w:pPr>
              <w:rPr>
                <w:color w:val="auto"/>
              </w:rPr>
            </w:pPr>
          </w:p>
        </w:tc>
        <w:tc>
          <w:tcPr>
            <w:tcW w:w="1220" w:type="dxa"/>
          </w:tcPr>
          <w:p w14:paraId="31282F46">
            <w:pPr>
              <w:rPr>
                <w:color w:val="auto"/>
              </w:rPr>
            </w:pPr>
          </w:p>
        </w:tc>
        <w:tc>
          <w:tcPr>
            <w:tcW w:w="1302" w:type="dxa"/>
          </w:tcPr>
          <w:p w14:paraId="76A584B6">
            <w:pPr>
              <w:rPr>
                <w:color w:val="auto"/>
              </w:rPr>
            </w:pPr>
          </w:p>
        </w:tc>
      </w:tr>
      <w:tr w14:paraId="455DF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624393DC">
            <w:pPr>
              <w:pStyle w:val="21"/>
              <w:spacing w:before="89" w:line="242" w:lineRule="auto"/>
              <w:ind w:left="450"/>
              <w:rPr>
                <w:color w:val="auto"/>
              </w:rPr>
            </w:pPr>
            <w:r>
              <w:rPr>
                <w:color w:val="auto"/>
              </w:rPr>
              <w:t>4</w:t>
            </w:r>
          </w:p>
        </w:tc>
        <w:tc>
          <w:tcPr>
            <w:tcW w:w="2961" w:type="dxa"/>
          </w:tcPr>
          <w:p w14:paraId="15B98F99">
            <w:pPr>
              <w:rPr>
                <w:color w:val="auto"/>
              </w:rPr>
            </w:pPr>
          </w:p>
        </w:tc>
        <w:tc>
          <w:tcPr>
            <w:tcW w:w="1890" w:type="dxa"/>
          </w:tcPr>
          <w:p w14:paraId="42916048">
            <w:pPr>
              <w:rPr>
                <w:color w:val="auto"/>
              </w:rPr>
            </w:pPr>
          </w:p>
        </w:tc>
        <w:tc>
          <w:tcPr>
            <w:tcW w:w="1891" w:type="dxa"/>
          </w:tcPr>
          <w:p w14:paraId="41CA628D">
            <w:pPr>
              <w:rPr>
                <w:color w:val="auto"/>
              </w:rPr>
            </w:pPr>
          </w:p>
        </w:tc>
        <w:tc>
          <w:tcPr>
            <w:tcW w:w="1891" w:type="dxa"/>
          </w:tcPr>
          <w:p w14:paraId="7D86F4EE">
            <w:pPr>
              <w:rPr>
                <w:color w:val="auto"/>
              </w:rPr>
            </w:pPr>
          </w:p>
        </w:tc>
        <w:tc>
          <w:tcPr>
            <w:tcW w:w="1891" w:type="dxa"/>
          </w:tcPr>
          <w:p w14:paraId="12154A0D">
            <w:pPr>
              <w:rPr>
                <w:color w:val="auto"/>
              </w:rPr>
            </w:pPr>
          </w:p>
        </w:tc>
        <w:tc>
          <w:tcPr>
            <w:tcW w:w="1220" w:type="dxa"/>
          </w:tcPr>
          <w:p w14:paraId="7A727AA5">
            <w:pPr>
              <w:rPr>
                <w:color w:val="auto"/>
              </w:rPr>
            </w:pPr>
          </w:p>
        </w:tc>
        <w:tc>
          <w:tcPr>
            <w:tcW w:w="1302" w:type="dxa"/>
          </w:tcPr>
          <w:p w14:paraId="3AAEA31B">
            <w:pPr>
              <w:rPr>
                <w:color w:val="auto"/>
              </w:rPr>
            </w:pPr>
          </w:p>
        </w:tc>
      </w:tr>
      <w:tr w14:paraId="4F4D6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3D71B2F2">
            <w:pPr>
              <w:pStyle w:val="21"/>
              <w:spacing w:before="90"/>
              <w:ind w:left="455"/>
              <w:rPr>
                <w:color w:val="auto"/>
              </w:rPr>
            </w:pPr>
            <w:r>
              <w:rPr>
                <w:color w:val="auto"/>
              </w:rPr>
              <w:t>5</w:t>
            </w:r>
          </w:p>
        </w:tc>
        <w:tc>
          <w:tcPr>
            <w:tcW w:w="2961" w:type="dxa"/>
          </w:tcPr>
          <w:p w14:paraId="62DA0DA9">
            <w:pPr>
              <w:rPr>
                <w:color w:val="auto"/>
              </w:rPr>
            </w:pPr>
          </w:p>
        </w:tc>
        <w:tc>
          <w:tcPr>
            <w:tcW w:w="1890" w:type="dxa"/>
          </w:tcPr>
          <w:p w14:paraId="66DDD3E5">
            <w:pPr>
              <w:rPr>
                <w:color w:val="auto"/>
              </w:rPr>
            </w:pPr>
          </w:p>
        </w:tc>
        <w:tc>
          <w:tcPr>
            <w:tcW w:w="1891" w:type="dxa"/>
          </w:tcPr>
          <w:p w14:paraId="349250A8">
            <w:pPr>
              <w:rPr>
                <w:color w:val="auto"/>
              </w:rPr>
            </w:pPr>
          </w:p>
        </w:tc>
        <w:tc>
          <w:tcPr>
            <w:tcW w:w="1891" w:type="dxa"/>
          </w:tcPr>
          <w:p w14:paraId="6B9D8FCE">
            <w:pPr>
              <w:rPr>
                <w:color w:val="auto"/>
              </w:rPr>
            </w:pPr>
          </w:p>
        </w:tc>
        <w:tc>
          <w:tcPr>
            <w:tcW w:w="1891" w:type="dxa"/>
          </w:tcPr>
          <w:p w14:paraId="7ABBCFE1">
            <w:pPr>
              <w:rPr>
                <w:color w:val="auto"/>
              </w:rPr>
            </w:pPr>
          </w:p>
        </w:tc>
        <w:tc>
          <w:tcPr>
            <w:tcW w:w="1220" w:type="dxa"/>
          </w:tcPr>
          <w:p w14:paraId="4869B1DF">
            <w:pPr>
              <w:rPr>
                <w:color w:val="auto"/>
              </w:rPr>
            </w:pPr>
          </w:p>
        </w:tc>
        <w:tc>
          <w:tcPr>
            <w:tcW w:w="1302" w:type="dxa"/>
          </w:tcPr>
          <w:p w14:paraId="1D8A305F">
            <w:pPr>
              <w:rPr>
                <w:color w:val="auto"/>
              </w:rPr>
            </w:pPr>
          </w:p>
        </w:tc>
      </w:tr>
      <w:tr w14:paraId="585B5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005" w:type="dxa"/>
          </w:tcPr>
          <w:p w14:paraId="7E206A17">
            <w:pPr>
              <w:pStyle w:val="21"/>
              <w:spacing w:before="91" w:line="284" w:lineRule="exact"/>
              <w:ind w:left="411"/>
              <w:rPr>
                <w:color w:val="auto"/>
              </w:rPr>
            </w:pPr>
            <w:r>
              <w:rPr>
                <w:color w:val="auto"/>
                <w:position w:val="1"/>
              </w:rPr>
              <w:t>…</w:t>
            </w:r>
          </w:p>
        </w:tc>
        <w:tc>
          <w:tcPr>
            <w:tcW w:w="2961" w:type="dxa"/>
          </w:tcPr>
          <w:p w14:paraId="0E93BFC3">
            <w:pPr>
              <w:rPr>
                <w:color w:val="auto"/>
              </w:rPr>
            </w:pPr>
          </w:p>
        </w:tc>
        <w:tc>
          <w:tcPr>
            <w:tcW w:w="1890" w:type="dxa"/>
          </w:tcPr>
          <w:p w14:paraId="06E86315">
            <w:pPr>
              <w:rPr>
                <w:color w:val="auto"/>
              </w:rPr>
            </w:pPr>
          </w:p>
        </w:tc>
        <w:tc>
          <w:tcPr>
            <w:tcW w:w="1891" w:type="dxa"/>
          </w:tcPr>
          <w:p w14:paraId="589AD2C6">
            <w:pPr>
              <w:rPr>
                <w:color w:val="auto"/>
              </w:rPr>
            </w:pPr>
          </w:p>
        </w:tc>
        <w:tc>
          <w:tcPr>
            <w:tcW w:w="1891" w:type="dxa"/>
          </w:tcPr>
          <w:p w14:paraId="5A086ABE">
            <w:pPr>
              <w:rPr>
                <w:color w:val="auto"/>
              </w:rPr>
            </w:pPr>
          </w:p>
        </w:tc>
        <w:tc>
          <w:tcPr>
            <w:tcW w:w="1891" w:type="dxa"/>
          </w:tcPr>
          <w:p w14:paraId="3EFA40CE">
            <w:pPr>
              <w:rPr>
                <w:color w:val="auto"/>
              </w:rPr>
            </w:pPr>
          </w:p>
        </w:tc>
        <w:tc>
          <w:tcPr>
            <w:tcW w:w="1220" w:type="dxa"/>
          </w:tcPr>
          <w:p w14:paraId="691404F0">
            <w:pPr>
              <w:rPr>
                <w:color w:val="auto"/>
              </w:rPr>
            </w:pPr>
          </w:p>
        </w:tc>
        <w:tc>
          <w:tcPr>
            <w:tcW w:w="1302" w:type="dxa"/>
          </w:tcPr>
          <w:p w14:paraId="4388A3B1">
            <w:pPr>
              <w:rPr>
                <w:color w:val="auto"/>
              </w:rPr>
            </w:pPr>
          </w:p>
        </w:tc>
      </w:tr>
      <w:tr w14:paraId="6759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9" w:hRule="atLeast"/>
        </w:trPr>
        <w:tc>
          <w:tcPr>
            <w:tcW w:w="14051" w:type="dxa"/>
            <w:gridSpan w:val="8"/>
          </w:tcPr>
          <w:p w14:paraId="28C4284B">
            <w:pPr>
              <w:pStyle w:val="21"/>
              <w:spacing w:before="34" w:line="220" w:lineRule="auto"/>
              <w:ind w:left="110"/>
              <w:rPr>
                <w:color w:val="auto"/>
                <w:lang w:eastAsia="zh-CN"/>
              </w:rPr>
            </w:pPr>
            <w:r>
              <w:rPr>
                <w:color w:val="auto"/>
                <w:spacing w:val="-5"/>
                <w:lang w:eastAsia="zh-CN"/>
              </w:rPr>
              <w:t>评标委员会全体成员签名：</w:t>
            </w:r>
          </w:p>
        </w:tc>
      </w:tr>
    </w:tbl>
    <w:p w14:paraId="06A17B48">
      <w:pPr>
        <w:spacing w:before="274" w:line="220" w:lineRule="auto"/>
        <w:ind w:left="12550"/>
        <w:rPr>
          <w:rFonts w:ascii="宋体" w:hAnsi="宋体" w:eastAsia="宋体" w:cs="宋体"/>
          <w:color w:val="auto"/>
          <w:lang w:eastAsia="zh-CN"/>
        </w:rPr>
      </w:pPr>
      <w:r>
        <w:rPr>
          <w:rFonts w:ascii="宋体" w:hAnsi="宋体" w:eastAsia="宋体" w:cs="宋体"/>
          <w:color w:val="auto"/>
          <w:spacing w:val="-12"/>
          <w:lang w:eastAsia="zh-CN"/>
        </w:rPr>
        <w:t>日期：年月日</w:t>
      </w:r>
    </w:p>
    <w:p w14:paraId="0A1CB819">
      <w:pPr>
        <w:spacing w:line="220" w:lineRule="auto"/>
        <w:rPr>
          <w:rFonts w:ascii="宋体" w:hAnsi="宋体" w:eastAsia="宋体" w:cs="宋体"/>
          <w:color w:val="auto"/>
          <w:lang w:eastAsia="zh-CN"/>
        </w:rPr>
        <w:sectPr>
          <w:footerReference r:id="rId101" w:type="default"/>
          <w:pgSz w:w="16839" w:h="11906"/>
          <w:pgMar w:top="400" w:right="535" w:bottom="1254" w:left="105" w:header="0" w:footer="985" w:gutter="0"/>
          <w:cols w:space="720" w:num="1"/>
        </w:sectPr>
      </w:pPr>
    </w:p>
    <w:p w14:paraId="12884B7D">
      <w:pPr>
        <w:pStyle w:val="8"/>
        <w:spacing w:line="267" w:lineRule="auto"/>
        <w:rPr>
          <w:lang w:eastAsia="zh-CN"/>
        </w:rPr>
      </w:pPr>
    </w:p>
    <w:p w14:paraId="2AC5E706">
      <w:pPr>
        <w:pStyle w:val="8"/>
        <w:spacing w:line="267" w:lineRule="auto"/>
        <w:rPr>
          <w:lang w:eastAsia="zh-CN"/>
        </w:rPr>
      </w:pPr>
    </w:p>
    <w:p w14:paraId="739DC264">
      <w:pPr>
        <w:pStyle w:val="8"/>
        <w:spacing w:line="267" w:lineRule="auto"/>
        <w:rPr>
          <w:lang w:eastAsia="zh-CN"/>
        </w:rPr>
      </w:pPr>
    </w:p>
    <w:p w14:paraId="610F1843">
      <w:pPr>
        <w:pStyle w:val="8"/>
        <w:spacing w:line="267" w:lineRule="auto"/>
        <w:rPr>
          <w:lang w:eastAsia="zh-CN"/>
        </w:rPr>
      </w:pPr>
    </w:p>
    <w:p w14:paraId="56BE04F3">
      <w:pPr>
        <w:spacing w:before="78" w:line="222" w:lineRule="auto"/>
        <w:ind w:left="1716"/>
        <w:outlineLvl w:val="2"/>
        <w:rPr>
          <w:rFonts w:ascii="黑体" w:hAnsi="黑体" w:eastAsia="黑体" w:cs="黑体"/>
          <w:color w:val="auto"/>
          <w:sz w:val="24"/>
          <w:szCs w:val="24"/>
          <w:lang w:eastAsia="zh-CN"/>
        </w:rPr>
      </w:pPr>
      <w:bookmarkStart w:id="348" w:name="bookmark260"/>
      <w:bookmarkEnd w:id="348"/>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A-16</w:t>
      </w:r>
      <w:r>
        <w:rPr>
          <w:rFonts w:ascii="黑体" w:hAnsi="黑体" w:eastAsia="黑体" w:cs="黑体"/>
          <w:color w:val="auto"/>
          <w:spacing w:val="-3"/>
          <w:sz w:val="24"/>
          <w:szCs w:val="24"/>
          <w:lang w:eastAsia="zh-CN"/>
        </w:rPr>
        <w:t>：评标结果汇总表</w:t>
      </w:r>
    </w:p>
    <w:p w14:paraId="69DF667B">
      <w:pPr>
        <w:pStyle w:val="8"/>
        <w:spacing w:line="315" w:lineRule="auto"/>
        <w:rPr>
          <w:lang w:eastAsia="zh-CN"/>
        </w:rPr>
      </w:pPr>
    </w:p>
    <w:p w14:paraId="4F335A0B">
      <w:pPr>
        <w:pStyle w:val="8"/>
        <w:spacing w:line="315" w:lineRule="auto"/>
        <w:rPr>
          <w:lang w:eastAsia="zh-CN"/>
        </w:rPr>
      </w:pPr>
    </w:p>
    <w:p w14:paraId="6EBD13B0">
      <w:pPr>
        <w:pStyle w:val="8"/>
        <w:spacing w:line="315" w:lineRule="auto"/>
        <w:rPr>
          <w:lang w:eastAsia="zh-CN"/>
        </w:rPr>
      </w:pPr>
    </w:p>
    <w:p w14:paraId="2F281A0E">
      <w:pPr>
        <w:spacing w:before="117" w:line="222" w:lineRule="auto"/>
        <w:ind w:left="4599"/>
        <w:rPr>
          <w:rFonts w:ascii="黑体" w:hAnsi="黑体" w:eastAsia="黑体" w:cs="黑体"/>
          <w:color w:val="auto"/>
          <w:sz w:val="36"/>
          <w:szCs w:val="36"/>
          <w:lang w:eastAsia="zh-CN"/>
        </w:rPr>
      </w:pPr>
      <w:bookmarkStart w:id="349" w:name="bookmark142"/>
      <w:bookmarkEnd w:id="349"/>
      <w:r>
        <w:rPr>
          <w:rFonts w:ascii="黑体" w:hAnsi="黑体" w:eastAsia="黑体" w:cs="黑体"/>
          <w:color w:val="auto"/>
          <w:spacing w:val="-2"/>
          <w:sz w:val="36"/>
          <w:szCs w:val="36"/>
          <w:lang w:eastAsia="zh-CN"/>
        </w:rPr>
        <w:t>评标结果汇总表</w:t>
      </w:r>
    </w:p>
    <w:p w14:paraId="22FECD8A">
      <w:pPr>
        <w:pStyle w:val="8"/>
        <w:spacing w:line="383" w:lineRule="auto"/>
        <w:rPr>
          <w:lang w:eastAsia="zh-CN"/>
        </w:rPr>
      </w:pPr>
    </w:p>
    <w:p w14:paraId="4C1E82B9">
      <w:pPr>
        <w:spacing w:before="117" w:line="222" w:lineRule="auto"/>
        <w:ind w:left="3184"/>
        <w:rPr>
          <w:rFonts w:ascii="黑体" w:hAnsi="黑体" w:eastAsia="黑体" w:cs="黑体"/>
          <w:color w:val="auto"/>
          <w:sz w:val="36"/>
          <w:szCs w:val="36"/>
          <w:lang w:eastAsia="zh-CN"/>
        </w:rPr>
      </w:pPr>
      <w:r>
        <w:rPr>
          <w:rFonts w:ascii="黑体" w:hAnsi="黑体" w:eastAsia="黑体" w:cs="黑体"/>
          <w:color w:val="auto"/>
          <w:spacing w:val="-5"/>
          <w:sz w:val="36"/>
          <w:szCs w:val="36"/>
          <w:lang w:eastAsia="zh-CN"/>
        </w:rPr>
        <w:t>（适用于经评审的最低投标价法）</w:t>
      </w:r>
    </w:p>
    <w:p w14:paraId="4824B596">
      <w:pPr>
        <w:pStyle w:val="8"/>
        <w:spacing w:line="351" w:lineRule="auto"/>
        <w:rPr>
          <w:lang w:eastAsia="zh-CN"/>
        </w:rPr>
      </w:pPr>
    </w:p>
    <w:p w14:paraId="5FC89B11">
      <w:pPr>
        <w:spacing w:before="68" w:line="221" w:lineRule="auto"/>
        <w:ind w:left="1703"/>
        <w:rPr>
          <w:rFonts w:ascii="宋体" w:hAnsi="宋体" w:eastAsia="宋体" w:cs="宋体"/>
          <w:color w:val="auto"/>
          <w:lang w:eastAsia="zh-CN"/>
        </w:rPr>
      </w:pPr>
      <w:r>
        <w:rPr>
          <w:rFonts w:ascii="宋体" w:hAnsi="宋体" w:eastAsia="宋体" w:cs="宋体"/>
          <w:color w:val="auto"/>
          <w:spacing w:val="-10"/>
          <w:lang w:eastAsia="zh-CN"/>
        </w:rPr>
        <w:t>标段名称：</w:t>
      </w:r>
    </w:p>
    <w:p w14:paraId="2FEF73F6">
      <w:pPr>
        <w:spacing w:before="60" w:line="220" w:lineRule="auto"/>
        <w:ind w:left="1703"/>
        <w:rPr>
          <w:rFonts w:ascii="宋体" w:hAnsi="宋体" w:eastAsia="宋体" w:cs="宋体"/>
          <w:color w:val="auto"/>
          <w:lang w:eastAsia="zh-CN"/>
        </w:rPr>
      </w:pPr>
      <w:r>
        <w:rPr>
          <w:rFonts w:ascii="宋体" w:hAnsi="宋体" w:eastAsia="宋体" w:cs="宋体"/>
          <w:color w:val="auto"/>
          <w:lang w:eastAsia="zh-CN"/>
        </w:rPr>
        <w:t xml:space="preserve">标段唯一标识码：                                             </w:t>
      </w:r>
      <w:r>
        <w:rPr>
          <w:rFonts w:ascii="宋体" w:hAnsi="宋体" w:eastAsia="宋体" w:cs="宋体"/>
          <w:color w:val="auto"/>
          <w:spacing w:val="-1"/>
          <w:lang w:eastAsia="zh-CN"/>
        </w:rPr>
        <w:t xml:space="preserve">  单位：人民币元</w:t>
      </w:r>
    </w:p>
    <w:p w14:paraId="7436B3A5">
      <w:pPr>
        <w:spacing w:line="104" w:lineRule="auto"/>
        <w:rPr>
          <w:color w:val="auto"/>
          <w:sz w:val="2"/>
          <w:lang w:eastAsia="zh-CN"/>
        </w:rPr>
      </w:pPr>
    </w:p>
    <w:tbl>
      <w:tblPr>
        <w:tblStyle w:val="20"/>
        <w:tblW w:w="9066" w:type="dxa"/>
        <w:tblInd w:w="13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1"/>
        <w:gridCol w:w="856"/>
        <w:gridCol w:w="1537"/>
        <w:gridCol w:w="1274"/>
        <w:gridCol w:w="1133"/>
        <w:gridCol w:w="1567"/>
        <w:gridCol w:w="1028"/>
      </w:tblGrid>
      <w:tr w14:paraId="69F40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671" w:type="dxa"/>
            <w:vMerge w:val="restart"/>
            <w:tcBorders>
              <w:bottom w:val="nil"/>
            </w:tcBorders>
          </w:tcPr>
          <w:p w14:paraId="699A4339">
            <w:pPr>
              <w:spacing w:line="393" w:lineRule="auto"/>
              <w:rPr>
                <w:color w:val="auto"/>
                <w:lang w:eastAsia="zh-CN"/>
              </w:rPr>
            </w:pPr>
          </w:p>
          <w:p w14:paraId="017868BD">
            <w:pPr>
              <w:pStyle w:val="21"/>
              <w:spacing w:before="68" w:line="221" w:lineRule="auto"/>
              <w:ind w:left="312"/>
              <w:rPr>
                <w:color w:val="auto"/>
              </w:rPr>
            </w:pPr>
            <w:r>
              <w:rPr>
                <w:b/>
                <w:bCs/>
                <w:color w:val="auto"/>
                <w:spacing w:val="-4"/>
              </w:rPr>
              <w:t>投标人名称</w:t>
            </w:r>
          </w:p>
        </w:tc>
        <w:tc>
          <w:tcPr>
            <w:tcW w:w="7395" w:type="dxa"/>
            <w:gridSpan w:val="6"/>
          </w:tcPr>
          <w:p w14:paraId="094F0ADB">
            <w:pPr>
              <w:pStyle w:val="21"/>
              <w:spacing w:before="146" w:line="221" w:lineRule="auto"/>
              <w:ind w:left="3277"/>
              <w:rPr>
                <w:color w:val="auto"/>
              </w:rPr>
            </w:pPr>
            <w:r>
              <w:rPr>
                <w:b/>
                <w:bCs/>
                <w:color w:val="auto"/>
                <w:spacing w:val="-4"/>
              </w:rPr>
              <w:t>评审项目</w:t>
            </w:r>
          </w:p>
        </w:tc>
      </w:tr>
      <w:tr w14:paraId="297D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71" w:type="dxa"/>
            <w:vMerge w:val="continue"/>
            <w:tcBorders>
              <w:top w:val="nil"/>
            </w:tcBorders>
          </w:tcPr>
          <w:p w14:paraId="79830736">
            <w:pPr>
              <w:rPr>
                <w:color w:val="auto"/>
              </w:rPr>
            </w:pPr>
          </w:p>
        </w:tc>
        <w:tc>
          <w:tcPr>
            <w:tcW w:w="856" w:type="dxa"/>
          </w:tcPr>
          <w:p w14:paraId="4EC1CAAE">
            <w:pPr>
              <w:pStyle w:val="21"/>
              <w:spacing w:before="204" w:line="219" w:lineRule="auto"/>
              <w:ind w:left="9"/>
              <w:rPr>
                <w:color w:val="auto"/>
              </w:rPr>
            </w:pPr>
            <w:r>
              <w:rPr>
                <w:b/>
                <w:bCs/>
                <w:color w:val="auto"/>
                <w:spacing w:val="-5"/>
              </w:rPr>
              <w:t>投标报价</w:t>
            </w:r>
          </w:p>
        </w:tc>
        <w:tc>
          <w:tcPr>
            <w:tcW w:w="1537" w:type="dxa"/>
          </w:tcPr>
          <w:p w14:paraId="275A7F8D">
            <w:pPr>
              <w:pStyle w:val="21"/>
              <w:spacing w:before="48" w:line="219" w:lineRule="auto"/>
              <w:ind w:left="32"/>
              <w:rPr>
                <w:color w:val="auto"/>
                <w:lang w:eastAsia="zh-CN"/>
              </w:rPr>
            </w:pPr>
            <w:r>
              <w:rPr>
                <w:b/>
                <w:bCs/>
                <w:color w:val="auto"/>
                <w:spacing w:val="-3"/>
                <w:lang w:eastAsia="zh-CN"/>
              </w:rPr>
              <w:t>修正后投标报价</w:t>
            </w:r>
          </w:p>
          <w:p w14:paraId="75FB56C1">
            <w:pPr>
              <w:pStyle w:val="21"/>
              <w:spacing w:before="63" w:line="221" w:lineRule="auto"/>
              <w:ind w:left="354"/>
              <w:rPr>
                <w:color w:val="auto"/>
                <w:lang w:eastAsia="zh-CN"/>
              </w:rPr>
            </w:pPr>
            <w:r>
              <w:rPr>
                <w:b/>
                <w:bCs/>
                <w:color w:val="auto"/>
                <w:spacing w:val="-6"/>
                <w:lang w:eastAsia="zh-CN"/>
              </w:rPr>
              <w:t>（如有）</w:t>
            </w:r>
          </w:p>
        </w:tc>
        <w:tc>
          <w:tcPr>
            <w:tcW w:w="1274" w:type="dxa"/>
          </w:tcPr>
          <w:p w14:paraId="25F15F39">
            <w:pPr>
              <w:pStyle w:val="21"/>
              <w:spacing w:before="204" w:line="219" w:lineRule="auto"/>
              <w:ind w:left="324"/>
              <w:rPr>
                <w:color w:val="auto"/>
              </w:rPr>
            </w:pPr>
            <w:r>
              <w:rPr>
                <w:b/>
                <w:bCs/>
                <w:color w:val="auto"/>
                <w:spacing w:val="-5"/>
              </w:rPr>
              <w:t>评标价</w:t>
            </w:r>
          </w:p>
        </w:tc>
        <w:tc>
          <w:tcPr>
            <w:tcW w:w="1133" w:type="dxa"/>
          </w:tcPr>
          <w:p w14:paraId="03CB5354">
            <w:pPr>
              <w:pStyle w:val="21"/>
              <w:spacing w:before="48" w:line="248" w:lineRule="auto"/>
              <w:ind w:left="467" w:right="32" w:hanging="420"/>
              <w:rPr>
                <w:color w:val="auto"/>
              </w:rPr>
            </w:pPr>
            <w:r>
              <w:rPr>
                <w:b/>
                <w:bCs/>
                <w:color w:val="auto"/>
                <w:spacing w:val="-4"/>
              </w:rPr>
              <w:t>最高投标限</w:t>
            </w:r>
            <w:r>
              <w:rPr>
                <w:b/>
                <w:bCs/>
                <w:color w:val="auto"/>
                <w:spacing w:val="-3"/>
              </w:rPr>
              <w:t>价</w:t>
            </w:r>
          </w:p>
        </w:tc>
        <w:tc>
          <w:tcPr>
            <w:tcW w:w="1567" w:type="dxa"/>
          </w:tcPr>
          <w:p w14:paraId="1873605A">
            <w:pPr>
              <w:pStyle w:val="21"/>
              <w:spacing w:before="204" w:line="219" w:lineRule="auto"/>
              <w:ind w:left="52"/>
              <w:rPr>
                <w:color w:val="auto"/>
              </w:rPr>
            </w:pPr>
            <w:r>
              <w:rPr>
                <w:b/>
                <w:bCs/>
                <w:color w:val="auto"/>
                <w:spacing w:val="-3"/>
              </w:rPr>
              <w:t>确定有效评标价</w:t>
            </w:r>
          </w:p>
        </w:tc>
        <w:tc>
          <w:tcPr>
            <w:tcW w:w="1028" w:type="dxa"/>
          </w:tcPr>
          <w:p w14:paraId="095E4DEC">
            <w:pPr>
              <w:pStyle w:val="21"/>
              <w:spacing w:before="48" w:line="248" w:lineRule="auto"/>
              <w:ind w:left="204" w:right="85" w:hanging="105"/>
              <w:rPr>
                <w:color w:val="auto"/>
              </w:rPr>
            </w:pPr>
            <w:r>
              <w:rPr>
                <w:b/>
                <w:bCs/>
                <w:color w:val="auto"/>
                <w:spacing w:val="-4"/>
              </w:rPr>
              <w:t>有效评标</w:t>
            </w:r>
            <w:r>
              <w:rPr>
                <w:b/>
                <w:bCs/>
                <w:color w:val="auto"/>
                <w:spacing w:val="-5"/>
              </w:rPr>
              <w:t>价排序</w:t>
            </w:r>
          </w:p>
        </w:tc>
      </w:tr>
      <w:tr w14:paraId="67B07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671" w:type="dxa"/>
          </w:tcPr>
          <w:p w14:paraId="59926BD3">
            <w:pPr>
              <w:rPr>
                <w:color w:val="auto"/>
              </w:rPr>
            </w:pPr>
          </w:p>
        </w:tc>
        <w:tc>
          <w:tcPr>
            <w:tcW w:w="856" w:type="dxa"/>
          </w:tcPr>
          <w:p w14:paraId="60C28000">
            <w:pPr>
              <w:rPr>
                <w:color w:val="auto"/>
              </w:rPr>
            </w:pPr>
          </w:p>
        </w:tc>
        <w:tc>
          <w:tcPr>
            <w:tcW w:w="1537" w:type="dxa"/>
          </w:tcPr>
          <w:p w14:paraId="66ADFF7B">
            <w:pPr>
              <w:rPr>
                <w:color w:val="auto"/>
              </w:rPr>
            </w:pPr>
          </w:p>
        </w:tc>
        <w:tc>
          <w:tcPr>
            <w:tcW w:w="1274" w:type="dxa"/>
          </w:tcPr>
          <w:p w14:paraId="34FE5E8D">
            <w:pPr>
              <w:rPr>
                <w:color w:val="auto"/>
              </w:rPr>
            </w:pPr>
          </w:p>
        </w:tc>
        <w:tc>
          <w:tcPr>
            <w:tcW w:w="1133" w:type="dxa"/>
            <w:vMerge w:val="restart"/>
            <w:tcBorders>
              <w:bottom w:val="nil"/>
            </w:tcBorders>
          </w:tcPr>
          <w:p w14:paraId="1A41A32C">
            <w:pPr>
              <w:rPr>
                <w:color w:val="auto"/>
              </w:rPr>
            </w:pPr>
          </w:p>
        </w:tc>
        <w:tc>
          <w:tcPr>
            <w:tcW w:w="1567" w:type="dxa"/>
            <w:vMerge w:val="restart"/>
            <w:tcBorders>
              <w:bottom w:val="nil"/>
            </w:tcBorders>
          </w:tcPr>
          <w:p w14:paraId="05BD82C5">
            <w:pPr>
              <w:rPr>
                <w:color w:val="auto"/>
              </w:rPr>
            </w:pPr>
          </w:p>
        </w:tc>
        <w:tc>
          <w:tcPr>
            <w:tcW w:w="1028" w:type="dxa"/>
          </w:tcPr>
          <w:p w14:paraId="5200458C">
            <w:pPr>
              <w:rPr>
                <w:color w:val="auto"/>
              </w:rPr>
            </w:pPr>
          </w:p>
        </w:tc>
      </w:tr>
      <w:tr w14:paraId="323A9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71" w:type="dxa"/>
          </w:tcPr>
          <w:p w14:paraId="0F927F17">
            <w:pPr>
              <w:rPr>
                <w:color w:val="auto"/>
              </w:rPr>
            </w:pPr>
          </w:p>
        </w:tc>
        <w:tc>
          <w:tcPr>
            <w:tcW w:w="856" w:type="dxa"/>
          </w:tcPr>
          <w:p w14:paraId="25D124FB">
            <w:pPr>
              <w:rPr>
                <w:color w:val="auto"/>
              </w:rPr>
            </w:pPr>
          </w:p>
        </w:tc>
        <w:tc>
          <w:tcPr>
            <w:tcW w:w="1537" w:type="dxa"/>
          </w:tcPr>
          <w:p w14:paraId="10FAF230">
            <w:pPr>
              <w:rPr>
                <w:color w:val="auto"/>
              </w:rPr>
            </w:pPr>
          </w:p>
        </w:tc>
        <w:tc>
          <w:tcPr>
            <w:tcW w:w="1274" w:type="dxa"/>
          </w:tcPr>
          <w:p w14:paraId="004A9D7E">
            <w:pPr>
              <w:rPr>
                <w:color w:val="auto"/>
              </w:rPr>
            </w:pPr>
          </w:p>
        </w:tc>
        <w:tc>
          <w:tcPr>
            <w:tcW w:w="1133" w:type="dxa"/>
            <w:vMerge w:val="continue"/>
            <w:tcBorders>
              <w:top w:val="nil"/>
              <w:bottom w:val="nil"/>
            </w:tcBorders>
          </w:tcPr>
          <w:p w14:paraId="3557C4E0">
            <w:pPr>
              <w:rPr>
                <w:color w:val="auto"/>
              </w:rPr>
            </w:pPr>
          </w:p>
        </w:tc>
        <w:tc>
          <w:tcPr>
            <w:tcW w:w="1567" w:type="dxa"/>
            <w:vMerge w:val="continue"/>
            <w:tcBorders>
              <w:top w:val="nil"/>
              <w:bottom w:val="nil"/>
            </w:tcBorders>
          </w:tcPr>
          <w:p w14:paraId="00308E33">
            <w:pPr>
              <w:rPr>
                <w:color w:val="auto"/>
              </w:rPr>
            </w:pPr>
          </w:p>
        </w:tc>
        <w:tc>
          <w:tcPr>
            <w:tcW w:w="1028" w:type="dxa"/>
          </w:tcPr>
          <w:p w14:paraId="7755A2B4">
            <w:pPr>
              <w:rPr>
                <w:color w:val="auto"/>
              </w:rPr>
            </w:pPr>
          </w:p>
        </w:tc>
      </w:tr>
      <w:tr w14:paraId="436B1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71" w:type="dxa"/>
          </w:tcPr>
          <w:p w14:paraId="4F5A2AD7">
            <w:pPr>
              <w:rPr>
                <w:color w:val="auto"/>
              </w:rPr>
            </w:pPr>
          </w:p>
        </w:tc>
        <w:tc>
          <w:tcPr>
            <w:tcW w:w="856" w:type="dxa"/>
          </w:tcPr>
          <w:p w14:paraId="2615B4F8">
            <w:pPr>
              <w:rPr>
                <w:color w:val="auto"/>
              </w:rPr>
            </w:pPr>
          </w:p>
        </w:tc>
        <w:tc>
          <w:tcPr>
            <w:tcW w:w="1537" w:type="dxa"/>
          </w:tcPr>
          <w:p w14:paraId="46BC952C">
            <w:pPr>
              <w:rPr>
                <w:color w:val="auto"/>
              </w:rPr>
            </w:pPr>
          </w:p>
        </w:tc>
        <w:tc>
          <w:tcPr>
            <w:tcW w:w="1274" w:type="dxa"/>
          </w:tcPr>
          <w:p w14:paraId="5164E6F8">
            <w:pPr>
              <w:rPr>
                <w:color w:val="auto"/>
              </w:rPr>
            </w:pPr>
          </w:p>
        </w:tc>
        <w:tc>
          <w:tcPr>
            <w:tcW w:w="1133" w:type="dxa"/>
            <w:vMerge w:val="continue"/>
            <w:tcBorders>
              <w:top w:val="nil"/>
              <w:bottom w:val="nil"/>
            </w:tcBorders>
          </w:tcPr>
          <w:p w14:paraId="34765C68">
            <w:pPr>
              <w:rPr>
                <w:color w:val="auto"/>
              </w:rPr>
            </w:pPr>
          </w:p>
        </w:tc>
        <w:tc>
          <w:tcPr>
            <w:tcW w:w="1567" w:type="dxa"/>
            <w:vMerge w:val="continue"/>
            <w:tcBorders>
              <w:top w:val="nil"/>
              <w:bottom w:val="nil"/>
            </w:tcBorders>
          </w:tcPr>
          <w:p w14:paraId="1CCEB013">
            <w:pPr>
              <w:rPr>
                <w:color w:val="auto"/>
              </w:rPr>
            </w:pPr>
          </w:p>
        </w:tc>
        <w:tc>
          <w:tcPr>
            <w:tcW w:w="1028" w:type="dxa"/>
          </w:tcPr>
          <w:p w14:paraId="19554648">
            <w:pPr>
              <w:rPr>
                <w:color w:val="auto"/>
              </w:rPr>
            </w:pPr>
          </w:p>
        </w:tc>
      </w:tr>
      <w:tr w14:paraId="5F4F5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671" w:type="dxa"/>
          </w:tcPr>
          <w:p w14:paraId="059B598D">
            <w:pPr>
              <w:rPr>
                <w:color w:val="auto"/>
              </w:rPr>
            </w:pPr>
          </w:p>
        </w:tc>
        <w:tc>
          <w:tcPr>
            <w:tcW w:w="856" w:type="dxa"/>
          </w:tcPr>
          <w:p w14:paraId="4E1238EE">
            <w:pPr>
              <w:rPr>
                <w:color w:val="auto"/>
              </w:rPr>
            </w:pPr>
          </w:p>
        </w:tc>
        <w:tc>
          <w:tcPr>
            <w:tcW w:w="1537" w:type="dxa"/>
          </w:tcPr>
          <w:p w14:paraId="7AD2F2BB">
            <w:pPr>
              <w:rPr>
                <w:color w:val="auto"/>
              </w:rPr>
            </w:pPr>
          </w:p>
        </w:tc>
        <w:tc>
          <w:tcPr>
            <w:tcW w:w="1274" w:type="dxa"/>
          </w:tcPr>
          <w:p w14:paraId="6368591D">
            <w:pPr>
              <w:rPr>
                <w:color w:val="auto"/>
              </w:rPr>
            </w:pPr>
          </w:p>
        </w:tc>
        <w:tc>
          <w:tcPr>
            <w:tcW w:w="1133" w:type="dxa"/>
            <w:vMerge w:val="continue"/>
            <w:tcBorders>
              <w:top w:val="nil"/>
              <w:bottom w:val="nil"/>
            </w:tcBorders>
          </w:tcPr>
          <w:p w14:paraId="0C44EA7F">
            <w:pPr>
              <w:rPr>
                <w:color w:val="auto"/>
              </w:rPr>
            </w:pPr>
          </w:p>
        </w:tc>
        <w:tc>
          <w:tcPr>
            <w:tcW w:w="1567" w:type="dxa"/>
            <w:vMerge w:val="continue"/>
            <w:tcBorders>
              <w:top w:val="nil"/>
              <w:bottom w:val="nil"/>
            </w:tcBorders>
          </w:tcPr>
          <w:p w14:paraId="64870E0D">
            <w:pPr>
              <w:rPr>
                <w:color w:val="auto"/>
              </w:rPr>
            </w:pPr>
          </w:p>
        </w:tc>
        <w:tc>
          <w:tcPr>
            <w:tcW w:w="1028" w:type="dxa"/>
          </w:tcPr>
          <w:p w14:paraId="2CBD3A67">
            <w:pPr>
              <w:rPr>
                <w:color w:val="auto"/>
              </w:rPr>
            </w:pPr>
          </w:p>
        </w:tc>
      </w:tr>
      <w:tr w14:paraId="3A941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71" w:type="dxa"/>
          </w:tcPr>
          <w:p w14:paraId="07BF85EC">
            <w:pPr>
              <w:rPr>
                <w:color w:val="auto"/>
              </w:rPr>
            </w:pPr>
          </w:p>
        </w:tc>
        <w:tc>
          <w:tcPr>
            <w:tcW w:w="856" w:type="dxa"/>
          </w:tcPr>
          <w:p w14:paraId="79127C4E">
            <w:pPr>
              <w:rPr>
                <w:color w:val="auto"/>
              </w:rPr>
            </w:pPr>
          </w:p>
        </w:tc>
        <w:tc>
          <w:tcPr>
            <w:tcW w:w="1537" w:type="dxa"/>
          </w:tcPr>
          <w:p w14:paraId="1601A026">
            <w:pPr>
              <w:rPr>
                <w:color w:val="auto"/>
              </w:rPr>
            </w:pPr>
          </w:p>
        </w:tc>
        <w:tc>
          <w:tcPr>
            <w:tcW w:w="1274" w:type="dxa"/>
          </w:tcPr>
          <w:p w14:paraId="67DCDA92">
            <w:pPr>
              <w:rPr>
                <w:color w:val="auto"/>
              </w:rPr>
            </w:pPr>
          </w:p>
        </w:tc>
        <w:tc>
          <w:tcPr>
            <w:tcW w:w="1133" w:type="dxa"/>
            <w:vMerge w:val="continue"/>
            <w:tcBorders>
              <w:top w:val="nil"/>
            </w:tcBorders>
          </w:tcPr>
          <w:p w14:paraId="59A80A71">
            <w:pPr>
              <w:rPr>
                <w:color w:val="auto"/>
              </w:rPr>
            </w:pPr>
          </w:p>
        </w:tc>
        <w:tc>
          <w:tcPr>
            <w:tcW w:w="1567" w:type="dxa"/>
            <w:vMerge w:val="continue"/>
            <w:tcBorders>
              <w:top w:val="nil"/>
            </w:tcBorders>
          </w:tcPr>
          <w:p w14:paraId="740D8254">
            <w:pPr>
              <w:rPr>
                <w:color w:val="auto"/>
              </w:rPr>
            </w:pPr>
          </w:p>
        </w:tc>
        <w:tc>
          <w:tcPr>
            <w:tcW w:w="1028" w:type="dxa"/>
          </w:tcPr>
          <w:p w14:paraId="617A1E40">
            <w:pPr>
              <w:rPr>
                <w:color w:val="auto"/>
              </w:rPr>
            </w:pPr>
          </w:p>
        </w:tc>
      </w:tr>
      <w:tr w14:paraId="0033E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7" w:hRule="atLeast"/>
        </w:trPr>
        <w:tc>
          <w:tcPr>
            <w:tcW w:w="9066" w:type="dxa"/>
            <w:gridSpan w:val="7"/>
          </w:tcPr>
          <w:p w14:paraId="6140A942">
            <w:pPr>
              <w:pStyle w:val="21"/>
              <w:spacing w:before="54" w:line="220" w:lineRule="auto"/>
              <w:ind w:left="7"/>
              <w:rPr>
                <w:color w:val="auto"/>
                <w:lang w:eastAsia="zh-CN"/>
              </w:rPr>
            </w:pPr>
            <w:r>
              <w:rPr>
                <w:color w:val="auto"/>
                <w:spacing w:val="-6"/>
                <w:lang w:eastAsia="zh-CN"/>
              </w:rPr>
              <w:t>评标委员会成员签名：</w:t>
            </w:r>
          </w:p>
        </w:tc>
      </w:tr>
    </w:tbl>
    <w:p w14:paraId="799DD185">
      <w:pPr>
        <w:pStyle w:val="8"/>
        <w:spacing w:line="294" w:lineRule="auto"/>
        <w:rPr>
          <w:lang w:eastAsia="zh-CN"/>
        </w:rPr>
      </w:pPr>
    </w:p>
    <w:p w14:paraId="6B4941F2">
      <w:pPr>
        <w:spacing w:before="69" w:line="220" w:lineRule="auto"/>
        <w:ind w:left="6579"/>
        <w:rPr>
          <w:rFonts w:ascii="宋体" w:hAnsi="宋体" w:eastAsia="宋体" w:cs="宋体"/>
          <w:color w:val="auto"/>
          <w:lang w:eastAsia="zh-CN"/>
        </w:rPr>
      </w:pPr>
      <w:r>
        <w:rPr>
          <w:rFonts w:ascii="宋体" w:hAnsi="宋体" w:eastAsia="宋体" w:cs="宋体"/>
          <w:color w:val="auto"/>
          <w:spacing w:val="-12"/>
          <w:lang w:eastAsia="zh-CN"/>
        </w:rPr>
        <w:t>日期：年月日</w:t>
      </w:r>
    </w:p>
    <w:p w14:paraId="26DA976F">
      <w:pPr>
        <w:spacing w:line="220" w:lineRule="auto"/>
        <w:rPr>
          <w:rFonts w:ascii="宋体" w:hAnsi="宋体" w:eastAsia="宋体" w:cs="宋体"/>
          <w:color w:val="auto"/>
          <w:lang w:eastAsia="zh-CN"/>
        </w:rPr>
        <w:sectPr>
          <w:headerReference r:id="rId102" w:type="default"/>
          <w:footerReference r:id="rId103" w:type="default"/>
          <w:pgSz w:w="11906" w:h="16839"/>
          <w:pgMar w:top="400" w:right="0" w:bottom="1147" w:left="105" w:header="0" w:footer="987" w:gutter="0"/>
          <w:cols w:space="720" w:num="1"/>
        </w:sectPr>
      </w:pPr>
    </w:p>
    <w:p w14:paraId="6F0A3CF6">
      <w:pPr>
        <w:pStyle w:val="8"/>
        <w:spacing w:line="267" w:lineRule="auto"/>
        <w:rPr>
          <w:lang w:eastAsia="zh-CN"/>
        </w:rPr>
      </w:pPr>
    </w:p>
    <w:p w14:paraId="678215B9">
      <w:pPr>
        <w:pStyle w:val="8"/>
        <w:spacing w:line="267" w:lineRule="auto"/>
        <w:rPr>
          <w:lang w:eastAsia="zh-CN"/>
        </w:rPr>
      </w:pPr>
    </w:p>
    <w:p w14:paraId="6A791192">
      <w:pPr>
        <w:spacing w:before="78" w:line="222" w:lineRule="auto"/>
        <w:ind w:left="1716"/>
        <w:outlineLvl w:val="2"/>
        <w:rPr>
          <w:rFonts w:ascii="黑体" w:hAnsi="黑体" w:eastAsia="黑体" w:cs="黑体"/>
          <w:color w:val="auto"/>
          <w:sz w:val="24"/>
          <w:szCs w:val="24"/>
          <w:lang w:eastAsia="zh-CN"/>
        </w:rPr>
      </w:pPr>
      <w:bookmarkStart w:id="350" w:name="_Toc7640"/>
      <w:bookmarkStart w:id="351" w:name="_Toc32669"/>
      <w:bookmarkStart w:id="352" w:name="_Toc17195"/>
      <w:bookmarkStart w:id="353" w:name="_Toc10954"/>
      <w:bookmarkStart w:id="354" w:name="_Toc15186"/>
      <w:r>
        <w:rPr>
          <w:rFonts w:ascii="黑体" w:hAnsi="黑体" w:eastAsia="黑体" w:cs="黑体"/>
          <w:color w:val="auto"/>
          <w:spacing w:val="-3"/>
          <w:sz w:val="24"/>
          <w:szCs w:val="24"/>
          <w:lang w:eastAsia="zh-CN"/>
        </w:rPr>
        <w:t>附表</w:t>
      </w:r>
      <w:r>
        <w:rPr>
          <w:rFonts w:ascii="Times New Roman" w:hAnsi="Times New Roman" w:eastAsia="Times New Roman" w:cs="Times New Roman"/>
          <w:color w:val="auto"/>
          <w:spacing w:val="-3"/>
          <w:sz w:val="24"/>
          <w:szCs w:val="24"/>
          <w:lang w:eastAsia="zh-CN"/>
        </w:rPr>
        <w:t>C-1</w:t>
      </w:r>
      <w:r>
        <w:rPr>
          <w:rFonts w:ascii="黑体" w:hAnsi="黑体" w:eastAsia="黑体" w:cs="黑体"/>
          <w:color w:val="auto"/>
          <w:spacing w:val="-3"/>
          <w:sz w:val="24"/>
          <w:szCs w:val="24"/>
          <w:lang w:eastAsia="zh-CN"/>
        </w:rPr>
        <w:t>：成本评审结论记录表</w:t>
      </w:r>
    </w:p>
    <w:p w14:paraId="70F79DFA">
      <w:pPr>
        <w:pStyle w:val="8"/>
        <w:spacing w:line="357" w:lineRule="auto"/>
        <w:rPr>
          <w:lang w:eastAsia="zh-CN"/>
        </w:rPr>
      </w:pPr>
    </w:p>
    <w:p w14:paraId="4EACD15B">
      <w:pPr>
        <w:spacing w:before="104" w:line="222" w:lineRule="auto"/>
        <w:ind w:left="4417"/>
        <w:rPr>
          <w:rFonts w:ascii="黑体" w:hAnsi="黑体" w:eastAsia="黑体" w:cs="黑体"/>
          <w:color w:val="auto"/>
          <w:sz w:val="32"/>
          <w:szCs w:val="32"/>
          <w:lang w:eastAsia="zh-CN"/>
        </w:rPr>
      </w:pPr>
      <w:bookmarkStart w:id="355" w:name="bookmark144"/>
      <w:bookmarkEnd w:id="355"/>
      <w:r>
        <w:rPr>
          <w:rFonts w:ascii="黑体" w:hAnsi="黑体" w:eastAsia="黑体" w:cs="黑体"/>
          <w:color w:val="auto"/>
          <w:spacing w:val="-1"/>
          <w:sz w:val="32"/>
          <w:szCs w:val="32"/>
          <w:lang w:eastAsia="zh-CN"/>
        </w:rPr>
        <w:t>成本评审结论记录表</w:t>
      </w:r>
    </w:p>
    <w:p w14:paraId="1715A370">
      <w:pPr>
        <w:pStyle w:val="8"/>
        <w:spacing w:line="379" w:lineRule="auto"/>
        <w:rPr>
          <w:lang w:eastAsia="zh-CN"/>
        </w:rPr>
      </w:pPr>
    </w:p>
    <w:p w14:paraId="624AAC7D">
      <w:pPr>
        <w:spacing w:before="68" w:line="221" w:lineRule="auto"/>
        <w:ind w:left="1704"/>
        <w:rPr>
          <w:rFonts w:ascii="宋体" w:hAnsi="宋体" w:eastAsia="宋体" w:cs="宋体"/>
          <w:color w:val="auto"/>
          <w:lang w:eastAsia="zh-CN"/>
        </w:rPr>
      </w:pPr>
      <w:r>
        <w:rPr>
          <w:rFonts w:ascii="宋体" w:hAnsi="宋体" w:eastAsia="宋体" w:cs="宋体"/>
          <w:color w:val="auto"/>
          <w:spacing w:val="-9"/>
          <w:lang w:eastAsia="zh-CN"/>
        </w:rPr>
        <w:t>投标人名称：</w:t>
      </w:r>
    </w:p>
    <w:p w14:paraId="53DE3393">
      <w:pPr>
        <w:spacing w:line="84" w:lineRule="auto"/>
        <w:rPr>
          <w:color w:val="auto"/>
          <w:sz w:val="2"/>
          <w:lang w:eastAsia="zh-CN"/>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2"/>
        <w:gridCol w:w="7349"/>
      </w:tblGrid>
      <w:tr w14:paraId="1507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3" w:hRule="atLeast"/>
        </w:trPr>
        <w:tc>
          <w:tcPr>
            <w:tcW w:w="8521" w:type="dxa"/>
            <w:gridSpan w:val="2"/>
          </w:tcPr>
          <w:p w14:paraId="34AC83DB">
            <w:pPr>
              <w:pStyle w:val="21"/>
              <w:spacing w:before="146" w:line="220" w:lineRule="auto"/>
              <w:ind w:left="121"/>
              <w:rPr>
                <w:color w:val="auto"/>
                <w:lang w:eastAsia="zh-CN"/>
              </w:rPr>
            </w:pPr>
            <w:r>
              <w:rPr>
                <w:color w:val="auto"/>
                <w:spacing w:val="-4"/>
                <w:lang w:eastAsia="zh-CN"/>
              </w:rPr>
              <w:t>需投标人澄清和说明的主要事项概要：</w:t>
            </w:r>
          </w:p>
        </w:tc>
      </w:tr>
      <w:tr w14:paraId="76B14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9" w:hRule="atLeast"/>
        </w:trPr>
        <w:tc>
          <w:tcPr>
            <w:tcW w:w="8521" w:type="dxa"/>
            <w:gridSpan w:val="2"/>
          </w:tcPr>
          <w:p w14:paraId="2220FF4A">
            <w:pPr>
              <w:pStyle w:val="21"/>
              <w:spacing w:before="142" w:line="220" w:lineRule="auto"/>
              <w:ind w:left="113"/>
              <w:rPr>
                <w:color w:val="auto"/>
                <w:lang w:eastAsia="zh-CN"/>
              </w:rPr>
            </w:pPr>
            <w:r>
              <w:rPr>
                <w:color w:val="auto"/>
                <w:spacing w:val="-3"/>
                <w:lang w:eastAsia="zh-CN"/>
              </w:rPr>
              <w:t>投标人澄清、说明、补正和提供证明材料的情况说明：</w:t>
            </w:r>
          </w:p>
        </w:tc>
      </w:tr>
      <w:tr w14:paraId="3D379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trPr>
        <w:tc>
          <w:tcPr>
            <w:tcW w:w="1172" w:type="dxa"/>
          </w:tcPr>
          <w:p w14:paraId="30E18CF2">
            <w:pPr>
              <w:pStyle w:val="21"/>
              <w:spacing w:before="276" w:line="221" w:lineRule="auto"/>
              <w:ind w:left="166"/>
              <w:rPr>
                <w:color w:val="auto"/>
              </w:rPr>
            </w:pPr>
            <w:r>
              <w:rPr>
                <w:color w:val="auto"/>
                <w:spacing w:val="-2"/>
              </w:rPr>
              <w:t>评审结论</w:t>
            </w:r>
          </w:p>
        </w:tc>
        <w:tc>
          <w:tcPr>
            <w:tcW w:w="7349" w:type="dxa"/>
          </w:tcPr>
          <w:p w14:paraId="18F8C31F">
            <w:pPr>
              <w:pStyle w:val="21"/>
              <w:spacing w:before="276" w:line="220" w:lineRule="auto"/>
              <w:ind w:left="444"/>
              <w:rPr>
                <w:color w:val="auto"/>
              </w:rPr>
            </w:pPr>
            <w:r>
              <w:rPr>
                <w:color w:val="auto"/>
                <w:spacing w:val="-5"/>
              </w:rPr>
              <w:t>□低于成本□不低于成本</w:t>
            </w:r>
          </w:p>
        </w:tc>
      </w:tr>
      <w:tr w14:paraId="093AF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5" w:hRule="atLeast"/>
        </w:trPr>
        <w:tc>
          <w:tcPr>
            <w:tcW w:w="1172" w:type="dxa"/>
            <w:textDirection w:val="tbRlV"/>
          </w:tcPr>
          <w:p w14:paraId="20019B7A">
            <w:pPr>
              <w:spacing w:line="394" w:lineRule="auto"/>
              <w:rPr>
                <w:color w:val="auto"/>
              </w:rPr>
            </w:pPr>
          </w:p>
          <w:p w14:paraId="2B577A04">
            <w:pPr>
              <w:pStyle w:val="21"/>
              <w:spacing w:before="70" w:line="209" w:lineRule="auto"/>
              <w:ind w:left="1100"/>
              <w:rPr>
                <w:color w:val="auto"/>
              </w:rPr>
            </w:pPr>
            <w:r>
              <w:rPr>
                <w:color w:val="auto"/>
                <w:spacing w:val="-1"/>
              </w:rPr>
              <w:t>评 审 意 见概要</w:t>
            </w:r>
          </w:p>
        </w:tc>
        <w:tc>
          <w:tcPr>
            <w:tcW w:w="7349" w:type="dxa"/>
          </w:tcPr>
          <w:p w14:paraId="1E8323A2">
            <w:pPr>
              <w:rPr>
                <w:color w:val="auto"/>
              </w:rPr>
            </w:pPr>
          </w:p>
        </w:tc>
      </w:tr>
      <w:tr w14:paraId="20722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6" w:hRule="atLeast"/>
        </w:trPr>
        <w:tc>
          <w:tcPr>
            <w:tcW w:w="1172" w:type="dxa"/>
            <w:textDirection w:val="tbRlV"/>
          </w:tcPr>
          <w:p w14:paraId="229ED2A6">
            <w:pPr>
              <w:spacing w:line="394" w:lineRule="auto"/>
              <w:rPr>
                <w:color w:val="auto"/>
                <w:lang w:eastAsia="zh-CN"/>
              </w:rPr>
            </w:pPr>
          </w:p>
          <w:p w14:paraId="05A2DADA">
            <w:pPr>
              <w:pStyle w:val="21"/>
              <w:spacing w:before="71" w:line="208" w:lineRule="auto"/>
              <w:ind w:left="61"/>
              <w:rPr>
                <w:color w:val="auto"/>
                <w:lang w:eastAsia="zh-CN"/>
              </w:rPr>
            </w:pPr>
            <w:r>
              <w:rPr>
                <w:color w:val="auto"/>
                <w:spacing w:val="-1"/>
                <w:lang w:eastAsia="zh-CN"/>
              </w:rPr>
              <w:t>评 标 委 员 会 全 体成员签名</w:t>
            </w:r>
          </w:p>
        </w:tc>
        <w:tc>
          <w:tcPr>
            <w:tcW w:w="7349" w:type="dxa"/>
          </w:tcPr>
          <w:p w14:paraId="1AC9D5D9">
            <w:pPr>
              <w:spacing w:line="245" w:lineRule="auto"/>
              <w:rPr>
                <w:color w:val="auto"/>
                <w:lang w:eastAsia="zh-CN"/>
              </w:rPr>
            </w:pPr>
          </w:p>
          <w:p w14:paraId="7E61F23B">
            <w:pPr>
              <w:spacing w:line="245" w:lineRule="auto"/>
              <w:rPr>
                <w:color w:val="auto"/>
                <w:lang w:eastAsia="zh-CN"/>
              </w:rPr>
            </w:pPr>
          </w:p>
          <w:p w14:paraId="4DC90AC8">
            <w:pPr>
              <w:spacing w:line="245" w:lineRule="auto"/>
              <w:rPr>
                <w:color w:val="auto"/>
                <w:lang w:eastAsia="zh-CN"/>
              </w:rPr>
            </w:pPr>
          </w:p>
          <w:p w14:paraId="585B185A">
            <w:pPr>
              <w:spacing w:line="245" w:lineRule="auto"/>
              <w:rPr>
                <w:color w:val="auto"/>
                <w:lang w:eastAsia="zh-CN"/>
              </w:rPr>
            </w:pPr>
          </w:p>
          <w:p w14:paraId="4D5304D4">
            <w:pPr>
              <w:spacing w:line="245" w:lineRule="auto"/>
              <w:rPr>
                <w:color w:val="auto"/>
                <w:lang w:eastAsia="zh-CN"/>
              </w:rPr>
            </w:pPr>
          </w:p>
          <w:p w14:paraId="01B34FBC">
            <w:pPr>
              <w:spacing w:line="245" w:lineRule="auto"/>
              <w:rPr>
                <w:color w:val="auto"/>
                <w:lang w:eastAsia="zh-CN"/>
              </w:rPr>
            </w:pPr>
          </w:p>
          <w:p w14:paraId="4FCF748C">
            <w:pPr>
              <w:spacing w:line="245" w:lineRule="auto"/>
              <w:rPr>
                <w:color w:val="auto"/>
                <w:lang w:eastAsia="zh-CN"/>
              </w:rPr>
            </w:pPr>
          </w:p>
          <w:p w14:paraId="4DEDD7B8">
            <w:pPr>
              <w:spacing w:line="246" w:lineRule="auto"/>
              <w:rPr>
                <w:color w:val="auto"/>
                <w:lang w:eastAsia="zh-CN"/>
              </w:rPr>
            </w:pPr>
          </w:p>
          <w:p w14:paraId="66AEACBE">
            <w:pPr>
              <w:spacing w:line="246" w:lineRule="auto"/>
              <w:rPr>
                <w:color w:val="auto"/>
                <w:lang w:eastAsia="zh-CN"/>
              </w:rPr>
            </w:pPr>
          </w:p>
          <w:p w14:paraId="5C739D28">
            <w:pPr>
              <w:spacing w:line="246" w:lineRule="auto"/>
              <w:rPr>
                <w:color w:val="auto"/>
                <w:lang w:eastAsia="zh-CN"/>
              </w:rPr>
            </w:pPr>
          </w:p>
          <w:p w14:paraId="1C0FF1EB">
            <w:pPr>
              <w:spacing w:line="246" w:lineRule="auto"/>
              <w:rPr>
                <w:color w:val="auto"/>
                <w:lang w:eastAsia="zh-CN"/>
              </w:rPr>
            </w:pPr>
          </w:p>
          <w:p w14:paraId="7450C364">
            <w:pPr>
              <w:spacing w:line="246" w:lineRule="auto"/>
              <w:rPr>
                <w:color w:val="auto"/>
                <w:lang w:eastAsia="zh-CN"/>
              </w:rPr>
            </w:pPr>
          </w:p>
          <w:p w14:paraId="44686B24">
            <w:pPr>
              <w:pStyle w:val="21"/>
              <w:spacing w:before="68" w:line="220" w:lineRule="auto"/>
              <w:ind w:left="5251"/>
              <w:rPr>
                <w:color w:val="auto"/>
              </w:rPr>
            </w:pPr>
            <w:r>
              <w:rPr>
                <w:color w:val="auto"/>
                <w:spacing w:val="-8"/>
              </w:rPr>
              <w:t>年月日</w:t>
            </w:r>
          </w:p>
        </w:tc>
      </w:tr>
    </w:tbl>
    <w:p w14:paraId="2C55804A">
      <w:pPr>
        <w:pStyle w:val="8"/>
      </w:pPr>
    </w:p>
    <w:p w14:paraId="0C1190A3">
      <w:pPr>
        <w:rPr>
          <w:color w:val="auto"/>
        </w:rPr>
        <w:sectPr>
          <w:headerReference r:id="rId104" w:type="default"/>
          <w:footerReference r:id="rId105" w:type="default"/>
          <w:pgSz w:w="11906" w:h="16839"/>
          <w:pgMar w:top="400" w:right="0" w:bottom="1147" w:left="105" w:header="0" w:footer="987" w:gutter="0"/>
          <w:cols w:space="720" w:num="1"/>
        </w:sectPr>
      </w:pPr>
    </w:p>
    <w:p w14:paraId="765991FD">
      <w:pPr>
        <w:pStyle w:val="8"/>
        <w:spacing w:line="244" w:lineRule="auto"/>
      </w:pPr>
    </w:p>
    <w:p w14:paraId="10A82A0C">
      <w:pPr>
        <w:spacing w:before="78" w:line="222" w:lineRule="auto"/>
        <w:outlineLvl w:val="2"/>
        <w:rPr>
          <w:rFonts w:ascii="黑体" w:hAnsi="黑体" w:eastAsia="黑体" w:cs="黑体"/>
          <w:color w:val="auto"/>
          <w:sz w:val="24"/>
          <w:szCs w:val="24"/>
          <w:lang w:eastAsia="zh-CN"/>
        </w:rPr>
      </w:pPr>
      <w:r>
        <w:rPr>
          <w:rFonts w:ascii="黑体" w:hAnsi="黑体" w:eastAsia="黑体" w:cs="黑体"/>
          <w:color w:val="auto"/>
          <w:spacing w:val="-2"/>
          <w:sz w:val="24"/>
          <w:szCs w:val="24"/>
          <w:lang w:eastAsia="zh-CN"/>
        </w:rPr>
        <w:t>附表</w:t>
      </w:r>
      <w:r>
        <w:rPr>
          <w:rFonts w:ascii="Times New Roman" w:hAnsi="Times New Roman" w:eastAsia="Times New Roman" w:cs="Times New Roman"/>
          <w:color w:val="auto"/>
          <w:spacing w:val="-2"/>
          <w:sz w:val="24"/>
          <w:szCs w:val="24"/>
          <w:lang w:eastAsia="zh-CN"/>
        </w:rPr>
        <w:t>A-17</w:t>
      </w:r>
      <w:r>
        <w:rPr>
          <w:rFonts w:ascii="黑体" w:hAnsi="黑体" w:eastAsia="黑体" w:cs="黑体"/>
          <w:color w:val="auto"/>
          <w:spacing w:val="-2"/>
          <w:sz w:val="24"/>
          <w:szCs w:val="24"/>
          <w:lang w:eastAsia="zh-CN"/>
        </w:rPr>
        <w:t>：推荐中标候选人一览表</w:t>
      </w:r>
    </w:p>
    <w:p w14:paraId="75633C80">
      <w:pPr>
        <w:pStyle w:val="8"/>
        <w:spacing w:line="315" w:lineRule="auto"/>
        <w:rPr>
          <w:lang w:eastAsia="zh-CN"/>
        </w:rPr>
      </w:pPr>
    </w:p>
    <w:p w14:paraId="77353C02">
      <w:pPr>
        <w:pStyle w:val="8"/>
        <w:spacing w:line="315" w:lineRule="auto"/>
        <w:rPr>
          <w:lang w:eastAsia="zh-CN"/>
        </w:rPr>
      </w:pPr>
    </w:p>
    <w:p w14:paraId="119EE208">
      <w:pPr>
        <w:pStyle w:val="8"/>
        <w:spacing w:line="315" w:lineRule="auto"/>
        <w:rPr>
          <w:lang w:eastAsia="zh-CN"/>
        </w:rPr>
      </w:pPr>
    </w:p>
    <w:p w14:paraId="2FE2536B">
      <w:pPr>
        <w:spacing w:before="117" w:line="222" w:lineRule="auto"/>
        <w:jc w:val="center"/>
        <w:rPr>
          <w:rFonts w:ascii="黑体" w:hAnsi="黑体" w:eastAsia="黑体" w:cs="黑体"/>
          <w:color w:val="auto"/>
          <w:sz w:val="36"/>
          <w:szCs w:val="36"/>
          <w:lang w:eastAsia="zh-CN"/>
        </w:rPr>
      </w:pPr>
      <w:bookmarkStart w:id="356" w:name="bookmark143"/>
      <w:bookmarkEnd w:id="356"/>
      <w:r>
        <w:rPr>
          <w:rFonts w:ascii="黑体" w:hAnsi="黑体" w:eastAsia="黑体" w:cs="黑体"/>
          <w:color w:val="auto"/>
          <w:spacing w:val="-2"/>
          <w:sz w:val="36"/>
          <w:szCs w:val="36"/>
          <w:lang w:eastAsia="zh-CN"/>
        </w:rPr>
        <w:t>推荐中标候选人一览表</w:t>
      </w:r>
    </w:p>
    <w:p w14:paraId="0AF0B3EF">
      <w:pPr>
        <w:pStyle w:val="8"/>
        <w:spacing w:line="349" w:lineRule="auto"/>
        <w:rPr>
          <w:lang w:eastAsia="zh-CN"/>
        </w:rPr>
      </w:pPr>
    </w:p>
    <w:p w14:paraId="6B062A94">
      <w:pPr>
        <w:spacing w:before="69" w:line="221" w:lineRule="auto"/>
        <w:rPr>
          <w:rFonts w:ascii="宋体" w:hAnsi="宋体" w:eastAsia="宋体" w:cs="宋体"/>
          <w:color w:val="auto"/>
          <w:lang w:eastAsia="zh-CN"/>
        </w:rPr>
      </w:pPr>
      <w:r>
        <w:rPr>
          <w:rFonts w:ascii="宋体" w:hAnsi="宋体" w:eastAsia="宋体" w:cs="宋体"/>
          <w:color w:val="auto"/>
          <w:spacing w:val="-10"/>
          <w:lang w:eastAsia="zh-CN"/>
        </w:rPr>
        <w:t>标段名称：</w:t>
      </w:r>
    </w:p>
    <w:p w14:paraId="18915823">
      <w:pPr>
        <w:spacing w:before="60" w:line="220" w:lineRule="auto"/>
        <w:rPr>
          <w:rFonts w:ascii="宋体" w:hAnsi="宋体" w:eastAsia="宋体" w:cs="宋体"/>
          <w:color w:val="auto"/>
          <w:lang w:eastAsia="zh-CN"/>
        </w:rPr>
      </w:pPr>
      <w:r>
        <w:rPr>
          <w:rFonts w:ascii="宋体" w:hAnsi="宋体" w:eastAsia="宋体" w:cs="宋体"/>
          <w:color w:val="auto"/>
          <w:lang w:eastAsia="zh-CN"/>
        </w:rPr>
        <w:t xml:space="preserve">标段唯一标识码：                                               </w:t>
      </w:r>
      <w:r>
        <w:rPr>
          <w:rFonts w:ascii="宋体" w:hAnsi="宋体" w:eastAsia="宋体" w:cs="宋体"/>
          <w:color w:val="auto"/>
          <w:spacing w:val="-1"/>
          <w:lang w:eastAsia="zh-CN"/>
        </w:rPr>
        <w:t xml:space="preserve">  单位：人民币元</w:t>
      </w:r>
    </w:p>
    <w:p w14:paraId="7266B682">
      <w:pPr>
        <w:spacing w:line="99" w:lineRule="auto"/>
        <w:rPr>
          <w:color w:val="auto"/>
          <w:sz w:val="2"/>
          <w:lang w:eastAsia="zh-CN"/>
        </w:rPr>
      </w:pPr>
    </w:p>
    <w:tbl>
      <w:tblPr>
        <w:tblStyle w:val="20"/>
        <w:tblW w:w="85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1"/>
        <w:gridCol w:w="1579"/>
        <w:gridCol w:w="1427"/>
        <w:gridCol w:w="1464"/>
        <w:gridCol w:w="1903"/>
        <w:gridCol w:w="1277"/>
      </w:tblGrid>
      <w:tr w14:paraId="7AEDA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871" w:type="dxa"/>
          </w:tcPr>
          <w:p w14:paraId="41E2C8F4">
            <w:pPr>
              <w:pStyle w:val="21"/>
              <w:spacing w:before="233" w:line="222" w:lineRule="auto"/>
              <w:ind w:left="225"/>
              <w:rPr>
                <w:color w:val="auto"/>
              </w:rPr>
            </w:pPr>
            <w:r>
              <w:rPr>
                <w:b/>
                <w:bCs/>
                <w:color w:val="auto"/>
                <w:spacing w:val="-6"/>
              </w:rPr>
              <w:t>排名</w:t>
            </w:r>
          </w:p>
        </w:tc>
        <w:tc>
          <w:tcPr>
            <w:tcW w:w="1579" w:type="dxa"/>
          </w:tcPr>
          <w:p w14:paraId="035F7686">
            <w:pPr>
              <w:pStyle w:val="21"/>
              <w:spacing w:before="233" w:line="221" w:lineRule="auto"/>
              <w:ind w:left="265"/>
              <w:rPr>
                <w:color w:val="auto"/>
              </w:rPr>
            </w:pPr>
            <w:r>
              <w:rPr>
                <w:b/>
                <w:bCs/>
                <w:color w:val="auto"/>
                <w:spacing w:val="-4"/>
              </w:rPr>
              <w:t>投标人名称</w:t>
            </w:r>
          </w:p>
        </w:tc>
        <w:tc>
          <w:tcPr>
            <w:tcW w:w="1427" w:type="dxa"/>
          </w:tcPr>
          <w:p w14:paraId="79D98E9B">
            <w:pPr>
              <w:pStyle w:val="21"/>
              <w:spacing w:before="233" w:line="219" w:lineRule="auto"/>
              <w:ind w:left="296"/>
              <w:rPr>
                <w:color w:val="auto"/>
              </w:rPr>
            </w:pPr>
            <w:r>
              <w:rPr>
                <w:b/>
                <w:bCs/>
                <w:color w:val="auto"/>
                <w:spacing w:val="-5"/>
              </w:rPr>
              <w:t>投标报价</w:t>
            </w:r>
          </w:p>
        </w:tc>
        <w:tc>
          <w:tcPr>
            <w:tcW w:w="1464" w:type="dxa"/>
          </w:tcPr>
          <w:p w14:paraId="0D3792E5">
            <w:pPr>
              <w:pStyle w:val="21"/>
              <w:spacing w:before="77" w:line="259" w:lineRule="auto"/>
              <w:ind w:left="214" w:right="213" w:firstLine="98"/>
              <w:rPr>
                <w:color w:val="auto"/>
              </w:rPr>
            </w:pPr>
            <w:r>
              <w:rPr>
                <w:b/>
                <w:bCs/>
                <w:color w:val="auto"/>
                <w:spacing w:val="-4"/>
              </w:rPr>
              <w:t>评审得分</w:t>
            </w:r>
            <w:r>
              <w:rPr>
                <w:b/>
                <w:bCs/>
                <w:color w:val="auto"/>
                <w:spacing w:val="-8"/>
              </w:rPr>
              <w:t>（评标价）</w:t>
            </w:r>
          </w:p>
        </w:tc>
        <w:tc>
          <w:tcPr>
            <w:tcW w:w="1903" w:type="dxa"/>
          </w:tcPr>
          <w:p w14:paraId="407051E4">
            <w:pPr>
              <w:pStyle w:val="21"/>
              <w:spacing w:before="77" w:line="259" w:lineRule="auto"/>
              <w:ind w:left="449" w:right="311" w:hanging="121"/>
              <w:rPr>
                <w:color w:val="auto"/>
                <w:lang w:eastAsia="zh-CN"/>
              </w:rPr>
            </w:pPr>
            <w:r>
              <w:rPr>
                <w:b/>
                <w:bCs/>
                <w:color w:val="auto"/>
                <w:spacing w:val="-4"/>
                <w:lang w:eastAsia="zh-CN"/>
              </w:rPr>
              <w:t>是否被推荐为</w:t>
            </w:r>
            <w:r>
              <w:rPr>
                <w:b/>
                <w:bCs/>
                <w:color w:val="auto"/>
                <w:spacing w:val="-8"/>
                <w:lang w:eastAsia="zh-CN"/>
              </w:rPr>
              <w:t>中标候选人</w:t>
            </w:r>
          </w:p>
        </w:tc>
        <w:tc>
          <w:tcPr>
            <w:tcW w:w="1277" w:type="dxa"/>
          </w:tcPr>
          <w:p w14:paraId="0A8CB730">
            <w:pPr>
              <w:pStyle w:val="21"/>
              <w:spacing w:before="232" w:line="220" w:lineRule="auto"/>
              <w:ind w:left="222"/>
              <w:rPr>
                <w:color w:val="auto"/>
              </w:rPr>
            </w:pPr>
            <w:r>
              <w:rPr>
                <w:b/>
                <w:bCs/>
                <w:color w:val="auto"/>
                <w:spacing w:val="-4"/>
              </w:rPr>
              <w:t>推荐理由</w:t>
            </w:r>
          </w:p>
        </w:tc>
      </w:tr>
      <w:tr w14:paraId="429A7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74752962">
            <w:pPr>
              <w:spacing w:before="266" w:line="186" w:lineRule="auto"/>
              <w:ind w:left="400"/>
              <w:rPr>
                <w:rFonts w:ascii="Times New Roman" w:hAnsi="Times New Roman" w:eastAsia="Times New Roman" w:cs="Times New Roman"/>
                <w:color w:val="auto"/>
              </w:rPr>
            </w:pPr>
            <w:r>
              <w:rPr>
                <w:rFonts w:ascii="Times New Roman" w:hAnsi="Times New Roman" w:eastAsia="Times New Roman" w:cs="Times New Roman"/>
                <w:color w:val="auto"/>
              </w:rPr>
              <w:t>1</w:t>
            </w:r>
          </w:p>
        </w:tc>
        <w:tc>
          <w:tcPr>
            <w:tcW w:w="1579" w:type="dxa"/>
          </w:tcPr>
          <w:p w14:paraId="7458EA4D">
            <w:pPr>
              <w:rPr>
                <w:color w:val="auto"/>
              </w:rPr>
            </w:pPr>
          </w:p>
        </w:tc>
        <w:tc>
          <w:tcPr>
            <w:tcW w:w="1427" w:type="dxa"/>
          </w:tcPr>
          <w:p w14:paraId="7755AF93">
            <w:pPr>
              <w:rPr>
                <w:color w:val="auto"/>
              </w:rPr>
            </w:pPr>
          </w:p>
        </w:tc>
        <w:tc>
          <w:tcPr>
            <w:tcW w:w="1464" w:type="dxa"/>
          </w:tcPr>
          <w:p w14:paraId="6E58EA0B">
            <w:pPr>
              <w:rPr>
                <w:color w:val="auto"/>
              </w:rPr>
            </w:pPr>
          </w:p>
        </w:tc>
        <w:tc>
          <w:tcPr>
            <w:tcW w:w="1903" w:type="dxa"/>
          </w:tcPr>
          <w:p w14:paraId="620A5510">
            <w:pPr>
              <w:rPr>
                <w:color w:val="auto"/>
              </w:rPr>
            </w:pPr>
          </w:p>
        </w:tc>
        <w:tc>
          <w:tcPr>
            <w:tcW w:w="1277" w:type="dxa"/>
          </w:tcPr>
          <w:p w14:paraId="1FF57D66">
            <w:pPr>
              <w:rPr>
                <w:color w:val="auto"/>
              </w:rPr>
            </w:pPr>
          </w:p>
        </w:tc>
      </w:tr>
      <w:tr w14:paraId="46ACE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7DC89819">
            <w:pPr>
              <w:spacing w:before="267" w:line="186" w:lineRule="auto"/>
              <w:ind w:left="380"/>
              <w:rPr>
                <w:rFonts w:ascii="Times New Roman" w:hAnsi="Times New Roman" w:eastAsia="Times New Roman" w:cs="Times New Roman"/>
                <w:color w:val="auto"/>
              </w:rPr>
            </w:pPr>
            <w:r>
              <w:rPr>
                <w:rFonts w:ascii="Times New Roman" w:hAnsi="Times New Roman" w:eastAsia="Times New Roman" w:cs="Times New Roman"/>
                <w:color w:val="auto"/>
              </w:rPr>
              <w:t>2</w:t>
            </w:r>
          </w:p>
        </w:tc>
        <w:tc>
          <w:tcPr>
            <w:tcW w:w="1579" w:type="dxa"/>
          </w:tcPr>
          <w:p w14:paraId="00828373">
            <w:pPr>
              <w:rPr>
                <w:color w:val="auto"/>
              </w:rPr>
            </w:pPr>
          </w:p>
        </w:tc>
        <w:tc>
          <w:tcPr>
            <w:tcW w:w="1427" w:type="dxa"/>
          </w:tcPr>
          <w:p w14:paraId="7E127505">
            <w:pPr>
              <w:rPr>
                <w:color w:val="auto"/>
              </w:rPr>
            </w:pPr>
          </w:p>
        </w:tc>
        <w:tc>
          <w:tcPr>
            <w:tcW w:w="1464" w:type="dxa"/>
          </w:tcPr>
          <w:p w14:paraId="667B21C9">
            <w:pPr>
              <w:rPr>
                <w:color w:val="auto"/>
              </w:rPr>
            </w:pPr>
          </w:p>
        </w:tc>
        <w:tc>
          <w:tcPr>
            <w:tcW w:w="1903" w:type="dxa"/>
          </w:tcPr>
          <w:p w14:paraId="2035E7B7">
            <w:pPr>
              <w:rPr>
                <w:color w:val="auto"/>
              </w:rPr>
            </w:pPr>
          </w:p>
        </w:tc>
        <w:tc>
          <w:tcPr>
            <w:tcW w:w="1277" w:type="dxa"/>
          </w:tcPr>
          <w:p w14:paraId="6A120F1D">
            <w:pPr>
              <w:rPr>
                <w:color w:val="auto"/>
              </w:rPr>
            </w:pPr>
          </w:p>
        </w:tc>
      </w:tr>
      <w:tr w14:paraId="3DF43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1BB81A03">
            <w:pPr>
              <w:spacing w:before="267" w:line="186" w:lineRule="auto"/>
              <w:ind w:left="384"/>
              <w:rPr>
                <w:rFonts w:ascii="Times New Roman" w:hAnsi="Times New Roman" w:eastAsia="Times New Roman" w:cs="Times New Roman"/>
                <w:color w:val="auto"/>
              </w:rPr>
            </w:pPr>
            <w:r>
              <w:rPr>
                <w:rFonts w:ascii="Times New Roman" w:hAnsi="Times New Roman" w:eastAsia="Times New Roman" w:cs="Times New Roman"/>
                <w:color w:val="auto"/>
              </w:rPr>
              <w:t>3</w:t>
            </w:r>
          </w:p>
        </w:tc>
        <w:tc>
          <w:tcPr>
            <w:tcW w:w="1579" w:type="dxa"/>
          </w:tcPr>
          <w:p w14:paraId="59DEE03C">
            <w:pPr>
              <w:rPr>
                <w:color w:val="auto"/>
              </w:rPr>
            </w:pPr>
          </w:p>
        </w:tc>
        <w:tc>
          <w:tcPr>
            <w:tcW w:w="1427" w:type="dxa"/>
          </w:tcPr>
          <w:p w14:paraId="5CB06FA4">
            <w:pPr>
              <w:rPr>
                <w:color w:val="auto"/>
              </w:rPr>
            </w:pPr>
          </w:p>
        </w:tc>
        <w:tc>
          <w:tcPr>
            <w:tcW w:w="1464" w:type="dxa"/>
          </w:tcPr>
          <w:p w14:paraId="33EF505F">
            <w:pPr>
              <w:rPr>
                <w:color w:val="auto"/>
              </w:rPr>
            </w:pPr>
          </w:p>
        </w:tc>
        <w:tc>
          <w:tcPr>
            <w:tcW w:w="1903" w:type="dxa"/>
          </w:tcPr>
          <w:p w14:paraId="7A5520CF">
            <w:pPr>
              <w:rPr>
                <w:color w:val="auto"/>
              </w:rPr>
            </w:pPr>
          </w:p>
        </w:tc>
        <w:tc>
          <w:tcPr>
            <w:tcW w:w="1277" w:type="dxa"/>
          </w:tcPr>
          <w:p w14:paraId="6EF4F42D">
            <w:pPr>
              <w:rPr>
                <w:color w:val="auto"/>
              </w:rPr>
            </w:pPr>
          </w:p>
        </w:tc>
      </w:tr>
      <w:tr w14:paraId="7803B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1F5FEEF7">
            <w:pPr>
              <w:spacing w:before="269" w:line="186" w:lineRule="auto"/>
              <w:ind w:left="379"/>
              <w:rPr>
                <w:rFonts w:ascii="Times New Roman" w:hAnsi="Times New Roman" w:eastAsia="Times New Roman" w:cs="Times New Roman"/>
                <w:color w:val="auto"/>
              </w:rPr>
            </w:pPr>
            <w:r>
              <w:rPr>
                <w:rFonts w:ascii="Times New Roman" w:hAnsi="Times New Roman" w:eastAsia="Times New Roman" w:cs="Times New Roman"/>
                <w:color w:val="auto"/>
              </w:rPr>
              <w:t>4</w:t>
            </w:r>
          </w:p>
        </w:tc>
        <w:tc>
          <w:tcPr>
            <w:tcW w:w="1579" w:type="dxa"/>
          </w:tcPr>
          <w:p w14:paraId="11BA7622">
            <w:pPr>
              <w:rPr>
                <w:color w:val="auto"/>
              </w:rPr>
            </w:pPr>
          </w:p>
        </w:tc>
        <w:tc>
          <w:tcPr>
            <w:tcW w:w="1427" w:type="dxa"/>
          </w:tcPr>
          <w:p w14:paraId="26B159FA">
            <w:pPr>
              <w:rPr>
                <w:color w:val="auto"/>
              </w:rPr>
            </w:pPr>
          </w:p>
        </w:tc>
        <w:tc>
          <w:tcPr>
            <w:tcW w:w="1464" w:type="dxa"/>
          </w:tcPr>
          <w:p w14:paraId="1B05D503">
            <w:pPr>
              <w:rPr>
                <w:color w:val="auto"/>
              </w:rPr>
            </w:pPr>
          </w:p>
        </w:tc>
        <w:tc>
          <w:tcPr>
            <w:tcW w:w="1903" w:type="dxa"/>
          </w:tcPr>
          <w:p w14:paraId="7A35333E">
            <w:pPr>
              <w:rPr>
                <w:color w:val="auto"/>
              </w:rPr>
            </w:pPr>
          </w:p>
        </w:tc>
        <w:tc>
          <w:tcPr>
            <w:tcW w:w="1277" w:type="dxa"/>
          </w:tcPr>
          <w:p w14:paraId="32A1080D">
            <w:pPr>
              <w:rPr>
                <w:color w:val="auto"/>
              </w:rPr>
            </w:pPr>
          </w:p>
        </w:tc>
      </w:tr>
      <w:tr w14:paraId="66F3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1980574B">
            <w:pPr>
              <w:spacing w:before="272" w:line="183" w:lineRule="auto"/>
              <w:ind w:left="386"/>
              <w:rPr>
                <w:rFonts w:ascii="Times New Roman" w:hAnsi="Times New Roman" w:eastAsia="Times New Roman" w:cs="Times New Roman"/>
                <w:color w:val="auto"/>
              </w:rPr>
            </w:pPr>
            <w:r>
              <w:rPr>
                <w:rFonts w:ascii="Times New Roman" w:hAnsi="Times New Roman" w:eastAsia="Times New Roman" w:cs="Times New Roman"/>
                <w:color w:val="auto"/>
              </w:rPr>
              <w:t>5</w:t>
            </w:r>
          </w:p>
        </w:tc>
        <w:tc>
          <w:tcPr>
            <w:tcW w:w="1579" w:type="dxa"/>
          </w:tcPr>
          <w:p w14:paraId="40FED64A">
            <w:pPr>
              <w:rPr>
                <w:color w:val="auto"/>
              </w:rPr>
            </w:pPr>
          </w:p>
        </w:tc>
        <w:tc>
          <w:tcPr>
            <w:tcW w:w="1427" w:type="dxa"/>
          </w:tcPr>
          <w:p w14:paraId="0EA81771">
            <w:pPr>
              <w:rPr>
                <w:color w:val="auto"/>
              </w:rPr>
            </w:pPr>
          </w:p>
        </w:tc>
        <w:tc>
          <w:tcPr>
            <w:tcW w:w="1464" w:type="dxa"/>
          </w:tcPr>
          <w:p w14:paraId="7D7E600F">
            <w:pPr>
              <w:rPr>
                <w:color w:val="auto"/>
              </w:rPr>
            </w:pPr>
          </w:p>
        </w:tc>
        <w:tc>
          <w:tcPr>
            <w:tcW w:w="1903" w:type="dxa"/>
          </w:tcPr>
          <w:p w14:paraId="6EF7E21F">
            <w:pPr>
              <w:rPr>
                <w:color w:val="auto"/>
              </w:rPr>
            </w:pPr>
          </w:p>
        </w:tc>
        <w:tc>
          <w:tcPr>
            <w:tcW w:w="1277" w:type="dxa"/>
          </w:tcPr>
          <w:p w14:paraId="451957AB">
            <w:pPr>
              <w:rPr>
                <w:color w:val="auto"/>
              </w:rPr>
            </w:pPr>
          </w:p>
        </w:tc>
      </w:tr>
      <w:tr w14:paraId="68CF9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871" w:type="dxa"/>
          </w:tcPr>
          <w:p w14:paraId="141C4F5A">
            <w:pPr>
              <w:pStyle w:val="21"/>
              <w:spacing w:before="234" w:line="331" w:lineRule="exact"/>
              <w:ind w:left="344"/>
              <w:rPr>
                <w:color w:val="auto"/>
              </w:rPr>
            </w:pPr>
            <w:r>
              <w:rPr>
                <w:color w:val="auto"/>
                <w:position w:val="2"/>
              </w:rPr>
              <w:t>…</w:t>
            </w:r>
          </w:p>
        </w:tc>
        <w:tc>
          <w:tcPr>
            <w:tcW w:w="1579" w:type="dxa"/>
          </w:tcPr>
          <w:p w14:paraId="1951067C">
            <w:pPr>
              <w:rPr>
                <w:color w:val="auto"/>
              </w:rPr>
            </w:pPr>
          </w:p>
        </w:tc>
        <w:tc>
          <w:tcPr>
            <w:tcW w:w="1427" w:type="dxa"/>
          </w:tcPr>
          <w:p w14:paraId="55CFFD30">
            <w:pPr>
              <w:rPr>
                <w:color w:val="auto"/>
              </w:rPr>
            </w:pPr>
          </w:p>
        </w:tc>
        <w:tc>
          <w:tcPr>
            <w:tcW w:w="1464" w:type="dxa"/>
          </w:tcPr>
          <w:p w14:paraId="39D2C86E">
            <w:pPr>
              <w:rPr>
                <w:color w:val="auto"/>
              </w:rPr>
            </w:pPr>
          </w:p>
        </w:tc>
        <w:tc>
          <w:tcPr>
            <w:tcW w:w="1903" w:type="dxa"/>
          </w:tcPr>
          <w:p w14:paraId="71A46A17">
            <w:pPr>
              <w:rPr>
                <w:color w:val="auto"/>
              </w:rPr>
            </w:pPr>
          </w:p>
        </w:tc>
        <w:tc>
          <w:tcPr>
            <w:tcW w:w="1277" w:type="dxa"/>
          </w:tcPr>
          <w:p w14:paraId="1F58C65F">
            <w:pPr>
              <w:rPr>
                <w:color w:val="auto"/>
              </w:rPr>
            </w:pPr>
          </w:p>
        </w:tc>
      </w:tr>
      <w:tr w14:paraId="7F777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7" w:hRule="atLeast"/>
        </w:trPr>
        <w:tc>
          <w:tcPr>
            <w:tcW w:w="8521" w:type="dxa"/>
            <w:gridSpan w:val="6"/>
          </w:tcPr>
          <w:p w14:paraId="1B960CE0">
            <w:pPr>
              <w:pStyle w:val="21"/>
              <w:spacing w:before="54" w:line="220" w:lineRule="auto"/>
              <w:ind w:left="110"/>
              <w:rPr>
                <w:color w:val="auto"/>
                <w:lang w:eastAsia="zh-CN"/>
              </w:rPr>
            </w:pPr>
            <w:r>
              <w:rPr>
                <w:color w:val="auto"/>
                <w:spacing w:val="-5"/>
                <w:lang w:eastAsia="zh-CN"/>
              </w:rPr>
              <w:t>评标委员会全体成员签名：</w:t>
            </w:r>
          </w:p>
        </w:tc>
      </w:tr>
    </w:tbl>
    <w:p w14:paraId="36426402">
      <w:pPr>
        <w:pStyle w:val="8"/>
        <w:spacing w:line="294" w:lineRule="auto"/>
        <w:rPr>
          <w:lang w:eastAsia="zh-CN"/>
        </w:rPr>
      </w:pPr>
    </w:p>
    <w:p w14:paraId="7A5122A5">
      <w:pPr>
        <w:spacing w:before="69" w:line="220" w:lineRule="auto"/>
        <w:jc w:val="right"/>
        <w:rPr>
          <w:rFonts w:ascii="宋体" w:hAnsi="宋体" w:eastAsia="宋体" w:cs="宋体"/>
          <w:color w:val="auto"/>
          <w:lang w:eastAsia="zh-CN"/>
        </w:rPr>
      </w:pPr>
      <w:r>
        <w:rPr>
          <w:rFonts w:ascii="宋体" w:hAnsi="宋体" w:eastAsia="宋体" w:cs="宋体"/>
          <w:color w:val="auto"/>
          <w:spacing w:val="-12"/>
          <w:lang w:eastAsia="zh-CN"/>
        </w:rPr>
        <w:t>日期：年月日</w:t>
      </w:r>
    </w:p>
    <w:p w14:paraId="435D937E">
      <w:pPr>
        <w:spacing w:line="220" w:lineRule="auto"/>
        <w:rPr>
          <w:rFonts w:ascii="宋体" w:hAnsi="宋体" w:eastAsia="宋体" w:cs="宋体"/>
          <w:color w:val="auto"/>
          <w:lang w:eastAsia="zh-CN"/>
        </w:rPr>
        <w:sectPr>
          <w:headerReference r:id="rId106" w:type="default"/>
          <w:footerReference r:id="rId107" w:type="default"/>
          <w:pgSz w:w="11906" w:h="16839"/>
          <w:pgMar w:top="1440" w:right="1803" w:bottom="1440" w:left="1803" w:header="0" w:footer="987" w:gutter="0"/>
          <w:cols w:space="720" w:num="1"/>
        </w:sectPr>
      </w:pPr>
    </w:p>
    <w:p w14:paraId="69D16093">
      <w:pPr>
        <w:pStyle w:val="8"/>
        <w:spacing w:line="267" w:lineRule="auto"/>
        <w:rPr>
          <w:lang w:eastAsia="zh-CN"/>
        </w:rPr>
      </w:pPr>
    </w:p>
    <w:p w14:paraId="0A515F31">
      <w:pPr>
        <w:pStyle w:val="8"/>
        <w:spacing w:line="267" w:lineRule="auto"/>
        <w:rPr>
          <w:lang w:eastAsia="zh-CN"/>
        </w:rPr>
      </w:pPr>
    </w:p>
    <w:p w14:paraId="52C451CD">
      <w:pPr>
        <w:pStyle w:val="8"/>
        <w:spacing w:line="267" w:lineRule="auto"/>
        <w:rPr>
          <w:lang w:eastAsia="zh-CN"/>
        </w:rPr>
      </w:pPr>
    </w:p>
    <w:p w14:paraId="6665C918">
      <w:pPr>
        <w:pStyle w:val="8"/>
        <w:spacing w:line="267" w:lineRule="auto"/>
        <w:rPr>
          <w:lang w:eastAsia="zh-CN"/>
        </w:rPr>
      </w:pPr>
    </w:p>
    <w:p w14:paraId="56062AAE">
      <w:pPr>
        <w:spacing w:before="104" w:line="222" w:lineRule="auto"/>
        <w:ind w:left="4099"/>
        <w:rPr>
          <w:rFonts w:ascii="黑体" w:hAnsi="黑体" w:eastAsia="黑体" w:cs="黑体"/>
          <w:color w:val="auto"/>
          <w:spacing w:val="-1"/>
          <w:sz w:val="32"/>
          <w:szCs w:val="32"/>
          <w:lang w:eastAsia="zh-CN"/>
        </w:rPr>
      </w:pPr>
    </w:p>
    <w:p w14:paraId="2F597210">
      <w:pPr>
        <w:spacing w:before="104" w:line="222" w:lineRule="auto"/>
        <w:ind w:left="4099"/>
        <w:rPr>
          <w:rFonts w:ascii="黑体" w:hAnsi="黑体" w:eastAsia="黑体" w:cs="黑体"/>
          <w:color w:val="auto"/>
          <w:spacing w:val="-1"/>
          <w:sz w:val="32"/>
          <w:szCs w:val="32"/>
          <w:lang w:eastAsia="zh-CN"/>
        </w:rPr>
      </w:pPr>
    </w:p>
    <w:p w14:paraId="61443D1B">
      <w:pPr>
        <w:spacing w:before="104" w:line="222" w:lineRule="auto"/>
        <w:ind w:left="4099"/>
        <w:rPr>
          <w:rFonts w:ascii="黑体" w:hAnsi="黑体" w:eastAsia="黑体" w:cs="黑体"/>
          <w:color w:val="auto"/>
          <w:spacing w:val="-1"/>
          <w:sz w:val="32"/>
          <w:szCs w:val="32"/>
          <w:lang w:eastAsia="zh-CN"/>
        </w:rPr>
      </w:pPr>
    </w:p>
    <w:p w14:paraId="6ECA05EC">
      <w:pPr>
        <w:spacing w:before="104" w:line="222" w:lineRule="auto"/>
        <w:ind w:left="4099"/>
        <w:rPr>
          <w:rFonts w:ascii="黑体" w:hAnsi="黑体" w:eastAsia="黑体" w:cs="黑体"/>
          <w:color w:val="auto"/>
          <w:spacing w:val="-1"/>
          <w:sz w:val="32"/>
          <w:szCs w:val="32"/>
          <w:lang w:eastAsia="zh-CN"/>
        </w:rPr>
      </w:pPr>
    </w:p>
    <w:p w14:paraId="00E91913">
      <w:pPr>
        <w:spacing w:before="104" w:line="222" w:lineRule="auto"/>
        <w:ind w:left="4099"/>
        <w:rPr>
          <w:rFonts w:ascii="黑体" w:hAnsi="黑体" w:eastAsia="黑体" w:cs="黑体"/>
          <w:color w:val="auto"/>
          <w:spacing w:val="-1"/>
          <w:sz w:val="32"/>
          <w:szCs w:val="32"/>
          <w:lang w:eastAsia="zh-CN"/>
        </w:rPr>
      </w:pPr>
    </w:p>
    <w:p w14:paraId="1836F7F9">
      <w:pPr>
        <w:spacing w:before="104" w:line="222" w:lineRule="auto"/>
        <w:ind w:left="4099"/>
        <w:rPr>
          <w:rFonts w:ascii="黑体" w:hAnsi="黑体" w:eastAsia="黑体" w:cs="黑体"/>
          <w:color w:val="auto"/>
          <w:spacing w:val="-1"/>
          <w:sz w:val="32"/>
          <w:szCs w:val="32"/>
          <w:lang w:eastAsia="zh-CN"/>
        </w:rPr>
      </w:pPr>
    </w:p>
    <w:p w14:paraId="1C400430">
      <w:pPr>
        <w:spacing w:before="104" w:line="222" w:lineRule="auto"/>
        <w:ind w:left="4099"/>
        <w:rPr>
          <w:rFonts w:ascii="黑体" w:hAnsi="黑体" w:eastAsia="黑体" w:cs="黑体"/>
          <w:color w:val="auto"/>
          <w:spacing w:val="-1"/>
          <w:sz w:val="32"/>
          <w:szCs w:val="32"/>
          <w:lang w:eastAsia="zh-CN"/>
        </w:rPr>
      </w:pPr>
    </w:p>
    <w:p w14:paraId="329CDBE7">
      <w:pPr>
        <w:spacing w:before="104" w:line="222" w:lineRule="auto"/>
        <w:ind w:left="4099"/>
        <w:rPr>
          <w:rFonts w:ascii="黑体" w:hAnsi="黑体" w:eastAsia="黑体" w:cs="黑体"/>
          <w:color w:val="auto"/>
          <w:spacing w:val="-1"/>
          <w:sz w:val="32"/>
          <w:szCs w:val="32"/>
          <w:lang w:eastAsia="zh-CN"/>
        </w:rPr>
      </w:pPr>
    </w:p>
    <w:p w14:paraId="6A5B033B">
      <w:pPr>
        <w:spacing w:before="104" w:line="222" w:lineRule="auto"/>
        <w:ind w:left="4099"/>
        <w:rPr>
          <w:rFonts w:ascii="黑体" w:hAnsi="黑体" w:eastAsia="黑体" w:cs="黑体"/>
          <w:color w:val="auto"/>
          <w:spacing w:val="-1"/>
          <w:sz w:val="32"/>
          <w:szCs w:val="32"/>
          <w:lang w:eastAsia="zh-CN"/>
        </w:rPr>
      </w:pPr>
    </w:p>
    <w:p w14:paraId="06D4303D">
      <w:pPr>
        <w:spacing w:before="104" w:line="222" w:lineRule="auto"/>
        <w:ind w:left="4099"/>
        <w:rPr>
          <w:rFonts w:ascii="黑体" w:hAnsi="黑体" w:eastAsia="黑体" w:cs="黑体"/>
          <w:color w:val="auto"/>
          <w:spacing w:val="-1"/>
          <w:sz w:val="32"/>
          <w:szCs w:val="32"/>
          <w:lang w:eastAsia="zh-CN"/>
        </w:rPr>
      </w:pPr>
    </w:p>
    <w:p w14:paraId="30958F25">
      <w:pPr>
        <w:spacing w:before="104" w:line="222" w:lineRule="auto"/>
        <w:ind w:left="4099"/>
        <w:rPr>
          <w:rFonts w:ascii="黑体" w:hAnsi="黑体" w:eastAsia="黑体" w:cs="黑体"/>
          <w:color w:val="auto"/>
          <w:spacing w:val="-1"/>
          <w:sz w:val="32"/>
          <w:szCs w:val="32"/>
          <w:lang w:eastAsia="zh-CN"/>
        </w:rPr>
      </w:pPr>
    </w:p>
    <w:p w14:paraId="418FFD08">
      <w:pPr>
        <w:spacing w:before="104" w:line="222" w:lineRule="auto"/>
        <w:ind w:left="4099"/>
        <w:rPr>
          <w:rFonts w:ascii="黑体" w:hAnsi="黑体" w:eastAsia="黑体" w:cs="黑体"/>
          <w:color w:val="auto"/>
          <w:spacing w:val="-1"/>
          <w:sz w:val="32"/>
          <w:szCs w:val="32"/>
          <w:lang w:eastAsia="zh-CN"/>
        </w:rPr>
      </w:pPr>
    </w:p>
    <w:p w14:paraId="69D1C37D">
      <w:pPr>
        <w:spacing w:before="104" w:line="222" w:lineRule="auto"/>
        <w:jc w:val="center"/>
        <w:outlineLvl w:val="0"/>
        <w:rPr>
          <w:rFonts w:ascii="黑体" w:hAnsi="黑体" w:eastAsia="黑体" w:cs="黑体"/>
          <w:color w:val="auto"/>
          <w:sz w:val="32"/>
          <w:szCs w:val="32"/>
          <w:lang w:eastAsia="zh-CN"/>
        </w:rPr>
        <w:sectPr>
          <w:headerReference r:id="rId108" w:type="default"/>
          <w:footerReference r:id="rId109" w:type="default"/>
          <w:pgSz w:w="11906" w:h="16839"/>
          <w:pgMar w:top="400" w:right="0" w:bottom="1147" w:left="105" w:header="0" w:footer="987" w:gutter="0"/>
          <w:cols w:space="720" w:num="1"/>
        </w:sectPr>
      </w:pPr>
      <w:bookmarkStart w:id="357" w:name="_Toc12021"/>
      <w:r>
        <w:rPr>
          <w:rFonts w:ascii="黑体" w:hAnsi="黑体" w:eastAsia="黑体" w:cs="黑体"/>
          <w:color w:val="auto"/>
          <w:spacing w:val="-1"/>
          <w:sz w:val="32"/>
          <w:szCs w:val="32"/>
          <w:lang w:eastAsia="zh-CN"/>
        </w:rPr>
        <w:t>第四章  合同条款及格式</w:t>
      </w:r>
      <w:bookmarkEnd w:id="350"/>
      <w:bookmarkEnd w:id="351"/>
      <w:bookmarkEnd w:id="352"/>
      <w:bookmarkEnd w:id="353"/>
      <w:bookmarkEnd w:id="354"/>
      <w:bookmarkEnd w:id="357"/>
    </w:p>
    <w:p w14:paraId="2A25D524">
      <w:pPr>
        <w:widowControl w:val="0"/>
        <w:kinsoku/>
        <w:autoSpaceDE/>
        <w:autoSpaceDN/>
        <w:adjustRightInd/>
        <w:snapToGrid/>
        <w:jc w:val="center"/>
        <w:textAlignment w:val="auto"/>
        <w:outlineLvl w:val="1"/>
        <w:rPr>
          <w:rFonts w:ascii="宋体" w:hAnsi="宋体" w:eastAsia="宋体" w:cs="宋体"/>
          <w:b/>
          <w:bCs/>
          <w:color w:val="auto"/>
          <w:sz w:val="28"/>
          <w:szCs w:val="36"/>
          <w:lang w:eastAsia="zh-CN"/>
        </w:rPr>
      </w:pPr>
      <w:bookmarkStart w:id="358" w:name="_Toc1225"/>
      <w:r>
        <w:rPr>
          <w:rFonts w:hint="eastAsia" w:ascii="宋体" w:hAnsi="宋体" w:eastAsia="宋体" w:cs="宋体"/>
          <w:b/>
          <w:bCs/>
          <w:color w:val="auto"/>
          <w:sz w:val="28"/>
          <w:szCs w:val="36"/>
          <w:lang w:eastAsia="zh-CN"/>
        </w:rPr>
        <w:t>第一节 通用合同条款</w:t>
      </w:r>
      <w:bookmarkEnd w:id="358"/>
    </w:p>
    <w:p w14:paraId="2339883E">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  一般约定</w:t>
      </w:r>
    </w:p>
    <w:p w14:paraId="1B1D8B3D">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1.1 词语定义</w:t>
      </w:r>
    </w:p>
    <w:p w14:paraId="1B5F50F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除专用合同条款另有约定外，合同中的下列词语应具有本款所赋予的含义。</w:t>
      </w:r>
    </w:p>
    <w:p w14:paraId="3E7F8BE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 合同</w:t>
      </w:r>
    </w:p>
    <w:p w14:paraId="786E417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1.1.1.1    合同文件（或称合同）：指合同协议书、中标通知书、投标函、商务和技术偏差表、专用合同条款、通用合同条款、供货要求、分项报价表、中标设备技术性能指标的详细描述、技术服务和质保期服务计划，以及其他构成合同组成部分的文件。</w:t>
      </w:r>
    </w:p>
    <w:p w14:paraId="5541F81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1.1.1.2    合同协议书：指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和</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共同签署的合同协议书。</w:t>
      </w:r>
    </w:p>
    <w:p w14:paraId="3227349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    中标通知书：指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中标的函件。</w:t>
      </w:r>
    </w:p>
    <w:p w14:paraId="0EFBB5A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1.1.1.4    投标函：指由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填写并签署的，名为“投标函”的函件。</w:t>
      </w:r>
    </w:p>
    <w:p w14:paraId="2BF5D2D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1.1.1.5    商务和技术偏差表：指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投标文件中的商务和技术偏差表。</w:t>
      </w:r>
    </w:p>
    <w:p w14:paraId="58CF67C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1.1.1.6    供货要求：指合同文件中名为“供货要求”的文件。</w:t>
      </w:r>
    </w:p>
    <w:p w14:paraId="635C474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1.1.1.7    中标设备技术性能指标的详细描述：指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投标文件中的投标设备技术性能指标的详细描述。</w:t>
      </w:r>
    </w:p>
    <w:p w14:paraId="085B520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1.1.1.8    技术服务和质保期服务计划：指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投标文件中的技术服务和质保期服务计划。</w:t>
      </w:r>
    </w:p>
    <w:p w14:paraId="763FAA1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1.1.1.9    分项报价表：指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投标文件中的分项报价表。</w:t>
      </w:r>
    </w:p>
    <w:p w14:paraId="37665D2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1.1.1.10    其他合同文件：指经合同双方当事人确认构成合同文件的其他文件。</w:t>
      </w:r>
    </w:p>
    <w:p w14:paraId="503F626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1.1.2  合同当事人</w:t>
      </w:r>
    </w:p>
    <w:p w14:paraId="257FFF7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1.1.2.1    合同当事人：指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和（或）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w:t>
      </w:r>
    </w:p>
    <w:p w14:paraId="4399B30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1.1.2.2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：指与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签订合同协议书，购买合同设备和技术服务和质保期服务的当事人，及其合法继承人。</w:t>
      </w:r>
    </w:p>
    <w:p w14:paraId="53FDBB0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1.1.2.3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：指与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签订合同协议书，提供合同设备和技术服务和质保期服务的当事人，及其合法继承人。</w:t>
      </w:r>
    </w:p>
    <w:p w14:paraId="69DD06A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1.1.3 合同价格</w:t>
      </w:r>
    </w:p>
    <w:p w14:paraId="4302671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1.1.3.1    签约合同价：是签订合同时合同协议书中写明的合同总金额。</w:t>
      </w:r>
    </w:p>
    <w:p w14:paraId="7ABBB37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1.1.3.2    合同价格：指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按合同约定履行了全部合同义务后，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应付给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的金额。</w:t>
      </w:r>
    </w:p>
    <w:p w14:paraId="101A082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1.1.4    合同设备：指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按合同约定应向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提供的设备、装置、备品、备件、易损易耗件、配套使用的软件或其他辅助电子应用程序及技术资料，或其中任何一部分。</w:t>
      </w:r>
    </w:p>
    <w:p w14:paraId="694BAB7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1.1.5  技术资料：指各种纸质及电子载体的与合同设备的设计、检验、安装、调试、考核、操作、维修以及保养等有关的技术指标、规格、图纸和说明文件。</w:t>
      </w:r>
    </w:p>
    <w:p w14:paraId="7EE3FC6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1.1.6    安装：指对合同设备进行的组装、连接以及根据需要将合同设备固定在施工场地内一定的位置上，使其就位并与相关设备、工程实现连接。</w:t>
      </w:r>
    </w:p>
    <w:p w14:paraId="148F2B0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1.1.7    调试：指在合同设备安装完成后，对合同设备所进行的调校和测试。</w:t>
      </w:r>
    </w:p>
    <w:p w14:paraId="133BF76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1.1.8    考核：指在合同设备调试完成后，对合同设备进行的用于确定其是否达到合同约定的技术性能考核指标的考核。</w:t>
      </w:r>
    </w:p>
    <w:p w14:paraId="3ECF7C3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1.1.9    验收：指合同设备通过考核达到合同约定的技术性能考核指标后，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作出接受合同设备的确认。</w:t>
      </w:r>
    </w:p>
    <w:p w14:paraId="4886B33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1.1.10    技术服务：指</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按合同约定，在合同设备验收前，向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提供的安装、调试服务，或者在由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负责的安装、调试、考核中对</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进行的技术指导、协助、监督和培训等。</w:t>
      </w:r>
    </w:p>
    <w:p w14:paraId="03B779E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1.1.11  质量保证期：指合同设备验收后，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按合同约定保证合同设备适当、稳定运行，并负责消除合同设备故障的期限。</w:t>
      </w:r>
    </w:p>
    <w:p w14:paraId="462F06E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1.1.12    质保期服务：指在质量保证期内，</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提供的合同设备维护服务、咨询服务、技术指导、协助以及对出现故障的合同设备进行修理或更换的服务。</w:t>
      </w:r>
    </w:p>
    <w:p w14:paraId="506EE39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    工程</w:t>
      </w:r>
    </w:p>
    <w:p w14:paraId="110E6EC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1.1.13.1    工程：指在专用合同条款中指明的，安装运行合同设备的工程。</w:t>
      </w:r>
    </w:p>
    <w:p w14:paraId="3AEA718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1.1.13.2    施工场地（或称工地、施工现场：）指专用合同条款中指明的工程所在场所。</w:t>
      </w:r>
    </w:p>
    <w:p w14:paraId="43DB830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1.1.14    天（或称日）：除特别指明外，指日历天。合同中按天计算时间的，开始当天不计入，从次日开始计算。合同约定的期间的最后一天是星期日或者其他法定休假日的，以休假日的次日为期间的最后一天。</w:t>
      </w:r>
    </w:p>
    <w:p w14:paraId="5ED8F5B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1.1.15    月：按照公历月计算。合同中按月计算时间的，开始当天不计入，从次日开始计算。合同约定的期间的最后一天是星期日或者其他法定休假日的，以休假日的次日为期间的最后一天。</w:t>
      </w:r>
    </w:p>
    <w:p w14:paraId="5FF49D7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1.1.16  书面形式：指合同文件、信件和数据电文（包括电报、电传、传真、电子数据交换 和电子邮件）等可以有形地表现所载内容的形式。</w:t>
      </w:r>
    </w:p>
    <w:p w14:paraId="4D091A51">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1.2  语言文字</w:t>
      </w:r>
    </w:p>
    <w:p w14:paraId="4C05ADB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合同使用的语言文字为中文。专用术语使用外文的，应附有中文注释。</w:t>
      </w:r>
    </w:p>
    <w:p w14:paraId="0D9DC84B">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1.3  合同文件的优先顺序</w:t>
      </w:r>
    </w:p>
    <w:p w14:paraId="7CE1673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组成合同的各项文件应互相解释，互为说明。除专用合同条款另有约定外，解释合同文件的优先顺序如下：</w:t>
      </w:r>
    </w:p>
    <w:p w14:paraId="671D7E9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（1）合同协议书；</w:t>
      </w:r>
    </w:p>
    <w:p w14:paraId="70146A4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（2）中标通知书；</w:t>
      </w:r>
    </w:p>
    <w:p w14:paraId="5548B59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（3）投标函；</w:t>
      </w:r>
    </w:p>
    <w:p w14:paraId="7E5C91E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（4）商务和技术偏差表；</w:t>
      </w:r>
    </w:p>
    <w:p w14:paraId="625C70F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（5）专用合同条款；</w:t>
      </w:r>
    </w:p>
    <w:p w14:paraId="24DC770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（6）通用合同条款；</w:t>
      </w:r>
    </w:p>
    <w:p w14:paraId="10B088A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（7）供货要求；</w:t>
      </w:r>
    </w:p>
    <w:p w14:paraId="31BA29E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（8）分项报价表；</w:t>
      </w:r>
    </w:p>
    <w:p w14:paraId="6229109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（9）中标设备技术性能指标的详细描述；</w:t>
      </w:r>
    </w:p>
    <w:p w14:paraId="60A3B1A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（10）技术服务和质保期服务计划；</w:t>
      </w:r>
    </w:p>
    <w:p w14:paraId="496557E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（11）其他合同文件。</w:t>
      </w:r>
    </w:p>
    <w:p w14:paraId="3DB2E8B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1.4  合同的生效及变更</w:t>
      </w:r>
    </w:p>
    <w:p w14:paraId="1A523A8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1.4.1 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和</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的法定代表人（单位负责人）或其授权代表在合同协议书上签字并加盖单位章后，合同生效。</w:t>
      </w:r>
    </w:p>
    <w:p w14:paraId="2CD70C5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1.4.2 除专用合同条款另有约定外，在合同履行过程中，如需对合同进行变更，双方应签订书面协议，并经双方法定代表人（单位负责人）或其授权代表签字并加盖单位章后生效。</w:t>
      </w:r>
    </w:p>
    <w:p w14:paraId="2E352FCA">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1.5 联络</w:t>
      </w:r>
    </w:p>
    <w:p w14:paraId="11757EF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1.5.1 </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就合同履行中有关的事项及时进行联络，重要事项应通过书面形式进行联络或确认。合同履行过程中的任何联络及相关文件的签署，均应通过专用合同条款指定的联系人和联系方式进行。合同履行过程中，双方可以书面形式增加或变更指定联系人。</w:t>
      </w:r>
    </w:p>
    <w:p w14:paraId="6EE6FE7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1.5.2 合同履行中或与合同有关的任何联络，送达到第 1.5.1  项指定的联系人即视为送达。</w:t>
      </w:r>
    </w:p>
    <w:p w14:paraId="4F2B193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1.5.3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可以安排监理等相关人员作为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人员，与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进行联络或参加合同设备的监造（如有）、交货前检验（如有）、开箱检验、安装、调试、考核、验收等，但应按照第 1.5.1项的约定事先书面通知</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w:t>
      </w:r>
    </w:p>
    <w:p w14:paraId="6D298758">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1.6 联合体</w:t>
      </w:r>
    </w:p>
    <w:p w14:paraId="5F00B8A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1.6.1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为联合体的，联合体各方应当共同与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签订合同，并向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为履行合同承担连带责任。</w:t>
      </w:r>
    </w:p>
    <w:p w14:paraId="34564CD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1.6.2 在合同履行过程中，未经</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同意，不得修改联合体协议。联合体协议中关于联合体成员间权利义务的划分，并不影响或减损联合体各方应就履行合同向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承担的连带责任。</w:t>
      </w:r>
    </w:p>
    <w:p w14:paraId="0220610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1.6.3 联合体牵头人代表联合体与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联系，并接受指示，负责组织联合体各成员全面履行合同。除非专用合同条款另有约定，牵头人在履行合同中的所有行为均视为已获得联合体各方的授权。</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可将合同价款全部支付给牵头人并视为其已适当履行了付款义务。如牵头人的行为将构成对合同内容的变更，则牵头人须事先获得联合体各方的特别授权。</w:t>
      </w:r>
    </w:p>
    <w:p w14:paraId="334588B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1.7 转让</w:t>
      </w:r>
    </w:p>
    <w:p w14:paraId="509830A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未经对方当事人书面同意，合同任何一方均不得转让其在合同项下的权利和（或）义务。</w:t>
      </w:r>
    </w:p>
    <w:p w14:paraId="4BE19A75">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2.  合同范围</w:t>
      </w:r>
    </w:p>
    <w:p w14:paraId="362A07B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应根据供货要求、中标设备技术性能指标的详细描述、技术服务和质保期服务计划等合同文件的约定向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提供合同设备、技术服务和质保期服务。</w:t>
      </w:r>
    </w:p>
    <w:p w14:paraId="248F14E7">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3.  合同价格与支付</w:t>
      </w:r>
    </w:p>
    <w:p w14:paraId="10231F2E">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3.1  合同价格</w:t>
      </w:r>
    </w:p>
    <w:p w14:paraId="676DA03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3.1.1 合同协议书中载明的签约合同价包括</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为完成合同全部义务应承担的一切成本、费用和支出以及</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的合理利润。</w:t>
      </w:r>
    </w:p>
    <w:p w14:paraId="33FF961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3.1.2 除专用合同条款另有约定外，签约合同价为固定价格。</w:t>
      </w:r>
    </w:p>
    <w:p w14:paraId="636CBD8B">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3.2  合同价款的支付</w:t>
      </w:r>
    </w:p>
    <w:p w14:paraId="299E3B6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应通过以下方式和比例向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支付合同价款：</w:t>
      </w:r>
    </w:p>
    <w:p w14:paraId="74BE68F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3.2.1 预付款</w:t>
      </w:r>
    </w:p>
    <w:p w14:paraId="64D2220D">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 xml:space="preserve">3.3  </w:t>
      </w:r>
      <w:r>
        <w:rPr>
          <w:rFonts w:hint="eastAsia" w:ascii="宋体" w:hAnsi="宋体" w:cs="宋体"/>
          <w:b/>
          <w:bCs/>
          <w:color w:val="auto"/>
          <w:sz w:val="28"/>
          <w:szCs w:val="36"/>
          <w:lang w:eastAsia="zh-CN"/>
        </w:rPr>
        <w:t>甲方</w:t>
      </w:r>
      <w:r>
        <w:rPr>
          <w:rFonts w:hint="eastAsia" w:ascii="宋体" w:hAnsi="宋体" w:eastAsia="宋体" w:cs="宋体"/>
          <w:b/>
          <w:bCs/>
          <w:color w:val="auto"/>
          <w:sz w:val="28"/>
          <w:szCs w:val="36"/>
          <w:lang w:eastAsia="zh-CN"/>
        </w:rPr>
        <w:t>扣款的权利</w:t>
      </w:r>
    </w:p>
    <w:p w14:paraId="5127B8D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当</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支付合同项下的违约金或赔偿金时，</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有权从上述任何一笔应付款中予以直接扣除和（或）兑付履约保证金。</w:t>
      </w:r>
    </w:p>
    <w:p w14:paraId="58C53077">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  监造及交货前检验</w:t>
      </w:r>
    </w:p>
    <w:p w14:paraId="6A33331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4.1  监造</w:t>
      </w:r>
    </w:p>
    <w:p w14:paraId="7BA4432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专用合同条款约定</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对合同设备进行监造的，双方应按本款及专用合同条款约定履行。</w:t>
      </w:r>
    </w:p>
    <w:p w14:paraId="2B57868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4.1.1  在合同设备的制造过程中，</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可派出监造人员，对合同设备的生产制造进行监造，监督合同设备制造、检验等情况。监造的范围、方式等应符合专用合同条款和（或）供货要求等合同文件的约定。</w:t>
      </w:r>
    </w:p>
    <w:p w14:paraId="26CED78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4.1.2 除专用合同条款和（或）供货要求等合同文件另有约定外，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监造人员可到合同设备及其关键部件的生产制造现场进行监造，</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应予配合。</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应免费为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监造人员提供工作条件及便利，包括但不限于必要的办公场所、技术资料、检测工具及出入许可等。除专用合同条款另有约定外，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监造人员的交通、食宿费用由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w:t>
      </w:r>
    </w:p>
    <w:p w14:paraId="77D72AB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4.1.3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制订生产制造合同设备的进度计划时，应将</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监造纳入计划安排，并提前通知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进行监造不应影响合同设备的正常生产。除专用合同条款和（或）供货要求等合同文件另有约定外，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应提前 7  日将需要</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监造人员现场监造事项通知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监造人员未按通知出席，不影响合同设备及其关键部件的制造或检验，但</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监造人员有权事后了解、查阅、复制相关制造或检验记录。</w:t>
      </w:r>
    </w:p>
    <w:p w14:paraId="2DCEB70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4.1.4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监造人员在监造中如发现合同设备及其关键部件不符合合同约定的标准，则有权提出意见和建议。</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应采取必要措施消除合同设备的不符，由此增加的费用和（或）造成的延误由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负责。</w:t>
      </w:r>
    </w:p>
    <w:p w14:paraId="63F59C5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4.1.5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监造人员对合同设备的监造，不视为对合同设备质量的确认，不影响</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交货后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依照合同约定对合同设备提出质量异议和（或）退货的权利，也不免除</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依照合同约定对合同设备所应承担的任何义务或责任。</w:t>
      </w:r>
    </w:p>
    <w:p w14:paraId="5F982950">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4.2  交货前检验</w:t>
      </w:r>
    </w:p>
    <w:p w14:paraId="042133C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专用合同条款约定</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参与交货前检验的，双方应按本款及专用合同条款约定履行。</w:t>
      </w:r>
    </w:p>
    <w:p w14:paraId="53EEFCC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4.2.1 合同设备交货前，</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应会同</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代表根据合同约定对合同设备进行交货前检验并出具交货前检验记录，有关费用由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应免费为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代表提供工作条件及便利，包括但不限于必要的办公场所、技术资料、检测工具及出入许可等。除专用合同条款另有约定外，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代表的交通、食宿费用由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w:t>
      </w:r>
    </w:p>
    <w:p w14:paraId="7EE6191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4.2.2 除专用合同条款和（或）供货要求等合同文件另有约定外，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应提前7日将需要</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代表检验事项通知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代表未按通知出席，不影响合同设备的检验。若</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未依照合同约定提前通知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而自行检验，则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有权要求</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暂停发货并重新进行检验，由此增加的费用和（或）造成的延误由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负责。</w:t>
      </w:r>
    </w:p>
    <w:p w14:paraId="2A00A59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4.2.3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代表在检验中如发现合同设备不符合合同约定的标准，则有权提出异议。</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应采取必要措施消除合同设备的不符，由此增加的费用和（或）造成的延误由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负责。</w:t>
      </w:r>
    </w:p>
    <w:p w14:paraId="2DCFDD7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4.2.4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代表参与交货前检验及签署交货前检验记录的行为，不视为对合同设备质量的确认，不影响</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交货后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依照合同约定对合同设备提出质量异议和（或）退货的权利，也不免除</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依照合同约定对合同设备所应承担的任何义务或责任。</w:t>
      </w:r>
    </w:p>
    <w:p w14:paraId="5A265847">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5.包装、标记、运输和交付</w:t>
      </w:r>
    </w:p>
    <w:p w14:paraId="3AC61AE2">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5.1 包装</w:t>
      </w:r>
    </w:p>
    <w:p w14:paraId="1DB23C6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5.1.1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应对合同设备进行妥善包装，以满足合同设备运至施工场地及在施工场地保管的需要。包装应采取防潮、防晒、防锈、防腐蚀、防震动及防止其它损坏的必要保护措施，从而 保护合同设备能够经受多次搬运、装卸、长途运输并适宜保管。</w:t>
      </w:r>
    </w:p>
    <w:p w14:paraId="7389A9D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5.1.2 每个独立包装箱内应附装箱清单、质量合格证、装配图、说明书、操作指南等资料。</w:t>
      </w:r>
    </w:p>
    <w:p w14:paraId="25F0330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5.1.3 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无需将包装物退还给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w:t>
      </w:r>
    </w:p>
    <w:p w14:paraId="28DC4419">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5.2 标记</w:t>
      </w:r>
    </w:p>
    <w:p w14:paraId="5987C31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5.2.1 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应在每一包装箱相邻的四个侧面以不可擦除的、明显的方式标记必要的装运信息和标记，以满足合同设备运输和保管的需要。</w:t>
      </w:r>
    </w:p>
    <w:p w14:paraId="4E465FF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5.2.2  根据合同设备的特点和运输、保管的不同要求，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应在包装箱上清楚地标注“小心轻放” 、“此端朝上，请勿倒置” 、“保持干燥”等字样和其他适当标记。对于专用合同条款约定的超大超重件，</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应在包装箱两侧标注“重心”和“起吊点”以便装卸和搬运。如果发运合同设备中含有易燃易爆物品、腐蚀物品、放射性物质等危险品，则应在包装箱上标明危险品标志。</w:t>
      </w:r>
    </w:p>
    <w:p w14:paraId="3E965604">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5.3 运输</w:t>
      </w:r>
    </w:p>
    <w:p w14:paraId="0A08829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5.3.1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应自行选择适宜的运输工具及线路安排合同设备运输。</w:t>
      </w:r>
    </w:p>
    <w:p w14:paraId="75049DC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5.3.2 除专用合同条款另有约定外，每件能够独立运行的设备应整套装运。该设备安装、调试、考核和运行所使用的备品、备件、易损易耗件等应随相关的主机一齐装运。</w:t>
      </w:r>
    </w:p>
    <w:p w14:paraId="0EDF369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5.3.3 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应在合同设备预计启运 7  日前，将合同设备名称、数量、箱数、总毛重、总体积（用 m3表示）、每箱尺寸（长×宽×高）、装运合同设备总金额、运输方式、预计交付日期和合同设备在运输、装卸、保管中的注意事项等预通知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，并在合同设备启运后 24 小时之内正式通知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p>
    <w:p w14:paraId="2EA3847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5.3.4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在根据第 5.3.3  项进行通知时，如果发运合同设备中包括专用合同条款约定的超大超重包装，则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应将超大和（或）超重的每个包装箱的重量和尺寸通知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；如果发运合同设备中包括易燃易爆物品、腐蚀物品、放射性物质等危险品，则危险品的品名、性质、在运输、装卸、保管方面的特殊要求、注意事项和处理意外情况的方法等，也应一并通知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p>
    <w:p w14:paraId="41B803A0">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5.4 交付</w:t>
      </w:r>
    </w:p>
    <w:p w14:paraId="69C5C9D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5.4.1 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应根据合同约定的交付时间和批次在施工场地车面上将合同设备交付给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对</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交付的包装的合同设备的外观及件数进行清点核验后应签发收货清单，并自负风险和费用进行卸货。</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签发收货清单不代表对合同设备的接受，双方还应按合同约定进行后续的检验和验收。</w:t>
      </w:r>
    </w:p>
    <w:p w14:paraId="206660F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5.4.2 合同设备的所有权和风险自交付时起由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转移至</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，合同设备交付给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之前包括运输在内的所有风险均由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w:t>
      </w:r>
    </w:p>
    <w:p w14:paraId="10DED92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5.4.3 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如果发现技术资料存在短缺和（或）损坏，</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的通知后7日内免费补齐短缺和（或）损坏的部分。如果</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发现</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提供的技术资料有误，</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通知后7日内免费替换。如由于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原因导致技术资料丢失和（或）损坏，</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的通知后 7   日内补齐丢失和（或）损坏的部分，但</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支付 合理的复制、邮寄费用。</w:t>
      </w:r>
    </w:p>
    <w:p w14:paraId="78C37F8E">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  开箱检验、安装、调试、考核、验收</w:t>
      </w:r>
    </w:p>
    <w:p w14:paraId="5BBDDF52">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6.1  开箱检验</w:t>
      </w:r>
    </w:p>
    <w:p w14:paraId="3CC3F07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6.1.1 合同设备交付后应进行开箱检验，即合同设备数量及外观检验。开箱检验在专用合同条款约定的下列任一种时间进行：</w:t>
      </w:r>
    </w:p>
    <w:p w14:paraId="0FE12BF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（1）合同设备交付时；</w:t>
      </w:r>
    </w:p>
    <w:p w14:paraId="207C10E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（2）合同设备交付后的一定期限内。如开箱检验不在合同设备交付时进行，</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应在开箱检验3日前将开箱检验的时间和地点通知</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w:t>
      </w:r>
    </w:p>
    <w:p w14:paraId="5A3F366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6.1.2 除专用合同条款另有约定外，合同设备的开箱检验应在施工场地进行。</w:t>
      </w:r>
    </w:p>
    <w:p w14:paraId="72C0E56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6.1.3 开箱检验由</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共同进行，</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应自负费用派遣代表到场参加开箱检验。</w:t>
      </w:r>
    </w:p>
    <w:p w14:paraId="5CD51BD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6.1.4  在开箱检验中，</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和</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应共同签署数量、外观检验报告，报告应列明检验结果，包括检验合格或发现的任何短缺、损坏或其它与合同约定不符的情形。</w:t>
      </w:r>
    </w:p>
    <w:p w14:paraId="51DC915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6.1.5 如果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代表未能依约或按</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通知到场参加开箱检验，</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有权在</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代表未在场的情况下进行开箱检验，并签署数量、外观检验报告，对于该检验报告和检验结果，视为</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已接受，但</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确有合理理由且事先与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协商推迟开箱检验时间的除外。</w:t>
      </w:r>
    </w:p>
    <w:p w14:paraId="2BB1992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6.1.6 如开箱检验不在合同设备交付时进行，则合同设备交付以后到开箱检验之前，应由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负责按交货时外包装原样对合同设备进行妥善保管。除专用合同条款另有约定外，在开箱检验时如果合同设备外包装与交货时一致，则开箱检验中发现的合同设备的短缺、损坏或其它与合同约定不符的情形，由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负责，</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补齐、更换及采取其他补救措施。如果在开箱检验时合同设备外包装不是交货时的包装或虽是交货时的包装但与交货时不一致且出现很可能导致合同设备短缺或损坏的包装破损，则开箱检验中发现合同设备短缺、损坏或其它与合同约定不符的情形的风险，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承担，但</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能够证明是由于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原因或合同设备交付前非</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原因导致的除外。</w:t>
      </w:r>
    </w:p>
    <w:p w14:paraId="15B3611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6.1.7 如双方在专用合同条款和（或）供货要求等合同文件中约定由第三方检测机构对合同设备进行开箱检验或在开箱检验过程中另行约定由第三方检验的，则第三方检测机构的检验结果对双方均具有约束力。</w:t>
      </w:r>
    </w:p>
    <w:p w14:paraId="7F54E31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6.1.8 开箱检验的检验结果不能对抗在合同设备的安装、调试、考核、验收中及质量保证期内发现的合同设备质量问题，也不能免除或影响</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依照合同约定对</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负有的包括合同设备质量在内的任何义务或责任。</w:t>
      </w:r>
    </w:p>
    <w:p w14:paraId="6A1CD5BE">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6.2  安装、调试</w:t>
      </w:r>
    </w:p>
    <w:p w14:paraId="79EEA6C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6.2.1 开箱检验完成后，双方应对合同设备进行安装、调试，以使其具备考核的状态。安装、调试应按照专用合同条款约定的下列任一种方式进行：</w:t>
      </w:r>
    </w:p>
    <w:p w14:paraId="42FFB00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按照合同约定完成合同设备的安装、调试工作；</w:t>
      </w:r>
    </w:p>
    <w:p w14:paraId="32D98B3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安排第三方负责合同设备的安装、调试工作，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提供技术服务。除专用合同条款另有约定外，在安装、调试过程中，如由于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安排的第三方未按照</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现场服务人员的指导导致安装、调试不成功和（或）出现合同设备损坏，</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应自行承担责任。如在</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安排的第三方按照</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现场服务人员的指导进行安装、调试的情况下出现安装、调试不成功和（或）造成合同设备损坏的情况，</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应承担责任。</w:t>
      </w:r>
    </w:p>
    <w:p w14:paraId="42F118B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6.2.2 除专用合同条款另有约定外，安装、调试中合同设备运行需要的用水、用电、其他动力和原材料（如需要）等均由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w:t>
      </w:r>
    </w:p>
    <w:p w14:paraId="2DDD102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6.2.3 双方应对合同设备的安装、调试情况共同及时进行记录。</w:t>
      </w:r>
    </w:p>
    <w:p w14:paraId="7159A5C4">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6.3 考核</w:t>
      </w:r>
    </w:p>
    <w:p w14:paraId="1FAB25E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6.3.1 安装、调试完成后，双方应对合同设备进行考核，以确定合同设备是否达到合同约定的技术性能考核指标。除专用合同条款另有约定外，考核中合同设备运行需要的用水、用电、其他动力和原材料（如需要）等均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w:t>
      </w:r>
    </w:p>
    <w:p w14:paraId="4890E88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6.3.2 如由于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原因合同设备在考核中未能达到合同约定的技术性能考核指标，则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应在双方同意的期限内采取措施消除合同设备中存在的缺陷，并在缺陷消除以后，尽快进行再次考核。</w:t>
      </w:r>
    </w:p>
    <w:p w14:paraId="1081A15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6.3.3  由于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原因未能达到技术性能考核指标时，为</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进行考核的机会不超过三次。如果由于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原因，三次考核均未能达到合同约定的技术性能考核指标，则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应就合同的后续履行进行协商，协商不成的，</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有权解除合同。但如合同中约定了或双方在考核中另行达成了合同设备的最低技术性能考核指标，且合同设备达到了最低技术性能考核指标的，视为合同设备已达到技术性能考核指标，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无权解除合同，且应接受合同设备，但</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应按专用合同条款的约定进行减价或向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支付补偿金。</w:t>
      </w:r>
    </w:p>
    <w:p w14:paraId="28F5867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6.3.4    如由于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原因合同设备在考核中未能达到合同约定的技术性能考核指标，则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应协助</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安排再次考核。由于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原因未能达到技术性能考核指标时，为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进行考核的机会不超过三次。</w:t>
      </w:r>
    </w:p>
    <w:p w14:paraId="355052C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6.3.5  考核期间，双方应及时共同记录合同设备的用水、用电、其他动力和原材料（如有）的使用及设备考核情况。对于未达到技术性能考核指标的，应如实记录设备表现、可能原因及处理情况等。</w:t>
      </w:r>
    </w:p>
    <w:p w14:paraId="1CFA5D8F">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6.4 验收</w:t>
      </w:r>
    </w:p>
    <w:p w14:paraId="0BE119D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6.4.1 如合同设备在考核中达到或视为达到技术性能考核指标，则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应在考核完成后7日内或专用合同条款另行约定的时间内签署合同设备验收证书一式二份，双方各持一份。验收日期应为合同设备达到或视为达到技术性能考核指标的日期。</w:t>
      </w:r>
    </w:p>
    <w:p w14:paraId="5E2A04D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6.4.2 如由于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原因合同设备在三次考核中均未能达到技术性能考核指标，</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应在考核结束后7日内或专用合同条款另行约定的时间内签署验收款支付函。除专用合同条款另有约定外，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有义务在验收款支付函签署后12个月内应</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要求提供相关技术服务，协助</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采取一切必要措施使合同设备达到技术性能考核指标。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应承担</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因此产生的全部费用。在上述12个月的期限内，如合同设备经过考核达到或视为达到技术性能考核指标，则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应按照第6.4.1项的约定签署合同设备验收证书。</w:t>
      </w:r>
    </w:p>
    <w:p w14:paraId="07B11C8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6.4.3 除专用合同条款另有约定外，如由于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原因在最后一批合同设备交货后6个月内未能开始考核，则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应在上述期限届满后7日内或专用合同条款另行约定的时间内签署验收款支付函。除专用合同条款另有约定外，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有义务在验收款支付函签署后6个月内应</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要求提供不超出合同范围的技术服务，协助</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采取一切必要措施使合同设备达到技术性能考核指标，且</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无需因此向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支付费用。在上述6个月的期限内，如合同设备经过考核达到或视为达到技术性能考核指标，则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应按照第 6.4.1  项的约定签署合同设备验收证书。</w:t>
      </w:r>
    </w:p>
    <w:p w14:paraId="5E10380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6.4.4 在第 6.4.2  项和第 6.4.3  项情形下，</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也可单方签署验收款支付函提交</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，如果</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在收到</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签署的验收款支付函后 14  日内未向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提出书面异议，则验收款支付函自签署之日起生效。</w:t>
      </w:r>
    </w:p>
    <w:p w14:paraId="3615847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6.4.5 合同设备验收证书的签署不能免除</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在质量保证期内对合同设备应承担的保证责任。</w:t>
      </w:r>
    </w:p>
    <w:p w14:paraId="267BDC0F">
      <w:pPr>
        <w:widowControl w:val="0"/>
        <w:kinsoku/>
        <w:autoSpaceDE/>
        <w:autoSpaceDN/>
        <w:adjustRightInd/>
        <w:snapToGrid/>
        <w:jc w:val="both"/>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7.  技术服务</w:t>
      </w:r>
    </w:p>
    <w:p w14:paraId="1005823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7.1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应派遣技术熟练、称职的技术人员到施工场地为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提供技术服务。</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的技术服务应符合合同的约定。</w:t>
      </w:r>
    </w:p>
    <w:p w14:paraId="3678B4B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7.2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应免费为</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技术人员提供工作条件及便利，包括但不限于必要的办公场所、技术资料及出入许可等。除专用合同条款另有约定外，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技术人员的交通、食宿费用由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w:t>
      </w:r>
    </w:p>
    <w:p w14:paraId="3226503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7.3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技术人员应遵守</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施工现场的各项规章制度和安全操作规程，并服从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的现场管理。</w:t>
      </w:r>
    </w:p>
    <w:p w14:paraId="5B5637D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7.4  如果任何技术人员不合格，</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有权要求</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撤换，因撤换而产生的费用应由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承担。在不影响技术服务并且征得</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同意的条件下，</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也可自负费用更换其技术人员。</w:t>
      </w:r>
    </w:p>
    <w:p w14:paraId="7CBCEEFA">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8.  质量保证期</w:t>
      </w:r>
    </w:p>
    <w:p w14:paraId="54A97AE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8.1  除专用合同条款和（或）供货要求等合同文件另有约定外，合同设备整体质量保证期为验收之日起12个月。如对合同设备中关键部件的质量保证期有特殊要求的，</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可在专用合同条款中约定。在合同第 6.4.2  项情形下，无论合同设备何时验收，其质量保证期最长为签署验收款支付函后12个月。在合同第 6.4.3  项情形下，无论合同设备何时验收，其质量保证期最长为签署验收款支付函后 6  个月。</w:t>
      </w:r>
    </w:p>
    <w:p w14:paraId="2C73851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8.2  在质量保证期内如果合同设备出现故障，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应自负费用提供质保期服务，对相关合 同设备进行修理或更换以消除故障。更换的合同设备和（或）关键部件的质量保证期应重新计算。但如果合同设备的故障是由于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原因造成的，则对合同设备进行修理和更换的费用应由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承担。</w:t>
      </w:r>
    </w:p>
    <w:p w14:paraId="4F64C77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8.3 质量保证期届满后，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应在7日内或专用合同条款另行约定的时间内向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出具合同设备的质量保证期届满证书。</w:t>
      </w:r>
    </w:p>
    <w:p w14:paraId="4B7B487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8.4 在合同第 6.4.2   项情形下，如在验收款支付函签署后 12  个月内由于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原因合同设备仍未能达到技术性能考核指标，则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应在该12个月届满后</w:t>
      </w:r>
      <w:r>
        <w:rPr>
          <w:rFonts w:hint="eastAsia" w:ascii="宋体" w:hAnsi="宋体" w:cs="宋体"/>
          <w:color w:val="auto"/>
          <w:sz w:val="28"/>
          <w:szCs w:val="36"/>
          <w:lang w:eastAsia="zh-CN"/>
        </w:rPr>
        <w:t>7</w:t>
      </w:r>
      <w:r>
        <w:rPr>
          <w:rFonts w:hint="eastAsia" w:ascii="宋体" w:hAnsi="宋体" w:eastAsia="宋体" w:cs="宋体"/>
          <w:color w:val="auto"/>
          <w:sz w:val="28"/>
          <w:szCs w:val="36"/>
          <w:lang w:eastAsia="zh-CN"/>
        </w:rPr>
        <w:t xml:space="preserve"> 日内或专用合同条款另行约定的时间内签署结清款支付函。</w:t>
      </w:r>
    </w:p>
    <w:p w14:paraId="1F2EC15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8.5  在合同第 6.4.3 项情形下，如在验收款支付函签署后6  个月内由于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原因合同设备仍未进行考核或仍未达到技术性能考核指标，则</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应在该6个月届满后</w:t>
      </w:r>
      <w:r>
        <w:rPr>
          <w:rFonts w:hint="eastAsia" w:ascii="宋体" w:hAnsi="宋体" w:cs="宋体"/>
          <w:color w:val="auto"/>
          <w:sz w:val="28"/>
          <w:szCs w:val="36"/>
          <w:lang w:eastAsia="zh-CN"/>
        </w:rPr>
        <w:t>7</w:t>
      </w:r>
      <w:r>
        <w:rPr>
          <w:rFonts w:hint="eastAsia" w:ascii="宋体" w:hAnsi="宋体" w:eastAsia="宋体" w:cs="宋体"/>
          <w:color w:val="auto"/>
          <w:sz w:val="28"/>
          <w:szCs w:val="36"/>
          <w:lang w:eastAsia="zh-CN"/>
        </w:rPr>
        <w:t>日内或专用合同条款另行约定的时间内签署结清款支付函。</w:t>
      </w:r>
    </w:p>
    <w:p w14:paraId="46E10B0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8.6  在第 8.4  款和第 8.5 款情形下，</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也可单方签署结清款支付函提交</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，如果</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在收到</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签署的结清款支付函后 14  日内未向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提出书面异议，则结清款支付函自签署之日起生效。</w:t>
      </w:r>
    </w:p>
    <w:p w14:paraId="3F2780B1">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9.  质保期服务</w:t>
      </w:r>
    </w:p>
    <w:p w14:paraId="636C12D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9.1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应为质保期服务配备充足的技术人员、工具和备件并保证提供的联系方式畅通。除专用合同条款和（或）供货要求等合同文件另有约定外，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通知后</w:t>
      </w:r>
      <w:r>
        <w:rPr>
          <w:rFonts w:hint="eastAsia" w:ascii="宋体" w:hAnsi="宋体" w:cs="宋体"/>
          <w:color w:val="auto"/>
          <w:sz w:val="28"/>
          <w:szCs w:val="36"/>
          <w:lang w:eastAsia="zh-CN"/>
        </w:rPr>
        <w:t>24</w:t>
      </w:r>
      <w:r>
        <w:rPr>
          <w:rFonts w:hint="eastAsia" w:ascii="宋体" w:hAnsi="宋体" w:eastAsia="宋体" w:cs="宋体"/>
          <w:color w:val="auto"/>
          <w:sz w:val="28"/>
          <w:szCs w:val="36"/>
          <w:lang w:eastAsia="zh-CN"/>
        </w:rPr>
        <w:t>小时内做出响应，如需</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到合同设备现场，</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通知后48 小时内到达，并在到达后</w:t>
      </w:r>
      <w:r>
        <w:rPr>
          <w:rFonts w:hint="eastAsia" w:ascii="宋体" w:hAnsi="宋体" w:cs="宋体"/>
          <w:color w:val="auto"/>
          <w:sz w:val="28"/>
          <w:szCs w:val="36"/>
          <w:lang w:eastAsia="zh-CN"/>
        </w:rPr>
        <w:t>7</w:t>
      </w:r>
      <w:r>
        <w:rPr>
          <w:rFonts w:hint="eastAsia" w:ascii="宋体" w:hAnsi="宋体" w:eastAsia="宋体" w:cs="宋体"/>
          <w:color w:val="auto"/>
          <w:sz w:val="28"/>
          <w:szCs w:val="36"/>
          <w:lang w:eastAsia="zh-CN"/>
        </w:rPr>
        <w:t>日内解决合同设备的故障（重大故障除外。本款所称重大故障，指因设备核心部件损毁、底层软硬件缺陷、需返厂大修或经甲乙双方共同书面确认在7日内客观无法修复的严重故障，重大故障修复时限由双方另行书面协商确定）</w:t>
      </w:r>
      <w:r>
        <w:rPr>
          <w:rFonts w:hint="eastAsia" w:ascii="宋体" w:hAnsi="宋体" w:cs="宋体"/>
          <w:color w:val="auto"/>
          <w:sz w:val="28"/>
          <w:szCs w:val="36"/>
          <w:lang w:eastAsia="zh-CN"/>
        </w:rPr>
        <w:t>。</w:t>
      </w:r>
      <w:r>
        <w:rPr>
          <w:rFonts w:hint="eastAsia" w:ascii="宋体" w:hAnsi="宋体" w:eastAsia="宋体" w:cs="宋体"/>
          <w:color w:val="auto"/>
          <w:sz w:val="28"/>
          <w:szCs w:val="36"/>
          <w:lang w:eastAsia="zh-CN"/>
        </w:rPr>
        <w:t>如果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未在上述时间内作出响应，则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有权自行或委托他人解决相关问题或查找和解决合同设备的故障，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应承担由此发生的全部费用。</w:t>
      </w:r>
    </w:p>
    <w:p w14:paraId="1A710F5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9.2  如</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技术人员需到合同设备现场进行质保期服务，则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应免费为</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技术人员提供工作条件及便利，包括但不限于必要的办公场所、技术资料及出入许可等。除专用合同条款另有约定外，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技术人员的交通、食宿费用由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技术人员应遵守</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施工现场的各项规章制度和安全操作规程，并服从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的现场管理。</w:t>
      </w:r>
    </w:p>
    <w:p w14:paraId="204E4F6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9.3  如果任何技术人员不合格，</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有权要求</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撤换，乙方应在24 小时内派遣合格替代人员到场。因撤换而产生的费用应由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承担。在不影响质保期服务并且征得</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同意的条件下，</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也可自负费用更换其技术人员。</w:t>
      </w:r>
    </w:p>
    <w:p w14:paraId="2952A2F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9.4  除专用合同条款另有约定外，</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应就在施工现场进行质保期服务的情况进行记录，记载合同设备故障发生的时间、原因及解决情况等，由</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签字确认，并在质量保证期结束后提交给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p>
    <w:p w14:paraId="444F442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9.5 质量追溯与召回约定：</w:t>
      </w:r>
    </w:p>
    <w:p w14:paraId="569B0F4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（1）乙方应建立合同设备全生命周期质量追溯体系，明确同一批次设备及关键部件的生产批次、供货范围、安装位置等追溯信息，在质保期内接受甲方及相关监管部门的核查。</w:t>
      </w:r>
    </w:p>
    <w:p w14:paraId="66B2750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（2）质保期内，若发现同一生产批次的合同设备（或关键部件）出现 2 台及以上相同或类似质量缺陷，视为存在普遍性质量问题，甲方有权要求乙方启动质量追溯及召回程序。</w:t>
      </w:r>
    </w:p>
    <w:p w14:paraId="53EC055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（3）乙方接到甲方召回通知后，应在5个工作日内出具召回排查方案，明确排查范围、时间安排及整改措施，并在15个工作日内完成对该批次所有设备的全面排查。</w:t>
      </w:r>
    </w:p>
    <w:p w14:paraId="4DD7EB2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经排查确认存在普遍性质量缺陷的设备及部件，乙方应无条件免费更换，更换后的设备及部件质量保证期重新计算；因召回排查、拆卸、更换、安装及恢复等产生的全部费用（包括但不限于人工、材料、运输、检测等费用）均由乙方承担。</w:t>
      </w:r>
    </w:p>
    <w:p w14:paraId="49FCEBE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乙方未按约定启动召回程序或未按期完成排查整改的，每逾期1日按合同总价款的万分之五向甲方支付违约金；逾期超过10日的，甲方有权委托第三方进行处理，产生的全部费用由乙方承担，同时乙方应按该批次设备总价值的 20% 向甲方支付额外违约金，若违约金不足以弥补甲方损失（包括但不限于业主投诉赔偿、停运损失等），乙方应补足差额</w:t>
      </w:r>
      <w:r>
        <w:rPr>
          <w:rFonts w:hint="eastAsia" w:ascii="宋体" w:hAnsi="宋体" w:cs="宋体"/>
          <w:color w:val="auto"/>
          <w:sz w:val="28"/>
          <w:szCs w:val="36"/>
          <w:lang w:eastAsia="zh-CN"/>
        </w:rPr>
        <w:t>。</w:t>
      </w:r>
    </w:p>
    <w:p w14:paraId="6890B174">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10.  履约保证金</w:t>
      </w:r>
    </w:p>
    <w:p w14:paraId="6826D47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除专用合同条款另有约定外，履约保证金自合同生效之日起生效，在合同设备验收证书或验收款支付函签署之日起28日后失效。如果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不履行合同约定的义务或其履行不符合合同的约定，</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有权扣划相应金额的履约保证金。</w:t>
      </w:r>
    </w:p>
    <w:p w14:paraId="2F32FC62">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11.  保证</w:t>
      </w:r>
    </w:p>
    <w:p w14:paraId="6663811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11.1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保证其具有完全的能力履行本合同项下的全部义务。</w:t>
      </w:r>
    </w:p>
    <w:p w14:paraId="178BFED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11.2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保证其所提供的合同设备及对合同的履行符合所有应适用的法律、行政法规、地方性法规、自治条例和单行条例、规章及其他规范性文件的强制性规定。</w:t>
      </w:r>
    </w:p>
    <w:p w14:paraId="70171AB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11.3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保证其对合同设备的销售不损害任何第三方的合法权益和社会公众利益。任何第三方不会因</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原因而基于所有权、抵押权、留置权或其他任何权利或事由对合同设备主张权利。</w:t>
      </w:r>
    </w:p>
    <w:p w14:paraId="55873AD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11.4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保证合同设备符合合同约定的规格、标准、技术性能考核指标等，能够安全和稳定地运行，且合同设备（包括全部部件）全新、完整、未使用过，除非专用合同条款和（或）供货要求等合同文件另有约定。</w:t>
      </w:r>
    </w:p>
    <w:p w14:paraId="24CD980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11.5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所提供的技术资料完整、清晰、准确，符合合同约定并且能够满足合同设备的安装、调试、考核、操作以及维修和保养的需要。</w:t>
      </w:r>
    </w:p>
    <w:p w14:paraId="5C4A528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11.6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保证合同范围内提供的备品备件能够满足合同设备在质量保证期结束前正常运行及维修的需要，如在质量保证期结束前因</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原因出现备品备件短缺影响合同设备正常运行的，</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应免费提供。</w:t>
      </w:r>
    </w:p>
    <w:p w14:paraId="022C54A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11.7 除专用合同条款和（或）供货要求等合同文件另有约定外，如果在合同设备设计使用寿命期内发生合同项下备品备件停止生产的情况，</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应事先将拟停止生产的计划通知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，使</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有足够的时间考虑备品备件的需求量。根据</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要求，</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应：</w:t>
      </w:r>
    </w:p>
    <w:p w14:paraId="693E787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（1）以不高于同期市场价格或其向任何第三方销售同类产品的价格提供合同设备正常运行所需的全部备品备件。</w:t>
      </w:r>
    </w:p>
    <w:p w14:paraId="52F1FBA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（2）免费提供可供</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或第三方制造停产备品备件所需的全部技术资料，以便</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持续获得上述备品备件以满足合同设备在寿命期内正常运行的需要。</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委托的第三方制造及</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使用这些备品备件不侵犯任何人的知识产权。</w:t>
      </w:r>
    </w:p>
    <w:p w14:paraId="410F66A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11.8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保证，在合同设备设计使用寿命期内，如果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发现合同设备由于设计、制造、标识等原因存在足以危及人身、财产安全的缺陷，</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将及时通知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并及时采取修正或者补充标识、修理、更换等措施消除缺陷。</w:t>
      </w:r>
    </w:p>
    <w:p w14:paraId="116A6EFF">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12.  知识产权</w:t>
      </w:r>
    </w:p>
    <w:p w14:paraId="290D251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12.1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在履行合同过程中提供给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的全部图纸、文件和其他含有数据和信息的资料，其知识产权属于</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w:t>
      </w:r>
    </w:p>
    <w:p w14:paraId="4222BBA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12.2 除专用合同条款另有约定外，</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不因签署和履行合同而享有</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在履行合同过程中提供给</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的图纸、文件、配套软件、电子辅助程序和其他含有数据和信息的资料的知识产权。</w:t>
      </w:r>
    </w:p>
    <w:p w14:paraId="7D96325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12.3 如合同设备涉及知识产权，则</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保证</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在使用合同设备过程中免于受到第三方提出的有关知识产权侵权的主张、索赔或诉讼的伤害。</w:t>
      </w:r>
    </w:p>
    <w:p w14:paraId="718CD61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12.4 如果</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收到任何第三方有关知识产权的主张、索赔或诉讼，</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通知后，应以</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名义并在</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的协助下，自负费用处理与第三方的索赔或诉讼，并赔偿</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因此发生的费用和遭受的损失。除专用合同条款另有约定外，如果</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拒绝处理前述索赔或诉讼或在收到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通知后28日内未作表示，</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可以自己的名义进行这些索赔或诉讼，因此发生的费用和遭受的损失均应由</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承担。</w:t>
      </w:r>
    </w:p>
    <w:p w14:paraId="62A6D597">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13.  保密</w:t>
      </w:r>
    </w:p>
    <w:p w14:paraId="10ECD45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合同双方应对因履行合同而取得的另一方当事人的信息、资料等予以保密。未经另一方当事人书面同意，任何一方均不得为与履行合同无关的目的使用或向第三方披露另一方当事人提供的信息、资料。合同当事人的保密义务不适用于下列信息：</w:t>
      </w:r>
    </w:p>
    <w:p w14:paraId="40F3FF6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（1）非因接受信息一方的过失现在或以后进入公共领域的信息；</w:t>
      </w:r>
    </w:p>
    <w:p w14:paraId="2AEF9BE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（2）接受信息一方当事人合法地从第三方获得并且据其善意了解第三方也不对此承担保密义务的信息；</w:t>
      </w:r>
    </w:p>
    <w:p w14:paraId="7D4538E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（3）法律或法律的执行要求披露的信息。</w:t>
      </w:r>
    </w:p>
    <w:p w14:paraId="40EFB30F">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14.  违约责任</w:t>
      </w:r>
    </w:p>
    <w:p w14:paraId="4A09AA6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14.1 合同一方不履行合同义务、履行合同义务不符合约定或者违反合同项下所作保证的，应向对方承担继续履行、采取修理、更换、退货等补救措施或者赔偿损失等违约责任。</w:t>
      </w:r>
    </w:p>
    <w:p w14:paraId="78B9705D">
      <w:pPr>
        <w:widowControl w:val="0"/>
        <w:kinsoku/>
        <w:autoSpaceDE/>
        <w:autoSpaceDN/>
        <w:adjustRightInd/>
        <w:snapToGrid/>
        <w:ind w:firstLine="560" w:firstLineChars="200"/>
        <w:textAlignment w:val="auto"/>
        <w:rPr>
          <w:rFonts w:ascii="宋体" w:hAnsi="宋体" w:eastAsia="宋体" w:cs="宋体"/>
          <w:strike/>
          <w:color w:val="auto"/>
          <w:sz w:val="28"/>
          <w:szCs w:val="36"/>
          <w:lang w:eastAsia="zh-CN"/>
        </w:rPr>
      </w:pPr>
      <w:r>
        <w:rPr>
          <w:rFonts w:hint="eastAsia" w:ascii="宋体" w:hAnsi="宋体" w:eastAsia="宋体" w:cs="宋体"/>
          <w:color w:val="auto"/>
          <w:sz w:val="28"/>
          <w:szCs w:val="36"/>
          <w:lang w:eastAsia="zh-CN"/>
        </w:rPr>
        <w:t xml:space="preserve">14.2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未能按时交付合同设备（包括仅迟延交付技术资料但足以导致合同设备安装、调试、考核、验收工作推迟的）的，应向</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支付迟延交付违约金</w:t>
      </w:r>
      <w:r>
        <w:rPr>
          <w:rFonts w:hint="eastAsia" w:ascii="宋体" w:hAnsi="宋体" w:cs="宋体"/>
          <w:color w:val="auto"/>
          <w:sz w:val="28"/>
          <w:szCs w:val="36"/>
          <w:lang w:eastAsia="zh-CN"/>
        </w:rPr>
        <w:t>，</w:t>
      </w:r>
      <w:r>
        <w:rPr>
          <w:rFonts w:hint="eastAsia" w:ascii="宋体" w:hAnsi="宋体" w:eastAsia="宋体" w:cs="宋体"/>
          <w:color w:val="auto"/>
          <w:sz w:val="28"/>
          <w:szCs w:val="36"/>
          <w:lang w:eastAsia="zh-CN"/>
        </w:rPr>
        <w:t>详见专用合同条款约定</w:t>
      </w:r>
      <w:r>
        <w:rPr>
          <w:rFonts w:hint="eastAsia" w:ascii="宋体" w:hAnsi="宋体" w:cs="宋体"/>
          <w:color w:val="auto"/>
          <w:sz w:val="28"/>
          <w:szCs w:val="36"/>
          <w:lang w:eastAsia="zh-CN"/>
        </w:rPr>
        <w:t>。</w:t>
      </w:r>
    </w:p>
    <w:p w14:paraId="5A25B487">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15.  合同的解除</w:t>
      </w:r>
    </w:p>
    <w:p w14:paraId="5B8DF7E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除专用合同条款另有约定外，有下述情形之一，当事人可发出书面通知全部或部分地解除合同，合同自通知到达对方时全部或部分地解除：</w:t>
      </w:r>
    </w:p>
    <w:p w14:paraId="1ACFDBA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迟延交付合同设备超过3个月；</w:t>
      </w:r>
    </w:p>
    <w:p w14:paraId="7150307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（2）合同设备由于</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原因三次考核均未能达到技术性能考核指标或在合同约定了或双方在考核中另行达成了最低技术性能考核指标时均未能达到最低技术性能考核指标，且</w:t>
      </w:r>
      <w:r>
        <w:rPr>
          <w:rFonts w:hint="eastAsia" w:ascii="宋体" w:hAnsi="宋体" w:cs="宋体"/>
          <w:color w:val="auto"/>
          <w:sz w:val="28"/>
          <w:szCs w:val="36"/>
          <w:lang w:eastAsia="zh-CN"/>
        </w:rPr>
        <w:t>甲乙双方</w:t>
      </w:r>
      <w:r>
        <w:rPr>
          <w:rFonts w:hint="eastAsia" w:ascii="宋体" w:hAnsi="宋体" w:eastAsia="宋体" w:cs="宋体"/>
          <w:color w:val="auto"/>
          <w:sz w:val="28"/>
          <w:szCs w:val="36"/>
          <w:lang w:eastAsia="zh-CN"/>
        </w:rPr>
        <w:t>未就合同的后续履行协商达成一致；</w:t>
      </w:r>
    </w:p>
    <w:p w14:paraId="1994B1E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迟延付款超过3个月；</w:t>
      </w:r>
    </w:p>
    <w:p w14:paraId="7B2DE87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（4）合同一方当事人未能履行合同项下任何其它义务（细微义务除外），或在未事先征得另一方当事人同意的情况下，从事任何可能在实质上不利影响其履行合同能力的活动，经另一方当事人书面通知后 14  日内或在专用合同条款约定的其他期限内未能对其行为作出补救；</w:t>
      </w:r>
    </w:p>
    <w:p w14:paraId="418002B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（5）合同一方当事人出现破产、清算、资不抵债、成为失信被执行人等可能丧失履约能力的情形，且未能提供令对方满意的履约保证金。</w:t>
      </w:r>
    </w:p>
    <w:p w14:paraId="25204F0F">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16.  不可抗力</w:t>
      </w:r>
    </w:p>
    <w:p w14:paraId="1C3F57A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16.1  如果任何一方当事人受到不能预见、不能避免且不能克服的不可抗力事件的影响，例 如战争、严重的火灾、台风、地震、洪水和专用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14:paraId="291AAEA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16.2  受不可抗力事件影响的一方当事人对于不可抗力事件导致的任何合同义务的迟延履行或不能履行不承担违约责任。但该方当事人应尽快将不可抗力事件结束或消除的情况通知另 一方当事人。</w:t>
      </w:r>
    </w:p>
    <w:p w14:paraId="635188E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16.3  双方当事人应在不可抗力事件结束或其影响消除后立即继续履行其合同义务，合同期限也应相应顺延。除专用合同条款另有约定外，如果不可抗力事件的影响持续超过140日，则任何一方当事人均有权以书面通知解除合同。</w:t>
      </w:r>
    </w:p>
    <w:p w14:paraId="735E2719">
      <w:pPr>
        <w:widowControl w:val="0"/>
        <w:kinsoku/>
        <w:autoSpaceDE/>
        <w:autoSpaceDN/>
        <w:adjustRightInd/>
        <w:snapToGrid/>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17.  争议的解决</w:t>
      </w:r>
    </w:p>
    <w:p w14:paraId="7B06A47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因本合同引起的或与本合同有关的任何争议,双方可通过友好协商解决。友好协商解决不成的，可在专用合同条款中约定下列一种方式解决：</w:t>
      </w:r>
    </w:p>
    <w:p w14:paraId="4D65700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（1）向约定的仲裁委员会申请仲裁；</w:t>
      </w:r>
    </w:p>
    <w:p w14:paraId="4435E52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（2）向有管辖权的人民法院提起诉讼。</w:t>
      </w:r>
    </w:p>
    <w:p w14:paraId="2648C30A">
      <w:pPr>
        <w:widowControl w:val="0"/>
        <w:kinsoku/>
        <w:autoSpaceDE/>
        <w:autoSpaceDN/>
        <w:adjustRightInd/>
        <w:snapToGrid/>
        <w:jc w:val="center"/>
        <w:textAlignment w:val="auto"/>
        <w:outlineLvl w:val="1"/>
        <w:rPr>
          <w:rFonts w:ascii="宋体" w:hAnsi="宋体" w:eastAsia="宋体" w:cs="宋体"/>
          <w:b/>
          <w:bCs/>
          <w:color w:val="auto"/>
          <w:sz w:val="28"/>
          <w:szCs w:val="36"/>
          <w:lang w:eastAsia="zh-CN"/>
        </w:rPr>
      </w:pPr>
      <w:r>
        <w:rPr>
          <w:rFonts w:hint="eastAsia" w:ascii="宋体" w:hAnsi="宋体" w:eastAsia="宋体" w:cs="宋体"/>
          <w:color w:val="auto"/>
          <w:sz w:val="28"/>
          <w:szCs w:val="36"/>
          <w:lang w:eastAsia="zh-CN"/>
        </w:rPr>
        <w:br w:type="page"/>
      </w:r>
      <w:bookmarkStart w:id="359" w:name="_Toc6164"/>
      <w:r>
        <w:rPr>
          <w:rFonts w:hint="eastAsia" w:ascii="宋体" w:hAnsi="宋体" w:eastAsia="宋体" w:cs="宋体"/>
          <w:b/>
          <w:bCs/>
          <w:color w:val="auto"/>
          <w:sz w:val="28"/>
          <w:szCs w:val="36"/>
          <w:lang w:eastAsia="zh-CN"/>
        </w:rPr>
        <w:t>第二节 专用合同条款</w:t>
      </w:r>
      <w:bookmarkEnd w:id="359"/>
    </w:p>
    <w:p w14:paraId="0DBE8DE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4C53A15D">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1.一般约定</w:t>
      </w:r>
    </w:p>
    <w:p w14:paraId="4A23F8E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词语定义：</w:t>
      </w:r>
    </w:p>
    <w:p w14:paraId="6C7A4FF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1.1.13.1  工程：</w:t>
      </w:r>
    </w:p>
    <w:p w14:paraId="7882FAA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1.1.13.2  施工场地：</w:t>
      </w:r>
    </w:p>
    <w:p w14:paraId="37F314C3">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1.3  合同文件的优先顺序：</w:t>
      </w:r>
      <w:r>
        <w:rPr>
          <w:rFonts w:hint="eastAsia" w:ascii="宋体" w:hAnsi="宋体" w:cs="宋体"/>
          <w:color w:val="auto"/>
          <w:sz w:val="28"/>
          <w:szCs w:val="36"/>
          <w:u w:val="single"/>
          <w:lang w:eastAsia="zh-CN"/>
        </w:rPr>
        <w:t xml:space="preserve"> （1）合同协议书；（2）中标通知书；（3）投标函及投标文件；（4）商务和技术偏差表；（5）专用合同条款；（6）通用合同条款；（7）招标文件；（8）供货要求；（9）分项报价表；（10）中标设备技术性能指标的详细描述；（11）技术服务和质保期服务计划；（12）其他合同文件；</w:t>
      </w:r>
    </w:p>
    <w:p w14:paraId="7B5F174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1.4.1  合同生效及变更：</w:t>
      </w:r>
      <w:r>
        <w:rPr>
          <w:rFonts w:hint="eastAsia" w:ascii="宋体" w:hAnsi="宋体" w:eastAsia="宋体" w:cs="宋体"/>
          <w:color w:val="auto"/>
          <w:sz w:val="28"/>
          <w:szCs w:val="36"/>
          <w:u w:val="single"/>
          <w:lang w:eastAsia="zh-CN"/>
        </w:rPr>
        <w:t>本合同生效后，甲乙双方任何一方提出变更或解除本合同，均按照《中华人民共和国民法典》第五百四十三条、第五百六十二条等规定，经双方协商一致并签订书面修改书，修改书需明确变更内容、依据及生效时间，且不得背离招投标文件实质性条款。</w:t>
      </w:r>
    </w:p>
    <w:p w14:paraId="34CF7930">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1.5.1  合同双方联系人及联系方式：</w:t>
      </w:r>
    </w:p>
    <w:p w14:paraId="12DF29E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2.合同范围</w:t>
      </w:r>
    </w:p>
    <w:p w14:paraId="375D5042">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 xml:space="preserve"> 乙方</w:t>
      </w:r>
      <w:r>
        <w:rPr>
          <w:rFonts w:ascii="宋体" w:hAnsi="宋体" w:cs="宋体"/>
          <w:color w:val="auto"/>
          <w:sz w:val="28"/>
          <w:szCs w:val="36"/>
          <w:u w:val="single"/>
          <w:lang w:eastAsia="zh-CN"/>
        </w:rPr>
        <w:t>应根据供货要求、中标设备技术性能指标的详细描述、技术服务和质保期服务计划等合同文件的约定，向</w:t>
      </w:r>
      <w:r>
        <w:rPr>
          <w:rFonts w:hint="eastAsia" w:ascii="宋体" w:hAnsi="宋体" w:cs="宋体"/>
          <w:color w:val="auto"/>
          <w:sz w:val="28"/>
          <w:szCs w:val="36"/>
          <w:u w:val="single"/>
          <w:lang w:eastAsia="zh-CN"/>
        </w:rPr>
        <w:t>甲方</w:t>
      </w:r>
      <w:r>
        <w:rPr>
          <w:rFonts w:ascii="宋体" w:hAnsi="宋体" w:cs="宋体"/>
          <w:color w:val="auto"/>
          <w:sz w:val="28"/>
          <w:szCs w:val="36"/>
          <w:u w:val="single"/>
          <w:lang w:eastAsia="zh-CN"/>
        </w:rPr>
        <w:t>提供合同设备（电梯）、安装调试服务、技术服务及质保期服务；全部工作成果的质量要求为“合格”，且必须符合国家现行验收有关技术规范要求。</w:t>
      </w:r>
    </w:p>
    <w:p w14:paraId="368349E5">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3.合同价格与支付</w:t>
      </w:r>
    </w:p>
    <w:p w14:paraId="2D0EF58A">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3.1.2  合同价格及调整方式：</w:t>
      </w:r>
      <w:r>
        <w:rPr>
          <w:rFonts w:hint="eastAsia" w:ascii="宋体" w:hAnsi="宋体" w:eastAsia="宋体" w:cs="宋体"/>
          <w:color w:val="auto"/>
          <w:sz w:val="28"/>
          <w:szCs w:val="36"/>
          <w:u w:val="single"/>
          <w:lang w:eastAsia="zh-CN"/>
        </w:rPr>
        <w:t>本合同为固定</w:t>
      </w:r>
      <w:r>
        <w:rPr>
          <w:rFonts w:hint="eastAsia" w:ascii="宋体" w:hAnsi="宋体" w:cs="宋体"/>
          <w:color w:val="auto"/>
          <w:sz w:val="28"/>
          <w:szCs w:val="36"/>
          <w:u w:val="single"/>
          <w:lang w:eastAsia="zh-CN"/>
        </w:rPr>
        <w:t>单价</w:t>
      </w:r>
      <w:r>
        <w:rPr>
          <w:rFonts w:hint="eastAsia" w:ascii="宋体" w:hAnsi="宋体" w:eastAsia="宋体" w:cs="宋体"/>
          <w:color w:val="auto"/>
          <w:sz w:val="28"/>
          <w:szCs w:val="36"/>
          <w:u w:val="single"/>
          <w:lang w:eastAsia="zh-CN"/>
        </w:rPr>
        <w:t>合同。</w:t>
      </w:r>
    </w:p>
    <w:p w14:paraId="4B1C325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3.2  合同价款的支付：</w:t>
      </w:r>
      <w:r>
        <w:rPr>
          <w:rFonts w:hint="eastAsia" w:ascii="宋体" w:hAnsi="宋体" w:eastAsia="宋体" w:cs="宋体"/>
          <w:color w:val="auto"/>
          <w:sz w:val="28"/>
          <w:szCs w:val="36"/>
          <w:u w:val="single"/>
          <w:lang w:eastAsia="zh-CN"/>
        </w:rPr>
        <w:t>在电梯更新工程施工完成并通过验收后，由乙方提供相关发票、监督检验合格报告、竣工验收合格报告、变更后的电梯使用登记证等材料由委托的实施主体根据国家补贴资金支付要求申请资金</w:t>
      </w:r>
      <w:r>
        <w:rPr>
          <w:rFonts w:hint="eastAsia" w:ascii="宋体" w:hAnsi="宋体" w:cs="宋体"/>
          <w:color w:val="auto"/>
          <w:sz w:val="28"/>
          <w:szCs w:val="36"/>
          <w:u w:val="single"/>
          <w:lang w:eastAsia="zh-CN"/>
        </w:rPr>
        <w:t>；</w:t>
      </w:r>
    </w:p>
    <w:p w14:paraId="349E1C9E">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付款说明：</w:t>
      </w:r>
      <w:r>
        <w:rPr>
          <w:rFonts w:hint="eastAsia" w:ascii="宋体" w:hAnsi="宋体" w:eastAsia="宋体" w:cs="宋体"/>
          <w:color w:val="auto"/>
          <w:sz w:val="28"/>
          <w:szCs w:val="36"/>
          <w:u w:val="single"/>
          <w:lang w:eastAsia="zh-CN"/>
        </w:rPr>
        <w:t>在结算拨付工程款时按照确定的工程总价的95%支付给乙方，剩余5%作为质保金，待质保期满后无息返还。甲方作为业主的委托主体代为申请该项目，乙方不得在资金没有审批到位的情况下且非甲方原因情况下，要求甲方提前付款或停工。残值：原有老旧电梯残值、安全评估由招标人负责，老旧电梯残值价值归招标人。残值评估价值确定后，按评估价值抵中标单位货款。</w:t>
      </w:r>
    </w:p>
    <w:p w14:paraId="56B66AE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3.2.4  结清款：</w:t>
      </w:r>
      <w:r>
        <w:rPr>
          <w:rFonts w:hint="eastAsia" w:ascii="宋体" w:hAnsi="宋体" w:eastAsia="宋体" w:cs="宋体"/>
          <w:color w:val="auto"/>
          <w:sz w:val="28"/>
          <w:szCs w:val="36"/>
          <w:u w:val="single"/>
          <w:lang w:eastAsia="zh-CN"/>
        </w:rPr>
        <w:t>质保期满且乙方已完全履行质保期内全部义务的，甲方无息退还乙方支付的质量保证金。</w:t>
      </w:r>
    </w:p>
    <w:p w14:paraId="344D5A65">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4.监造及交货前检验</w:t>
      </w:r>
    </w:p>
    <w:p w14:paraId="4BE14CE2">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4.1  监造</w:t>
      </w:r>
    </w:p>
    <w:p w14:paraId="6FF220C2">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4.1.1  监造范围及方式：</w:t>
      </w:r>
    </w:p>
    <w:p w14:paraId="3F85B56A">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4.1.2  现场监造的约定：</w:t>
      </w:r>
    </w:p>
    <w:p w14:paraId="45A1BDBF">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4.1.3  监造事项通知：</w:t>
      </w:r>
    </w:p>
    <w:p w14:paraId="68E7C11B">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4.2  交货前检验</w:t>
      </w:r>
    </w:p>
    <w:p w14:paraId="187E3C4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4.2.1  检验事项：</w:t>
      </w:r>
      <w:r>
        <w:rPr>
          <w:rFonts w:hint="eastAsia" w:ascii="宋体" w:hAnsi="宋体" w:eastAsia="宋体" w:cs="宋体"/>
          <w:color w:val="auto"/>
          <w:sz w:val="28"/>
          <w:szCs w:val="36"/>
          <w:u w:val="single"/>
          <w:lang w:eastAsia="zh-CN"/>
        </w:rPr>
        <w:t>包括电梯设备及部件的数量、规格、型号、质量合格证、出厂检验报告、外观质量、关键尺寸偏差等；</w:t>
      </w:r>
    </w:p>
    <w:p w14:paraId="243FAD8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4.2.2  检验事项通知：</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应提前7日将交货前检验的时间、地点书面通知</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应在收到通知后3日内回复是否派员参加，逾期未回复视为同意</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自行检验，但检验结果需经</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事后确认</w:t>
      </w:r>
      <w:r>
        <w:rPr>
          <w:rFonts w:hint="eastAsia" w:ascii="宋体" w:hAnsi="宋体" w:cs="宋体"/>
          <w:color w:val="auto"/>
          <w:sz w:val="28"/>
          <w:szCs w:val="36"/>
          <w:u w:val="single"/>
          <w:lang w:eastAsia="zh-CN"/>
        </w:rPr>
        <w:t>。</w:t>
      </w:r>
    </w:p>
    <w:p w14:paraId="1BE27B0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5.包装、标记、运输和交付</w:t>
      </w:r>
    </w:p>
    <w:p w14:paraId="3E7D3404">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5.1  包装</w:t>
      </w:r>
    </w:p>
    <w:p w14:paraId="7DB5A5A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5.1.3 </w:t>
      </w:r>
      <w:r>
        <w:rPr>
          <w:rFonts w:hint="eastAsia" w:ascii="宋体" w:hAnsi="宋体" w:cs="宋体"/>
          <w:color w:val="auto"/>
          <w:sz w:val="28"/>
          <w:szCs w:val="36"/>
          <w:u w:val="single"/>
          <w:lang w:eastAsia="zh-CN"/>
        </w:rPr>
        <w:t xml:space="preserve"> 乙方</w:t>
      </w:r>
      <w:r>
        <w:rPr>
          <w:rFonts w:hint="eastAsia" w:ascii="宋体" w:hAnsi="宋体" w:eastAsia="宋体" w:cs="宋体"/>
          <w:color w:val="auto"/>
          <w:sz w:val="28"/>
          <w:szCs w:val="36"/>
          <w:u w:val="single"/>
          <w:lang w:eastAsia="zh-CN"/>
        </w:rPr>
        <w:t>包装应符合《包装储运图示标志》（GB/T 191）及电梯设备运输的特殊要求，确保设备在运输、装卸过程中不受损坏；对于精密部件，应采取防潮、防震、防碰撞的双重保护措施</w:t>
      </w:r>
      <w:r>
        <w:rPr>
          <w:rFonts w:hint="eastAsia" w:ascii="宋体" w:hAnsi="宋体" w:cs="宋体"/>
          <w:color w:val="auto"/>
          <w:sz w:val="28"/>
          <w:szCs w:val="36"/>
          <w:u w:val="single"/>
          <w:lang w:eastAsia="zh-CN"/>
        </w:rPr>
        <w:t>；由乙方根据运输方式及货物的特点对电梯、相关配件进行包装，包装费用已包含在合同总价中，包装物归甲方所有，甲方无需退还</w:t>
      </w:r>
      <w:r>
        <w:rPr>
          <w:rFonts w:hint="eastAsia" w:ascii="宋体" w:hAnsi="宋体" w:eastAsia="宋体" w:cs="宋体"/>
          <w:color w:val="auto"/>
          <w:sz w:val="28"/>
          <w:szCs w:val="36"/>
          <w:u w:val="single"/>
          <w:lang w:eastAsia="zh-CN"/>
        </w:rPr>
        <w:t>。</w:t>
      </w:r>
    </w:p>
    <w:p w14:paraId="54B33894">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5.2  标记</w:t>
      </w:r>
    </w:p>
    <w:p w14:paraId="176AF85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5.2.1 </w:t>
      </w:r>
      <w:r>
        <w:rPr>
          <w:rFonts w:hint="eastAsia" w:ascii="宋体" w:hAnsi="宋体" w:cs="宋体"/>
          <w:color w:val="auto"/>
          <w:sz w:val="28"/>
          <w:szCs w:val="36"/>
          <w:u w:val="single"/>
          <w:lang w:eastAsia="zh-CN"/>
        </w:rPr>
        <w:t xml:space="preserve"> 乙方</w:t>
      </w:r>
      <w:r>
        <w:rPr>
          <w:rFonts w:hint="eastAsia" w:ascii="宋体" w:hAnsi="宋体" w:eastAsia="宋体" w:cs="宋体"/>
          <w:color w:val="auto"/>
          <w:sz w:val="28"/>
          <w:szCs w:val="36"/>
          <w:u w:val="single"/>
          <w:lang w:eastAsia="zh-CN"/>
        </w:rPr>
        <w:t>应在每一包装箱相邻的四个侧面以不可擦除的方式标记以下信息：项目名称、合同编号、设备名称、型号规格、数量、毛重、净重、箱号、生产日期、</w:t>
      </w:r>
      <w:bookmarkStart w:id="496" w:name="_GoBack"/>
      <w:r>
        <w:rPr>
          <w:rFonts w:hint="eastAsia" w:ascii="宋体" w:hAnsi="宋体" w:eastAsia="宋体" w:cs="宋体"/>
          <w:color w:val="auto"/>
          <w:sz w:val="28"/>
          <w:szCs w:val="36"/>
          <w:u w:val="single"/>
          <w:lang w:eastAsia="zh-CN"/>
        </w:rPr>
        <w:t>生产</w:t>
      </w:r>
      <w:bookmarkEnd w:id="496"/>
      <w:r>
        <w:rPr>
          <w:rFonts w:hint="eastAsia" w:ascii="宋体" w:hAnsi="宋体" w:eastAsia="宋体" w:cs="宋体"/>
          <w:color w:val="auto"/>
          <w:sz w:val="28"/>
          <w:szCs w:val="36"/>
          <w:u w:val="single"/>
          <w:lang w:eastAsia="zh-CN"/>
        </w:rPr>
        <w:t>厂家、收货地址、</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名称、“小心轻放”“此端朝上”“保持干燥”等警示标志；</w:t>
      </w:r>
    </w:p>
    <w:p w14:paraId="57B049C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5.2.2  超大超重件：</w:t>
      </w:r>
      <w:r>
        <w:rPr>
          <w:rFonts w:hint="eastAsia" w:ascii="宋体" w:hAnsi="宋体" w:eastAsia="宋体" w:cs="宋体"/>
          <w:color w:val="auto"/>
          <w:sz w:val="28"/>
          <w:szCs w:val="36"/>
          <w:u w:val="single"/>
          <w:lang w:eastAsia="zh-CN"/>
        </w:rPr>
        <w:t>对于单件重量超过3吨或尺寸超过2.5m×1.5m×2m的超大超重件，</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应在包装箱两侧标注“重心”“起吊点”及重量、尺寸信息，并提前15日将超大超重件的运输方案书面告知</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，确保运输符合施工场地的进场条件；</w:t>
      </w:r>
    </w:p>
    <w:p w14:paraId="62FB4219">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5.3  运输</w:t>
      </w:r>
    </w:p>
    <w:p w14:paraId="1BCABC9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5.3.2  设备装运：</w:t>
      </w:r>
      <w:r>
        <w:rPr>
          <w:rFonts w:hint="eastAsia" w:ascii="宋体" w:hAnsi="宋体" w:eastAsia="宋体" w:cs="宋体"/>
          <w:color w:val="auto"/>
          <w:sz w:val="28"/>
          <w:szCs w:val="36"/>
          <w:u w:val="single"/>
          <w:lang w:eastAsia="zh-CN"/>
        </w:rPr>
        <w:t>每件能够独立运行的电梯设备应整套装运，备品备件、易损件随主机一同装运，并单独标记；运输过程中发生的设备损坏、丢失由</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承担全部责任</w:t>
      </w:r>
      <w:r>
        <w:rPr>
          <w:rFonts w:hint="eastAsia" w:ascii="宋体" w:hAnsi="宋体" w:cs="宋体"/>
          <w:color w:val="auto"/>
          <w:sz w:val="28"/>
          <w:szCs w:val="36"/>
          <w:u w:val="single"/>
          <w:lang w:eastAsia="zh-CN"/>
        </w:rPr>
        <w:t>；</w:t>
      </w:r>
    </w:p>
    <w:p w14:paraId="3B83641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5.3.3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运输通知：</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应在电梯设备预计启运7日前，将合同设备名称、数量、箱数、总毛重、总体积、每箱尺寸、装运金额、运输方式、预计交付日期、运输路线及注意事项等预通知</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；设备启运后24小时内，将运输车辆车牌号、驾驶员姓名及联系电话、启运时间等正式通知</w:t>
      </w:r>
      <w:r>
        <w:rPr>
          <w:rFonts w:hint="eastAsia" w:ascii="宋体" w:hAnsi="宋体" w:cs="宋体"/>
          <w:color w:val="auto"/>
          <w:sz w:val="28"/>
          <w:szCs w:val="36"/>
          <w:u w:val="single"/>
          <w:lang w:eastAsia="zh-CN"/>
        </w:rPr>
        <w:t>甲方</w:t>
      </w:r>
      <w:r>
        <w:rPr>
          <w:rFonts w:hint="eastAsia" w:ascii="宋体" w:hAnsi="宋体" w:cs="宋体"/>
          <w:color w:val="auto"/>
          <w:sz w:val="28"/>
          <w:szCs w:val="36"/>
          <w:lang w:eastAsia="zh-CN"/>
        </w:rPr>
        <w:t>；</w:t>
      </w:r>
    </w:p>
    <w:p w14:paraId="15045B2F">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5.4  交付</w:t>
      </w:r>
    </w:p>
    <w:p w14:paraId="3EAA4047">
      <w:pPr>
        <w:widowControl w:val="0"/>
        <w:kinsoku/>
        <w:autoSpaceDE/>
        <w:autoSpaceDN/>
        <w:adjustRightInd/>
        <w:snapToGrid/>
        <w:ind w:firstLine="560" w:firstLineChars="200"/>
        <w:textAlignment w:val="auto"/>
        <w:rPr>
          <w:rFonts w:ascii="宋体" w:hAnsi="宋体" w:cs="宋体"/>
          <w:color w:val="auto"/>
          <w:sz w:val="28"/>
          <w:szCs w:val="36"/>
          <w:lang w:eastAsia="zh-CN"/>
        </w:rPr>
      </w:pPr>
      <w:r>
        <w:rPr>
          <w:rFonts w:hint="eastAsia" w:ascii="宋体" w:hAnsi="宋体" w:eastAsia="宋体" w:cs="宋体"/>
          <w:color w:val="auto"/>
          <w:sz w:val="28"/>
          <w:szCs w:val="36"/>
          <w:lang w:eastAsia="zh-CN"/>
        </w:rPr>
        <w:t>5.4.1  货物交付时间与地点：</w:t>
      </w:r>
      <w:r>
        <w:rPr>
          <w:rFonts w:hint="eastAsia" w:ascii="宋体" w:hAnsi="宋体" w:eastAsia="宋体" w:cs="宋体"/>
          <w:color w:val="auto"/>
          <w:sz w:val="28"/>
          <w:szCs w:val="36"/>
          <w:u w:val="single"/>
          <w:lang w:eastAsia="zh-CN"/>
        </w:rPr>
        <w:t>交付时间为合同生效之日起60日历天（含安装、调试、验收完成）。交付地点</w:t>
      </w:r>
      <w:r>
        <w:rPr>
          <w:rFonts w:hint="eastAsia" w:ascii="宋体" w:hAnsi="宋体" w:cs="宋体"/>
          <w:color w:val="auto"/>
          <w:sz w:val="28"/>
          <w:szCs w:val="36"/>
          <w:u w:val="single"/>
          <w:lang w:eastAsia="zh-CN"/>
        </w:rPr>
        <w:t>为</w:t>
      </w:r>
      <w:r>
        <w:rPr>
          <w:rFonts w:hint="eastAsia" w:ascii="宋体" w:hAnsi="宋体" w:eastAsia="宋体" w:cs="宋体"/>
          <w:color w:val="auto"/>
          <w:sz w:val="28"/>
          <w:szCs w:val="36"/>
          <w:u w:val="single"/>
          <w:lang w:eastAsia="zh-CN"/>
        </w:rPr>
        <w:t>辽宁省营口市鲅鱼圈区宋屯新区、华海佳苑、嘉和俪园小区、鸿园小区</w:t>
      </w:r>
      <w:r>
        <w:rPr>
          <w:rFonts w:hint="eastAsia" w:ascii="宋体" w:hAnsi="宋体" w:cs="宋体"/>
          <w:color w:val="auto"/>
          <w:sz w:val="28"/>
          <w:szCs w:val="36"/>
          <w:u w:val="single"/>
          <w:lang w:eastAsia="zh-CN"/>
        </w:rPr>
        <w:t>的指定施工区域</w:t>
      </w:r>
      <w:r>
        <w:rPr>
          <w:rFonts w:hint="eastAsia" w:ascii="宋体" w:hAnsi="宋体" w:cs="宋体"/>
          <w:color w:val="auto"/>
          <w:sz w:val="28"/>
          <w:szCs w:val="36"/>
          <w:lang w:eastAsia="zh-CN"/>
        </w:rPr>
        <w:t>；</w:t>
      </w:r>
    </w:p>
    <w:p w14:paraId="6CD2913E">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 xml:space="preserve"> 因老旧小区施工场地限制，乙方应提前与甲方及小区物业协商设备进场时间，避开居民上下班高峰及休息时间（如每日7:00-9:00、16:00-18:00不得进场装卸），因进场时间协调不当导致的延误，由乙方承担责任；</w:t>
      </w:r>
    </w:p>
    <w:p w14:paraId="40FC352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5.4.3 </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设备交付时一并提交完整的技术资料（包括但不限于产品合格证、出厂检验报告、安装说明书、维护手册、电气原理图、部件清单等），技术资料应符合国家档案管理规定，一式四份（纸质版两份、电子版两份）</w:t>
      </w:r>
      <w:r>
        <w:rPr>
          <w:rFonts w:hint="eastAsia" w:ascii="宋体" w:hAnsi="宋体" w:cs="宋体"/>
          <w:color w:val="auto"/>
          <w:sz w:val="28"/>
          <w:szCs w:val="36"/>
          <w:u w:val="single"/>
          <w:lang w:eastAsia="zh-CN"/>
        </w:rPr>
        <w:t>。</w:t>
      </w:r>
    </w:p>
    <w:p w14:paraId="4925AD97">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6.开箱检验、安装、调试、考核、验收</w:t>
      </w:r>
    </w:p>
    <w:p w14:paraId="4B528AA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6.1  交付</w:t>
      </w:r>
    </w:p>
    <w:p w14:paraId="00EB863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6.1.1  开箱检验时间：</w:t>
      </w:r>
      <w:r>
        <w:rPr>
          <w:rFonts w:hint="eastAsia" w:ascii="宋体" w:hAnsi="宋体" w:eastAsia="宋体" w:cs="宋体"/>
          <w:color w:val="auto"/>
          <w:sz w:val="28"/>
          <w:szCs w:val="36"/>
          <w:u w:val="single"/>
          <w:lang w:eastAsia="zh-CN"/>
        </w:rPr>
        <w:t>设备交付后7日内，由</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、监理单位共同进行</w:t>
      </w:r>
      <w:r>
        <w:rPr>
          <w:rFonts w:hint="eastAsia" w:ascii="宋体" w:hAnsi="宋体" w:cs="宋体"/>
          <w:color w:val="auto"/>
          <w:sz w:val="28"/>
          <w:szCs w:val="36"/>
          <w:u w:val="single"/>
          <w:lang w:eastAsia="zh-CN"/>
        </w:rPr>
        <w:t>；</w:t>
      </w:r>
    </w:p>
    <w:p w14:paraId="6A183EDA">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6.1.2  开箱检验地点：</w:t>
      </w:r>
      <w:r>
        <w:rPr>
          <w:rFonts w:hint="eastAsia" w:ascii="宋体" w:hAnsi="宋体" w:eastAsia="宋体" w:cs="宋体"/>
          <w:color w:val="auto"/>
          <w:sz w:val="28"/>
          <w:szCs w:val="36"/>
          <w:u w:val="single"/>
          <w:lang w:eastAsia="zh-CN"/>
        </w:rPr>
        <w:t>各小区指定施工区域</w:t>
      </w:r>
      <w:r>
        <w:rPr>
          <w:rFonts w:hint="eastAsia" w:ascii="宋体" w:hAnsi="宋体" w:cs="宋体"/>
          <w:color w:val="auto"/>
          <w:sz w:val="28"/>
          <w:szCs w:val="36"/>
          <w:u w:val="single"/>
          <w:lang w:eastAsia="zh-CN"/>
        </w:rPr>
        <w:t>；</w:t>
      </w:r>
    </w:p>
    <w:p w14:paraId="6F56736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6.1.6  开箱检验前的保管：</w:t>
      </w:r>
      <w:r>
        <w:rPr>
          <w:rFonts w:hint="eastAsia" w:ascii="宋体" w:hAnsi="宋体" w:eastAsia="宋体" w:cs="宋体"/>
          <w:color w:val="auto"/>
          <w:sz w:val="28"/>
          <w:szCs w:val="36"/>
          <w:u w:val="single"/>
          <w:lang w:eastAsia="zh-CN"/>
        </w:rPr>
        <w:t>设备交付后至开箱检验前，由</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负责保管；因保管不当导致设备损坏的，由</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承担责任；</w:t>
      </w:r>
    </w:p>
    <w:p w14:paraId="113A6D0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6.1.7  第三方检测：</w:t>
      </w:r>
      <w:r>
        <w:rPr>
          <w:rFonts w:hint="eastAsia" w:ascii="宋体" w:hAnsi="宋体" w:eastAsia="宋体" w:cs="宋体"/>
          <w:color w:val="auto"/>
          <w:sz w:val="28"/>
          <w:szCs w:val="36"/>
          <w:u w:val="single"/>
          <w:lang w:eastAsia="zh-CN"/>
        </w:rPr>
        <w:t xml:space="preserve"> 委托第三方机构（特检所）出具《电梯监督检验报告》《电梯定期检验报告》，检测费用已包含在合同总价中；检测标准符合《电梯制造与安装安全规范》（GB 7588）《电梯安装验收规范》（GB 10058）等国家强制性标准</w:t>
      </w:r>
      <w:r>
        <w:rPr>
          <w:rFonts w:hint="eastAsia" w:ascii="宋体" w:hAnsi="宋体" w:eastAsia="宋体" w:cs="宋体"/>
          <w:color w:val="auto"/>
          <w:sz w:val="28"/>
          <w:szCs w:val="36"/>
          <w:lang w:eastAsia="zh-CN"/>
        </w:rPr>
        <w:t>。</w:t>
      </w:r>
    </w:p>
    <w:p w14:paraId="4C70C290">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6.2  安装、调试</w:t>
      </w:r>
    </w:p>
    <w:p w14:paraId="797D5E7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6.2.1  安装调试的工作要求：</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应具备《特种设备安装改造维修许可证》，安装人员应持有有效的特种设备作业人员证书；安装调试应严格按照招标文件、投标文件及国家相关规范执行，确保施工安全及工程质量</w:t>
      </w:r>
      <w:r>
        <w:rPr>
          <w:rFonts w:hint="eastAsia" w:ascii="宋体" w:hAnsi="宋体" w:cs="宋体"/>
          <w:color w:val="auto"/>
          <w:sz w:val="28"/>
          <w:szCs w:val="36"/>
          <w:u w:val="single"/>
          <w:lang w:eastAsia="zh-CN"/>
        </w:rPr>
        <w:t>；</w:t>
      </w:r>
    </w:p>
    <w:p w14:paraId="6F383938">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6.2.2  现场水、电、其他动力和原材料的提供：</w:t>
      </w:r>
      <w:r>
        <w:rPr>
          <w:rFonts w:hint="eastAsia" w:ascii="宋体" w:hAnsi="宋体" w:eastAsia="宋体" w:cs="宋体"/>
          <w:color w:val="auto"/>
          <w:sz w:val="28"/>
          <w:szCs w:val="36"/>
          <w:u w:val="single"/>
          <w:lang w:eastAsia="zh-CN"/>
        </w:rPr>
        <w:t xml:space="preserve"> 本项目合同期内（供货、安装、调试期内），现场水、电、其他动力和原材料费用由中标人自行承担</w:t>
      </w:r>
      <w:r>
        <w:rPr>
          <w:rFonts w:hint="eastAsia" w:ascii="宋体" w:hAnsi="宋体" w:cs="宋体"/>
          <w:color w:val="auto"/>
          <w:sz w:val="28"/>
          <w:szCs w:val="36"/>
          <w:u w:val="single"/>
          <w:lang w:eastAsia="zh-CN"/>
        </w:rPr>
        <w:t>；乙方在安装过程中应采取安全防护措施（如设置警示标志、防护围栏、安全网等），确保施工人员、小区居民及财产安全；发生安全事故的，由乙方承担全部责任及赔偿</w:t>
      </w:r>
      <w:r>
        <w:rPr>
          <w:rFonts w:hint="eastAsia" w:ascii="宋体" w:hAnsi="宋体" w:eastAsia="宋体" w:cs="宋体"/>
          <w:color w:val="auto"/>
          <w:sz w:val="28"/>
          <w:szCs w:val="36"/>
          <w:u w:val="single"/>
          <w:lang w:eastAsia="zh-CN"/>
        </w:rPr>
        <w:t>。</w:t>
      </w:r>
    </w:p>
    <w:p w14:paraId="59A8A76C">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cs="宋体"/>
          <w:color w:val="auto"/>
          <w:sz w:val="28"/>
          <w:szCs w:val="36"/>
          <w:u w:val="single"/>
          <w:lang w:eastAsia="zh-CN"/>
        </w:rPr>
        <w:t>6.2.3  安全责任延伸约定：自本项目开工之日起至质保期届满之日止，因乙方及其雇员、委托的第三方人员在合同设备的安装、调试、考核、质保期维保等与本项目相关的一切活动中，或因乙方提供的设备、材料、施工工艺、技术指导等原因导致的任何人员（包括但不限于施工人员、小区居民、第三方人员）伤亡、财产损失、行政责任或法律纠纷，均由乙方承担全部责任。乙方应自行负责赔偿因此造成的全部损失（包括但不限于医疗费、赔偿金、丧葬费、财产修复费），并承担行政处罚、诉讼费用、律师费等一切相关费用，与甲方无涉。</w:t>
      </w:r>
    </w:p>
    <w:p w14:paraId="69F023DD">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6.3  考核</w:t>
      </w:r>
    </w:p>
    <w:p w14:paraId="3A19498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6.3.1  考核时水、电、其他动力和原材料的提供：</w:t>
      </w:r>
      <w:r>
        <w:rPr>
          <w:rFonts w:hint="eastAsia" w:ascii="宋体" w:hAnsi="宋体" w:eastAsia="宋体" w:cs="宋体"/>
          <w:color w:val="auto"/>
          <w:sz w:val="28"/>
          <w:szCs w:val="36"/>
          <w:u w:val="single"/>
          <w:lang w:eastAsia="zh-CN"/>
        </w:rPr>
        <w:t xml:space="preserve"> 考核所需水、电及其他动力由甲方提供，费用由甲方承担；考核用原材料（如润滑油等）由乙方提供，费用已包含在合同总价中</w:t>
      </w:r>
      <w:r>
        <w:rPr>
          <w:rFonts w:ascii="宋体" w:hAnsi="宋体" w:eastAsia="宋体" w:cs="宋体"/>
          <w:color w:val="auto"/>
          <w:sz w:val="24"/>
          <w:szCs w:val="24"/>
          <w:lang w:eastAsia="zh-CN"/>
        </w:rPr>
        <w:t>；</w:t>
      </w:r>
    </w:p>
    <w:p w14:paraId="15FD8CE5">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6.4  验收</w:t>
      </w:r>
    </w:p>
    <w:p w14:paraId="3F924754">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6.4.1  验收证书签订：</w:t>
      </w:r>
      <w:r>
        <w:rPr>
          <w:rFonts w:hint="eastAsia" w:ascii="宋体" w:hAnsi="宋体" w:eastAsia="宋体" w:cs="宋体"/>
          <w:color w:val="auto"/>
          <w:sz w:val="28"/>
          <w:szCs w:val="36"/>
          <w:u w:val="single"/>
          <w:lang w:eastAsia="zh-CN"/>
        </w:rPr>
        <w:t xml:space="preserve"> 电梯考核合格后，</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、监理单位、小区业主代表（不少于3人）共同进行竣工验收；验收合格后7日内，签署《工程竣工验收证书》；验收不合格的，</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应在7日内整改，直至验收合格，整改期间不计入质保期</w:t>
      </w:r>
      <w:r>
        <w:rPr>
          <w:rFonts w:hint="eastAsia" w:ascii="宋体" w:hAnsi="宋体" w:cs="宋体"/>
          <w:color w:val="auto"/>
          <w:sz w:val="28"/>
          <w:szCs w:val="36"/>
          <w:u w:val="single"/>
          <w:lang w:eastAsia="zh-CN"/>
        </w:rPr>
        <w:t>；</w:t>
      </w:r>
    </w:p>
    <w:p w14:paraId="0CA075C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6.4.2  验收款支付：</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提交完整的验收资料（包括《电梯监督检验报告》《竣工验收证书》《变更后的电梯使用登记证》、发票等）后，双方按合同约定的价格与支付条款执行验收款支付事宜。</w:t>
      </w:r>
    </w:p>
    <w:p w14:paraId="66C186AA">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8.质量保证期</w:t>
      </w:r>
    </w:p>
    <w:p w14:paraId="346C7860">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8.1  质量保证期：</w:t>
      </w:r>
      <w:r>
        <w:rPr>
          <w:rFonts w:hint="eastAsia" w:ascii="宋体" w:hAnsi="宋体" w:eastAsia="宋体" w:cs="宋体"/>
          <w:color w:val="auto"/>
          <w:sz w:val="28"/>
          <w:szCs w:val="36"/>
          <w:u w:val="single"/>
          <w:lang w:eastAsia="zh-CN"/>
        </w:rPr>
        <w:t xml:space="preserve"> 电梯竣工验收合格并签署《工程竣工验收证书》之日起计算，质保期</w:t>
      </w:r>
      <w:r>
        <w:rPr>
          <w:rFonts w:hint="eastAsia" w:ascii="宋体" w:hAnsi="宋体" w:cs="宋体"/>
          <w:color w:val="auto"/>
          <w:sz w:val="28"/>
          <w:szCs w:val="36"/>
          <w:u w:val="single"/>
          <w:lang w:eastAsia="zh-CN"/>
        </w:rPr>
        <w:t>（即维保期）</w:t>
      </w:r>
      <w:r>
        <w:rPr>
          <w:rFonts w:hint="eastAsia" w:ascii="宋体" w:hAnsi="宋体" w:eastAsia="宋体" w:cs="宋体"/>
          <w:color w:val="auto"/>
          <w:sz w:val="28"/>
          <w:szCs w:val="36"/>
          <w:u w:val="single"/>
          <w:lang w:eastAsia="zh-CN"/>
        </w:rPr>
        <w:t>为5年</w:t>
      </w:r>
      <w:r>
        <w:rPr>
          <w:rFonts w:hint="eastAsia" w:ascii="宋体" w:hAnsi="宋体" w:cs="宋体"/>
          <w:color w:val="auto"/>
          <w:sz w:val="28"/>
          <w:szCs w:val="36"/>
          <w:u w:val="single"/>
          <w:lang w:eastAsia="zh-CN"/>
        </w:rPr>
        <w:t>（核心部件曳引机、控制柜质保≥8年悬挂钢丝绳使用年限不少于10年或者对应电梯驱动主机启动次数不少于200万次；包覆带使用年限不少于20年或者对应电梯驱动主机启动次数不少于400万次）</w:t>
      </w:r>
      <w:r>
        <w:rPr>
          <w:rFonts w:hint="eastAsia" w:ascii="宋体" w:hAnsi="宋体" w:eastAsia="宋体" w:cs="宋体"/>
          <w:color w:val="auto"/>
          <w:sz w:val="28"/>
          <w:szCs w:val="36"/>
          <w:u w:val="single"/>
          <w:lang w:eastAsia="zh-CN"/>
        </w:rPr>
        <w:t>；质保金：工程竣工验收合格后，</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应向</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缴纳合同总价</w:t>
      </w:r>
      <w:r>
        <w:rPr>
          <w:rFonts w:hint="eastAsia" w:ascii="宋体" w:hAnsi="宋体" w:cs="宋体"/>
          <w:color w:val="auto"/>
          <w:sz w:val="28"/>
          <w:szCs w:val="36"/>
          <w:u w:val="single"/>
          <w:lang w:eastAsia="zh-CN"/>
        </w:rPr>
        <w:t>2</w:t>
      </w:r>
      <w:r>
        <w:rPr>
          <w:rFonts w:hint="eastAsia" w:ascii="宋体" w:hAnsi="宋体" w:eastAsia="宋体" w:cs="宋体"/>
          <w:color w:val="auto"/>
          <w:sz w:val="28"/>
          <w:szCs w:val="36"/>
          <w:u w:val="single"/>
          <w:lang w:eastAsia="zh-CN"/>
        </w:rPr>
        <w:t>%的质保金，</w:t>
      </w:r>
      <w:r>
        <w:rPr>
          <w:rFonts w:hint="eastAsia" w:ascii="宋体" w:hAnsi="宋体" w:cs="宋体"/>
          <w:color w:val="auto"/>
          <w:sz w:val="28"/>
          <w:szCs w:val="36"/>
          <w:u w:val="single"/>
          <w:lang w:eastAsia="zh-CN"/>
        </w:rPr>
        <w:t>缴纳形式为</w:t>
      </w:r>
      <w:r>
        <w:rPr>
          <w:rFonts w:hint="eastAsia" w:ascii="宋体" w:hAnsi="宋体" w:eastAsia="宋体" w:cs="宋体"/>
          <w:color w:val="auto"/>
          <w:sz w:val="28"/>
          <w:szCs w:val="36"/>
          <w:u w:val="single"/>
          <w:lang w:eastAsia="zh-CN"/>
        </w:rPr>
        <w:t>银行保函或电汇（银行保函有效期应覆盖质保期）</w:t>
      </w:r>
      <w:r>
        <w:rPr>
          <w:rFonts w:hint="eastAsia" w:ascii="宋体" w:hAnsi="宋体" w:eastAsia="宋体" w:cs="宋体"/>
          <w:color w:val="auto"/>
          <w:sz w:val="28"/>
          <w:szCs w:val="36"/>
          <w:lang w:eastAsia="zh-CN"/>
        </w:rPr>
        <w:t>。</w:t>
      </w:r>
    </w:p>
    <w:p w14:paraId="77BF042A">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9.质保期服务</w:t>
      </w:r>
    </w:p>
    <w:p w14:paraId="2B328B74">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9.1  质保期响应要求：</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需提供24小时热线支持电话，确保全年无休畅通；并派驻5名维保人员驻场提供现场支持。接到故障通知后，半小时内到达现场，并立即采取紧急处置措施，保障居民正常出行需求。若未按要求响应或处置不当，</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应承担相应赔偿责任</w:t>
      </w:r>
      <w:r>
        <w:rPr>
          <w:rFonts w:hint="eastAsia" w:ascii="宋体" w:hAnsi="宋体" w:cs="宋体"/>
          <w:color w:val="auto"/>
          <w:sz w:val="28"/>
          <w:szCs w:val="36"/>
          <w:u w:val="single"/>
          <w:lang w:eastAsia="zh-CN"/>
        </w:rPr>
        <w:t>；</w:t>
      </w:r>
    </w:p>
    <w:p w14:paraId="2274B56A">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乙方应在质保期内每半年对电梯进行一次全面巡检，形成巡检报告并提交甲方及小区物业；巡检费用已包含在合同总价中；</w:t>
      </w:r>
    </w:p>
    <w:p w14:paraId="501F6041">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乙方应建立质保服务台账，详细记录故障发生时间、原因、处理过程及结果，每月向甲方及小区物业提交一次质保服务报告，质保期结束后提交完整的质保服务总结报告。</w:t>
      </w:r>
    </w:p>
    <w:p w14:paraId="67CF3133">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10.履约保证金</w:t>
      </w:r>
    </w:p>
    <w:p w14:paraId="59BC5D10">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履约保证金：</w:t>
      </w:r>
      <w:r>
        <w:rPr>
          <w:rFonts w:hint="eastAsia" w:ascii="宋体" w:hAnsi="宋体" w:eastAsia="宋体" w:cs="宋体"/>
          <w:color w:val="auto"/>
          <w:sz w:val="28"/>
          <w:szCs w:val="36"/>
          <w:u w:val="single"/>
          <w:lang w:eastAsia="zh-CN"/>
        </w:rPr>
        <w:t xml:space="preserve"> 合同总价的5%，</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应在合同签订后7日内以</w:t>
      </w:r>
      <w:r>
        <w:rPr>
          <w:rFonts w:hint="eastAsia" w:ascii="宋体" w:hAnsi="宋体" w:cs="宋体"/>
          <w:color w:val="auto"/>
          <w:sz w:val="28"/>
          <w:szCs w:val="36"/>
          <w:u w:val="single"/>
          <w:lang w:eastAsia="zh-CN"/>
        </w:rPr>
        <w:t>电汇或</w:t>
      </w:r>
      <w:r>
        <w:rPr>
          <w:rFonts w:hint="eastAsia" w:ascii="宋体" w:hAnsi="宋体" w:eastAsia="宋体" w:cs="宋体"/>
          <w:color w:val="auto"/>
          <w:sz w:val="28"/>
          <w:szCs w:val="36"/>
          <w:u w:val="single"/>
          <w:lang w:eastAsia="zh-CN"/>
        </w:rPr>
        <w:t>银行保函形式提交</w:t>
      </w:r>
      <w:r>
        <w:rPr>
          <w:rFonts w:hint="eastAsia" w:ascii="宋体" w:hAnsi="宋体" w:cs="宋体"/>
          <w:color w:val="auto"/>
          <w:sz w:val="28"/>
          <w:szCs w:val="36"/>
          <w:u w:val="single"/>
          <w:lang w:eastAsia="zh-CN"/>
        </w:rPr>
        <w:t>；</w:t>
      </w:r>
    </w:p>
    <w:p w14:paraId="1C4E9981">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若乙方未按合同约定履行义务（如转包、违法分包、工期延误、质量不合格等），甲方有权扣划相应金额的履约保证金；履约保证金不足以弥补甲方损失的，乙方应补足差额。</w:t>
      </w:r>
    </w:p>
    <w:p w14:paraId="3598E4AD">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11.保证</w:t>
      </w:r>
    </w:p>
    <w:p w14:paraId="1EBBB7FC">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eastAsia="宋体" w:cs="宋体"/>
          <w:color w:val="auto"/>
          <w:sz w:val="28"/>
          <w:szCs w:val="36"/>
          <w:lang w:eastAsia="zh-CN"/>
        </w:rPr>
        <w:t>11.7  备品备件的提供：</w:t>
      </w:r>
      <w:r>
        <w:rPr>
          <w:rFonts w:hint="eastAsia" w:ascii="宋体" w:hAnsi="宋体" w:eastAsia="宋体" w:cs="宋体"/>
          <w:color w:val="auto"/>
          <w:sz w:val="28"/>
          <w:szCs w:val="36"/>
          <w:u w:val="single"/>
          <w:lang w:eastAsia="zh-CN"/>
        </w:rPr>
        <w:t xml:space="preserve"> 质保期内，</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应在施工场地或就近地点储备足够的常用备品备件（包括门锁、按钮、光幕等），确保故障维修时能够及时更换；质保期结束后，</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应向</w:t>
      </w:r>
      <w:r>
        <w:rPr>
          <w:rFonts w:hint="eastAsia" w:ascii="宋体" w:hAnsi="宋体" w:cs="宋体"/>
          <w:color w:val="auto"/>
          <w:sz w:val="28"/>
          <w:szCs w:val="36"/>
          <w:u w:val="single"/>
          <w:lang w:eastAsia="zh-CN"/>
        </w:rPr>
        <w:t>甲方及小区物业</w:t>
      </w:r>
      <w:r>
        <w:rPr>
          <w:rFonts w:hint="eastAsia" w:ascii="宋体" w:hAnsi="宋体" w:eastAsia="宋体" w:cs="宋体"/>
          <w:color w:val="auto"/>
          <w:sz w:val="28"/>
          <w:szCs w:val="36"/>
          <w:u w:val="single"/>
          <w:lang w:eastAsia="zh-CN"/>
        </w:rPr>
        <w:t>提供备品备件清单及采购渠道，承诺以不高于同期市场价格供应备品备件至少10年</w:t>
      </w:r>
      <w:r>
        <w:rPr>
          <w:rFonts w:hint="eastAsia" w:ascii="宋体" w:hAnsi="宋体" w:cs="宋体"/>
          <w:color w:val="auto"/>
          <w:sz w:val="28"/>
          <w:szCs w:val="36"/>
          <w:u w:val="single"/>
          <w:lang w:eastAsia="zh-CN"/>
        </w:rPr>
        <w:t>；</w:t>
      </w:r>
    </w:p>
    <w:p w14:paraId="1339F5B3">
      <w:pPr>
        <w:widowControl w:val="0"/>
        <w:kinsoku/>
        <w:autoSpaceDE/>
        <w:autoSpaceDN/>
        <w:adjustRightInd/>
        <w:snapToGrid/>
        <w:ind w:firstLine="560" w:firstLineChars="200"/>
        <w:textAlignment w:val="auto"/>
        <w:rPr>
          <w:rFonts w:ascii="宋体" w:hAnsi="宋体" w:cs="宋体"/>
          <w:color w:val="auto"/>
          <w:sz w:val="28"/>
          <w:szCs w:val="36"/>
          <w:u w:val="single"/>
          <w:lang w:eastAsia="zh-CN"/>
        </w:rPr>
      </w:pPr>
      <w:r>
        <w:rPr>
          <w:rFonts w:hint="eastAsia" w:ascii="宋体" w:hAnsi="宋体" w:cs="宋体"/>
          <w:color w:val="auto"/>
          <w:sz w:val="28"/>
          <w:szCs w:val="36"/>
          <w:u w:val="single"/>
          <w:lang w:eastAsia="zh-CN"/>
        </w:rPr>
        <w:t>乙方保证所提供的电梯设备及部件均为全新、未使用过的合格产品，不存在假冒伪劣、以次充好的情形；若发现上述情形，乙方应无条件更换，并承担合同总价20%的违约金，同时赔偿甲方全部损失。</w:t>
      </w:r>
    </w:p>
    <w:p w14:paraId="15F062D3">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12.知识产权</w:t>
      </w:r>
    </w:p>
    <w:p w14:paraId="11A49968">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12.2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享有知识产权的约定：</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对</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提交的与本项目相关的技术资料（包括安装说明书、维修手册等）享有无偿使用权，用于电梯的日常维护、管理及应急处置，但不得用于商业盈利目的；</w:t>
      </w:r>
    </w:p>
    <w:p w14:paraId="73F87A1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12.4  有关知识产权主张、索赔和诉讼的处理：</w:t>
      </w:r>
      <w:r>
        <w:rPr>
          <w:rFonts w:hint="eastAsia" w:ascii="宋体" w:hAnsi="宋体" w:eastAsia="宋体" w:cs="宋体"/>
          <w:color w:val="auto"/>
          <w:sz w:val="28"/>
          <w:szCs w:val="36"/>
          <w:u w:val="single"/>
          <w:lang w:eastAsia="zh-CN"/>
        </w:rPr>
        <w:t xml:space="preserve"> 若第三方就合同设备或技术资料提出知识产权侵权索赔，</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应在收到</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通知后 7 日内提供书面异议或解决方案，自负费用处理该索赔事宜，并赔偿</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因此遭受的全部损失（包括但不限于赔偿金、诉讼费、律师费等）；若</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未在约定时间内处理，</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可自行处理，费用由</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承担</w:t>
      </w:r>
      <w:r>
        <w:rPr>
          <w:rFonts w:hint="eastAsia" w:ascii="宋体" w:hAnsi="宋体" w:cs="宋体"/>
          <w:color w:val="auto"/>
          <w:sz w:val="28"/>
          <w:szCs w:val="36"/>
          <w:u w:val="single"/>
          <w:lang w:eastAsia="zh-CN"/>
        </w:rPr>
        <w:t>。</w:t>
      </w:r>
    </w:p>
    <w:p w14:paraId="69FED501">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14.违约责任</w:t>
      </w:r>
    </w:p>
    <w:p w14:paraId="38D59D88">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 xml:space="preserve">10.2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延迟交付违约金：</w:t>
      </w:r>
      <w:r>
        <w:rPr>
          <w:rFonts w:hint="eastAsia" w:ascii="宋体" w:hAnsi="宋体" w:eastAsia="宋体" w:cs="宋体"/>
          <w:color w:val="auto"/>
          <w:sz w:val="28"/>
          <w:szCs w:val="36"/>
          <w:u w:val="single"/>
          <w:lang w:eastAsia="zh-CN"/>
        </w:rPr>
        <w:t>（1）如果</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未能按照合同约定的交付期限</w:t>
      </w:r>
      <w:r>
        <w:rPr>
          <w:rFonts w:hint="eastAsia" w:ascii="宋体" w:hAnsi="宋体" w:cs="宋体"/>
          <w:color w:val="auto"/>
          <w:sz w:val="28"/>
          <w:szCs w:val="36"/>
          <w:u w:val="single"/>
          <w:lang w:eastAsia="zh-CN"/>
        </w:rPr>
        <w:t>完成电梯安装、调试及验收</w:t>
      </w:r>
      <w:r>
        <w:rPr>
          <w:rFonts w:hint="eastAsia" w:ascii="宋体" w:hAnsi="宋体" w:eastAsia="宋体" w:cs="宋体"/>
          <w:color w:val="auto"/>
          <w:sz w:val="28"/>
          <w:szCs w:val="36"/>
          <w:u w:val="single"/>
          <w:lang w:eastAsia="zh-CN"/>
        </w:rPr>
        <w:t>,每逾期一天应向</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支付合同金额0.05%的逾期违约金,累计逾期违约金总额不超过合同总价的10%</w:t>
      </w:r>
      <w:r>
        <w:rPr>
          <w:rFonts w:hint="eastAsia" w:ascii="宋体" w:hAnsi="宋体" w:cs="宋体"/>
          <w:color w:val="auto"/>
          <w:sz w:val="28"/>
          <w:szCs w:val="36"/>
          <w:u w:val="single"/>
          <w:lang w:eastAsia="zh-CN"/>
        </w:rPr>
        <w:t>；</w:t>
      </w:r>
      <w:r>
        <w:rPr>
          <w:rFonts w:hint="eastAsia" w:ascii="宋体" w:hAnsi="宋体" w:eastAsia="宋体" w:cs="宋体"/>
          <w:color w:val="auto"/>
          <w:sz w:val="28"/>
          <w:szCs w:val="36"/>
          <w:u w:val="single"/>
          <w:lang w:eastAsia="zh-CN"/>
        </w:rPr>
        <w:t>超过10日仍</w:t>
      </w:r>
      <w:r>
        <w:rPr>
          <w:rFonts w:hint="eastAsia" w:ascii="宋体" w:hAnsi="宋体" w:cs="宋体"/>
          <w:color w:val="auto"/>
          <w:sz w:val="28"/>
          <w:szCs w:val="36"/>
          <w:u w:val="single"/>
          <w:lang w:eastAsia="zh-CN"/>
        </w:rPr>
        <w:t>未完成的，甲方</w:t>
      </w:r>
      <w:r>
        <w:rPr>
          <w:rFonts w:hint="eastAsia" w:ascii="宋体" w:hAnsi="宋体" w:eastAsia="宋体" w:cs="宋体"/>
          <w:color w:val="auto"/>
          <w:sz w:val="28"/>
          <w:szCs w:val="36"/>
          <w:u w:val="single"/>
          <w:lang w:eastAsia="zh-CN"/>
        </w:rPr>
        <w:t>有权要求单方解除合同，</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向</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支付合同总价20%的违约金</w:t>
      </w:r>
      <w:r>
        <w:rPr>
          <w:rFonts w:hint="eastAsia" w:ascii="宋体" w:hAnsi="宋体" w:cs="宋体"/>
          <w:color w:val="auto"/>
          <w:sz w:val="28"/>
          <w:szCs w:val="36"/>
          <w:u w:val="single"/>
          <w:lang w:eastAsia="zh-CN"/>
        </w:rPr>
        <w:t>，</w:t>
      </w:r>
      <w:r>
        <w:rPr>
          <w:rFonts w:hint="eastAsia" w:ascii="宋体" w:hAnsi="宋体" w:eastAsia="宋体" w:cs="宋体"/>
          <w:color w:val="auto"/>
          <w:sz w:val="28"/>
          <w:szCs w:val="36"/>
          <w:u w:val="single"/>
          <w:lang w:eastAsia="zh-CN"/>
        </w:rPr>
        <w:t>并赔偿</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因此引起的一切损失。</w:t>
      </w:r>
    </w:p>
    <w:p w14:paraId="11B5A0F4">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（2）质量与验收违约</w:t>
      </w:r>
    </w:p>
    <w:p w14:paraId="3B4C5F4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设备质量不合格：设备及部件存在假冒伪劣、以次充好，或不符合合同约定规格、国家强制性标准及行业规范的，卖方应无条件免费更换，更换周期不超过15日；每逾期1日支付合同总价0.1%的违约金；若更换后仍不合格，买方有权解除合同，卖方支付合同总价20%的违约金，并赔偿因此导致的检测费、停运损失等。</w:t>
      </w:r>
    </w:p>
    <w:p w14:paraId="48539FB1">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验收不合格：电梯经三次考核仍未达到技术性能指标（非买方原因），或未达到约定的最低技术性能指标，若未达成最低指标，买方有权解除合同，卖方支付合同总价15%的违约金；若达成最低指标但未达约定指标，卖方应按合同总价的5%支付补偿金，并免费提供技术改造服务直至达标。</w:t>
      </w:r>
    </w:p>
    <w:p w14:paraId="35B9DC00">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技术资料违约：技术资料缺失、错误、不完整，或未按约定提交时间及要求，卖方应在收到通知后3 日内补齐/更正，每逾期1日支付违约金500元；若因资料问题导致安装调试延误或运维损失，卖方承担全部赔偿责任，按实际损失金额的1倍支付赔偿金。</w:t>
      </w:r>
    </w:p>
    <w:p w14:paraId="20EE677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（3）质保期服务违约</w:t>
      </w:r>
    </w:p>
    <w:p w14:paraId="0B6ECACF">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响应不及时：未提供24小时畅通热线，或接到故障通知后未在半小时内到达现场（驻场维保人员），首次违约支付违约金1000元；累计2次违约，扣除质保金的30%；累计3次及以上，扣除全部质保金，并赔偿因电梯停运导致的居民出行损失（按每台电梯每日500元计算）。</w:t>
      </w:r>
    </w:p>
    <w:p w14:paraId="1381CBAB">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故障未及时解决：一般故障未在7日内解决，重大故障未在15 日内解决，每逾期1日支付合同总价0.2%的违约金；若因故障未解决导致安全事故，卖方承担全部赔偿责任（包括人员伤亡、财产损失），并支付合同总价20%的违约金。</w:t>
      </w:r>
    </w:p>
    <w:p w14:paraId="19655E36">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未履行巡检义务：未按约定每半年进行全面巡检，或未提交巡检报告、月度质保服务报告、年度总结报告，每次违约支付违约金500元；累计3次未履行，扣除质保金的20%，并需在3日内补做巡检并提交完整报告。</w:t>
      </w:r>
    </w:p>
    <w:p w14:paraId="02661476">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（4）履约与合规违约</w:t>
      </w:r>
    </w:p>
    <w:p w14:paraId="65C4355F">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转包/违法分包：未经买方书面同意，将工程转包或违法分包给第三方，买方有权立即解除合同，卖方支付合同总价20%的违约金，已支付的合同款卖方应全额返还，同时赔偿买方因此产生的重新招标费用、工期延误损失等。</w:t>
      </w:r>
    </w:p>
    <w:p w14:paraId="3A4B1FA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监造配合违约：未提前7日通知买方及监理单位监造事项，或拒绝配合监造、提供虚假制造/检验记录，每次违约支付违约金2000元；若因拒绝配合导致监造无法进行，视为对应部件质量不合格，卖方需免费更换，并承担检测费用。</w:t>
      </w:r>
    </w:p>
    <w:p w14:paraId="45EFC404">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备品备件违约：质保期内备品备件储备不足，应在7日内补足，每逾期1日支付违约金500元；质保期后未按约定供应备品备件（10年期限），按该备件市场价格的2倍赔偿买方损失，并承担因此导致的电梯停运的相关损失。</w:t>
      </w:r>
    </w:p>
    <w:p w14:paraId="7883581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（5）安全责任违约</w:t>
      </w:r>
    </w:p>
    <w:p w14:paraId="1CE349AD">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因卖方施工工艺、设备质量、技术指导或人员操作不当，导致施工人员、小区居民伤亡或财产损失，卖方承担全部赔偿责任（包含但不限于医疗费、赔偿金、丧葬费、财产修复费等），并支付合同总价10%-20%的违约金（根据事故严重程度确定）；若发生重大安全事故，买方有权解除合同，扣除全部履约保证金及质保金，同时卖方需承担相应的法律责任。</w:t>
      </w:r>
    </w:p>
    <w:p w14:paraId="040F437A">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 xml:space="preserve">10.3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延迟付款违约金：</w:t>
      </w:r>
    </w:p>
    <w:p w14:paraId="379056EC">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15.合同的解除</w:t>
      </w:r>
    </w:p>
    <w:p w14:paraId="24F4E01A">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合同解除的条件：</w:t>
      </w:r>
      <w:r>
        <w:rPr>
          <w:rFonts w:hint="eastAsia" w:ascii="宋体" w:hAnsi="宋体" w:eastAsia="宋体" w:cs="宋体"/>
          <w:color w:val="auto"/>
          <w:sz w:val="28"/>
          <w:szCs w:val="36"/>
          <w:u w:val="single"/>
          <w:lang w:eastAsia="zh-CN"/>
        </w:rPr>
        <w:t xml:space="preserve"> （1）</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将工程转包或违法分包的；</w:t>
      </w:r>
    </w:p>
    <w:p w14:paraId="705F1E07">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（2）</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提供的电梯设备或部件存在假冒伪劣、以次充好情形，经</w:t>
      </w:r>
      <w:r>
        <w:rPr>
          <w:rFonts w:hint="eastAsia" w:ascii="宋体" w:hAnsi="宋体" w:cs="宋体"/>
          <w:color w:val="auto"/>
          <w:sz w:val="28"/>
          <w:szCs w:val="36"/>
          <w:u w:val="single"/>
          <w:lang w:eastAsia="zh-CN"/>
        </w:rPr>
        <w:t>甲方</w:t>
      </w:r>
      <w:r>
        <w:rPr>
          <w:rFonts w:hint="eastAsia" w:ascii="宋体" w:hAnsi="宋体" w:eastAsia="宋体" w:cs="宋体"/>
          <w:color w:val="auto"/>
          <w:sz w:val="28"/>
          <w:szCs w:val="36"/>
          <w:u w:val="single"/>
          <w:lang w:eastAsia="zh-CN"/>
        </w:rPr>
        <w:t>通知后未在15日内更换的；</w:t>
      </w:r>
    </w:p>
    <w:p w14:paraId="730F9614">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（3）因</w:t>
      </w:r>
      <w:r>
        <w:rPr>
          <w:rFonts w:hint="eastAsia" w:ascii="宋体" w:hAnsi="宋体" w:cs="宋体"/>
          <w:color w:val="auto"/>
          <w:sz w:val="28"/>
          <w:szCs w:val="36"/>
          <w:u w:val="single"/>
          <w:lang w:eastAsia="zh-CN"/>
        </w:rPr>
        <w:t>乙方</w:t>
      </w:r>
      <w:r>
        <w:rPr>
          <w:rFonts w:hint="eastAsia" w:ascii="宋体" w:hAnsi="宋体" w:eastAsia="宋体" w:cs="宋体"/>
          <w:color w:val="auto"/>
          <w:sz w:val="28"/>
          <w:szCs w:val="36"/>
          <w:u w:val="single"/>
          <w:lang w:eastAsia="zh-CN"/>
        </w:rPr>
        <w:t>原因导致电梯质量不符合国家强制性标准或投标文件承诺，无法通过验收的；</w:t>
      </w:r>
    </w:p>
    <w:p w14:paraId="624486CE">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（4）乙方迟延交付合同设备（含安装、调试、验收完成）超过 10日，或迟延交付技术资料导致合同设备安装、调试、考核、验收工作推迟超过10日的；</w:t>
      </w:r>
    </w:p>
    <w:p w14:paraId="66D3974B">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（5）乙方未经甲方书面同意，擅自变更合同约定的电梯核心部件品牌、型号、技术参数，或擅自调整施工工艺、服务标准，严重影响合同目的实现的。</w:t>
      </w:r>
    </w:p>
    <w:p w14:paraId="0074F377">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16.不可抗力</w:t>
      </w:r>
    </w:p>
    <w:p w14:paraId="70D8AF1B">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lang w:eastAsia="zh-CN"/>
        </w:rPr>
        <w:t>16.1  不可抗力的其他情形：</w:t>
      </w:r>
      <w:r>
        <w:rPr>
          <w:rFonts w:hint="eastAsia" w:ascii="宋体" w:hAnsi="宋体" w:eastAsia="宋体" w:cs="宋体"/>
          <w:color w:val="auto"/>
          <w:sz w:val="28"/>
          <w:szCs w:val="36"/>
          <w:u w:val="single"/>
          <w:lang w:eastAsia="zh-CN"/>
        </w:rPr>
        <w:t xml:space="preserve"> （1）本条所述的“不可抗力”系指那些甲乙双方无法控制、不可预见和不能避免的事件，但不包括任一方的违约或疏忽，具体包括：战争、严重火灾、台风、地震、洪水、疫情防控导致的强制措施、政府部门下达的停工通知等；</w:t>
      </w:r>
    </w:p>
    <w:p w14:paraId="531C8D48">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（2）在不可抗力事件发生后，受影响的一方应在24小时内以书面形式将不可抗力的情况和原因通知对方，并在事件发生后28日内提交有关当局或机构出具的证明文件；</w:t>
      </w:r>
    </w:p>
    <w:p w14:paraId="27AF054A">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（3）不可抗力事件影响持续期间，受影响一方应每周向对方书面报告事件进展及合同履行的影响情况；</w:t>
      </w:r>
    </w:p>
    <w:p w14:paraId="1EF39F73">
      <w:pPr>
        <w:widowControl w:val="0"/>
        <w:kinsoku/>
        <w:autoSpaceDE/>
        <w:autoSpaceDN/>
        <w:adjustRightInd/>
        <w:snapToGrid/>
        <w:ind w:firstLine="560" w:firstLineChars="200"/>
        <w:textAlignment w:val="auto"/>
        <w:rPr>
          <w:rFonts w:ascii="宋体" w:hAnsi="宋体" w:eastAsia="宋体" w:cs="宋体"/>
          <w:color w:val="auto"/>
          <w:sz w:val="28"/>
          <w:szCs w:val="36"/>
          <w:u w:val="single"/>
          <w:lang w:eastAsia="zh-CN"/>
        </w:rPr>
      </w:pPr>
      <w:r>
        <w:rPr>
          <w:rFonts w:hint="eastAsia" w:ascii="宋体" w:hAnsi="宋体" w:eastAsia="宋体" w:cs="宋体"/>
          <w:color w:val="auto"/>
          <w:sz w:val="28"/>
          <w:szCs w:val="36"/>
          <w:u w:val="single"/>
          <w:lang w:eastAsia="zh-CN"/>
        </w:rPr>
        <w:t>补充：不可抗力导致合同无法履行或延迟履行的，双方应及时协商解决方案；因不可抗力解除合同的，双方互不承担违约责任，但应配合完成已履行部分的结算及善后工作。</w:t>
      </w:r>
    </w:p>
    <w:p w14:paraId="64EFD563">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17.争议的解决</w:t>
      </w:r>
    </w:p>
    <w:p w14:paraId="2D8E2F9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因合同引起的或与合同有关的任何争议,按下列第</w:t>
      </w:r>
      <w:r>
        <w:rPr>
          <w:rFonts w:hint="eastAsia" w:ascii="宋体" w:hAnsi="宋体" w:eastAsia="宋体" w:cs="宋体"/>
          <w:color w:val="auto"/>
          <w:sz w:val="28"/>
          <w:szCs w:val="36"/>
          <w:u w:val="single"/>
          <w:lang w:eastAsia="zh-CN"/>
        </w:rPr>
        <w:t xml:space="preserve">   （2）   </w:t>
      </w:r>
      <w:r>
        <w:rPr>
          <w:rFonts w:hint="eastAsia" w:ascii="宋体" w:hAnsi="宋体" w:eastAsia="宋体" w:cs="宋体"/>
          <w:color w:val="auto"/>
          <w:sz w:val="28"/>
          <w:szCs w:val="36"/>
          <w:lang w:eastAsia="zh-CN"/>
        </w:rPr>
        <w:t>种方式解决：</w:t>
      </w:r>
    </w:p>
    <w:p w14:paraId="1A70E0A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（1）向仲裁委员会申请仲裁；</w:t>
      </w:r>
    </w:p>
    <w:p w14:paraId="2334688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（2）向项目所在地人民法院起诉。</w:t>
      </w:r>
    </w:p>
    <w:p w14:paraId="63B93E1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注：以上内容为示例，可按实际情况增加或减少，或根据项目特点和实际需要约定。</w:t>
      </w:r>
    </w:p>
    <w:p w14:paraId="73889F8B">
      <w:pPr>
        <w:widowControl w:val="0"/>
        <w:kinsoku/>
        <w:autoSpaceDE/>
        <w:autoSpaceDN/>
        <w:adjustRightInd/>
        <w:snapToGrid/>
        <w:jc w:val="center"/>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br w:type="page"/>
      </w:r>
      <w:r>
        <w:rPr>
          <w:rFonts w:hint="eastAsia" w:ascii="宋体" w:hAnsi="宋体" w:eastAsia="宋体" w:cs="宋体"/>
          <w:b/>
          <w:bCs/>
          <w:color w:val="auto"/>
          <w:sz w:val="28"/>
          <w:szCs w:val="36"/>
          <w:lang w:eastAsia="zh-CN"/>
        </w:rPr>
        <w:t>第三节 合同附件格式</w:t>
      </w:r>
    </w:p>
    <w:p w14:paraId="4AD2A07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261B343F">
      <w:pPr>
        <w:widowControl w:val="0"/>
        <w:kinsoku/>
        <w:autoSpaceDE/>
        <w:autoSpaceDN/>
        <w:adjustRightInd/>
        <w:snapToGrid/>
        <w:ind w:firstLine="562" w:firstLineChars="200"/>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附件一：合同协议书</w:t>
      </w:r>
    </w:p>
    <w:p w14:paraId="71E2A62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6E7B6D58">
      <w:pPr>
        <w:widowControl w:val="0"/>
        <w:kinsoku/>
        <w:autoSpaceDE/>
        <w:autoSpaceDN/>
        <w:adjustRightInd/>
        <w:snapToGrid/>
        <w:jc w:val="center"/>
        <w:textAlignment w:val="auto"/>
        <w:rPr>
          <w:rFonts w:ascii="宋体" w:hAnsi="宋体" w:eastAsia="宋体" w:cs="宋体"/>
          <w:b/>
          <w:bCs/>
          <w:color w:val="auto"/>
          <w:sz w:val="28"/>
          <w:szCs w:val="36"/>
          <w:lang w:eastAsia="zh-CN"/>
        </w:rPr>
      </w:pPr>
      <w:r>
        <w:rPr>
          <w:rFonts w:hint="eastAsia" w:ascii="宋体" w:hAnsi="宋体" w:eastAsia="宋体" w:cs="宋体"/>
          <w:b/>
          <w:bCs/>
          <w:color w:val="auto"/>
          <w:sz w:val="28"/>
          <w:szCs w:val="36"/>
          <w:lang w:eastAsia="zh-CN"/>
        </w:rPr>
        <w:t>合同协议书</w:t>
      </w:r>
    </w:p>
    <w:p w14:paraId="6206AF1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名称，以下简称“</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”）为获得（项目名称）合同设备和技术服务和质保期服务，已接受（</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名称，以下简称“</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”）为提供上述合同设备和技术服务和质保期服务所作的投标，</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和</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共同达成如下协议：</w:t>
      </w:r>
    </w:p>
    <w:p w14:paraId="2755921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  本协议书与下列文件一起构成合同文件：</w:t>
      </w:r>
    </w:p>
    <w:p w14:paraId="6A64D70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（1）中标通知书；</w:t>
      </w:r>
    </w:p>
    <w:p w14:paraId="21C9301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（2）投标函；</w:t>
      </w:r>
    </w:p>
    <w:p w14:paraId="5FFD1176">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（3）商务和技术偏差表；</w:t>
      </w:r>
    </w:p>
    <w:p w14:paraId="178EBB0C">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（4）专用合同条款；</w:t>
      </w:r>
    </w:p>
    <w:p w14:paraId="79C9AF5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（5）通用合同条款；</w:t>
      </w:r>
    </w:p>
    <w:p w14:paraId="36E516D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（6）供货要求；</w:t>
      </w:r>
    </w:p>
    <w:p w14:paraId="5F1F4161">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（7）分项报价表；</w:t>
      </w:r>
    </w:p>
    <w:p w14:paraId="02151B5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（8）中标设备技术性能指标的详细描述；</w:t>
      </w:r>
    </w:p>
    <w:p w14:paraId="504DF16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（9）技术服务和质保期服务计划；</w:t>
      </w:r>
    </w:p>
    <w:p w14:paraId="68986F5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（10）其他合同文件。</w:t>
      </w:r>
    </w:p>
    <w:p w14:paraId="10FB714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2.  上述合同文件互相补充和解释。如果合同文件之间存在矛盾或不一致之处，以上述文件 的排列顺序在先者为准。</w:t>
      </w:r>
    </w:p>
    <w:p w14:paraId="2FD96AA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3.  签约合同价：人民币（大写）（¥）。</w:t>
      </w:r>
    </w:p>
    <w:p w14:paraId="67D78BC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4.  </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承诺保证完全按照合同约定提供合同设备和技术服务和质保期服务并修补缺陷。</w:t>
      </w:r>
    </w:p>
    <w:p w14:paraId="21ACB2E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 xml:space="preserve">5.  </w:t>
      </w: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承诺保证按照合同约定的条件、时间和方式向</w:t>
      </w: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支付合同价款。</w:t>
      </w:r>
    </w:p>
    <w:p w14:paraId="6F53B5F3">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6.  本合同协议书一式两份，合同双方各执一份。</w:t>
      </w:r>
    </w:p>
    <w:p w14:paraId="3C55C6C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7.  合同未尽事宜，双方另行签订补充协议，补充协议是合同的组成部分。</w:t>
      </w:r>
    </w:p>
    <w:p w14:paraId="48105F82">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20D3A7EF">
      <w:pPr>
        <w:widowControl w:val="0"/>
        <w:kinsoku/>
        <w:autoSpaceDE/>
        <w:autoSpaceDN/>
        <w:adjustRightInd/>
        <w:snapToGrid/>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以下无正文。</w:t>
      </w:r>
    </w:p>
    <w:p w14:paraId="296EBC4D">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4B8469A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45405E6B">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32FD7A3F">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63DDADA0">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77FE51B5">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4CC05579">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本页为签字盖章页。</w:t>
      </w:r>
    </w:p>
    <w:p w14:paraId="2A09722E">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2A23CF01">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cs="宋体"/>
          <w:color w:val="auto"/>
          <w:sz w:val="28"/>
          <w:szCs w:val="36"/>
          <w:lang w:eastAsia="zh-CN"/>
        </w:rPr>
        <w:t>甲方</w:t>
      </w:r>
      <w:r>
        <w:rPr>
          <w:rFonts w:hint="eastAsia" w:ascii="宋体" w:hAnsi="宋体" w:eastAsia="宋体" w:cs="宋体"/>
          <w:color w:val="auto"/>
          <w:sz w:val="28"/>
          <w:szCs w:val="36"/>
          <w:lang w:eastAsia="zh-CN"/>
        </w:rPr>
        <w:t>：（盖单位章）</w:t>
      </w:r>
    </w:p>
    <w:p w14:paraId="0164A055">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法定代表人或其委托代理人：（签字）</w:t>
      </w:r>
    </w:p>
    <w:p w14:paraId="6D6EEB1E">
      <w:pPr>
        <w:widowControl w:val="0"/>
        <w:kinsoku/>
        <w:autoSpaceDE/>
        <w:autoSpaceDN/>
        <w:adjustRightInd/>
        <w:snapToGrid/>
        <w:jc w:val="right"/>
        <w:textAlignment w:val="auto"/>
        <w:rPr>
          <w:rFonts w:ascii="宋体" w:hAnsi="宋体" w:eastAsia="宋体" w:cs="宋体"/>
          <w:color w:val="auto"/>
          <w:sz w:val="28"/>
          <w:szCs w:val="36"/>
          <w:u w:val="single"/>
          <w:lang w:eastAsia="zh-CN"/>
        </w:rPr>
      </w:pPr>
    </w:p>
    <w:p w14:paraId="755163CE">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年月日</w:t>
      </w:r>
    </w:p>
    <w:p w14:paraId="16565857">
      <w:pPr>
        <w:widowControl w:val="0"/>
        <w:kinsoku/>
        <w:autoSpaceDE/>
        <w:autoSpaceDN/>
        <w:adjustRightInd/>
        <w:snapToGrid/>
        <w:jc w:val="right"/>
        <w:textAlignment w:val="auto"/>
        <w:rPr>
          <w:rFonts w:ascii="宋体" w:hAnsi="宋体" w:eastAsia="宋体" w:cs="宋体"/>
          <w:color w:val="auto"/>
          <w:sz w:val="28"/>
          <w:szCs w:val="36"/>
          <w:lang w:eastAsia="zh-CN"/>
        </w:rPr>
      </w:pPr>
    </w:p>
    <w:p w14:paraId="7A7D9FEC">
      <w:pPr>
        <w:widowControl w:val="0"/>
        <w:kinsoku/>
        <w:autoSpaceDE/>
        <w:autoSpaceDN/>
        <w:adjustRightInd/>
        <w:snapToGrid/>
        <w:jc w:val="right"/>
        <w:textAlignment w:val="auto"/>
        <w:rPr>
          <w:rFonts w:ascii="宋体" w:hAnsi="宋体" w:eastAsia="宋体" w:cs="宋体"/>
          <w:color w:val="auto"/>
          <w:sz w:val="28"/>
          <w:szCs w:val="36"/>
          <w:lang w:eastAsia="zh-CN"/>
        </w:rPr>
      </w:pPr>
    </w:p>
    <w:p w14:paraId="2202600D">
      <w:pPr>
        <w:widowControl w:val="0"/>
        <w:kinsoku/>
        <w:autoSpaceDE/>
        <w:autoSpaceDN/>
        <w:adjustRightInd/>
        <w:snapToGrid/>
        <w:ind w:firstLine="560" w:firstLineChars="200"/>
        <w:jc w:val="right"/>
        <w:textAlignment w:val="auto"/>
        <w:rPr>
          <w:rFonts w:ascii="宋体" w:hAnsi="宋体" w:eastAsia="宋体" w:cs="宋体"/>
          <w:color w:val="auto"/>
          <w:sz w:val="28"/>
          <w:szCs w:val="36"/>
          <w:lang w:eastAsia="zh-CN"/>
        </w:rPr>
      </w:pPr>
    </w:p>
    <w:p w14:paraId="66EF68BC">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cs="宋体"/>
          <w:color w:val="auto"/>
          <w:sz w:val="28"/>
          <w:szCs w:val="36"/>
          <w:lang w:eastAsia="zh-CN"/>
        </w:rPr>
        <w:t>乙方</w:t>
      </w:r>
      <w:r>
        <w:rPr>
          <w:rFonts w:hint="eastAsia" w:ascii="宋体" w:hAnsi="宋体" w:eastAsia="宋体" w:cs="宋体"/>
          <w:color w:val="auto"/>
          <w:sz w:val="28"/>
          <w:szCs w:val="36"/>
          <w:lang w:eastAsia="zh-CN"/>
        </w:rPr>
        <w:t>：（盖单位章）</w:t>
      </w:r>
    </w:p>
    <w:p w14:paraId="3EB3BBAC">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法定代表人（单位负责人）或其委托代理人：（签字）</w:t>
      </w:r>
    </w:p>
    <w:p w14:paraId="703691AB">
      <w:pPr>
        <w:widowControl w:val="0"/>
        <w:kinsoku/>
        <w:autoSpaceDE/>
        <w:autoSpaceDN/>
        <w:adjustRightInd/>
        <w:snapToGrid/>
        <w:jc w:val="right"/>
        <w:textAlignment w:val="auto"/>
        <w:rPr>
          <w:rFonts w:ascii="宋体" w:hAnsi="宋体" w:eastAsia="宋体" w:cs="宋体"/>
          <w:color w:val="auto"/>
          <w:sz w:val="28"/>
          <w:szCs w:val="36"/>
          <w:u w:val="single"/>
          <w:lang w:eastAsia="zh-CN"/>
        </w:rPr>
      </w:pPr>
    </w:p>
    <w:p w14:paraId="587BF47D">
      <w:pPr>
        <w:widowControl w:val="0"/>
        <w:kinsoku/>
        <w:autoSpaceDE/>
        <w:autoSpaceDN/>
        <w:adjustRightInd/>
        <w:snapToGrid/>
        <w:jc w:val="right"/>
        <w:textAlignment w:val="auto"/>
        <w:rPr>
          <w:rFonts w:ascii="宋体" w:hAnsi="宋体" w:eastAsia="宋体" w:cs="宋体"/>
          <w:color w:val="auto"/>
          <w:sz w:val="28"/>
          <w:szCs w:val="36"/>
          <w:lang w:eastAsia="zh-CN"/>
        </w:rPr>
      </w:pPr>
      <w:r>
        <w:rPr>
          <w:rFonts w:hint="eastAsia" w:ascii="宋体" w:hAnsi="宋体" w:eastAsia="宋体" w:cs="宋体"/>
          <w:color w:val="auto"/>
          <w:sz w:val="28"/>
          <w:szCs w:val="36"/>
          <w:lang w:eastAsia="zh-CN"/>
        </w:rPr>
        <w:t>年月日</w:t>
      </w:r>
    </w:p>
    <w:p w14:paraId="287A6587">
      <w:pPr>
        <w:widowControl w:val="0"/>
        <w:kinsoku/>
        <w:autoSpaceDE/>
        <w:autoSpaceDN/>
        <w:adjustRightInd/>
        <w:snapToGrid/>
        <w:ind w:firstLine="560" w:firstLineChars="200"/>
        <w:textAlignment w:val="auto"/>
        <w:rPr>
          <w:rFonts w:ascii="宋体" w:hAnsi="宋体" w:eastAsia="宋体" w:cs="宋体"/>
          <w:color w:val="auto"/>
          <w:sz w:val="28"/>
          <w:szCs w:val="36"/>
          <w:lang w:eastAsia="zh-CN"/>
        </w:rPr>
      </w:pPr>
    </w:p>
    <w:p w14:paraId="4F1D8B54">
      <w:pPr>
        <w:pStyle w:val="8"/>
        <w:spacing w:line="316" w:lineRule="auto"/>
        <w:rPr>
          <w:lang w:eastAsia="zh-CN"/>
        </w:rPr>
      </w:pPr>
    </w:p>
    <w:p w14:paraId="343A1C07">
      <w:pPr>
        <w:pStyle w:val="8"/>
        <w:spacing w:line="316" w:lineRule="auto"/>
        <w:rPr>
          <w:lang w:eastAsia="zh-CN"/>
        </w:rPr>
      </w:pPr>
    </w:p>
    <w:p w14:paraId="719370D8">
      <w:pPr>
        <w:pStyle w:val="8"/>
        <w:spacing w:line="244" w:lineRule="auto"/>
        <w:rPr>
          <w:lang w:eastAsia="zh-CN"/>
        </w:rPr>
      </w:pPr>
      <w:bookmarkStart w:id="360" w:name="bookmark146"/>
      <w:bookmarkEnd w:id="360"/>
    </w:p>
    <w:p w14:paraId="694F350A">
      <w:pPr>
        <w:pStyle w:val="10"/>
      </w:pPr>
    </w:p>
    <w:p w14:paraId="4369B7BC">
      <w:pPr>
        <w:pStyle w:val="11"/>
      </w:pPr>
    </w:p>
    <w:p w14:paraId="7B78327C">
      <w:pPr>
        <w:pStyle w:val="11"/>
      </w:pPr>
    </w:p>
    <w:p w14:paraId="6095D123">
      <w:pPr>
        <w:pStyle w:val="11"/>
      </w:pPr>
    </w:p>
    <w:p w14:paraId="35A08810">
      <w:pPr>
        <w:pStyle w:val="11"/>
      </w:pPr>
    </w:p>
    <w:p w14:paraId="09DB1286">
      <w:pPr>
        <w:pStyle w:val="11"/>
      </w:pPr>
    </w:p>
    <w:p w14:paraId="76F3282F">
      <w:pPr>
        <w:pStyle w:val="11"/>
      </w:pPr>
    </w:p>
    <w:p w14:paraId="7C9527C0">
      <w:pPr>
        <w:pStyle w:val="11"/>
      </w:pPr>
    </w:p>
    <w:p w14:paraId="146A9FAD">
      <w:pPr>
        <w:pStyle w:val="11"/>
      </w:pPr>
    </w:p>
    <w:p w14:paraId="71CFB18B">
      <w:pPr>
        <w:pStyle w:val="11"/>
      </w:pPr>
    </w:p>
    <w:p w14:paraId="15804104">
      <w:pPr>
        <w:pStyle w:val="11"/>
      </w:pPr>
    </w:p>
    <w:p w14:paraId="661CF484">
      <w:pPr>
        <w:pStyle w:val="11"/>
      </w:pPr>
    </w:p>
    <w:p w14:paraId="69DBFC53">
      <w:pPr>
        <w:pStyle w:val="11"/>
      </w:pPr>
    </w:p>
    <w:p w14:paraId="5AD49636">
      <w:pPr>
        <w:pStyle w:val="11"/>
      </w:pPr>
    </w:p>
    <w:p w14:paraId="2E6025F3">
      <w:pPr>
        <w:pStyle w:val="11"/>
      </w:pPr>
    </w:p>
    <w:p w14:paraId="2D89D871">
      <w:pPr>
        <w:pStyle w:val="11"/>
      </w:pPr>
    </w:p>
    <w:p w14:paraId="40B5889A">
      <w:pPr>
        <w:pStyle w:val="11"/>
      </w:pPr>
    </w:p>
    <w:p w14:paraId="5C6F1E06">
      <w:pPr>
        <w:pStyle w:val="11"/>
      </w:pPr>
    </w:p>
    <w:p w14:paraId="09BE366B">
      <w:pPr>
        <w:pStyle w:val="11"/>
      </w:pPr>
    </w:p>
    <w:p w14:paraId="3A90F988">
      <w:pPr>
        <w:pStyle w:val="11"/>
      </w:pPr>
    </w:p>
    <w:p w14:paraId="23BBA457">
      <w:pPr>
        <w:pStyle w:val="11"/>
      </w:pPr>
    </w:p>
    <w:p w14:paraId="38957A05">
      <w:pPr>
        <w:pStyle w:val="11"/>
      </w:pPr>
    </w:p>
    <w:p w14:paraId="6F4471B8">
      <w:pPr>
        <w:pStyle w:val="11"/>
      </w:pPr>
    </w:p>
    <w:p w14:paraId="610C06EE">
      <w:pPr>
        <w:pStyle w:val="11"/>
      </w:pPr>
    </w:p>
    <w:p w14:paraId="3B95852C">
      <w:pPr>
        <w:pStyle w:val="11"/>
      </w:pPr>
    </w:p>
    <w:p w14:paraId="4E6271EE">
      <w:pPr>
        <w:pStyle w:val="11"/>
      </w:pPr>
    </w:p>
    <w:p w14:paraId="6CE15711">
      <w:pPr>
        <w:pStyle w:val="11"/>
      </w:pPr>
    </w:p>
    <w:p w14:paraId="185F5840">
      <w:pPr>
        <w:pStyle w:val="11"/>
      </w:pPr>
    </w:p>
    <w:p w14:paraId="5CA919D2">
      <w:pPr>
        <w:pStyle w:val="11"/>
      </w:pPr>
    </w:p>
    <w:p w14:paraId="270C7B3D">
      <w:pPr>
        <w:pStyle w:val="11"/>
      </w:pPr>
    </w:p>
    <w:p w14:paraId="7D5C61AB">
      <w:pPr>
        <w:pStyle w:val="11"/>
      </w:pPr>
    </w:p>
    <w:p w14:paraId="3B9DA268">
      <w:pPr>
        <w:pStyle w:val="11"/>
      </w:pPr>
    </w:p>
    <w:p w14:paraId="6C40DA71">
      <w:pPr>
        <w:pStyle w:val="11"/>
      </w:pPr>
    </w:p>
    <w:p w14:paraId="7D4538F9">
      <w:pPr>
        <w:pStyle w:val="11"/>
      </w:pPr>
    </w:p>
    <w:p w14:paraId="16817B38">
      <w:pPr>
        <w:pStyle w:val="11"/>
      </w:pPr>
    </w:p>
    <w:p w14:paraId="6F3574A6">
      <w:pPr>
        <w:pStyle w:val="11"/>
      </w:pPr>
    </w:p>
    <w:p w14:paraId="0283CFD1">
      <w:pPr>
        <w:pStyle w:val="11"/>
      </w:pPr>
    </w:p>
    <w:p w14:paraId="51EBF74B">
      <w:pPr>
        <w:pStyle w:val="11"/>
      </w:pPr>
    </w:p>
    <w:p w14:paraId="23D135D6">
      <w:pPr>
        <w:pStyle w:val="11"/>
      </w:pPr>
    </w:p>
    <w:p w14:paraId="41346225">
      <w:pPr>
        <w:pStyle w:val="11"/>
      </w:pPr>
    </w:p>
    <w:p w14:paraId="66888C18">
      <w:pPr>
        <w:pStyle w:val="11"/>
      </w:pPr>
    </w:p>
    <w:p w14:paraId="3FF8B24B">
      <w:pPr>
        <w:pStyle w:val="11"/>
      </w:pPr>
    </w:p>
    <w:p w14:paraId="0CEF0422">
      <w:pPr>
        <w:pStyle w:val="11"/>
      </w:pPr>
    </w:p>
    <w:p w14:paraId="305E1AA2">
      <w:pPr>
        <w:pStyle w:val="11"/>
      </w:pPr>
    </w:p>
    <w:p w14:paraId="07C04924">
      <w:pPr>
        <w:pStyle w:val="11"/>
      </w:pPr>
    </w:p>
    <w:p w14:paraId="2BE12856">
      <w:pPr>
        <w:pStyle w:val="11"/>
      </w:pPr>
    </w:p>
    <w:p w14:paraId="475E2A6D">
      <w:pPr>
        <w:pStyle w:val="11"/>
      </w:pPr>
    </w:p>
    <w:p w14:paraId="0AB7C5D3">
      <w:pPr>
        <w:pStyle w:val="11"/>
      </w:pPr>
    </w:p>
    <w:p w14:paraId="2239DCA4">
      <w:pPr>
        <w:pStyle w:val="11"/>
      </w:pPr>
    </w:p>
    <w:p w14:paraId="003B6337">
      <w:pPr>
        <w:pStyle w:val="11"/>
      </w:pPr>
    </w:p>
    <w:p w14:paraId="7EB75994">
      <w:pPr>
        <w:pStyle w:val="11"/>
      </w:pPr>
    </w:p>
    <w:p w14:paraId="67959976">
      <w:pPr>
        <w:pStyle w:val="11"/>
      </w:pPr>
    </w:p>
    <w:p w14:paraId="3A8BEA17">
      <w:pPr>
        <w:pStyle w:val="8"/>
        <w:spacing w:line="245" w:lineRule="auto"/>
        <w:rPr>
          <w:lang w:eastAsia="zh-CN"/>
        </w:rPr>
      </w:pPr>
    </w:p>
    <w:p w14:paraId="618FF05D">
      <w:pPr>
        <w:pStyle w:val="8"/>
        <w:spacing w:line="245" w:lineRule="auto"/>
        <w:rPr>
          <w:lang w:eastAsia="zh-CN"/>
        </w:rPr>
      </w:pPr>
    </w:p>
    <w:p w14:paraId="5679437B">
      <w:pPr>
        <w:pStyle w:val="8"/>
        <w:spacing w:line="245" w:lineRule="auto"/>
        <w:rPr>
          <w:lang w:eastAsia="zh-CN"/>
        </w:rPr>
      </w:pPr>
    </w:p>
    <w:p w14:paraId="71699D59">
      <w:pPr>
        <w:pStyle w:val="8"/>
        <w:spacing w:line="245" w:lineRule="auto"/>
        <w:rPr>
          <w:lang w:eastAsia="zh-CN"/>
        </w:rPr>
      </w:pPr>
    </w:p>
    <w:p w14:paraId="439395A7">
      <w:pPr>
        <w:spacing w:before="156" w:line="222" w:lineRule="auto"/>
        <w:jc w:val="center"/>
        <w:outlineLvl w:val="0"/>
        <w:rPr>
          <w:rFonts w:ascii="黑体" w:hAnsi="黑体" w:eastAsia="黑体" w:cs="黑体"/>
          <w:color w:val="auto"/>
          <w:sz w:val="48"/>
          <w:szCs w:val="48"/>
          <w:lang w:eastAsia="zh-CN"/>
        </w:rPr>
      </w:pPr>
      <w:bookmarkStart w:id="361" w:name="bookmark262"/>
      <w:bookmarkEnd w:id="361"/>
      <w:bookmarkStart w:id="362" w:name="bookmark145"/>
      <w:bookmarkEnd w:id="362"/>
      <w:bookmarkStart w:id="363" w:name="bookmark170"/>
      <w:bookmarkEnd w:id="363"/>
      <w:bookmarkStart w:id="364" w:name="_Toc29854"/>
      <w:bookmarkStart w:id="365" w:name="_Toc9780"/>
      <w:bookmarkStart w:id="366" w:name="_Toc26453"/>
      <w:bookmarkStart w:id="367" w:name="_Toc4226"/>
      <w:bookmarkStart w:id="368" w:name="_Toc27740"/>
      <w:bookmarkStart w:id="369" w:name="_Toc6287"/>
      <w:r>
        <w:rPr>
          <w:rFonts w:ascii="黑体" w:hAnsi="黑体" w:eastAsia="黑体" w:cs="黑体"/>
          <w:color w:val="auto"/>
          <w:spacing w:val="-5"/>
          <w:sz w:val="48"/>
          <w:szCs w:val="48"/>
          <w:lang w:eastAsia="zh-CN"/>
        </w:rPr>
        <w:t>第二卷</w:t>
      </w:r>
      <w:bookmarkEnd w:id="364"/>
      <w:bookmarkEnd w:id="365"/>
      <w:bookmarkEnd w:id="366"/>
      <w:bookmarkEnd w:id="367"/>
      <w:bookmarkEnd w:id="368"/>
      <w:bookmarkEnd w:id="369"/>
    </w:p>
    <w:p w14:paraId="5414C724">
      <w:pPr>
        <w:spacing w:line="222" w:lineRule="auto"/>
        <w:rPr>
          <w:rFonts w:ascii="黑体" w:hAnsi="黑体" w:eastAsia="黑体" w:cs="黑体"/>
          <w:color w:val="auto"/>
          <w:sz w:val="48"/>
          <w:szCs w:val="48"/>
          <w:lang w:eastAsia="zh-CN"/>
        </w:rPr>
        <w:sectPr>
          <w:headerReference r:id="rId110" w:type="default"/>
          <w:footerReference r:id="rId111" w:type="default"/>
          <w:pgSz w:w="11906" w:h="16839"/>
          <w:pgMar w:top="1440" w:right="1803" w:bottom="1440" w:left="1803" w:header="0" w:footer="987" w:gutter="0"/>
          <w:cols w:space="720" w:num="1"/>
        </w:sectPr>
      </w:pPr>
    </w:p>
    <w:p w14:paraId="68828ABB">
      <w:pPr>
        <w:pStyle w:val="8"/>
        <w:spacing w:line="246" w:lineRule="auto"/>
        <w:rPr>
          <w:lang w:eastAsia="zh-CN"/>
        </w:rPr>
      </w:pPr>
    </w:p>
    <w:p w14:paraId="5808347F">
      <w:pPr>
        <w:pStyle w:val="8"/>
        <w:spacing w:line="246" w:lineRule="auto"/>
        <w:rPr>
          <w:lang w:eastAsia="zh-CN"/>
        </w:rPr>
      </w:pPr>
    </w:p>
    <w:p w14:paraId="37F107EF">
      <w:pPr>
        <w:pStyle w:val="8"/>
        <w:spacing w:line="246" w:lineRule="auto"/>
        <w:rPr>
          <w:lang w:eastAsia="zh-CN"/>
        </w:rPr>
      </w:pPr>
    </w:p>
    <w:p w14:paraId="267EB60C">
      <w:pPr>
        <w:pStyle w:val="8"/>
        <w:spacing w:line="246" w:lineRule="auto"/>
        <w:rPr>
          <w:lang w:eastAsia="zh-CN"/>
        </w:rPr>
      </w:pPr>
    </w:p>
    <w:p w14:paraId="1F4B422E">
      <w:pPr>
        <w:pStyle w:val="8"/>
        <w:spacing w:line="246" w:lineRule="auto"/>
        <w:rPr>
          <w:lang w:eastAsia="zh-CN"/>
        </w:rPr>
      </w:pPr>
    </w:p>
    <w:p w14:paraId="03AF5638">
      <w:pPr>
        <w:pStyle w:val="8"/>
        <w:spacing w:line="246" w:lineRule="auto"/>
        <w:rPr>
          <w:lang w:eastAsia="zh-CN"/>
        </w:rPr>
      </w:pPr>
    </w:p>
    <w:p w14:paraId="74528637">
      <w:pPr>
        <w:pStyle w:val="8"/>
        <w:spacing w:line="246" w:lineRule="auto"/>
        <w:rPr>
          <w:lang w:eastAsia="zh-CN"/>
        </w:rPr>
      </w:pPr>
    </w:p>
    <w:p w14:paraId="482C6AD4">
      <w:pPr>
        <w:pStyle w:val="8"/>
        <w:spacing w:line="246" w:lineRule="auto"/>
        <w:rPr>
          <w:lang w:eastAsia="zh-CN"/>
        </w:rPr>
      </w:pPr>
    </w:p>
    <w:p w14:paraId="44AD96D9">
      <w:pPr>
        <w:pStyle w:val="8"/>
        <w:spacing w:line="246" w:lineRule="auto"/>
        <w:rPr>
          <w:lang w:eastAsia="zh-CN"/>
        </w:rPr>
      </w:pPr>
    </w:p>
    <w:p w14:paraId="58491F6B">
      <w:pPr>
        <w:pStyle w:val="8"/>
        <w:spacing w:line="246" w:lineRule="auto"/>
        <w:rPr>
          <w:lang w:eastAsia="zh-CN"/>
        </w:rPr>
      </w:pPr>
    </w:p>
    <w:p w14:paraId="5DAF8896">
      <w:pPr>
        <w:pStyle w:val="8"/>
        <w:spacing w:line="246" w:lineRule="auto"/>
        <w:rPr>
          <w:lang w:eastAsia="zh-CN"/>
        </w:rPr>
      </w:pPr>
    </w:p>
    <w:p w14:paraId="4457E8C4">
      <w:pPr>
        <w:pStyle w:val="8"/>
        <w:spacing w:line="246" w:lineRule="auto"/>
        <w:rPr>
          <w:lang w:eastAsia="zh-CN"/>
        </w:rPr>
      </w:pPr>
    </w:p>
    <w:p w14:paraId="4668EEEE">
      <w:pPr>
        <w:pStyle w:val="8"/>
        <w:spacing w:line="246" w:lineRule="auto"/>
        <w:rPr>
          <w:lang w:eastAsia="zh-CN"/>
        </w:rPr>
      </w:pPr>
    </w:p>
    <w:p w14:paraId="344D0B53">
      <w:pPr>
        <w:pStyle w:val="8"/>
        <w:spacing w:line="247" w:lineRule="auto"/>
        <w:rPr>
          <w:lang w:eastAsia="zh-CN"/>
        </w:rPr>
      </w:pPr>
    </w:p>
    <w:p w14:paraId="587918A1">
      <w:pPr>
        <w:pStyle w:val="8"/>
        <w:spacing w:line="247" w:lineRule="auto"/>
        <w:rPr>
          <w:lang w:eastAsia="zh-CN"/>
        </w:rPr>
      </w:pPr>
    </w:p>
    <w:p w14:paraId="156B2BBB">
      <w:pPr>
        <w:pStyle w:val="8"/>
        <w:spacing w:line="247" w:lineRule="auto"/>
        <w:rPr>
          <w:lang w:eastAsia="zh-CN"/>
        </w:rPr>
      </w:pPr>
    </w:p>
    <w:p w14:paraId="3C830F31">
      <w:pPr>
        <w:pStyle w:val="8"/>
        <w:spacing w:line="247" w:lineRule="auto"/>
        <w:rPr>
          <w:lang w:eastAsia="zh-CN"/>
        </w:rPr>
      </w:pPr>
    </w:p>
    <w:p w14:paraId="1D5589DB">
      <w:pPr>
        <w:pStyle w:val="8"/>
        <w:spacing w:line="247" w:lineRule="auto"/>
        <w:rPr>
          <w:lang w:eastAsia="zh-CN"/>
        </w:rPr>
      </w:pPr>
    </w:p>
    <w:p w14:paraId="72544F39">
      <w:pPr>
        <w:spacing w:before="104" w:line="222" w:lineRule="auto"/>
        <w:ind w:left="4579"/>
        <w:outlineLvl w:val="0"/>
        <w:rPr>
          <w:rFonts w:ascii="黑体" w:hAnsi="黑体" w:eastAsia="黑体" w:cs="黑体"/>
          <w:color w:val="auto"/>
          <w:sz w:val="32"/>
          <w:szCs w:val="32"/>
          <w:lang w:eastAsia="zh-CN"/>
        </w:rPr>
        <w:sectPr>
          <w:footerReference r:id="rId112" w:type="default"/>
          <w:pgSz w:w="11906" w:h="16839"/>
          <w:pgMar w:top="400" w:right="0" w:bottom="1147" w:left="105" w:header="0" w:footer="987" w:gutter="0"/>
          <w:cols w:space="720" w:num="1"/>
        </w:sectPr>
      </w:pPr>
      <w:bookmarkStart w:id="370" w:name="bookmark171"/>
      <w:bookmarkEnd w:id="370"/>
      <w:bookmarkStart w:id="371" w:name="_Toc2655"/>
      <w:bookmarkStart w:id="372" w:name="_Toc23981"/>
      <w:bookmarkStart w:id="373" w:name="_Toc15863"/>
      <w:bookmarkStart w:id="374" w:name="_Toc15971"/>
      <w:bookmarkStart w:id="375" w:name="_Toc17612"/>
      <w:bookmarkStart w:id="376" w:name="_Toc3006"/>
      <w:r>
        <w:rPr>
          <w:rFonts w:ascii="黑体" w:hAnsi="黑体" w:eastAsia="黑体" w:cs="黑体"/>
          <w:color w:val="auto"/>
          <w:spacing w:val="-2"/>
          <w:sz w:val="32"/>
          <w:szCs w:val="32"/>
          <w:lang w:eastAsia="zh-CN"/>
        </w:rPr>
        <w:t>第五章  供货要求</w:t>
      </w:r>
      <w:bookmarkEnd w:id="371"/>
      <w:bookmarkEnd w:id="372"/>
      <w:bookmarkEnd w:id="373"/>
      <w:bookmarkEnd w:id="374"/>
      <w:bookmarkEnd w:id="375"/>
      <w:bookmarkEnd w:id="376"/>
    </w:p>
    <w:p w14:paraId="6B4196A7">
      <w:pPr>
        <w:spacing w:before="104" w:line="220" w:lineRule="auto"/>
        <w:jc w:val="center"/>
        <w:rPr>
          <w:color w:val="auto"/>
          <w:lang w:eastAsia="zh-CN"/>
        </w:rPr>
      </w:pPr>
      <w:bookmarkStart w:id="377" w:name="_Toc32717"/>
      <w:bookmarkStart w:id="378" w:name="_Toc2809"/>
      <w:bookmarkStart w:id="379" w:name="_Toc13272"/>
      <w:r>
        <w:rPr>
          <w:rFonts w:ascii="宋体" w:hAnsi="宋体" w:eastAsia="宋体" w:cs="宋体"/>
          <w:b/>
          <w:bCs/>
          <w:color w:val="auto"/>
          <w:spacing w:val="-6"/>
          <w:sz w:val="32"/>
          <w:szCs w:val="32"/>
          <w:lang w:eastAsia="zh-CN"/>
        </w:rPr>
        <w:t>供货要求</w:t>
      </w:r>
      <w:bookmarkEnd w:id="377"/>
      <w:bookmarkEnd w:id="378"/>
      <w:bookmarkEnd w:id="379"/>
    </w:p>
    <w:p w14:paraId="4978519F">
      <w:pPr>
        <w:pStyle w:val="8"/>
        <w:spacing w:line="289" w:lineRule="auto"/>
        <w:rPr>
          <w:lang w:eastAsia="zh-CN"/>
        </w:rPr>
      </w:pPr>
    </w:p>
    <w:p w14:paraId="4DE0E613">
      <w:pPr>
        <w:spacing w:line="360" w:lineRule="auto"/>
        <w:ind w:left="125"/>
        <w:outlineLvl w:val="1"/>
        <w:rPr>
          <w:rFonts w:ascii="宋体" w:hAnsi="宋体" w:eastAsia="宋体" w:cs="宋体"/>
          <w:lang w:eastAsia="zh-CN"/>
        </w:rPr>
      </w:pPr>
      <w:r>
        <w:rPr>
          <w:rFonts w:hint="eastAsia" w:ascii="宋体" w:hAnsi="宋体" w:eastAsia="宋体" w:cs="宋体"/>
          <w:b/>
          <w:bCs/>
          <w:spacing w:val="-3"/>
          <w:lang w:eastAsia="zh-CN"/>
        </w:rPr>
        <w:t>一、项目概况及总体要求</w:t>
      </w:r>
    </w:p>
    <w:p w14:paraId="05455458">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本项目计划更新老旧电梯11部，项目建设地点辽宁省营口市盖州市西城办事处永安村大景城小区。（见设备需求一览表）</w:t>
      </w:r>
    </w:p>
    <w:p w14:paraId="290485EE">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主要工程：包含但不限于旧电梯拆除、吊装、清运；新电梯全套设备及部件的设计、生产、供货、运输、装卸、安装、调试、检测、验收、办证（含新梯使用登记证、旧梯注销）、技术培训、资料移交；井道、机房、防水等全部土建整改等。</w:t>
      </w:r>
    </w:p>
    <w:p w14:paraId="6182FB98">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质量标准：本项目质量标准为合格，必须符合《中华人民共和国特种设备安全法》及国家、行业、地方现行相关规范、标准、技术规程、安全要求及特种设备监督检验规定。</w:t>
      </w:r>
    </w:p>
    <w:p w14:paraId="09D679AB">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现场安全管理：中标人须在施工全过程派驻持有效证件的专职安全员全程驻场、不得擅自离场，落实安全生产责任，承担施工期间全部安全责任。</w:t>
      </w:r>
    </w:p>
    <w:p w14:paraId="155CFECC">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残值：残值费用于支付甲方应该支付的相关费用及不可预见费。</w:t>
      </w:r>
    </w:p>
    <w:p w14:paraId="3CA543DE">
      <w:pPr>
        <w:spacing w:before="1" w:line="360" w:lineRule="auto"/>
        <w:ind w:left="126" w:firstLine="404" w:firstLineChars="200"/>
        <w:rPr>
          <w:rFonts w:ascii="宋体" w:hAnsi="宋体" w:eastAsia="宋体" w:cs="宋体"/>
          <w:spacing w:val="-4"/>
          <w:lang w:eastAsia="zh-CN"/>
        </w:rPr>
      </w:pPr>
      <w:r>
        <w:rPr>
          <w:rFonts w:hint="eastAsia" w:ascii="宋体" w:hAnsi="宋体" w:eastAsia="宋体" w:cs="宋体"/>
          <w:spacing w:val="-4"/>
          <w:lang w:eastAsia="zh-CN"/>
        </w:rPr>
        <w:t>保险费：包含但不限于安装工程一切险、工伤保险、雇主责任险、特种设备安装调试险、运输保险；产品质量保证保险、电梯安全责任险、维保人员意外险；电梯综合保险、特种设备安全责任险、电梯财产一切险等。</w:t>
      </w:r>
    </w:p>
    <w:p w14:paraId="27499235">
      <w:pPr>
        <w:spacing w:before="1" w:line="360" w:lineRule="auto"/>
        <w:ind w:left="126"/>
        <w:rPr>
          <w:rFonts w:ascii="宋体" w:hAnsi="宋体" w:eastAsia="宋体" w:cs="宋体"/>
          <w:lang w:eastAsia="zh-CN"/>
        </w:rPr>
      </w:pPr>
      <w:r>
        <w:rPr>
          <w:rFonts w:hint="eastAsia" w:ascii="宋体" w:hAnsi="宋体" w:eastAsia="宋体" w:cs="宋体"/>
          <w:spacing w:val="-4"/>
          <w:lang w:eastAsia="zh-CN"/>
        </w:rPr>
        <w:t>★交货期：合同签订后30日内完成供货</w:t>
      </w:r>
    </w:p>
    <w:p w14:paraId="2F2D83D5">
      <w:pPr>
        <w:rPr>
          <w:rFonts w:ascii="宋体" w:hAnsi="宋体" w:eastAsia="宋体" w:cs="宋体"/>
          <w:b/>
          <w:bCs/>
          <w:lang w:eastAsia="zh-CN"/>
        </w:rPr>
      </w:pPr>
      <w:r>
        <w:rPr>
          <w:rFonts w:hint="eastAsia" w:ascii="宋体" w:hAnsi="宋体" w:eastAsia="宋体" w:cs="宋体"/>
          <w:b/>
          <w:bCs/>
        </w:rPr>
        <w:t>设备需求一览表</w:t>
      </w:r>
    </w:p>
    <w:tbl>
      <w:tblPr>
        <w:tblStyle w:val="17"/>
        <w:tblW w:w="11183" w:type="dxa"/>
        <w:jc w:val="center"/>
        <w:tblLayout w:type="fixed"/>
        <w:tblCellMar>
          <w:top w:w="0" w:type="dxa"/>
          <w:left w:w="108" w:type="dxa"/>
          <w:bottom w:w="0" w:type="dxa"/>
          <w:right w:w="108" w:type="dxa"/>
        </w:tblCellMar>
      </w:tblPr>
      <w:tblGrid>
        <w:gridCol w:w="638"/>
        <w:gridCol w:w="2802"/>
        <w:gridCol w:w="1909"/>
        <w:gridCol w:w="851"/>
        <w:gridCol w:w="1267"/>
        <w:gridCol w:w="1267"/>
        <w:gridCol w:w="1154"/>
        <w:gridCol w:w="1295"/>
      </w:tblGrid>
      <w:tr w14:paraId="0B8C7514">
        <w:tblPrEx>
          <w:tblCellMar>
            <w:top w:w="0" w:type="dxa"/>
            <w:left w:w="108" w:type="dxa"/>
            <w:bottom w:w="0" w:type="dxa"/>
            <w:right w:w="108" w:type="dxa"/>
          </w:tblCellMar>
        </w:tblPrEx>
        <w:trPr>
          <w:tblHeade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0B02CB4B">
            <w:pPr>
              <w:jc w:val="center"/>
              <w:textAlignment w:val="center"/>
              <w:rPr>
                <w:rFonts w:ascii="宋体" w:hAnsi="宋体" w:eastAsia="宋体" w:cs="宋体"/>
                <w:b/>
                <w:color w:val="auto"/>
              </w:rPr>
            </w:pPr>
            <w:r>
              <w:rPr>
                <w:rFonts w:hint="eastAsia" w:ascii="宋体" w:hAnsi="宋体" w:eastAsia="宋体" w:cs="宋体"/>
                <w:b/>
                <w:color w:val="auto"/>
                <w:lang w:eastAsia="zh-CN"/>
              </w:rPr>
              <w:t>序号</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69C0F1E6">
            <w:pPr>
              <w:jc w:val="center"/>
              <w:textAlignment w:val="center"/>
              <w:rPr>
                <w:rFonts w:ascii="宋体" w:hAnsi="宋体" w:eastAsia="宋体" w:cs="宋体"/>
                <w:b/>
                <w:color w:val="auto"/>
              </w:rPr>
            </w:pPr>
            <w:r>
              <w:rPr>
                <w:rFonts w:hint="eastAsia" w:ascii="宋体" w:hAnsi="宋体" w:eastAsia="宋体" w:cs="宋体"/>
                <w:b/>
                <w:color w:val="auto"/>
                <w:lang w:eastAsia="zh-CN"/>
              </w:rPr>
              <w:t>电梯使用地址</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53A7F9F4">
            <w:pPr>
              <w:jc w:val="center"/>
              <w:textAlignment w:val="center"/>
              <w:rPr>
                <w:rFonts w:ascii="宋体" w:hAnsi="宋体" w:eastAsia="宋体" w:cs="宋体"/>
                <w:b/>
                <w:color w:val="auto"/>
              </w:rPr>
            </w:pPr>
            <w:r>
              <w:rPr>
                <w:rFonts w:hint="eastAsia" w:ascii="宋体" w:hAnsi="宋体" w:eastAsia="宋体" w:cs="宋体"/>
                <w:b/>
                <w:color w:val="auto"/>
                <w:lang w:eastAsia="zh-CN"/>
              </w:rPr>
              <w:t>有机房/无机房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5B4F7A4B">
            <w:pPr>
              <w:jc w:val="center"/>
              <w:textAlignment w:val="center"/>
              <w:rPr>
                <w:rFonts w:ascii="宋体" w:hAnsi="宋体" w:eastAsia="宋体" w:cs="宋体"/>
                <w:b/>
                <w:color w:val="auto"/>
                <w:lang w:eastAsia="zh-CN"/>
              </w:rPr>
            </w:pPr>
            <w:r>
              <w:rPr>
                <w:rFonts w:hint="eastAsia" w:ascii="宋体" w:hAnsi="宋体" w:eastAsia="宋体" w:cs="宋体"/>
                <w:b/>
                <w:color w:val="auto"/>
                <w:lang w:eastAsia="zh-CN"/>
              </w:rPr>
              <w:t>速度</w:t>
            </w:r>
          </w:p>
          <w:p w14:paraId="1F0B797A">
            <w:pPr>
              <w:jc w:val="center"/>
              <w:textAlignment w:val="center"/>
              <w:rPr>
                <w:rFonts w:ascii="宋体" w:hAnsi="宋体" w:eastAsia="宋体" w:cs="宋体"/>
                <w:b/>
                <w:color w:val="auto"/>
              </w:rPr>
            </w:pPr>
            <w:r>
              <w:rPr>
                <w:rFonts w:hint="eastAsia" w:ascii="宋体" w:hAnsi="宋体" w:eastAsia="宋体" w:cs="宋体"/>
                <w:b/>
                <w:color w:val="auto"/>
                <w:lang w:eastAsia="zh-CN"/>
              </w:rPr>
              <w:t>（m/s)</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98896">
            <w:pPr>
              <w:jc w:val="center"/>
              <w:textAlignment w:val="center"/>
              <w:rPr>
                <w:rFonts w:ascii="宋体" w:hAnsi="宋体" w:eastAsia="宋体" w:cs="宋体"/>
                <w:b/>
                <w:color w:val="auto"/>
                <w:lang w:eastAsia="zh-CN"/>
              </w:rPr>
            </w:pPr>
            <w:r>
              <w:rPr>
                <w:rFonts w:hint="eastAsia" w:ascii="宋体" w:hAnsi="宋体" w:eastAsia="宋体" w:cs="宋体"/>
                <w:b/>
                <w:color w:val="auto"/>
                <w:lang w:eastAsia="zh-CN"/>
              </w:rPr>
              <w:t>载重</w:t>
            </w:r>
          </w:p>
          <w:p w14:paraId="79DFBB37">
            <w:pPr>
              <w:jc w:val="center"/>
              <w:textAlignment w:val="center"/>
              <w:rPr>
                <w:rFonts w:ascii="宋体" w:hAnsi="宋体" w:eastAsia="宋体" w:cs="宋体"/>
                <w:b/>
                <w:color w:val="auto"/>
                <w:lang w:eastAsia="zh-CN"/>
              </w:rPr>
            </w:pPr>
            <w:r>
              <w:rPr>
                <w:rFonts w:hint="eastAsia" w:ascii="宋体" w:hAnsi="宋体" w:eastAsia="宋体" w:cs="宋体"/>
                <w:b/>
                <w:color w:val="auto"/>
                <w:lang w:eastAsia="zh-CN"/>
              </w:rPr>
              <w:t>（公斤）</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72D45EE1">
            <w:pPr>
              <w:jc w:val="center"/>
              <w:textAlignment w:val="center"/>
              <w:rPr>
                <w:rFonts w:ascii="宋体" w:hAnsi="宋体" w:eastAsia="宋体" w:cs="宋体"/>
                <w:b/>
                <w:color w:val="auto"/>
              </w:rPr>
            </w:pPr>
            <w:r>
              <w:rPr>
                <w:rFonts w:hint="eastAsia" w:ascii="宋体" w:hAnsi="宋体" w:eastAsia="宋体" w:cs="宋体"/>
                <w:b/>
                <w:color w:val="auto"/>
                <w:lang w:eastAsia="zh-CN"/>
              </w:rPr>
              <w:t>人数（人）</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CD3F496">
            <w:pPr>
              <w:jc w:val="center"/>
              <w:textAlignment w:val="center"/>
              <w:rPr>
                <w:rFonts w:ascii="宋体" w:hAnsi="宋体" w:eastAsia="宋体" w:cs="宋体"/>
                <w:b/>
                <w:color w:val="auto"/>
                <w:lang w:eastAsia="zh-CN"/>
              </w:rPr>
            </w:pPr>
            <w:r>
              <w:rPr>
                <w:rFonts w:hint="eastAsia" w:ascii="宋体" w:hAnsi="宋体" w:eastAsia="宋体" w:cs="宋体"/>
                <w:b/>
                <w:color w:val="auto"/>
                <w:lang w:eastAsia="zh-CN"/>
              </w:rPr>
              <w:t>层数</w:t>
            </w:r>
          </w:p>
          <w:p w14:paraId="0F29AC4C">
            <w:pPr>
              <w:jc w:val="center"/>
              <w:textAlignment w:val="center"/>
              <w:rPr>
                <w:rFonts w:ascii="宋体" w:hAnsi="宋体" w:eastAsia="宋体" w:cs="宋体"/>
                <w:b/>
                <w:color w:val="auto"/>
              </w:rPr>
            </w:pPr>
            <w:r>
              <w:rPr>
                <w:rFonts w:hint="eastAsia" w:ascii="宋体" w:hAnsi="宋体" w:eastAsia="宋体" w:cs="宋体"/>
                <w:b/>
                <w:color w:val="auto"/>
                <w:lang w:eastAsia="zh-CN"/>
              </w:rPr>
              <w:t>（层）</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452DF913">
            <w:pPr>
              <w:jc w:val="center"/>
              <w:textAlignment w:val="center"/>
              <w:rPr>
                <w:rFonts w:ascii="宋体" w:hAnsi="宋体" w:eastAsia="宋体" w:cs="宋体"/>
                <w:b/>
                <w:color w:val="auto"/>
              </w:rPr>
            </w:pPr>
            <w:r>
              <w:rPr>
                <w:rFonts w:hint="eastAsia" w:ascii="宋体" w:hAnsi="宋体" w:eastAsia="宋体" w:cs="宋体"/>
                <w:b/>
                <w:color w:val="auto"/>
                <w:lang w:eastAsia="zh-CN"/>
              </w:rPr>
              <w:t>数量（部）</w:t>
            </w:r>
          </w:p>
        </w:tc>
      </w:tr>
      <w:tr w14:paraId="215B9C0A">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696C8181">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088D8AB2">
            <w:pPr>
              <w:textAlignment w:val="center"/>
              <w:rPr>
                <w:rFonts w:ascii="宋体" w:hAnsi="宋体" w:eastAsia="宋体" w:cs="宋体"/>
                <w:color w:val="auto"/>
                <w:lang w:eastAsia="zh-CN"/>
              </w:rPr>
            </w:pPr>
            <w:r>
              <w:rPr>
                <w:rFonts w:hint="eastAsia" w:ascii="宋体" w:hAnsi="宋体" w:eastAsia="宋体" w:cs="宋体"/>
                <w:color w:val="auto"/>
                <w:lang w:eastAsia="zh-CN"/>
              </w:rPr>
              <w:t>大景城10号楼1单元</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57DF4346">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6D2D9A75">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FB89">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BA15008">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0DAD42C">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10层8站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28C5D0D3">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r>
      <w:tr w14:paraId="6E9B67D4">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0D2AB932">
            <w:pPr>
              <w:jc w:val="center"/>
              <w:textAlignment w:val="center"/>
              <w:rPr>
                <w:rFonts w:ascii="宋体" w:hAnsi="宋体" w:eastAsia="宋体" w:cs="宋体"/>
                <w:color w:val="auto"/>
              </w:rPr>
            </w:pPr>
            <w:r>
              <w:rPr>
                <w:rFonts w:hint="eastAsia" w:ascii="宋体" w:hAnsi="宋体" w:eastAsia="宋体" w:cs="宋体"/>
                <w:color w:val="auto"/>
                <w:lang w:eastAsia="zh-CN"/>
              </w:rPr>
              <w:t>2</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11D36821">
            <w:pPr>
              <w:textAlignment w:val="center"/>
              <w:rPr>
                <w:rFonts w:ascii="宋体" w:hAnsi="宋体" w:eastAsia="宋体" w:cs="宋体"/>
                <w:color w:val="auto"/>
              </w:rPr>
            </w:pPr>
            <w:r>
              <w:rPr>
                <w:rFonts w:hint="eastAsia" w:ascii="宋体" w:hAnsi="宋体" w:eastAsia="宋体" w:cs="宋体"/>
                <w:color w:val="auto"/>
                <w:lang w:eastAsia="zh-CN"/>
              </w:rPr>
              <w:t>大景城16号楼1单元</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13F93D6E">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6AE19C53">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08F7">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04E7E2C">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3917B5A2">
            <w:pPr>
              <w:jc w:val="center"/>
              <w:textAlignment w:val="center"/>
              <w:rPr>
                <w:rFonts w:ascii="宋体" w:hAnsi="宋体" w:eastAsia="宋体" w:cs="宋体"/>
                <w:color w:val="auto"/>
              </w:rPr>
            </w:pPr>
            <w:r>
              <w:rPr>
                <w:rFonts w:hint="eastAsia" w:ascii="宋体" w:hAnsi="宋体" w:eastAsia="宋体" w:cs="宋体"/>
                <w:color w:val="auto"/>
                <w:lang w:eastAsia="zh-CN"/>
              </w:rPr>
              <w:t>10层8站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31B8B9CB">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6E645A55">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E7EA560">
            <w:pPr>
              <w:jc w:val="center"/>
              <w:textAlignment w:val="center"/>
              <w:rPr>
                <w:rFonts w:ascii="宋体" w:hAnsi="宋体" w:eastAsia="宋体" w:cs="宋体"/>
                <w:color w:val="auto"/>
              </w:rPr>
            </w:pPr>
            <w:r>
              <w:rPr>
                <w:rFonts w:hint="eastAsia" w:ascii="宋体" w:hAnsi="宋体" w:eastAsia="宋体" w:cs="宋体"/>
                <w:color w:val="auto"/>
                <w:lang w:eastAsia="zh-CN"/>
              </w:rPr>
              <w:t>3</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51D32C2D">
            <w:pPr>
              <w:textAlignment w:val="center"/>
              <w:rPr>
                <w:rFonts w:ascii="宋体" w:hAnsi="宋体" w:eastAsia="宋体" w:cs="宋体"/>
                <w:color w:val="auto"/>
              </w:rPr>
            </w:pPr>
            <w:r>
              <w:rPr>
                <w:rFonts w:hint="eastAsia" w:ascii="宋体" w:hAnsi="宋体" w:eastAsia="宋体" w:cs="宋体"/>
                <w:color w:val="auto"/>
                <w:lang w:eastAsia="zh-CN"/>
              </w:rPr>
              <w:t>大景城16号楼2单元</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60098D78">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6A10D6C3">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5803D">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616923D1">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FFD50F7">
            <w:pPr>
              <w:jc w:val="center"/>
              <w:textAlignment w:val="center"/>
              <w:rPr>
                <w:rFonts w:ascii="宋体" w:hAnsi="宋体" w:eastAsia="宋体" w:cs="宋体"/>
                <w:color w:val="auto"/>
              </w:rPr>
            </w:pPr>
            <w:r>
              <w:rPr>
                <w:rFonts w:hint="eastAsia" w:ascii="宋体" w:hAnsi="宋体" w:eastAsia="宋体" w:cs="宋体"/>
                <w:color w:val="auto"/>
                <w:lang w:eastAsia="zh-CN"/>
              </w:rPr>
              <w:t>10层8站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1C774C58">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70ADDA02">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5921794">
            <w:pPr>
              <w:jc w:val="center"/>
              <w:textAlignment w:val="center"/>
              <w:rPr>
                <w:rFonts w:ascii="宋体" w:hAnsi="宋体" w:eastAsia="宋体" w:cs="宋体"/>
                <w:color w:val="auto"/>
              </w:rPr>
            </w:pPr>
            <w:r>
              <w:rPr>
                <w:rFonts w:hint="eastAsia" w:ascii="宋体" w:hAnsi="宋体" w:eastAsia="宋体" w:cs="宋体"/>
                <w:color w:val="auto"/>
                <w:lang w:eastAsia="zh-CN"/>
              </w:rPr>
              <w:t>4</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1AED9392">
            <w:pPr>
              <w:textAlignment w:val="center"/>
              <w:rPr>
                <w:rFonts w:ascii="宋体" w:hAnsi="宋体" w:eastAsia="宋体" w:cs="宋体"/>
                <w:color w:val="auto"/>
              </w:rPr>
            </w:pPr>
            <w:r>
              <w:rPr>
                <w:rFonts w:hint="eastAsia" w:ascii="宋体" w:hAnsi="宋体" w:eastAsia="宋体" w:cs="宋体"/>
                <w:color w:val="auto"/>
                <w:lang w:eastAsia="zh-CN"/>
              </w:rPr>
              <w:t>大景城10号楼2单元</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65B5CBA7">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044C8B02">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61AD1">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73A81E7B">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7175919">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12层10站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331AE5BE">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6F411D54">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84CFC06">
            <w:pPr>
              <w:jc w:val="center"/>
              <w:textAlignment w:val="center"/>
              <w:rPr>
                <w:rFonts w:ascii="宋体" w:hAnsi="宋体" w:eastAsia="宋体" w:cs="宋体"/>
                <w:color w:val="auto"/>
              </w:rPr>
            </w:pPr>
            <w:r>
              <w:rPr>
                <w:rFonts w:hint="eastAsia" w:ascii="宋体" w:hAnsi="宋体" w:eastAsia="宋体" w:cs="宋体"/>
                <w:color w:val="auto"/>
                <w:lang w:eastAsia="zh-CN"/>
              </w:rPr>
              <w:t>5</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3E85484E">
            <w:pPr>
              <w:textAlignment w:val="center"/>
              <w:rPr>
                <w:rFonts w:ascii="宋体" w:hAnsi="宋体" w:eastAsia="宋体" w:cs="宋体"/>
                <w:color w:val="auto"/>
              </w:rPr>
            </w:pPr>
            <w:r>
              <w:rPr>
                <w:rFonts w:hint="eastAsia" w:ascii="宋体" w:hAnsi="宋体" w:eastAsia="宋体" w:cs="宋体"/>
                <w:color w:val="auto"/>
                <w:lang w:eastAsia="zh-CN"/>
              </w:rPr>
              <w:t>大景城10号楼3单元</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5625F34C">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35A1EAE5">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0897">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316464D">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406D7904">
            <w:pPr>
              <w:jc w:val="center"/>
              <w:textAlignment w:val="center"/>
              <w:rPr>
                <w:rFonts w:ascii="宋体" w:hAnsi="宋体" w:eastAsia="宋体" w:cs="宋体"/>
                <w:color w:val="auto"/>
              </w:rPr>
            </w:pPr>
            <w:r>
              <w:rPr>
                <w:rFonts w:hint="eastAsia" w:ascii="宋体" w:hAnsi="宋体" w:eastAsia="宋体" w:cs="宋体"/>
                <w:color w:val="auto"/>
                <w:lang w:eastAsia="zh-CN"/>
              </w:rPr>
              <w:t>12层10站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0764539B">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14784F21">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004B2FE">
            <w:pPr>
              <w:jc w:val="center"/>
              <w:textAlignment w:val="center"/>
              <w:rPr>
                <w:rFonts w:ascii="宋体" w:hAnsi="宋体" w:eastAsia="宋体" w:cs="宋体"/>
                <w:color w:val="auto"/>
              </w:rPr>
            </w:pPr>
            <w:r>
              <w:rPr>
                <w:rFonts w:hint="eastAsia" w:ascii="宋体" w:hAnsi="宋体" w:eastAsia="宋体" w:cs="宋体"/>
                <w:color w:val="auto"/>
                <w:lang w:eastAsia="zh-CN"/>
              </w:rPr>
              <w:t>6</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270DB815">
            <w:pPr>
              <w:textAlignment w:val="center"/>
              <w:rPr>
                <w:rFonts w:ascii="宋体" w:hAnsi="宋体" w:eastAsia="宋体" w:cs="宋体"/>
                <w:color w:val="auto"/>
              </w:rPr>
            </w:pPr>
            <w:r>
              <w:rPr>
                <w:rFonts w:hint="eastAsia" w:ascii="宋体" w:hAnsi="宋体" w:eastAsia="宋体" w:cs="宋体"/>
                <w:color w:val="auto"/>
                <w:lang w:eastAsia="zh-CN"/>
              </w:rPr>
              <w:t>大景城13号楼1单元1号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3593A53B">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165EA529">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9F79">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5FAAB40E">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1FC51B7">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774D7F95">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60C9E3AA">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4E23BAF9">
            <w:pPr>
              <w:jc w:val="center"/>
              <w:textAlignment w:val="center"/>
              <w:rPr>
                <w:rFonts w:ascii="宋体" w:hAnsi="宋体" w:eastAsia="宋体" w:cs="宋体"/>
                <w:color w:val="auto"/>
              </w:rPr>
            </w:pPr>
            <w:r>
              <w:rPr>
                <w:rFonts w:hint="eastAsia" w:ascii="宋体" w:hAnsi="宋体" w:eastAsia="宋体" w:cs="宋体"/>
                <w:color w:val="auto"/>
                <w:lang w:eastAsia="zh-CN"/>
              </w:rPr>
              <w:t>7</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45B34B70">
            <w:pPr>
              <w:textAlignment w:val="center"/>
              <w:rPr>
                <w:rFonts w:ascii="宋体" w:hAnsi="宋体" w:eastAsia="宋体" w:cs="宋体"/>
                <w:color w:val="auto"/>
              </w:rPr>
            </w:pPr>
            <w:r>
              <w:rPr>
                <w:rFonts w:hint="eastAsia" w:ascii="宋体" w:hAnsi="宋体" w:eastAsia="宋体" w:cs="宋体"/>
                <w:color w:val="auto"/>
                <w:lang w:eastAsia="zh-CN"/>
              </w:rPr>
              <w:t>大景城13号楼1单元2号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3FE06062">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56940CCD">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2483">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70303BC9">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A5F1D95">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1C633579">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082AF292">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7F8B8A0">
            <w:pPr>
              <w:jc w:val="center"/>
              <w:textAlignment w:val="center"/>
              <w:rPr>
                <w:rFonts w:ascii="宋体" w:hAnsi="宋体" w:eastAsia="宋体" w:cs="宋体"/>
                <w:color w:val="auto"/>
              </w:rPr>
            </w:pPr>
            <w:r>
              <w:rPr>
                <w:rFonts w:hint="eastAsia" w:ascii="宋体" w:hAnsi="宋体" w:eastAsia="宋体" w:cs="宋体"/>
                <w:color w:val="auto"/>
                <w:lang w:eastAsia="zh-CN"/>
              </w:rPr>
              <w:t>8</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2E66992A">
            <w:pPr>
              <w:textAlignment w:val="center"/>
              <w:rPr>
                <w:rFonts w:ascii="宋体" w:hAnsi="宋体" w:eastAsia="宋体" w:cs="宋体"/>
                <w:color w:val="auto"/>
              </w:rPr>
            </w:pPr>
            <w:r>
              <w:rPr>
                <w:rFonts w:hint="eastAsia" w:ascii="宋体" w:hAnsi="宋体" w:eastAsia="宋体" w:cs="宋体"/>
                <w:color w:val="auto"/>
                <w:lang w:eastAsia="zh-CN"/>
              </w:rPr>
              <w:t>大景城14号楼1单元1号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3A1D70DB">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644D215F">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0883">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081D1255">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0B643329">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55EDE549">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5B1EA8D3">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97D9DC7">
            <w:pPr>
              <w:jc w:val="center"/>
              <w:textAlignment w:val="center"/>
              <w:rPr>
                <w:rFonts w:ascii="宋体" w:hAnsi="宋体" w:eastAsia="宋体" w:cs="宋体"/>
                <w:color w:val="auto"/>
              </w:rPr>
            </w:pPr>
            <w:r>
              <w:rPr>
                <w:rFonts w:hint="eastAsia" w:ascii="宋体" w:hAnsi="宋体" w:eastAsia="宋体" w:cs="宋体"/>
                <w:color w:val="auto"/>
                <w:lang w:eastAsia="zh-CN"/>
              </w:rPr>
              <w:t>9</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61680AD5">
            <w:pPr>
              <w:textAlignment w:val="center"/>
              <w:rPr>
                <w:rFonts w:ascii="宋体" w:hAnsi="宋体" w:eastAsia="宋体" w:cs="宋体"/>
                <w:color w:val="auto"/>
              </w:rPr>
            </w:pPr>
            <w:r>
              <w:rPr>
                <w:rFonts w:hint="eastAsia" w:ascii="宋体" w:hAnsi="宋体" w:eastAsia="宋体" w:cs="宋体"/>
                <w:color w:val="auto"/>
                <w:lang w:eastAsia="zh-CN"/>
              </w:rPr>
              <w:t>大景城14号楼1单元2号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0DA3C7EF">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3FF7AAB8">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FD0A">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800</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4DD9F9EA">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A9BC8A0">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0BD42350">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0E64BAF6">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9F15952">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2171C3D9">
            <w:pPr>
              <w:textAlignment w:val="center"/>
              <w:rPr>
                <w:rFonts w:ascii="宋体" w:hAnsi="宋体" w:eastAsia="宋体" w:cs="宋体"/>
                <w:color w:val="auto"/>
              </w:rPr>
            </w:pPr>
            <w:r>
              <w:rPr>
                <w:rFonts w:hint="eastAsia" w:ascii="宋体" w:hAnsi="宋体" w:eastAsia="宋体" w:cs="宋体"/>
                <w:color w:val="auto"/>
                <w:lang w:eastAsia="zh-CN"/>
              </w:rPr>
              <w:t>大景城15号楼1单元1号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46BB73F5">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09F93BE4">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6717">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825</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75F4889A">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1385B4AB">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2A036061">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6ECC0C4A">
        <w:tblPrEx>
          <w:tblCellMar>
            <w:top w:w="0" w:type="dxa"/>
            <w:left w:w="108" w:type="dxa"/>
            <w:bottom w:w="0" w:type="dxa"/>
            <w:right w:w="108" w:type="dxa"/>
          </w:tblCellMar>
        </w:tblPrEx>
        <w:trPr>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FEEF973">
            <w:pPr>
              <w:jc w:val="center"/>
              <w:textAlignment w:val="center"/>
              <w:rPr>
                <w:rFonts w:ascii="宋体" w:hAnsi="宋体" w:eastAsia="宋体" w:cs="宋体"/>
                <w:color w:val="auto"/>
              </w:rPr>
            </w:pPr>
            <w:r>
              <w:rPr>
                <w:rFonts w:hint="eastAsia" w:ascii="宋体" w:hAnsi="宋体" w:eastAsia="宋体" w:cs="宋体"/>
                <w:color w:val="auto"/>
                <w:lang w:eastAsia="zh-CN"/>
              </w:rPr>
              <w:t>11</w:t>
            </w:r>
          </w:p>
        </w:tc>
        <w:tc>
          <w:tcPr>
            <w:tcW w:w="2802" w:type="dxa"/>
            <w:tcBorders>
              <w:top w:val="single" w:color="000000" w:sz="4" w:space="0"/>
              <w:left w:val="single" w:color="000000" w:sz="4" w:space="0"/>
              <w:bottom w:val="single" w:color="000000" w:sz="4" w:space="0"/>
              <w:right w:val="single" w:color="000000" w:sz="4" w:space="0"/>
            </w:tcBorders>
            <w:noWrap/>
            <w:vAlign w:val="center"/>
          </w:tcPr>
          <w:p w14:paraId="5568409E">
            <w:pPr>
              <w:textAlignment w:val="center"/>
              <w:rPr>
                <w:rFonts w:ascii="宋体" w:hAnsi="宋体" w:eastAsia="宋体" w:cs="宋体"/>
                <w:color w:val="auto"/>
              </w:rPr>
            </w:pPr>
            <w:r>
              <w:rPr>
                <w:rFonts w:hint="eastAsia" w:ascii="宋体" w:hAnsi="宋体" w:eastAsia="宋体" w:cs="宋体"/>
                <w:color w:val="auto"/>
                <w:lang w:eastAsia="zh-CN"/>
              </w:rPr>
              <w:t>大景城15号楼1单元2号</w:t>
            </w:r>
          </w:p>
        </w:tc>
        <w:tc>
          <w:tcPr>
            <w:tcW w:w="1909" w:type="dxa"/>
            <w:tcBorders>
              <w:top w:val="single" w:color="000000" w:sz="4" w:space="0"/>
              <w:left w:val="single" w:color="000000" w:sz="4" w:space="0"/>
              <w:bottom w:val="single" w:color="000000" w:sz="4" w:space="0"/>
              <w:right w:val="single" w:color="000000" w:sz="4" w:space="0"/>
            </w:tcBorders>
            <w:noWrap/>
            <w:vAlign w:val="center"/>
          </w:tcPr>
          <w:p w14:paraId="6D91BEB5">
            <w:pPr>
              <w:jc w:val="center"/>
              <w:textAlignment w:val="center"/>
              <w:rPr>
                <w:rFonts w:ascii="宋体" w:hAnsi="宋体" w:eastAsia="宋体" w:cs="宋体"/>
                <w:color w:val="auto"/>
              </w:rPr>
            </w:pPr>
            <w:r>
              <w:rPr>
                <w:rFonts w:hint="eastAsia" w:ascii="宋体" w:hAnsi="宋体" w:eastAsia="宋体" w:cs="宋体"/>
                <w:color w:val="auto"/>
                <w:lang w:eastAsia="zh-CN"/>
              </w:rPr>
              <w:t>有机房</w:t>
            </w:r>
          </w:p>
        </w:tc>
        <w:tc>
          <w:tcPr>
            <w:tcW w:w="851" w:type="dxa"/>
            <w:tcBorders>
              <w:top w:val="single" w:color="000000" w:sz="4" w:space="0"/>
              <w:left w:val="single" w:color="000000" w:sz="4" w:space="0"/>
              <w:bottom w:val="single" w:color="000000" w:sz="4" w:space="0"/>
              <w:right w:val="single" w:color="000000" w:sz="4" w:space="0"/>
            </w:tcBorders>
            <w:noWrap/>
            <w:vAlign w:val="center"/>
          </w:tcPr>
          <w:p w14:paraId="4EFB078A">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1.75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29937">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825</w:t>
            </w:r>
          </w:p>
        </w:tc>
        <w:tc>
          <w:tcPr>
            <w:tcW w:w="1267" w:type="dxa"/>
            <w:tcBorders>
              <w:top w:val="single" w:color="000000" w:sz="4" w:space="0"/>
              <w:left w:val="single" w:color="000000" w:sz="4" w:space="0"/>
              <w:bottom w:val="single" w:color="000000" w:sz="4" w:space="0"/>
              <w:right w:val="single" w:color="000000" w:sz="4" w:space="0"/>
            </w:tcBorders>
            <w:noWrap/>
            <w:vAlign w:val="center"/>
          </w:tcPr>
          <w:p w14:paraId="6A2EECC0">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10</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F6ECB31">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5718E0E2">
            <w:pPr>
              <w:jc w:val="center"/>
              <w:textAlignment w:val="center"/>
              <w:rPr>
                <w:rFonts w:ascii="宋体" w:hAnsi="宋体" w:eastAsia="宋体" w:cs="宋体"/>
                <w:color w:val="auto"/>
              </w:rPr>
            </w:pPr>
            <w:r>
              <w:rPr>
                <w:rFonts w:hint="eastAsia" w:ascii="宋体" w:hAnsi="宋体" w:eastAsia="宋体" w:cs="宋体"/>
                <w:color w:val="auto"/>
                <w:lang w:eastAsia="zh-CN"/>
              </w:rPr>
              <w:t>1</w:t>
            </w:r>
          </w:p>
        </w:tc>
      </w:tr>
      <w:tr w14:paraId="5140CE4E">
        <w:tblPrEx>
          <w:tblCellMar>
            <w:top w:w="0" w:type="dxa"/>
            <w:left w:w="108" w:type="dxa"/>
            <w:bottom w:w="0" w:type="dxa"/>
            <w:right w:w="108" w:type="dxa"/>
          </w:tblCellMar>
        </w:tblPrEx>
        <w:trPr>
          <w:jc w:val="center"/>
        </w:trPr>
        <w:tc>
          <w:tcPr>
            <w:tcW w:w="11183" w:type="dxa"/>
            <w:gridSpan w:val="8"/>
            <w:tcBorders>
              <w:top w:val="single" w:color="000000" w:sz="4" w:space="0"/>
              <w:left w:val="single" w:color="000000" w:sz="4" w:space="0"/>
              <w:bottom w:val="single" w:color="000000" w:sz="4" w:space="0"/>
              <w:right w:val="single" w:color="000000" w:sz="4" w:space="0"/>
            </w:tcBorders>
            <w:noWrap/>
            <w:vAlign w:val="center"/>
          </w:tcPr>
          <w:p w14:paraId="566E6C59">
            <w:pPr>
              <w:jc w:val="both"/>
              <w:rPr>
                <w:rFonts w:ascii="宋体" w:hAnsi="宋体" w:eastAsia="宋体" w:cs="宋体"/>
                <w:lang w:eastAsia="zh-CN"/>
              </w:rPr>
            </w:pPr>
            <w:r>
              <w:rPr>
                <w:rFonts w:hint="eastAsia" w:ascii="宋体" w:hAnsi="宋体" w:eastAsia="宋体" w:cs="宋体"/>
                <w:b/>
                <w:bCs/>
                <w:lang w:eastAsia="zh-CN"/>
              </w:rPr>
              <w:t>备注：</w:t>
            </w:r>
            <w:r>
              <w:rPr>
                <w:rFonts w:hint="eastAsia" w:ascii="宋体" w:hAnsi="宋体" w:eastAsia="宋体" w:cs="宋体"/>
                <w:lang w:eastAsia="zh-CN"/>
              </w:rPr>
              <w:t>轿壁、轿门、首层厅门1.5mm 厚发纹不锈钢，其余层厅门1.5mm喷涂钢板，轿厢与对重返绳轮金属材质，轿厢导轨T89，轿厢护脚板金属材质，对重铁采用金属材料，钢丝绳质保10年。等满足更新电梯专项要求的其他条件。</w:t>
            </w:r>
          </w:p>
          <w:p w14:paraId="21706F71">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按照现有井道尺寸，按最大载重量配置电梯。</w:t>
            </w:r>
          </w:p>
        </w:tc>
      </w:tr>
    </w:tbl>
    <w:p w14:paraId="2071143A">
      <w:pPr>
        <w:spacing w:before="78"/>
        <w:ind w:left="122"/>
        <w:outlineLvl w:val="1"/>
        <w:rPr>
          <w:rFonts w:ascii="宋体" w:hAnsi="宋体" w:eastAsia="宋体" w:cs="宋体"/>
          <w:lang w:eastAsia="zh-CN"/>
        </w:rPr>
      </w:pPr>
      <w:r>
        <w:rPr>
          <w:rFonts w:hint="eastAsia" w:ascii="宋体" w:hAnsi="宋体" w:eastAsia="宋体" w:cs="宋体"/>
          <w:b/>
          <w:bCs/>
          <w:spacing w:val="-3"/>
          <w:lang w:eastAsia="zh-CN"/>
        </w:rPr>
        <w:t>二、技术性能指标</w:t>
      </w:r>
    </w:p>
    <w:p w14:paraId="16CA2142">
      <w:pPr>
        <w:spacing w:before="37"/>
        <w:ind w:left="16"/>
        <w:jc w:val="center"/>
        <w:rPr>
          <w:rFonts w:ascii="宋体" w:hAnsi="宋体" w:eastAsia="宋体" w:cs="宋体"/>
          <w:b/>
          <w:bCs/>
          <w:spacing w:val="-2"/>
          <w:lang w:eastAsia="zh-CN"/>
        </w:rPr>
      </w:pPr>
      <w:r>
        <w:rPr>
          <w:rFonts w:hint="eastAsia" w:ascii="宋体" w:hAnsi="宋体" w:eastAsia="宋体" w:cs="宋体"/>
          <w:b/>
          <w:bCs/>
          <w:spacing w:val="-2"/>
          <w:lang w:eastAsia="zh-CN"/>
        </w:rPr>
        <w:t>（一）电梯拆除及安装工程</w:t>
      </w:r>
    </w:p>
    <w:p w14:paraId="27A7784E">
      <w:pPr>
        <w:spacing w:before="37"/>
        <w:ind w:left="16"/>
        <w:rPr>
          <w:rFonts w:ascii="宋体" w:hAnsi="宋体" w:eastAsia="宋体" w:cs="宋体"/>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(1)拆除工程：对拟更换的电梯进行拆除，主要拆除内容如下</w:t>
      </w:r>
    </w:p>
    <w:p w14:paraId="6446618A">
      <w:pPr>
        <w:spacing w:before="37"/>
        <w:rPr>
          <w:rFonts w:ascii="宋体" w:hAnsi="宋体" w:eastAsia="宋体" w:cs="宋体"/>
          <w:spacing w:val="-2"/>
          <w:lang w:eastAsia="zh-CN"/>
        </w:rPr>
      </w:pPr>
      <w:r>
        <w:rPr>
          <w:rFonts w:hint="eastAsia" w:ascii="宋体" w:hAnsi="宋体" w:eastAsia="宋体" w:cs="宋体"/>
          <w:spacing w:val="-2"/>
          <w:lang w:eastAsia="zh-CN"/>
        </w:rPr>
        <w:t>1)拆除厅门及上下坎</w:t>
      </w:r>
    </w:p>
    <w:p w14:paraId="7A51675C">
      <w:pPr>
        <w:spacing w:before="37"/>
        <w:ind w:left="16"/>
        <w:rPr>
          <w:rFonts w:ascii="宋体" w:hAnsi="宋体" w:eastAsia="宋体" w:cs="宋体"/>
          <w:spacing w:val="-2"/>
          <w:lang w:eastAsia="zh-CN"/>
        </w:rPr>
      </w:pPr>
      <w:r>
        <w:rPr>
          <w:rFonts w:hint="eastAsia" w:ascii="宋体" w:hAnsi="宋体" w:eastAsia="宋体" w:cs="宋体"/>
          <w:spacing w:val="-2"/>
          <w:lang w:eastAsia="zh-CN"/>
        </w:rPr>
        <w:t>2)拆门机及护栏</w:t>
      </w:r>
    </w:p>
    <w:p w14:paraId="07626583">
      <w:pPr>
        <w:spacing w:before="37"/>
        <w:ind w:left="16"/>
        <w:rPr>
          <w:rFonts w:ascii="宋体" w:hAnsi="宋体" w:eastAsia="宋体" w:cs="宋体"/>
          <w:spacing w:val="-2"/>
          <w:lang w:eastAsia="zh-CN"/>
        </w:rPr>
      </w:pPr>
      <w:r>
        <w:rPr>
          <w:rFonts w:hint="eastAsia" w:ascii="宋体" w:hAnsi="宋体" w:eastAsia="宋体" w:cs="宋体"/>
          <w:spacing w:val="-2"/>
          <w:lang w:eastAsia="zh-CN"/>
        </w:rPr>
        <w:t>3)拆轿顶及轿壁</w:t>
      </w:r>
    </w:p>
    <w:p w14:paraId="21B73AAA">
      <w:pPr>
        <w:spacing w:before="37"/>
        <w:ind w:left="16"/>
        <w:rPr>
          <w:rFonts w:ascii="宋体" w:hAnsi="宋体" w:eastAsia="宋体" w:cs="宋体"/>
          <w:spacing w:val="-2"/>
          <w:lang w:eastAsia="zh-CN"/>
        </w:rPr>
      </w:pPr>
      <w:r>
        <w:rPr>
          <w:rFonts w:hint="eastAsia" w:ascii="宋体" w:hAnsi="宋体" w:eastAsia="宋体" w:cs="宋体"/>
          <w:spacing w:val="-2"/>
          <w:lang w:eastAsia="zh-CN"/>
        </w:rPr>
        <w:t>4)拆卸小部件及随行电缆</w:t>
      </w:r>
    </w:p>
    <w:p w14:paraId="2659F3A0">
      <w:pPr>
        <w:spacing w:before="37"/>
        <w:ind w:left="16"/>
        <w:rPr>
          <w:rFonts w:ascii="宋体" w:hAnsi="宋体" w:eastAsia="宋体" w:cs="宋体"/>
          <w:spacing w:val="-2"/>
          <w:lang w:eastAsia="zh-CN"/>
        </w:rPr>
      </w:pPr>
      <w:r>
        <w:rPr>
          <w:rFonts w:hint="eastAsia" w:ascii="宋体" w:hAnsi="宋体" w:eastAsia="宋体" w:cs="宋体"/>
          <w:spacing w:val="-2"/>
          <w:lang w:eastAsia="zh-CN"/>
        </w:rPr>
        <w:t>5)拆除导轨及其支架(主副导轨要同时)</w:t>
      </w:r>
    </w:p>
    <w:p w14:paraId="760AB84F">
      <w:pPr>
        <w:spacing w:before="37"/>
        <w:ind w:left="16"/>
        <w:rPr>
          <w:rFonts w:ascii="宋体" w:hAnsi="宋体" w:eastAsia="宋体" w:cs="宋体"/>
          <w:spacing w:val="-2"/>
          <w:lang w:eastAsia="zh-CN"/>
        </w:rPr>
      </w:pPr>
      <w:r>
        <w:rPr>
          <w:rFonts w:hint="eastAsia" w:ascii="宋体" w:hAnsi="宋体" w:eastAsia="宋体" w:cs="宋体"/>
          <w:spacing w:val="-2"/>
          <w:lang w:eastAsia="zh-CN"/>
        </w:rPr>
        <w:t>6)拆除轿厢底板</w:t>
      </w:r>
    </w:p>
    <w:p w14:paraId="3D7BDD51">
      <w:pPr>
        <w:spacing w:before="37"/>
        <w:ind w:left="16"/>
        <w:rPr>
          <w:rFonts w:ascii="宋体" w:hAnsi="宋体" w:eastAsia="宋体" w:cs="宋体"/>
          <w:spacing w:val="-2"/>
          <w:lang w:eastAsia="zh-CN"/>
        </w:rPr>
      </w:pPr>
      <w:r>
        <w:rPr>
          <w:rFonts w:hint="eastAsia" w:ascii="宋体" w:hAnsi="宋体" w:eastAsia="宋体" w:cs="宋体"/>
          <w:spacing w:val="-2"/>
          <w:lang w:eastAsia="zh-CN"/>
        </w:rPr>
        <w:t>7)拆除限速器钢丝绳</w:t>
      </w:r>
    </w:p>
    <w:p w14:paraId="2D581755">
      <w:pPr>
        <w:spacing w:before="37"/>
        <w:ind w:left="16"/>
        <w:rPr>
          <w:rFonts w:ascii="宋体" w:hAnsi="宋体" w:eastAsia="宋体" w:cs="宋体"/>
          <w:spacing w:val="-2"/>
          <w:lang w:eastAsia="zh-CN"/>
        </w:rPr>
      </w:pPr>
      <w:r>
        <w:rPr>
          <w:rFonts w:hint="eastAsia" w:ascii="宋体" w:hAnsi="宋体" w:eastAsia="宋体" w:cs="宋体"/>
          <w:spacing w:val="-2"/>
          <w:lang w:eastAsia="zh-CN"/>
        </w:rPr>
        <w:t>8)拆曳引钢丝绳</w:t>
      </w:r>
    </w:p>
    <w:p w14:paraId="0148A477">
      <w:pPr>
        <w:spacing w:before="37"/>
        <w:ind w:left="16"/>
        <w:rPr>
          <w:rFonts w:ascii="宋体" w:hAnsi="宋体" w:eastAsia="宋体" w:cs="宋体"/>
          <w:spacing w:val="-2"/>
          <w:lang w:eastAsia="zh-CN"/>
        </w:rPr>
      </w:pPr>
      <w:r>
        <w:rPr>
          <w:rFonts w:hint="eastAsia" w:ascii="宋体" w:hAnsi="宋体" w:eastAsia="宋体" w:cs="宋体"/>
          <w:spacing w:val="-2"/>
          <w:lang w:eastAsia="zh-CN"/>
        </w:rPr>
        <w:t>9)清理井道</w:t>
      </w:r>
    </w:p>
    <w:p w14:paraId="7866A911">
      <w:pPr>
        <w:spacing w:before="37"/>
        <w:ind w:left="16"/>
        <w:rPr>
          <w:rFonts w:ascii="宋体" w:hAnsi="宋体" w:eastAsia="宋体" w:cs="宋体"/>
          <w:spacing w:val="-2"/>
          <w:lang w:eastAsia="zh-CN"/>
        </w:rPr>
      </w:pPr>
      <w:r>
        <w:rPr>
          <w:rFonts w:hint="eastAsia" w:ascii="宋体" w:hAnsi="宋体" w:eastAsia="宋体" w:cs="宋体"/>
          <w:spacing w:val="-2"/>
          <w:lang w:eastAsia="zh-CN"/>
        </w:rPr>
        <w:t>10)拆主机</w:t>
      </w:r>
    </w:p>
    <w:p w14:paraId="4AD80C44">
      <w:pPr>
        <w:spacing w:before="37"/>
        <w:ind w:left="16"/>
        <w:rPr>
          <w:rFonts w:ascii="宋体" w:hAnsi="宋体" w:eastAsia="宋体" w:cs="宋体"/>
          <w:spacing w:val="-2"/>
          <w:lang w:eastAsia="zh-CN"/>
        </w:rPr>
      </w:pPr>
      <w:r>
        <w:rPr>
          <w:rFonts w:hint="eastAsia" w:ascii="宋体" w:hAnsi="宋体" w:eastAsia="宋体" w:cs="宋体"/>
          <w:spacing w:val="-2"/>
          <w:lang w:eastAsia="zh-CN"/>
        </w:rPr>
        <w:t>11)分类整理</w:t>
      </w:r>
    </w:p>
    <w:p w14:paraId="65B387CC">
      <w:pPr>
        <w:spacing w:before="37"/>
        <w:ind w:left="16"/>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(2)电梯基本参数</w:t>
      </w:r>
    </w:p>
    <w:p w14:paraId="68C6D9C8">
      <w:pPr>
        <w:spacing w:before="37"/>
        <w:ind w:left="16"/>
        <w:rPr>
          <w:rFonts w:ascii="宋体" w:hAnsi="宋体" w:eastAsia="宋体" w:cs="宋体"/>
          <w:spacing w:val="-2"/>
          <w:lang w:eastAsia="zh-CN"/>
        </w:rPr>
      </w:pPr>
      <w:r>
        <w:rPr>
          <w:rFonts w:hint="eastAsia" w:ascii="宋体" w:hAnsi="宋体" w:eastAsia="宋体" w:cs="宋体"/>
          <w:spacing w:val="-2"/>
          <w:lang w:eastAsia="zh-CN"/>
        </w:rPr>
        <w:t>本项目拟更换的电梯按照现有井道尺寸进行设计安装，本次按照多数电梯井道尺寸进行设计，净宽2200mm，进深 2200mm，顶站高度4500mm，基坑深度1500mm。</w:t>
      </w:r>
    </w:p>
    <w:p w14:paraId="6B93B301">
      <w:pPr>
        <w:spacing w:before="37"/>
        <w:ind w:left="16"/>
        <w:rPr>
          <w:rFonts w:ascii="宋体" w:hAnsi="宋体" w:eastAsia="宋体" w:cs="宋体"/>
          <w:spacing w:val="-2"/>
          <w:lang w:eastAsia="zh-CN"/>
        </w:rPr>
      </w:pPr>
      <w:r>
        <w:rPr>
          <w:rFonts w:hint="eastAsia" w:ascii="宋体" w:hAnsi="宋体" w:eastAsia="宋体" w:cs="宋体"/>
          <w:spacing w:val="-2"/>
          <w:lang w:eastAsia="zh-CN"/>
        </w:rPr>
        <w:t>电梯基本参数如下：</w:t>
      </w:r>
    </w:p>
    <w:p w14:paraId="2D52030E">
      <w:pPr>
        <w:spacing w:before="37"/>
        <w:ind w:left="16"/>
        <w:rPr>
          <w:rFonts w:ascii="宋体" w:hAnsi="宋体" w:eastAsia="宋体" w:cs="宋体"/>
          <w:spacing w:val="-2"/>
          <w:lang w:eastAsia="zh-CN"/>
        </w:rPr>
      </w:pPr>
      <w:r>
        <w:rPr>
          <w:rFonts w:hint="eastAsia" w:ascii="宋体" w:hAnsi="宋体" w:eastAsia="宋体" w:cs="宋体"/>
          <w:spacing w:val="-2"/>
          <w:lang w:eastAsia="zh-CN"/>
        </w:rPr>
        <w:t>序号    参数名称      具体要求</w:t>
      </w:r>
    </w:p>
    <w:p w14:paraId="3E8EABFB">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1)层/站：根据建筑现状层数</w:t>
      </w:r>
    </w:p>
    <w:p w14:paraId="47061388">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2)载重：1000公斤</w:t>
      </w:r>
    </w:p>
    <w:p w14:paraId="593FF08B">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3)速度：1.0m/s</w:t>
      </w:r>
    </w:p>
    <w:p w14:paraId="68B2B3BD">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4)井道尺寸：(宽X深)=(2200mmX2200mm)，以实际情况为准</w:t>
      </w:r>
    </w:p>
    <w:p w14:paraId="2ACF7774">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5)机房尺寸：(以现场尺寸为准)</w:t>
      </w:r>
    </w:p>
    <w:p w14:paraId="316D3719">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6)底坑深度：1500mm，以实际情况为准</w:t>
      </w:r>
    </w:p>
    <w:p w14:paraId="7CBB3E12">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7)顶层高度：3.1米，以实际情况为准</w:t>
      </w:r>
    </w:p>
    <w:p w14:paraId="6629FE4B">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8)楼层标高：2.9米，以实际情况为准</w:t>
      </w:r>
    </w:p>
    <w:p w14:paraId="2541432F">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9)提升高度：根据层/站，按楼层标高自行计算</w:t>
      </w:r>
    </w:p>
    <w:p w14:paraId="1F9BDD86">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10)开门尺寸：净尺寸:0.9米</w:t>
      </w:r>
    </w:p>
    <w:p w14:paraId="7F0EC88D">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11)开门方式：中分门，有≥70束红外光幕的保护装置</w:t>
      </w:r>
    </w:p>
    <w:p w14:paraId="5577EB9A">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12)轿厢尺寸：按现有井道符合相关标准的最大尺寸(宽x深)</w:t>
      </w:r>
    </w:p>
    <w:p w14:paraId="555DAC30">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13)控制柜：32位全电脑智能化数据系统</w:t>
      </w:r>
    </w:p>
    <w:p w14:paraId="1924C453">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14)曳引机：无齿轮永磁同步电机</w:t>
      </w:r>
    </w:p>
    <w:p w14:paraId="0DBCE617">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15)门机：VVVF 变频门机</w:t>
      </w:r>
    </w:p>
    <w:p w14:paraId="3347D009">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16)驱动系统：VVVF 变频变压驱动</w:t>
      </w:r>
    </w:p>
    <w:p w14:paraId="488C5295">
      <w:pPr>
        <w:spacing w:before="37"/>
        <w:ind w:left="16"/>
        <w:jc w:val="both"/>
        <w:rPr>
          <w:rFonts w:ascii="宋体" w:hAnsi="宋体" w:eastAsia="宋体" w:cs="宋体"/>
          <w:spacing w:val="-2"/>
          <w:lang w:eastAsia="zh-CN"/>
        </w:rPr>
      </w:pPr>
      <w:r>
        <w:rPr>
          <w:rFonts w:hint="eastAsia" w:ascii="宋体" w:hAnsi="宋体" w:eastAsia="宋体" w:cs="宋体"/>
          <w:spacing w:val="-2"/>
          <w:lang w:eastAsia="zh-CN"/>
        </w:rPr>
        <w:t>17)平层精度：±3mm</w:t>
      </w:r>
    </w:p>
    <w:p w14:paraId="2EEE6DF7">
      <w:pPr>
        <w:spacing w:before="37"/>
        <w:ind w:left="16"/>
        <w:rPr>
          <w:rFonts w:ascii="宋体" w:hAnsi="宋体" w:eastAsia="宋体" w:cs="宋体"/>
          <w:spacing w:val="-2"/>
          <w:lang w:eastAsia="zh-CN"/>
        </w:rPr>
      </w:pPr>
      <w:r>
        <w:rPr>
          <w:rFonts w:hint="eastAsia" w:ascii="宋体" w:hAnsi="宋体" w:eastAsia="宋体" w:cs="宋体"/>
          <w:spacing w:val="-2"/>
          <w:lang w:eastAsia="zh-CN"/>
        </w:rPr>
        <w:t>天花:节能LED灯照明，简洁大方明亮;</w:t>
      </w:r>
    </w:p>
    <w:p w14:paraId="1824C442">
      <w:pPr>
        <w:spacing w:before="37"/>
        <w:ind w:left="16"/>
        <w:rPr>
          <w:rFonts w:ascii="宋体" w:hAnsi="宋体" w:eastAsia="宋体" w:cs="宋体"/>
          <w:lang w:eastAsia="zh-CN"/>
        </w:rPr>
      </w:pPr>
      <w:r>
        <w:rPr>
          <w:rFonts w:hint="eastAsia" w:ascii="宋体" w:hAnsi="宋体" w:eastAsia="宋体" w:cs="宋体"/>
          <w:lang w:eastAsia="zh-CN"/>
        </w:rPr>
        <w:t>1.5mm 厚发纹不锈钢，其余层厅门 1.5mm 喷涂钢板</w:t>
      </w:r>
    </w:p>
    <w:p w14:paraId="27DF04A5">
      <w:pPr>
        <w:spacing w:before="37"/>
        <w:ind w:left="16"/>
        <w:rPr>
          <w:rFonts w:ascii="宋体" w:hAnsi="宋体" w:eastAsia="宋体" w:cs="宋体"/>
          <w:spacing w:val="-2"/>
          <w:lang w:eastAsia="zh-CN"/>
        </w:rPr>
      </w:pPr>
      <w:r>
        <w:rPr>
          <w:rFonts w:hint="eastAsia" w:ascii="宋体" w:hAnsi="宋体" w:eastAsia="宋体" w:cs="宋体"/>
          <w:spacing w:val="-2"/>
          <w:lang w:eastAsia="zh-CN"/>
        </w:rPr>
        <w:t>轿厢地板:PVC地面;</w:t>
      </w:r>
    </w:p>
    <w:p w14:paraId="3A8A2AD7">
      <w:pPr>
        <w:spacing w:before="37"/>
        <w:ind w:left="16"/>
        <w:rPr>
          <w:rFonts w:ascii="宋体" w:hAnsi="宋体" w:eastAsia="宋体" w:cs="宋体"/>
          <w:spacing w:val="-2"/>
          <w:lang w:eastAsia="zh-CN"/>
        </w:rPr>
      </w:pPr>
      <w:r>
        <w:rPr>
          <w:rFonts w:hint="eastAsia" w:ascii="宋体" w:hAnsi="宋体" w:eastAsia="宋体" w:cs="宋体"/>
          <w:spacing w:val="-2"/>
          <w:lang w:eastAsia="zh-CN"/>
        </w:rPr>
        <w:t>18)轿厢及装潢：三面发纹不锈钢扶手;</w:t>
      </w:r>
    </w:p>
    <w:p w14:paraId="111E80BA">
      <w:pPr>
        <w:spacing w:before="37"/>
        <w:ind w:left="16"/>
        <w:rPr>
          <w:rFonts w:ascii="宋体" w:hAnsi="宋体" w:eastAsia="宋体" w:cs="宋体"/>
          <w:spacing w:val="-2"/>
          <w:lang w:eastAsia="zh-CN"/>
        </w:rPr>
      </w:pPr>
      <w:r>
        <w:rPr>
          <w:rFonts w:hint="eastAsia" w:ascii="宋体" w:hAnsi="宋体" w:eastAsia="宋体" w:cs="宋体"/>
          <w:spacing w:val="-2"/>
          <w:lang w:eastAsia="zh-CN"/>
        </w:rPr>
        <w:t>风扇:隐蔽式风扇;</w:t>
      </w:r>
    </w:p>
    <w:p w14:paraId="6600CD8E">
      <w:pPr>
        <w:spacing w:before="37"/>
        <w:rPr>
          <w:rFonts w:ascii="宋体" w:hAnsi="宋体" w:eastAsia="宋体" w:cs="宋体"/>
          <w:spacing w:val="-2"/>
          <w:lang w:eastAsia="zh-CN"/>
        </w:rPr>
      </w:pPr>
      <w:r>
        <w:rPr>
          <w:rFonts w:hint="eastAsia" w:ascii="宋体" w:hAnsi="宋体" w:eastAsia="宋体" w:cs="宋体"/>
          <w:spacing w:val="-2"/>
          <w:lang w:eastAsia="zh-CN"/>
        </w:rPr>
        <w:t>地坎:硬质铝合金地坎;</w:t>
      </w:r>
    </w:p>
    <w:p w14:paraId="049E41E5">
      <w:pPr>
        <w:spacing w:before="37"/>
        <w:ind w:left="16"/>
        <w:rPr>
          <w:rFonts w:ascii="宋体" w:hAnsi="宋体" w:eastAsia="宋体" w:cs="宋体"/>
          <w:spacing w:val="-2"/>
          <w:lang w:eastAsia="zh-CN"/>
        </w:rPr>
      </w:pPr>
      <w:r>
        <w:rPr>
          <w:rFonts w:hint="eastAsia" w:ascii="宋体" w:hAnsi="宋体" w:eastAsia="宋体" w:cs="宋体"/>
          <w:spacing w:val="-2"/>
          <w:lang w:eastAsia="zh-CN"/>
        </w:rPr>
        <w:t>通风:轿厢顶部内设换气装置;</w:t>
      </w:r>
    </w:p>
    <w:p w14:paraId="70B3EA6B">
      <w:pPr>
        <w:spacing w:before="37"/>
        <w:ind w:left="16"/>
        <w:rPr>
          <w:rFonts w:ascii="宋体" w:hAnsi="宋体" w:eastAsia="宋体" w:cs="宋体"/>
          <w:spacing w:val="-2"/>
          <w:lang w:eastAsia="zh-CN"/>
        </w:rPr>
      </w:pPr>
      <w:r>
        <w:rPr>
          <w:rFonts w:hint="eastAsia" w:ascii="宋体" w:hAnsi="宋体" w:eastAsia="宋体" w:cs="宋体"/>
          <w:spacing w:val="-2"/>
          <w:lang w:eastAsia="zh-CN"/>
        </w:rPr>
        <w:t>轿厢内操作盘:LCD显示，一体式发纹不锈钢面板，同时指示轿厢位置及运行方向。具有与停靠层同数之微触式按钮，配置紧急呼叫按钮;</w:t>
      </w:r>
    </w:p>
    <w:p w14:paraId="42553B87">
      <w:pPr>
        <w:spacing w:before="37"/>
        <w:ind w:left="16"/>
        <w:rPr>
          <w:rFonts w:ascii="宋体" w:hAnsi="宋体" w:eastAsia="宋体" w:cs="宋体"/>
          <w:spacing w:val="-2"/>
          <w:lang w:eastAsia="zh-CN"/>
        </w:rPr>
      </w:pPr>
      <w:r>
        <w:rPr>
          <w:rFonts w:hint="eastAsia" w:ascii="宋体" w:hAnsi="宋体" w:eastAsia="宋体" w:cs="宋体"/>
          <w:spacing w:val="-2"/>
          <w:lang w:eastAsia="zh-CN"/>
        </w:rPr>
        <w:t>19)操作箱：门及关门微触式按钮各一付，并以图形表示;一个以钥匙操作之开关箱，内有照明开关、风扇开关、检修开关等;操作盘面板上应附有禁烟标识。</w:t>
      </w:r>
    </w:p>
    <w:p w14:paraId="0605B3F6">
      <w:pPr>
        <w:spacing w:before="37"/>
        <w:ind w:left="16"/>
        <w:rPr>
          <w:rFonts w:ascii="宋体" w:hAnsi="宋体" w:eastAsia="宋体" w:cs="宋体"/>
          <w:spacing w:val="-2"/>
          <w:lang w:eastAsia="zh-CN"/>
        </w:rPr>
      </w:pPr>
      <w:r>
        <w:rPr>
          <w:rFonts w:hint="eastAsia" w:ascii="宋体" w:hAnsi="宋体" w:eastAsia="宋体" w:cs="宋体"/>
          <w:spacing w:val="-2"/>
          <w:lang w:eastAsia="zh-CN"/>
        </w:rPr>
        <w:t>20)厅门门套：为发纹不锈钢材质。</w:t>
      </w:r>
    </w:p>
    <w:p w14:paraId="418AC17E">
      <w:pPr>
        <w:spacing w:before="37"/>
        <w:ind w:left="16"/>
        <w:rPr>
          <w:rFonts w:ascii="宋体" w:hAnsi="宋体" w:eastAsia="宋体" w:cs="宋体"/>
          <w:spacing w:val="-2"/>
          <w:lang w:eastAsia="zh-CN"/>
        </w:rPr>
      </w:pPr>
      <w:r>
        <w:rPr>
          <w:rFonts w:hint="eastAsia" w:ascii="宋体" w:hAnsi="宋体" w:eastAsia="宋体" w:cs="宋体"/>
          <w:spacing w:val="-2"/>
          <w:lang w:eastAsia="zh-CN"/>
        </w:rPr>
        <w:t>21)门套：各层均采用小门套</w:t>
      </w:r>
    </w:p>
    <w:p w14:paraId="446059DA">
      <w:pPr>
        <w:spacing w:before="37"/>
        <w:ind w:left="16"/>
        <w:rPr>
          <w:rFonts w:ascii="宋体" w:hAnsi="宋体" w:eastAsia="宋体" w:cs="宋体"/>
          <w:spacing w:val="-2"/>
          <w:lang w:eastAsia="zh-CN"/>
        </w:rPr>
      </w:pPr>
      <w:r>
        <w:rPr>
          <w:rFonts w:hint="eastAsia" w:ascii="宋体" w:hAnsi="宋体" w:eastAsia="宋体" w:cs="宋体"/>
          <w:spacing w:val="-2"/>
          <w:lang w:eastAsia="zh-CN"/>
        </w:rPr>
        <w:t>22)厅外台唤：各层均采用单控竖立式召唤箱，LCD显示，发纹不锈钢面板，同时指示轿厢位置及运行方向。1层配置以钥匙操作之电梯运行开关。</w:t>
      </w:r>
    </w:p>
    <w:p w14:paraId="5C184083">
      <w:pPr>
        <w:spacing w:before="37"/>
        <w:ind w:left="16"/>
        <w:rPr>
          <w:rFonts w:ascii="宋体" w:hAnsi="宋体" w:eastAsia="宋体" w:cs="宋体"/>
          <w:spacing w:val="-2"/>
          <w:lang w:eastAsia="zh-CN"/>
        </w:rPr>
      </w:pPr>
      <w:r>
        <w:rPr>
          <w:rFonts w:hint="eastAsia" w:ascii="宋体" w:hAnsi="宋体" w:eastAsia="宋体" w:cs="宋体"/>
          <w:spacing w:val="-2"/>
          <w:lang w:eastAsia="zh-CN"/>
        </w:rPr>
        <w:t>23)泊梯开关：配置在1层</w:t>
      </w:r>
    </w:p>
    <w:p w14:paraId="6044BEF6">
      <w:pPr>
        <w:spacing w:before="37"/>
        <w:ind w:left="16"/>
        <w:rPr>
          <w:rFonts w:ascii="宋体" w:hAnsi="宋体" w:eastAsia="宋体" w:cs="宋体"/>
          <w:spacing w:val="-2"/>
          <w:lang w:eastAsia="zh-CN"/>
        </w:rPr>
      </w:pPr>
      <w:r>
        <w:rPr>
          <w:rFonts w:hint="eastAsia" w:ascii="宋体" w:hAnsi="宋体" w:eastAsia="宋体" w:cs="宋体"/>
          <w:spacing w:val="-2"/>
          <w:lang w:eastAsia="zh-CN"/>
        </w:rPr>
        <w:t>24)消防要求：配置消防功能</w:t>
      </w:r>
    </w:p>
    <w:p w14:paraId="1762226E">
      <w:pPr>
        <w:spacing w:before="37"/>
        <w:ind w:left="16"/>
        <w:rPr>
          <w:rFonts w:ascii="宋体" w:hAnsi="宋体" w:eastAsia="宋体" w:cs="宋体"/>
          <w:spacing w:val="-2"/>
          <w:lang w:eastAsia="zh-CN"/>
        </w:rPr>
      </w:pPr>
      <w:r>
        <w:rPr>
          <w:rFonts w:hint="eastAsia" w:ascii="宋体" w:hAnsi="宋体" w:eastAsia="宋体" w:cs="宋体"/>
          <w:spacing w:val="-2"/>
          <w:lang w:eastAsia="zh-CN"/>
        </w:rPr>
        <w:t>25)载荷类型：轿厢集中载荷不小于80%的额定载荷</w:t>
      </w:r>
    </w:p>
    <w:p w14:paraId="65A787BA">
      <w:pPr>
        <w:spacing w:before="37"/>
        <w:ind w:left="16"/>
        <w:rPr>
          <w:rFonts w:ascii="宋体" w:hAnsi="宋体" w:eastAsia="宋体" w:cs="宋体"/>
          <w:spacing w:val="-2"/>
          <w:lang w:eastAsia="zh-CN"/>
        </w:rPr>
      </w:pPr>
      <w:r>
        <w:rPr>
          <w:rFonts w:hint="eastAsia" w:ascii="宋体" w:hAnsi="宋体" w:eastAsia="宋体" w:cs="宋体"/>
          <w:spacing w:val="-2"/>
          <w:lang w:eastAsia="zh-CN"/>
        </w:rPr>
        <w:t>26)温度：-10℃~40℃;相对温度:85%</w:t>
      </w:r>
    </w:p>
    <w:p w14:paraId="000735DB">
      <w:pPr>
        <w:spacing w:before="37"/>
        <w:ind w:left="16"/>
        <w:rPr>
          <w:rFonts w:ascii="宋体" w:hAnsi="宋体" w:eastAsia="宋体" w:cs="宋体"/>
          <w:spacing w:val="-2"/>
          <w:lang w:eastAsia="zh-CN"/>
        </w:rPr>
      </w:pPr>
      <w:r>
        <w:rPr>
          <w:rFonts w:hint="eastAsia" w:ascii="宋体" w:hAnsi="宋体" w:eastAsia="宋体" w:cs="宋体"/>
          <w:spacing w:val="-2"/>
          <w:lang w:eastAsia="zh-CN"/>
        </w:rPr>
        <w:t>27)电缆：防缠绕型电梯专用的扁平电缆动力电源一AC 三相五线 380V、50HZ;</w:t>
      </w:r>
    </w:p>
    <w:p w14:paraId="53A97A58">
      <w:pPr>
        <w:spacing w:before="37"/>
        <w:ind w:left="16"/>
        <w:rPr>
          <w:rFonts w:ascii="宋体" w:hAnsi="宋体" w:eastAsia="宋体" w:cs="宋体"/>
          <w:spacing w:val="-2"/>
          <w:lang w:eastAsia="zh-CN"/>
        </w:rPr>
      </w:pPr>
      <w:r>
        <w:rPr>
          <w:rFonts w:hint="eastAsia" w:ascii="宋体" w:hAnsi="宋体" w:eastAsia="宋体" w:cs="宋体"/>
          <w:spacing w:val="-2"/>
          <w:lang w:eastAsia="zh-CN"/>
        </w:rPr>
        <w:t>28)电源：照明电源一AC单相220V、50HZ;电压允许波动范围±10%;双馈电路自动切换;</w:t>
      </w:r>
    </w:p>
    <w:p w14:paraId="115F2E91">
      <w:pPr>
        <w:spacing w:before="37"/>
        <w:ind w:left="16"/>
        <w:rPr>
          <w:rFonts w:ascii="宋体" w:hAnsi="宋体" w:eastAsia="宋体" w:cs="宋体"/>
          <w:spacing w:val="-2"/>
          <w:lang w:eastAsia="zh-CN"/>
        </w:rPr>
      </w:pPr>
      <w:r>
        <w:rPr>
          <w:rFonts w:hint="eastAsia" w:ascii="宋体" w:hAnsi="宋体" w:eastAsia="宋体" w:cs="宋体"/>
          <w:spacing w:val="-2"/>
          <w:lang w:eastAsia="zh-CN"/>
        </w:rPr>
        <w:t>29）摄像头：视频H.264+48V国际POE，POE和电源供电。并与监控室联接，同时电梯内音频、图像在监控室显示。具备阻止电动车等设施进入电梯的安全保护功能。</w:t>
      </w:r>
    </w:p>
    <w:p w14:paraId="28F2E9E7">
      <w:pPr>
        <w:spacing w:before="37"/>
        <w:ind w:left="16"/>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(3)主要部件质量要求</w:t>
      </w:r>
    </w:p>
    <w:p w14:paraId="069ADCDF">
      <w:pPr>
        <w:spacing w:before="37"/>
        <w:ind w:left="16"/>
        <w:rPr>
          <w:rFonts w:ascii="宋体" w:hAnsi="宋体" w:eastAsia="宋体" w:cs="宋体"/>
          <w:spacing w:val="-2"/>
          <w:lang w:eastAsia="zh-CN"/>
        </w:rPr>
      </w:pPr>
      <w:r>
        <w:rPr>
          <w:rFonts w:hint="eastAsia" w:ascii="宋体" w:hAnsi="宋体" w:eastAsia="宋体" w:cs="宋体"/>
          <w:spacing w:val="-2"/>
          <w:lang w:eastAsia="zh-CN"/>
        </w:rPr>
        <w:t>①在《电梯技术条件》规定的条件下使用和正常维护保养，曳引钢丝绳(包覆带/包覆绳)的设计使用年限不应低于5年或驱动主机启动次数不宜低于120万次。</w:t>
      </w:r>
    </w:p>
    <w:p w14:paraId="21B6A971">
      <w:pPr>
        <w:spacing w:before="37"/>
        <w:ind w:left="16"/>
        <w:rPr>
          <w:rFonts w:ascii="宋体" w:hAnsi="宋体" w:eastAsia="宋体" w:cs="宋体"/>
          <w:spacing w:val="-2"/>
          <w:lang w:eastAsia="zh-CN"/>
        </w:rPr>
      </w:pPr>
      <w:r>
        <w:rPr>
          <w:rFonts w:hint="eastAsia" w:ascii="宋体" w:hAnsi="宋体" w:eastAsia="宋体" w:cs="宋体"/>
          <w:spacing w:val="-2"/>
          <w:lang w:eastAsia="zh-CN"/>
        </w:rPr>
        <w:t>②建筑物电梯层门具有耐火性能，电梯层门应按《电梯层门耐火试验泄漏量、隔热、辐射测定法》要求进行测试，耐火完整性不应低于120分钟。</w:t>
      </w:r>
    </w:p>
    <w:p w14:paraId="70D486F4">
      <w:pPr>
        <w:spacing w:before="37"/>
        <w:ind w:left="16"/>
        <w:rPr>
          <w:rFonts w:ascii="宋体" w:hAnsi="宋体" w:eastAsia="宋体" w:cs="宋体"/>
          <w:spacing w:val="-2"/>
          <w:lang w:eastAsia="zh-CN"/>
        </w:rPr>
      </w:pPr>
      <w:r>
        <w:rPr>
          <w:rFonts w:hint="eastAsia" w:ascii="宋体" w:hAnsi="宋体" w:eastAsia="宋体" w:cs="宋体"/>
          <w:spacing w:val="-2"/>
          <w:lang w:eastAsia="zh-CN"/>
        </w:rPr>
        <w:t>③轿厢内通风应符合以下要求:</w:t>
      </w:r>
    </w:p>
    <w:p w14:paraId="29965295">
      <w:pPr>
        <w:spacing w:before="37"/>
        <w:ind w:left="16"/>
        <w:rPr>
          <w:rFonts w:ascii="宋体" w:hAnsi="宋体" w:eastAsia="宋体" w:cs="宋体"/>
          <w:spacing w:val="-2"/>
          <w:lang w:eastAsia="zh-CN"/>
        </w:rPr>
      </w:pPr>
      <w:r>
        <w:rPr>
          <w:rFonts w:hint="eastAsia" w:ascii="宋体" w:hAnsi="宋体" w:eastAsia="宋体" w:cs="宋体"/>
          <w:spacing w:val="-2"/>
          <w:lang w:eastAsia="zh-CN"/>
        </w:rPr>
        <w:t>1)轿厢通风装置的风量应能够保证轿厢内空气每小时更换不宜小于20次。</w:t>
      </w:r>
    </w:p>
    <w:p w14:paraId="188EC8D5">
      <w:pPr>
        <w:spacing w:before="37"/>
        <w:ind w:left="16"/>
        <w:rPr>
          <w:rFonts w:ascii="宋体" w:hAnsi="宋体" w:eastAsia="宋体" w:cs="宋体"/>
          <w:spacing w:val="-2"/>
          <w:lang w:eastAsia="zh-CN"/>
        </w:rPr>
      </w:pPr>
      <w:r>
        <w:rPr>
          <w:rFonts w:hint="eastAsia" w:ascii="宋体" w:hAnsi="宋体" w:eastAsia="宋体" w:cs="宋体"/>
          <w:spacing w:val="-2"/>
          <w:lang w:eastAsia="zh-CN"/>
        </w:rPr>
        <w:t>2)通风装置在实验室环境下，距离通风装置出风口1米处的噪声不应大于50dB(A)。</w:t>
      </w:r>
    </w:p>
    <w:p w14:paraId="2EAFEF17">
      <w:pPr>
        <w:spacing w:before="37"/>
        <w:ind w:left="16"/>
        <w:rPr>
          <w:rFonts w:ascii="宋体" w:hAnsi="宋体" w:eastAsia="宋体" w:cs="宋体"/>
          <w:spacing w:val="-2"/>
          <w:lang w:eastAsia="zh-CN"/>
        </w:rPr>
      </w:pPr>
      <w:r>
        <w:rPr>
          <w:rFonts w:hint="eastAsia" w:ascii="宋体" w:hAnsi="宋体" w:eastAsia="宋体" w:cs="宋体"/>
          <w:spacing w:val="-2"/>
          <w:lang w:eastAsia="zh-CN"/>
        </w:rPr>
        <w:t>④电梯整机要求</w:t>
      </w:r>
    </w:p>
    <w:p w14:paraId="0CE0333A">
      <w:pPr>
        <w:spacing w:before="37"/>
        <w:ind w:left="16"/>
        <w:rPr>
          <w:rFonts w:ascii="宋体" w:hAnsi="宋体" w:eastAsia="宋体" w:cs="宋体"/>
          <w:spacing w:val="-2"/>
          <w:lang w:eastAsia="zh-CN"/>
        </w:rPr>
      </w:pPr>
      <w:r>
        <w:rPr>
          <w:rFonts w:hint="eastAsia" w:ascii="宋体" w:hAnsi="宋体" w:eastAsia="宋体" w:cs="宋体"/>
          <w:spacing w:val="-2"/>
          <w:lang w:eastAsia="zh-CN"/>
        </w:rPr>
        <w:t>启制动运行60000次中失效(故障)次数不应超过5次。每次失效(故障)修复时间不应超过1h。可靠性试验完成后整机应运行正常，功能完好，机械结构性能完好。</w:t>
      </w:r>
    </w:p>
    <w:p w14:paraId="49C02922">
      <w:pPr>
        <w:spacing w:before="37"/>
        <w:ind w:left="16"/>
        <w:rPr>
          <w:rFonts w:ascii="宋体" w:hAnsi="宋体" w:eastAsia="宋体" w:cs="宋体"/>
          <w:spacing w:val="-2"/>
          <w:lang w:eastAsia="zh-CN"/>
        </w:rPr>
      </w:pPr>
      <w:r>
        <w:rPr>
          <w:rFonts w:hint="eastAsia" w:ascii="宋体" w:hAnsi="宋体" w:eastAsia="宋体" w:cs="宋体"/>
          <w:spacing w:val="-2"/>
          <w:lang w:eastAsia="zh-CN"/>
        </w:rPr>
        <w:t>⑤控制系统要求</w:t>
      </w:r>
    </w:p>
    <w:p w14:paraId="3647FF87">
      <w:pPr>
        <w:spacing w:before="37"/>
        <w:ind w:left="16"/>
        <w:rPr>
          <w:rFonts w:ascii="宋体" w:hAnsi="宋体" w:eastAsia="宋体" w:cs="宋体"/>
          <w:spacing w:val="-2"/>
          <w:lang w:eastAsia="zh-CN"/>
        </w:rPr>
      </w:pPr>
      <w:r>
        <w:rPr>
          <w:rFonts w:hint="eastAsia" w:ascii="宋体" w:hAnsi="宋体" w:eastAsia="宋体" w:cs="宋体"/>
          <w:spacing w:val="-2"/>
          <w:lang w:eastAsia="zh-CN"/>
        </w:rPr>
        <w:t>在被控制柜驱动与控制的电梯启制动运行60000次中，控制柜失效(故障)次数不应超过2次。</w:t>
      </w:r>
    </w:p>
    <w:p w14:paraId="5626FE90">
      <w:pPr>
        <w:spacing w:before="37"/>
        <w:ind w:left="16"/>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(4)功能要求</w:t>
      </w:r>
    </w:p>
    <w:p w14:paraId="6D562EE2">
      <w:pPr>
        <w:spacing w:before="37"/>
        <w:ind w:left="16"/>
        <w:rPr>
          <w:rFonts w:ascii="宋体" w:hAnsi="宋体" w:eastAsia="宋体" w:cs="宋体"/>
          <w:spacing w:val="-2"/>
          <w:lang w:eastAsia="zh-CN"/>
        </w:rPr>
      </w:pPr>
      <w:r>
        <w:rPr>
          <w:rFonts w:hint="eastAsia" w:ascii="宋体" w:hAnsi="宋体" w:eastAsia="宋体" w:cs="宋体"/>
          <w:spacing w:val="-2"/>
          <w:lang w:eastAsia="zh-CN"/>
        </w:rPr>
        <w:t>①出入保护功能</w:t>
      </w:r>
    </w:p>
    <w:p w14:paraId="10969A84">
      <w:pPr>
        <w:spacing w:before="37"/>
        <w:ind w:left="16"/>
        <w:rPr>
          <w:rFonts w:ascii="宋体" w:hAnsi="宋体" w:eastAsia="宋体" w:cs="宋体"/>
          <w:spacing w:val="-2"/>
          <w:lang w:eastAsia="zh-CN"/>
        </w:rPr>
      </w:pPr>
      <w:r>
        <w:rPr>
          <w:rFonts w:hint="eastAsia" w:ascii="宋体" w:hAnsi="宋体" w:eastAsia="宋体" w:cs="宋体"/>
          <w:spacing w:val="-2"/>
          <w:lang w:eastAsia="zh-CN"/>
        </w:rPr>
        <w:t>能检测出直径不小于50mm的障碍物，当检测到相应的障碍物时，应保持电梯开门并不应启动电梯运行。配置探测电动自行车的进入功能，当探测到有电动自行车进入轿厢，应保持电梯开门并不应启动电梯运行。</w:t>
      </w:r>
    </w:p>
    <w:p w14:paraId="5332B690">
      <w:pPr>
        <w:spacing w:before="37"/>
        <w:ind w:left="16"/>
        <w:rPr>
          <w:rFonts w:ascii="宋体" w:hAnsi="宋体" w:eastAsia="宋体" w:cs="宋体"/>
          <w:spacing w:val="-2"/>
          <w:lang w:eastAsia="zh-CN"/>
        </w:rPr>
      </w:pPr>
      <w:r>
        <w:rPr>
          <w:rFonts w:hint="eastAsia" w:ascii="宋体" w:hAnsi="宋体" w:eastAsia="宋体" w:cs="宋体"/>
          <w:spacing w:val="-2"/>
          <w:lang w:eastAsia="zh-CN"/>
        </w:rPr>
        <w:t>②电梯自动救援装置</w:t>
      </w:r>
    </w:p>
    <w:p w14:paraId="0CD1A4E0">
      <w:pPr>
        <w:spacing w:before="37"/>
        <w:ind w:left="16"/>
        <w:rPr>
          <w:rFonts w:ascii="宋体" w:hAnsi="宋体" w:eastAsia="宋体" w:cs="宋体"/>
          <w:spacing w:val="-2"/>
          <w:lang w:eastAsia="zh-CN"/>
        </w:rPr>
      </w:pPr>
      <w:r>
        <w:rPr>
          <w:rFonts w:hint="eastAsia" w:ascii="宋体" w:hAnsi="宋体" w:eastAsia="宋体" w:cs="宋体"/>
          <w:spacing w:val="-2"/>
          <w:lang w:eastAsia="zh-CN"/>
        </w:rPr>
        <w:t>本项目部分电梯未配备双电源，配置符合《电梯自动救援操作装置》要求的自动救援装置。</w:t>
      </w:r>
    </w:p>
    <w:p w14:paraId="66421216">
      <w:pPr>
        <w:spacing w:before="37"/>
        <w:ind w:left="16"/>
        <w:rPr>
          <w:rFonts w:ascii="宋体" w:hAnsi="宋体" w:eastAsia="宋体" w:cs="宋体"/>
          <w:spacing w:val="-2"/>
          <w:lang w:eastAsia="zh-CN"/>
        </w:rPr>
      </w:pPr>
      <w:r>
        <w:rPr>
          <w:rFonts w:hint="eastAsia" w:ascii="宋体" w:hAnsi="宋体" w:eastAsia="宋体" w:cs="宋体"/>
          <w:spacing w:val="-2"/>
          <w:lang w:eastAsia="zh-CN"/>
        </w:rPr>
        <w:t>③防捣乱功能</w:t>
      </w:r>
    </w:p>
    <w:p w14:paraId="5FDD08F3">
      <w:pPr>
        <w:spacing w:before="37"/>
        <w:ind w:left="16"/>
        <w:rPr>
          <w:rFonts w:ascii="宋体" w:hAnsi="宋体" w:eastAsia="宋体" w:cs="宋体"/>
          <w:spacing w:val="-2"/>
          <w:lang w:eastAsia="zh-CN"/>
        </w:rPr>
      </w:pPr>
      <w:r>
        <w:rPr>
          <w:rFonts w:hint="eastAsia" w:ascii="宋体" w:hAnsi="宋体" w:eastAsia="宋体" w:cs="宋体"/>
          <w:spacing w:val="-2"/>
          <w:lang w:eastAsia="zh-CN"/>
        </w:rPr>
        <w:t>当电梯负载较轻或者探测到乘客数量过少，但选层数量过多时，可以判定出现不正常的选层，导致运行效率的下降，配备防捣乱功能进行校正。</w:t>
      </w:r>
    </w:p>
    <w:p w14:paraId="1EF70FE5">
      <w:pPr>
        <w:spacing w:before="37"/>
        <w:ind w:left="16"/>
        <w:rPr>
          <w:rFonts w:ascii="宋体" w:hAnsi="宋体" w:eastAsia="宋体" w:cs="宋体"/>
          <w:spacing w:val="-2"/>
          <w:lang w:eastAsia="zh-CN"/>
        </w:rPr>
      </w:pPr>
      <w:r>
        <w:rPr>
          <w:rFonts w:hint="eastAsia" w:ascii="宋体" w:hAnsi="宋体" w:eastAsia="宋体" w:cs="宋体"/>
          <w:spacing w:val="-2"/>
          <w:lang w:eastAsia="zh-CN"/>
        </w:rPr>
        <w:t>④楼层登记取消功能</w:t>
      </w:r>
    </w:p>
    <w:p w14:paraId="3693CD7C">
      <w:pPr>
        <w:spacing w:before="37"/>
        <w:ind w:left="16"/>
        <w:rPr>
          <w:rFonts w:ascii="宋体" w:hAnsi="宋体" w:eastAsia="宋体" w:cs="宋体"/>
          <w:spacing w:val="-2"/>
          <w:lang w:eastAsia="zh-CN"/>
        </w:rPr>
      </w:pPr>
      <w:r>
        <w:rPr>
          <w:rFonts w:hint="eastAsia" w:ascii="宋体" w:hAnsi="宋体" w:eastAsia="宋体" w:cs="宋体"/>
          <w:spacing w:val="-2"/>
          <w:lang w:eastAsia="zh-CN"/>
        </w:rPr>
        <w:t>当乘客进入电梯后，由于拥挤或者乘客误操作等原因，而导致按错按钮，非目的层被错误地登记，这会造成电梯停的次数增加，电梯运行效率降低，以及能耗也相应增加。电梯宜配备错误登记取消功能。当有错误登记时，只要乘客连续按动两次或者长时间按住按钮，就可取消该登记楼层，达到避免电梯不必要停层的目的。</w:t>
      </w:r>
    </w:p>
    <w:p w14:paraId="0258FC41">
      <w:pPr>
        <w:spacing w:before="37"/>
        <w:ind w:left="16"/>
        <w:rPr>
          <w:rFonts w:ascii="宋体" w:hAnsi="宋体" w:eastAsia="宋体" w:cs="宋体"/>
          <w:spacing w:val="-2"/>
          <w:lang w:eastAsia="zh-CN"/>
        </w:rPr>
      </w:pPr>
      <w:r>
        <w:rPr>
          <w:rFonts w:hint="eastAsia" w:ascii="宋体" w:hAnsi="宋体" w:eastAsia="宋体" w:cs="宋体"/>
          <w:spacing w:val="-2"/>
          <w:lang w:eastAsia="zh-CN"/>
        </w:rPr>
        <w:t>⑤峰时服务</w:t>
      </w:r>
    </w:p>
    <w:p w14:paraId="4241E550">
      <w:pPr>
        <w:spacing w:before="37"/>
        <w:ind w:left="16"/>
        <w:rPr>
          <w:rFonts w:ascii="宋体" w:hAnsi="宋体" w:eastAsia="宋体" w:cs="宋体"/>
          <w:spacing w:val="-2"/>
          <w:lang w:eastAsia="zh-CN"/>
        </w:rPr>
      </w:pPr>
      <w:r>
        <w:rPr>
          <w:rFonts w:hint="eastAsia" w:ascii="宋体" w:hAnsi="宋体" w:eastAsia="宋体" w:cs="宋体"/>
          <w:spacing w:val="-2"/>
          <w:lang w:eastAsia="zh-CN"/>
        </w:rPr>
        <w:t>考虑上行或下行高峰的使用情况，设置电梯的峰时服务模式。对于安装在楼宇内的并联或群控电梯群组优化派梯算法或者尽可能优先派梯服务客流拥挤楼层。</w:t>
      </w:r>
    </w:p>
    <w:p w14:paraId="168148E5">
      <w:pPr>
        <w:spacing w:before="37"/>
        <w:ind w:left="16"/>
        <w:rPr>
          <w:rFonts w:ascii="宋体" w:hAnsi="宋体" w:eastAsia="宋体" w:cs="宋体"/>
          <w:spacing w:val="-2"/>
          <w:lang w:eastAsia="zh-CN"/>
        </w:rPr>
      </w:pPr>
      <w:r>
        <w:rPr>
          <w:rFonts w:hint="eastAsia" w:ascii="宋体" w:hAnsi="宋体" w:eastAsia="宋体" w:cs="宋体"/>
          <w:spacing w:val="-2"/>
          <w:lang w:eastAsia="zh-CN"/>
        </w:rPr>
        <w:t>⑥闲时节电</w:t>
      </w:r>
    </w:p>
    <w:p w14:paraId="2721B682">
      <w:pPr>
        <w:spacing w:before="37"/>
        <w:ind w:left="16"/>
        <w:rPr>
          <w:rFonts w:ascii="宋体" w:hAnsi="宋体" w:eastAsia="宋体" w:cs="宋体"/>
          <w:spacing w:val="-2"/>
          <w:lang w:eastAsia="zh-CN"/>
        </w:rPr>
      </w:pPr>
      <w:r>
        <w:rPr>
          <w:rFonts w:hint="eastAsia" w:ascii="宋体" w:hAnsi="宋体" w:eastAsia="宋体" w:cs="宋体"/>
          <w:spacing w:val="-2"/>
          <w:lang w:eastAsia="zh-CN"/>
        </w:rPr>
        <w:t>为提升绿色节能,电梯设置闲时节电功能。当电梯在一段时间内运行次数较低,判定为闲时状态,则设定时间后将照明、风扇等转为节能模式(如断电或降档运行等)，当有来自外部的指令时恢复正常的模式。</w:t>
      </w:r>
    </w:p>
    <w:p w14:paraId="19AE37BD">
      <w:pPr>
        <w:spacing w:before="37"/>
        <w:ind w:left="16"/>
        <w:rPr>
          <w:rFonts w:ascii="宋体" w:hAnsi="宋体" w:eastAsia="宋体" w:cs="宋体"/>
          <w:spacing w:val="-2"/>
          <w:lang w:eastAsia="zh-CN"/>
        </w:rPr>
      </w:pPr>
      <w:r>
        <w:rPr>
          <w:rFonts w:hint="eastAsia" w:ascii="宋体" w:hAnsi="宋体" w:eastAsia="宋体" w:cs="宋体"/>
          <w:spacing w:val="-2"/>
          <w:lang w:eastAsia="zh-CN"/>
        </w:rPr>
        <w:t>⑦困人提示功能</w:t>
      </w:r>
    </w:p>
    <w:p w14:paraId="319A84FA">
      <w:pPr>
        <w:spacing w:before="37"/>
        <w:ind w:left="16"/>
        <w:rPr>
          <w:rFonts w:ascii="宋体" w:hAnsi="宋体" w:eastAsia="宋体" w:cs="宋体"/>
          <w:spacing w:val="-2"/>
          <w:lang w:eastAsia="zh-CN"/>
        </w:rPr>
      </w:pPr>
      <w:r>
        <w:rPr>
          <w:rFonts w:hint="eastAsia" w:ascii="宋体" w:hAnsi="宋体" w:eastAsia="宋体" w:cs="宋体"/>
          <w:spacing w:val="-2"/>
          <w:lang w:eastAsia="zh-CN"/>
        </w:rPr>
        <w:t>当电梯故障造成困人时,轿厢内设置故障注意事项的听觉和视觉的信号提示，提醒被困人员正确操作报警装置和不得自行扒门逃生。</w:t>
      </w:r>
    </w:p>
    <w:p w14:paraId="211F6FAB">
      <w:pPr>
        <w:spacing w:before="37"/>
        <w:ind w:left="16"/>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(5)无障碍设施</w:t>
      </w:r>
    </w:p>
    <w:p w14:paraId="74BC530C">
      <w:pPr>
        <w:spacing w:before="37"/>
        <w:ind w:left="16"/>
        <w:rPr>
          <w:rFonts w:ascii="宋体" w:hAnsi="宋体" w:eastAsia="宋体" w:cs="宋体"/>
          <w:spacing w:val="-2"/>
          <w:lang w:eastAsia="zh-CN"/>
        </w:rPr>
      </w:pPr>
      <w:r>
        <w:rPr>
          <w:rFonts w:hint="eastAsia" w:ascii="宋体" w:hAnsi="宋体" w:eastAsia="宋体" w:cs="宋体"/>
          <w:spacing w:val="-2"/>
          <w:lang w:eastAsia="zh-CN"/>
        </w:rPr>
        <w:t>本工程均为无障碍电梯。</w:t>
      </w:r>
    </w:p>
    <w:p w14:paraId="0D280EE4">
      <w:pPr>
        <w:spacing w:before="37"/>
        <w:ind w:left="16"/>
        <w:rPr>
          <w:rFonts w:ascii="宋体" w:hAnsi="宋体" w:eastAsia="宋体" w:cs="宋体"/>
          <w:spacing w:val="-2"/>
          <w:lang w:eastAsia="zh-CN"/>
        </w:rPr>
      </w:pPr>
      <w:r>
        <w:rPr>
          <w:rFonts w:hint="eastAsia" w:ascii="宋体" w:hAnsi="宋体" w:eastAsia="宋体" w:cs="宋体"/>
          <w:spacing w:val="-2"/>
          <w:lang w:eastAsia="zh-CN"/>
        </w:rPr>
        <w:t>1)无障碍电梯的候梯厅应符合下列规定:电梯门前应设置直径不小于1.50m的轮椅回转空间，呼叫按钮的中心距地面高度应为0.85m-1.10m，且距内转角处侧墙距离不应小于400mm，按钮应设置盲文标志;呼叫按钮前应设置提示盲道;应设置电梯运行显示装置和抵达音响。</w:t>
      </w:r>
    </w:p>
    <w:p w14:paraId="436ED00A">
      <w:pPr>
        <w:spacing w:before="37"/>
        <w:ind w:left="16"/>
        <w:rPr>
          <w:rFonts w:ascii="宋体" w:hAnsi="宋体" w:eastAsia="宋体" w:cs="宋体"/>
          <w:spacing w:val="-2"/>
          <w:lang w:eastAsia="zh-CN"/>
        </w:rPr>
      </w:pPr>
      <w:r>
        <w:rPr>
          <w:rFonts w:hint="eastAsia" w:ascii="宋体" w:hAnsi="宋体" w:eastAsia="宋体" w:cs="宋体"/>
          <w:spacing w:val="-2"/>
          <w:lang w:eastAsia="zh-CN"/>
        </w:rPr>
        <w:t>2)无障碍电梯的轿厢的规格应根据建筑类型和使用要求选用。满足乘轮椅者使用的最小轿厢规格，深度不应小于1.40m，宽度不应小于1.10m。同时满足乘轮椅者使用和容纳担架的轿厢，如采用宽轿厢，深度不应小于1.50m，宽度不应小于1.60m，如采用深轿厢，深度不应小于2.10m，宽度不应小于1.10m。轿厢内部设施应满足无障碍要求。</w:t>
      </w:r>
    </w:p>
    <w:p w14:paraId="4C34EE11">
      <w:pPr>
        <w:spacing w:before="37"/>
        <w:ind w:left="16"/>
        <w:rPr>
          <w:rFonts w:ascii="宋体" w:hAnsi="宋体" w:eastAsia="宋体" w:cs="宋体"/>
          <w:spacing w:val="-2"/>
          <w:lang w:eastAsia="zh-CN"/>
        </w:rPr>
      </w:pPr>
      <w:r>
        <w:rPr>
          <w:rFonts w:hint="eastAsia" w:ascii="宋体" w:hAnsi="宋体" w:eastAsia="宋体" w:cs="宋体"/>
          <w:spacing w:val="-2"/>
          <w:lang w:eastAsia="zh-CN"/>
        </w:rPr>
        <w:t>3)无障碍电梯的电梯门应符合下列规定:</w:t>
      </w:r>
    </w:p>
    <w:p w14:paraId="33BF21BD">
      <w:pPr>
        <w:spacing w:before="37"/>
        <w:ind w:left="16"/>
        <w:rPr>
          <w:rFonts w:ascii="宋体" w:hAnsi="宋体" w:eastAsia="宋体" w:cs="宋体"/>
          <w:spacing w:val="-2"/>
          <w:lang w:eastAsia="zh-CN"/>
        </w:rPr>
      </w:pPr>
      <w:r>
        <w:rPr>
          <w:rFonts w:hint="eastAsia" w:ascii="宋体" w:hAnsi="宋体" w:eastAsia="宋体" w:cs="宋体"/>
          <w:spacing w:val="-2"/>
          <w:lang w:eastAsia="zh-CN"/>
        </w:rPr>
        <w:t>应为水平滑动式门;</w:t>
      </w:r>
    </w:p>
    <w:p w14:paraId="766BB281">
      <w:pPr>
        <w:spacing w:before="37"/>
        <w:ind w:left="16"/>
        <w:rPr>
          <w:rFonts w:ascii="宋体" w:hAnsi="宋体" w:eastAsia="宋体" w:cs="宋体"/>
          <w:spacing w:val="-2"/>
          <w:lang w:eastAsia="zh-CN"/>
        </w:rPr>
      </w:pPr>
      <w:r>
        <w:rPr>
          <w:rFonts w:hint="eastAsia" w:ascii="宋体" w:hAnsi="宋体" w:eastAsia="宋体" w:cs="宋体"/>
          <w:spacing w:val="-2"/>
          <w:lang w:eastAsia="zh-CN"/>
        </w:rPr>
        <w:t>新建和扩建建筑的电梯门开启后的通行净宽不应小于900mm，既有建筑改造或改建的电梯门开启后的通行净宽不应小于800mm;完全开启时间应保持不小于3s。</w:t>
      </w:r>
    </w:p>
    <w:p w14:paraId="6E1E9AD3">
      <w:pPr>
        <w:spacing w:before="37"/>
        <w:ind w:left="16"/>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(6)施工方案</w:t>
      </w:r>
    </w:p>
    <w:p w14:paraId="614974EC">
      <w:pPr>
        <w:spacing w:before="37"/>
        <w:ind w:left="16"/>
        <w:rPr>
          <w:rFonts w:ascii="宋体" w:hAnsi="宋体" w:eastAsia="宋体" w:cs="宋体"/>
          <w:spacing w:val="-2"/>
          <w:lang w:eastAsia="zh-CN"/>
        </w:rPr>
      </w:pPr>
      <w:r>
        <w:rPr>
          <w:rFonts w:hint="eastAsia" w:ascii="宋体" w:hAnsi="宋体" w:eastAsia="宋体" w:cs="宋体"/>
          <w:spacing w:val="-2"/>
          <w:lang w:eastAsia="zh-CN"/>
        </w:rPr>
        <w:t>本项目电梯井道保持现状，仅更换电梯，主要施工安装内容如下:</w:t>
      </w:r>
    </w:p>
    <w:p w14:paraId="02231478">
      <w:pPr>
        <w:spacing w:before="37"/>
        <w:ind w:left="16"/>
        <w:rPr>
          <w:rFonts w:ascii="宋体" w:hAnsi="宋体" w:eastAsia="宋体" w:cs="宋体"/>
          <w:spacing w:val="-2"/>
          <w:lang w:eastAsia="zh-CN"/>
        </w:rPr>
      </w:pPr>
      <w:r>
        <w:rPr>
          <w:rFonts w:hint="eastAsia" w:ascii="宋体" w:hAnsi="宋体" w:eastAsia="宋体" w:cs="宋体"/>
          <w:spacing w:val="-2"/>
          <w:lang w:eastAsia="zh-CN"/>
        </w:rPr>
        <w:t>1)样板架</w:t>
      </w:r>
    </w:p>
    <w:p w14:paraId="29A52C10">
      <w:pPr>
        <w:spacing w:before="37"/>
        <w:ind w:left="16"/>
        <w:rPr>
          <w:rFonts w:ascii="宋体" w:hAnsi="宋体" w:eastAsia="宋体" w:cs="宋体"/>
          <w:spacing w:val="-2"/>
          <w:lang w:eastAsia="zh-CN"/>
        </w:rPr>
      </w:pPr>
      <w:r>
        <w:rPr>
          <w:rFonts w:hint="eastAsia" w:ascii="宋体" w:hAnsi="宋体" w:eastAsia="宋体" w:cs="宋体"/>
          <w:spacing w:val="-2"/>
          <w:lang w:eastAsia="zh-CN"/>
        </w:rPr>
        <w:t>2)导轨支架安装</w:t>
      </w:r>
    </w:p>
    <w:p w14:paraId="1611F37D">
      <w:pPr>
        <w:spacing w:before="37"/>
        <w:ind w:left="16"/>
        <w:rPr>
          <w:rFonts w:ascii="宋体" w:hAnsi="宋体" w:eastAsia="宋体" w:cs="宋体"/>
          <w:spacing w:val="-2"/>
          <w:lang w:eastAsia="zh-CN"/>
        </w:rPr>
      </w:pPr>
      <w:r>
        <w:rPr>
          <w:rFonts w:hint="eastAsia" w:ascii="宋体" w:hAnsi="宋体" w:eastAsia="宋体" w:cs="宋体"/>
          <w:spacing w:val="-2"/>
          <w:lang w:eastAsia="zh-CN"/>
        </w:rPr>
        <w:t>3)缓冲器及缓冲器座安装</w:t>
      </w:r>
    </w:p>
    <w:p w14:paraId="389882DE">
      <w:pPr>
        <w:spacing w:before="37"/>
        <w:ind w:left="16"/>
        <w:rPr>
          <w:rFonts w:ascii="宋体" w:hAnsi="宋体" w:eastAsia="宋体" w:cs="宋体"/>
          <w:spacing w:val="-2"/>
          <w:lang w:eastAsia="zh-CN"/>
        </w:rPr>
      </w:pPr>
      <w:r>
        <w:rPr>
          <w:rFonts w:hint="eastAsia" w:ascii="宋体" w:hAnsi="宋体" w:eastAsia="宋体" w:cs="宋体"/>
          <w:spacing w:val="-2"/>
          <w:lang w:eastAsia="zh-CN"/>
        </w:rPr>
        <w:t>4)限速器及涨紧轮的安装</w:t>
      </w:r>
    </w:p>
    <w:p w14:paraId="39F314C9">
      <w:pPr>
        <w:spacing w:before="37"/>
        <w:ind w:left="16"/>
        <w:rPr>
          <w:rFonts w:ascii="宋体" w:hAnsi="宋体" w:eastAsia="宋体" w:cs="宋体"/>
          <w:spacing w:val="-2"/>
          <w:lang w:eastAsia="zh-CN"/>
        </w:rPr>
      </w:pPr>
      <w:r>
        <w:rPr>
          <w:rFonts w:hint="eastAsia" w:ascii="宋体" w:hAnsi="宋体" w:eastAsia="宋体" w:cs="宋体"/>
          <w:spacing w:val="-2"/>
          <w:lang w:eastAsia="zh-CN"/>
        </w:rPr>
        <w:t>5)层门有关部件的安装</w:t>
      </w:r>
    </w:p>
    <w:p w14:paraId="3FEA5054">
      <w:pPr>
        <w:spacing w:before="37"/>
        <w:ind w:left="16"/>
        <w:rPr>
          <w:rFonts w:ascii="宋体" w:hAnsi="宋体" w:eastAsia="宋体" w:cs="宋体"/>
          <w:spacing w:val="-2"/>
          <w:lang w:eastAsia="zh-CN"/>
        </w:rPr>
      </w:pPr>
      <w:r>
        <w:rPr>
          <w:rFonts w:hint="eastAsia" w:ascii="宋体" w:hAnsi="宋体" w:eastAsia="宋体" w:cs="宋体"/>
          <w:spacing w:val="-2"/>
          <w:lang w:eastAsia="zh-CN"/>
        </w:rPr>
        <w:t>6)强迫关门装置的安装</w:t>
      </w:r>
    </w:p>
    <w:p w14:paraId="1747EA71">
      <w:pPr>
        <w:spacing w:before="37"/>
        <w:ind w:left="16"/>
        <w:rPr>
          <w:rFonts w:ascii="宋体" w:hAnsi="宋体" w:eastAsia="宋体" w:cs="宋体"/>
          <w:spacing w:val="-2"/>
          <w:lang w:eastAsia="zh-CN"/>
        </w:rPr>
      </w:pPr>
      <w:r>
        <w:rPr>
          <w:rFonts w:hint="eastAsia" w:ascii="宋体" w:hAnsi="宋体" w:eastAsia="宋体" w:cs="宋体"/>
          <w:spacing w:val="-2"/>
          <w:lang w:eastAsia="zh-CN"/>
        </w:rPr>
        <w:t>7)曳引机、钢丝绳(钢带)及导向轮的安装</w:t>
      </w:r>
    </w:p>
    <w:p w14:paraId="265E7E2A">
      <w:pPr>
        <w:spacing w:before="37"/>
        <w:ind w:left="16"/>
        <w:rPr>
          <w:rFonts w:ascii="宋体" w:hAnsi="宋体" w:eastAsia="宋体" w:cs="宋体"/>
          <w:spacing w:val="-2"/>
          <w:lang w:eastAsia="zh-CN"/>
        </w:rPr>
      </w:pPr>
      <w:r>
        <w:rPr>
          <w:rFonts w:hint="eastAsia" w:ascii="宋体" w:hAnsi="宋体" w:eastAsia="宋体" w:cs="宋体"/>
          <w:spacing w:val="-2"/>
          <w:lang w:eastAsia="zh-CN"/>
        </w:rPr>
        <w:t>8)限速器的安装</w:t>
      </w:r>
    </w:p>
    <w:p w14:paraId="5FA28ED7">
      <w:pPr>
        <w:spacing w:before="37"/>
        <w:ind w:left="16"/>
        <w:rPr>
          <w:rFonts w:ascii="宋体" w:hAnsi="宋体" w:eastAsia="宋体" w:cs="宋体"/>
          <w:spacing w:val="-2"/>
          <w:lang w:eastAsia="zh-CN"/>
        </w:rPr>
      </w:pPr>
      <w:r>
        <w:rPr>
          <w:rFonts w:hint="eastAsia" w:ascii="宋体" w:hAnsi="宋体" w:eastAsia="宋体" w:cs="宋体"/>
          <w:spacing w:val="-2"/>
          <w:lang w:eastAsia="zh-CN"/>
        </w:rPr>
        <w:t>9)轿厢有关部件的安装</w:t>
      </w:r>
    </w:p>
    <w:p w14:paraId="544313F2">
      <w:pPr>
        <w:spacing w:before="37"/>
        <w:ind w:left="16"/>
        <w:jc w:val="center"/>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（二）装修恢复工程</w:t>
      </w:r>
    </w:p>
    <w:p w14:paraId="0040D91B">
      <w:pPr>
        <w:spacing w:before="37"/>
        <w:ind w:left="16"/>
        <w:rPr>
          <w:rFonts w:ascii="宋体" w:hAnsi="宋体" w:eastAsia="宋体" w:cs="宋体"/>
          <w:spacing w:val="-2"/>
          <w:lang w:eastAsia="zh-CN"/>
        </w:rPr>
      </w:pPr>
      <w:r>
        <w:rPr>
          <w:rFonts w:hint="eastAsia" w:ascii="宋体" w:hAnsi="宋体" w:eastAsia="宋体" w:cs="宋体"/>
          <w:spacing w:val="-2"/>
          <w:lang w:eastAsia="zh-CN"/>
        </w:rPr>
        <w:t>本项目需要对由于安装造成破坏的室内装修进行复原，主要涉及楼道内的装修恢复，装修恢复详细做法如下:</w:t>
      </w:r>
    </w:p>
    <w:p w14:paraId="4011B4B7">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(1)地砖楼地面恢复</w:t>
      </w:r>
    </w:p>
    <w:p w14:paraId="3D4A3E4F">
      <w:pPr>
        <w:spacing w:before="37"/>
        <w:ind w:left="16"/>
        <w:rPr>
          <w:rFonts w:ascii="宋体" w:hAnsi="宋体" w:eastAsia="宋体" w:cs="宋体"/>
          <w:spacing w:val="-2"/>
          <w:lang w:eastAsia="zh-CN"/>
        </w:rPr>
      </w:pPr>
      <w:r>
        <w:rPr>
          <w:rFonts w:hint="eastAsia" w:ascii="宋体" w:hAnsi="宋体" w:eastAsia="宋体" w:cs="宋体"/>
          <w:spacing w:val="-2"/>
          <w:lang w:eastAsia="zh-CN"/>
        </w:rPr>
        <w:t>①8厚地砖，干水泥擦缝;</w:t>
      </w:r>
    </w:p>
    <w:p w14:paraId="17FD92AD">
      <w:pPr>
        <w:spacing w:before="37"/>
        <w:ind w:left="16"/>
        <w:rPr>
          <w:rFonts w:ascii="宋体" w:hAnsi="宋体" w:eastAsia="宋体" w:cs="宋体"/>
          <w:spacing w:val="-2"/>
          <w:lang w:eastAsia="zh-CN"/>
        </w:rPr>
      </w:pPr>
      <w:r>
        <w:rPr>
          <w:rFonts w:hint="eastAsia" w:ascii="宋体" w:hAnsi="宋体" w:eastAsia="宋体" w:cs="宋体"/>
          <w:spacing w:val="-2"/>
          <w:lang w:eastAsia="zh-CN"/>
        </w:rPr>
        <w:t>②20厚1:3干硬性水泥砂浆结合层;</w:t>
      </w:r>
    </w:p>
    <w:p w14:paraId="42902A13">
      <w:pPr>
        <w:spacing w:before="37"/>
        <w:ind w:left="16"/>
        <w:rPr>
          <w:rFonts w:ascii="宋体" w:hAnsi="宋体" w:eastAsia="宋体" w:cs="宋体"/>
          <w:spacing w:val="-2"/>
          <w:lang w:eastAsia="zh-CN"/>
        </w:rPr>
      </w:pPr>
      <w:r>
        <w:rPr>
          <w:rFonts w:hint="eastAsia" w:ascii="宋体" w:hAnsi="宋体" w:eastAsia="宋体" w:cs="宋体"/>
          <w:spacing w:val="-2"/>
          <w:lang w:eastAsia="zh-CN"/>
        </w:rPr>
        <w:t>③水泥浆一道(内掺建筑胶)。</w:t>
      </w:r>
    </w:p>
    <w:p w14:paraId="2B86A8F1">
      <w:pPr>
        <w:spacing w:before="37"/>
        <w:ind w:left="16"/>
        <w:rPr>
          <w:rFonts w:ascii="宋体" w:hAnsi="宋体" w:eastAsia="宋体" w:cs="宋体"/>
          <w:spacing w:val="-2"/>
          <w:lang w:eastAsia="zh-CN"/>
        </w:rPr>
      </w:pPr>
      <w:r>
        <w:rPr>
          <w:rFonts w:hint="eastAsia" w:ascii="宋体" w:hAnsi="宋体" w:eastAsia="宋体" w:cs="宋体"/>
          <w:spacing w:val="-2"/>
          <w:lang w:eastAsia="zh-CN"/>
        </w:rPr>
        <w:t>④现有楼板(楼面)/60厚C15混凝土垫层(地面)。</w:t>
      </w:r>
    </w:p>
    <w:p w14:paraId="463F23D8">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(2)石材楼地面恢复</w:t>
      </w:r>
    </w:p>
    <w:p w14:paraId="12487A05">
      <w:pPr>
        <w:spacing w:before="37"/>
        <w:ind w:left="16"/>
        <w:rPr>
          <w:rFonts w:ascii="宋体" w:hAnsi="宋体" w:eastAsia="宋体" w:cs="宋体"/>
          <w:spacing w:val="-2"/>
          <w:lang w:eastAsia="zh-CN"/>
        </w:rPr>
      </w:pPr>
      <w:r>
        <w:rPr>
          <w:rFonts w:hint="eastAsia" w:ascii="宋体" w:hAnsi="宋体" w:eastAsia="宋体" w:cs="宋体"/>
          <w:spacing w:val="-2"/>
          <w:lang w:eastAsia="zh-CN"/>
        </w:rPr>
        <w:t>①20厚磨光石材，水泥浆擦缝;</w:t>
      </w:r>
    </w:p>
    <w:p w14:paraId="06A7D856">
      <w:pPr>
        <w:spacing w:before="37"/>
        <w:ind w:left="16"/>
        <w:rPr>
          <w:rFonts w:ascii="宋体" w:hAnsi="宋体" w:eastAsia="宋体" w:cs="宋体"/>
          <w:spacing w:val="-2"/>
          <w:lang w:eastAsia="zh-CN"/>
        </w:rPr>
      </w:pPr>
      <w:r>
        <w:rPr>
          <w:rFonts w:hint="eastAsia" w:ascii="宋体" w:hAnsi="宋体" w:eastAsia="宋体" w:cs="宋体"/>
          <w:spacing w:val="-2"/>
          <w:lang w:eastAsia="zh-CN"/>
        </w:rPr>
        <w:t>②30厚1:3干硬性水泥砂浆结合层，表面撒水泥粉;</w:t>
      </w:r>
    </w:p>
    <w:p w14:paraId="04289D78">
      <w:pPr>
        <w:spacing w:before="37"/>
        <w:ind w:left="16"/>
        <w:rPr>
          <w:rFonts w:ascii="宋体" w:hAnsi="宋体" w:eastAsia="宋体" w:cs="宋体"/>
          <w:spacing w:val="-2"/>
          <w:lang w:eastAsia="zh-CN"/>
        </w:rPr>
      </w:pPr>
      <w:r>
        <w:rPr>
          <w:rFonts w:hint="eastAsia" w:ascii="宋体" w:hAnsi="宋体" w:eastAsia="宋体" w:cs="宋体"/>
          <w:spacing w:val="-2"/>
          <w:lang w:eastAsia="zh-CN"/>
        </w:rPr>
        <w:t>③水泥浆一道(内掺建筑胶);</w:t>
      </w:r>
    </w:p>
    <w:p w14:paraId="123CC327">
      <w:pPr>
        <w:spacing w:before="37"/>
        <w:ind w:left="16"/>
        <w:rPr>
          <w:rFonts w:ascii="宋体" w:hAnsi="宋体" w:eastAsia="宋体" w:cs="宋体"/>
          <w:spacing w:val="-2"/>
          <w:lang w:eastAsia="zh-CN"/>
        </w:rPr>
      </w:pPr>
      <w:r>
        <w:rPr>
          <w:rFonts w:hint="eastAsia" w:ascii="宋体" w:hAnsi="宋体" w:eastAsia="宋体" w:cs="宋体"/>
          <w:spacing w:val="-2"/>
          <w:lang w:eastAsia="zh-CN"/>
        </w:rPr>
        <w:t>④现有楼板(楼面)/60 厚C15混凝土垫层(地面)。</w:t>
      </w:r>
    </w:p>
    <w:p w14:paraId="63E3D446">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(3)水泥楼地面恢复</w:t>
      </w:r>
    </w:p>
    <w:p w14:paraId="6165419B">
      <w:pPr>
        <w:spacing w:before="37"/>
        <w:ind w:left="16"/>
        <w:rPr>
          <w:rFonts w:ascii="宋体" w:hAnsi="宋体" w:eastAsia="宋体" w:cs="宋体"/>
          <w:spacing w:val="-2"/>
          <w:lang w:eastAsia="zh-CN"/>
        </w:rPr>
      </w:pPr>
      <w:r>
        <w:rPr>
          <w:rFonts w:hint="eastAsia" w:ascii="宋体" w:hAnsi="宋体" w:eastAsia="宋体" w:cs="宋体"/>
          <w:spacing w:val="-2"/>
          <w:lang w:eastAsia="zh-CN"/>
        </w:rPr>
        <w:t>①20 厚1:2.5 水泥砂浆;</w:t>
      </w:r>
    </w:p>
    <w:p w14:paraId="46950915">
      <w:pPr>
        <w:spacing w:before="37"/>
        <w:ind w:left="16"/>
        <w:rPr>
          <w:rFonts w:ascii="宋体" w:hAnsi="宋体" w:eastAsia="宋体" w:cs="宋体"/>
          <w:spacing w:val="-2"/>
          <w:lang w:eastAsia="zh-CN"/>
        </w:rPr>
      </w:pPr>
      <w:r>
        <w:rPr>
          <w:rFonts w:hint="eastAsia" w:ascii="宋体" w:hAnsi="宋体" w:eastAsia="宋体" w:cs="宋体"/>
          <w:spacing w:val="-2"/>
          <w:lang w:eastAsia="zh-CN"/>
        </w:rPr>
        <w:t>②水泥浆一道(内掺建筑胶);</w:t>
      </w:r>
    </w:p>
    <w:p w14:paraId="0C730BD3">
      <w:pPr>
        <w:spacing w:before="37"/>
        <w:ind w:left="16"/>
        <w:rPr>
          <w:rFonts w:ascii="宋体" w:hAnsi="宋体" w:eastAsia="宋体" w:cs="宋体"/>
          <w:spacing w:val="-2"/>
          <w:lang w:eastAsia="zh-CN"/>
        </w:rPr>
      </w:pPr>
      <w:r>
        <w:rPr>
          <w:rFonts w:hint="eastAsia" w:ascii="宋体" w:hAnsi="宋体" w:eastAsia="宋体" w:cs="宋体"/>
          <w:spacing w:val="-2"/>
          <w:lang w:eastAsia="zh-CN"/>
        </w:rPr>
        <w:t>③现有楼板(楼面)/60 厚C15混凝土垫层(地面)。</w:t>
      </w:r>
    </w:p>
    <w:p w14:paraId="4BAC64F6">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(4)无机涂料恢复(砖墙)</w:t>
      </w:r>
    </w:p>
    <w:p w14:paraId="232021CE">
      <w:pPr>
        <w:spacing w:before="37"/>
        <w:ind w:left="16"/>
        <w:rPr>
          <w:rFonts w:ascii="宋体" w:hAnsi="宋体" w:eastAsia="宋体" w:cs="宋体"/>
          <w:spacing w:val="-2"/>
          <w:lang w:eastAsia="zh-CN"/>
        </w:rPr>
      </w:pPr>
      <w:r>
        <w:rPr>
          <w:rFonts w:hint="eastAsia" w:ascii="宋体" w:hAnsi="宋体" w:eastAsia="宋体" w:cs="宋体"/>
          <w:spacing w:val="-2"/>
          <w:lang w:eastAsia="zh-CN"/>
        </w:rPr>
        <w:t>①无机涂料面层;</w:t>
      </w:r>
    </w:p>
    <w:p w14:paraId="7FD3E1EE">
      <w:pPr>
        <w:spacing w:before="37"/>
        <w:ind w:left="16"/>
        <w:rPr>
          <w:rFonts w:ascii="宋体" w:hAnsi="宋体" w:eastAsia="宋体" w:cs="宋体"/>
          <w:spacing w:val="-2"/>
          <w:lang w:eastAsia="zh-CN"/>
        </w:rPr>
      </w:pPr>
      <w:r>
        <w:rPr>
          <w:rFonts w:hint="eastAsia" w:ascii="宋体" w:hAnsi="宋体" w:eastAsia="宋体" w:cs="宋体"/>
          <w:spacing w:val="-2"/>
          <w:lang w:eastAsia="zh-CN"/>
        </w:rPr>
        <w:t>②厚面层专用粉刷石膏罩面;</w:t>
      </w:r>
    </w:p>
    <w:p w14:paraId="49582D9E">
      <w:pPr>
        <w:spacing w:before="37"/>
        <w:ind w:left="16"/>
        <w:rPr>
          <w:rFonts w:ascii="宋体" w:hAnsi="宋体" w:eastAsia="宋体" w:cs="宋体"/>
          <w:spacing w:val="-2"/>
          <w:lang w:eastAsia="zh-CN"/>
        </w:rPr>
      </w:pPr>
      <w:r>
        <w:rPr>
          <w:rFonts w:hint="eastAsia" w:ascii="宋体" w:hAnsi="宋体" w:eastAsia="宋体" w:cs="宋体"/>
          <w:spacing w:val="-2"/>
          <w:lang w:eastAsia="zh-CN"/>
        </w:rPr>
        <w:t>③厚粉刷石膏砂浆打底分遍抹平。</w:t>
      </w:r>
    </w:p>
    <w:p w14:paraId="21C25F08">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(5)无机涂料恢复(混凝土墙)</w:t>
      </w:r>
    </w:p>
    <w:p w14:paraId="12FAAC4F">
      <w:pPr>
        <w:spacing w:before="37"/>
        <w:ind w:left="16"/>
        <w:rPr>
          <w:rFonts w:ascii="宋体" w:hAnsi="宋体" w:eastAsia="宋体" w:cs="宋体"/>
          <w:spacing w:val="-2"/>
          <w:lang w:eastAsia="zh-CN"/>
        </w:rPr>
      </w:pPr>
      <w:r>
        <w:rPr>
          <w:rFonts w:hint="eastAsia" w:ascii="宋体" w:hAnsi="宋体" w:eastAsia="宋体" w:cs="宋体"/>
          <w:spacing w:val="-2"/>
          <w:lang w:eastAsia="zh-CN"/>
        </w:rPr>
        <w:t>①无机涂料面层;</w:t>
      </w:r>
    </w:p>
    <w:p w14:paraId="13AAD209">
      <w:pPr>
        <w:spacing w:before="37"/>
        <w:ind w:left="16"/>
        <w:rPr>
          <w:rFonts w:ascii="宋体" w:hAnsi="宋体" w:eastAsia="宋体" w:cs="宋体"/>
          <w:spacing w:val="-2"/>
          <w:lang w:eastAsia="zh-CN"/>
        </w:rPr>
      </w:pPr>
      <w:r>
        <w:rPr>
          <w:rFonts w:hint="eastAsia" w:ascii="宋体" w:hAnsi="宋体" w:eastAsia="宋体" w:cs="宋体"/>
          <w:spacing w:val="-2"/>
          <w:lang w:eastAsia="zh-CN"/>
        </w:rPr>
        <w:t>②厚面层专用粉刷石膏罩面;</w:t>
      </w:r>
    </w:p>
    <w:p w14:paraId="7AF9FA78">
      <w:pPr>
        <w:spacing w:before="37"/>
        <w:ind w:left="16"/>
        <w:rPr>
          <w:rFonts w:ascii="宋体" w:hAnsi="宋体" w:eastAsia="宋体" w:cs="宋体"/>
          <w:spacing w:val="-2"/>
          <w:lang w:eastAsia="zh-CN"/>
        </w:rPr>
      </w:pPr>
      <w:r>
        <w:rPr>
          <w:rFonts w:hint="eastAsia" w:ascii="宋体" w:hAnsi="宋体" w:eastAsia="宋体" w:cs="宋体"/>
          <w:spacing w:val="-2"/>
          <w:lang w:eastAsia="zh-CN"/>
        </w:rPr>
        <w:t>③厚粉刷石膏砂浆打底分遍抹平;</w:t>
      </w:r>
    </w:p>
    <w:p w14:paraId="49BA7A79">
      <w:pPr>
        <w:spacing w:before="37"/>
        <w:ind w:left="16"/>
        <w:rPr>
          <w:rFonts w:ascii="宋体" w:hAnsi="宋体" w:eastAsia="宋体" w:cs="宋体"/>
          <w:spacing w:val="-2"/>
          <w:lang w:eastAsia="zh-CN"/>
        </w:rPr>
      </w:pPr>
      <w:r>
        <w:rPr>
          <w:rFonts w:hint="eastAsia" w:ascii="宋体" w:hAnsi="宋体" w:eastAsia="宋体" w:cs="宋体"/>
          <w:spacing w:val="-2"/>
          <w:lang w:eastAsia="zh-CN"/>
        </w:rPr>
        <w:t>④素水泥浆一道。</w:t>
      </w:r>
    </w:p>
    <w:p w14:paraId="0AC78FAB">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(6)墙面砖恢复</w:t>
      </w:r>
    </w:p>
    <w:p w14:paraId="36C94423">
      <w:pPr>
        <w:spacing w:before="37"/>
        <w:ind w:left="16"/>
        <w:rPr>
          <w:rFonts w:ascii="宋体" w:hAnsi="宋体" w:eastAsia="宋体" w:cs="宋体"/>
          <w:spacing w:val="-2"/>
          <w:lang w:eastAsia="zh-CN"/>
        </w:rPr>
      </w:pPr>
      <w:r>
        <w:rPr>
          <w:rFonts w:hint="eastAsia" w:ascii="宋体" w:hAnsi="宋体" w:eastAsia="宋体" w:cs="宋体"/>
          <w:spacing w:val="-2"/>
          <w:lang w:eastAsia="zh-CN"/>
        </w:rPr>
        <w:t>①厚墙面砖;</w:t>
      </w:r>
    </w:p>
    <w:p w14:paraId="5BAC4121">
      <w:pPr>
        <w:spacing w:before="37"/>
        <w:ind w:left="16"/>
        <w:rPr>
          <w:rFonts w:ascii="宋体" w:hAnsi="宋体" w:eastAsia="宋体" w:cs="宋体"/>
          <w:spacing w:val="-2"/>
          <w:lang w:eastAsia="zh-CN"/>
        </w:rPr>
      </w:pPr>
      <w:r>
        <w:rPr>
          <w:rFonts w:hint="eastAsia" w:ascii="宋体" w:hAnsi="宋体" w:eastAsia="宋体" w:cs="宋体"/>
          <w:spacing w:val="-2"/>
          <w:lang w:eastAsia="zh-CN"/>
        </w:rPr>
        <w:t>②厚1:2建筑胶水泥砂浆粘结层;</w:t>
      </w:r>
    </w:p>
    <w:p w14:paraId="4AD43596">
      <w:pPr>
        <w:spacing w:before="37"/>
        <w:ind w:left="16"/>
        <w:rPr>
          <w:rFonts w:ascii="宋体" w:hAnsi="宋体" w:eastAsia="宋体" w:cs="宋体"/>
          <w:spacing w:val="-2"/>
          <w:lang w:eastAsia="zh-CN"/>
        </w:rPr>
      </w:pPr>
      <w:r>
        <w:rPr>
          <w:rFonts w:hint="eastAsia" w:ascii="宋体" w:hAnsi="宋体" w:eastAsia="宋体" w:cs="宋体"/>
          <w:spacing w:val="-2"/>
          <w:lang w:eastAsia="zh-CN"/>
        </w:rPr>
        <w:t>③刷素水泥一道;</w:t>
      </w:r>
    </w:p>
    <w:p w14:paraId="508A72FC">
      <w:pPr>
        <w:spacing w:before="37"/>
        <w:ind w:left="16"/>
        <w:rPr>
          <w:rFonts w:ascii="宋体" w:hAnsi="宋体" w:eastAsia="宋体" w:cs="宋体"/>
          <w:spacing w:val="-2"/>
          <w:lang w:eastAsia="zh-CN"/>
        </w:rPr>
      </w:pPr>
      <w:r>
        <w:rPr>
          <w:rFonts w:hint="eastAsia" w:ascii="宋体" w:hAnsi="宋体" w:eastAsia="宋体" w:cs="宋体"/>
          <w:spacing w:val="-2"/>
          <w:lang w:eastAsia="zh-CN"/>
        </w:rPr>
        <w:t>④厚1:3水泥砂浆打底扫毛。</w:t>
      </w:r>
    </w:p>
    <w:p w14:paraId="2AA4EFC5">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(7)装饰石膏板顶棚恢复</w:t>
      </w:r>
    </w:p>
    <w:p w14:paraId="14C26097">
      <w:pPr>
        <w:spacing w:before="37"/>
        <w:ind w:left="16"/>
        <w:rPr>
          <w:rFonts w:ascii="宋体" w:hAnsi="宋体" w:eastAsia="宋体" w:cs="宋体"/>
          <w:spacing w:val="-2"/>
          <w:lang w:eastAsia="zh-CN"/>
        </w:rPr>
      </w:pPr>
      <w:r>
        <w:rPr>
          <w:rFonts w:hint="eastAsia" w:ascii="宋体" w:hAnsi="宋体" w:eastAsia="宋体" w:cs="宋体"/>
          <w:spacing w:val="-2"/>
          <w:lang w:eastAsia="zh-CN"/>
        </w:rPr>
        <w:t>①厚装饰石膏板</w:t>
      </w:r>
    </w:p>
    <w:p w14:paraId="3EEE5FC3">
      <w:pPr>
        <w:spacing w:before="37"/>
        <w:ind w:left="16"/>
        <w:rPr>
          <w:rFonts w:ascii="宋体" w:hAnsi="宋体" w:eastAsia="宋体" w:cs="宋体"/>
          <w:spacing w:val="-2"/>
          <w:lang w:eastAsia="zh-CN"/>
        </w:rPr>
      </w:pPr>
      <w:r>
        <w:rPr>
          <w:rFonts w:hint="eastAsia" w:ascii="宋体" w:hAnsi="宋体" w:eastAsia="宋体" w:cs="宋体"/>
          <w:spacing w:val="-2"/>
          <w:lang w:eastAsia="zh-CN"/>
        </w:rPr>
        <w:t>②原有龙骨。</w:t>
      </w:r>
    </w:p>
    <w:p w14:paraId="1B8652A9">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(8)无机涂料顶棚恢复</w:t>
      </w:r>
    </w:p>
    <w:p w14:paraId="797E9282">
      <w:pPr>
        <w:spacing w:before="37"/>
        <w:ind w:left="16"/>
        <w:rPr>
          <w:rFonts w:ascii="宋体" w:hAnsi="宋体" w:eastAsia="宋体" w:cs="宋体"/>
          <w:spacing w:val="-2"/>
          <w:lang w:eastAsia="zh-CN"/>
        </w:rPr>
      </w:pPr>
      <w:r>
        <w:rPr>
          <w:rFonts w:hint="eastAsia" w:ascii="宋体" w:hAnsi="宋体" w:eastAsia="宋体" w:cs="宋体"/>
          <w:spacing w:val="-2"/>
          <w:lang w:eastAsia="zh-CN"/>
        </w:rPr>
        <w:t>①无机涂料面层;</w:t>
      </w:r>
    </w:p>
    <w:p w14:paraId="0D703F12">
      <w:pPr>
        <w:spacing w:before="37"/>
        <w:ind w:left="16"/>
        <w:rPr>
          <w:rFonts w:ascii="宋体" w:hAnsi="宋体" w:eastAsia="宋体" w:cs="宋体"/>
          <w:spacing w:val="-2"/>
          <w:lang w:eastAsia="zh-CN"/>
        </w:rPr>
      </w:pPr>
      <w:r>
        <w:rPr>
          <w:rFonts w:hint="eastAsia" w:ascii="宋体" w:hAnsi="宋体" w:eastAsia="宋体" w:cs="宋体"/>
          <w:spacing w:val="-2"/>
          <w:lang w:eastAsia="zh-CN"/>
        </w:rPr>
        <w:t>②厚面层专用粉刷石膏罩面;</w:t>
      </w:r>
    </w:p>
    <w:p w14:paraId="0E2804B1">
      <w:pPr>
        <w:spacing w:before="37"/>
        <w:ind w:left="16"/>
        <w:rPr>
          <w:rFonts w:ascii="宋体" w:hAnsi="宋体" w:eastAsia="宋体" w:cs="宋体"/>
          <w:spacing w:val="-2"/>
          <w:lang w:eastAsia="zh-CN"/>
        </w:rPr>
      </w:pPr>
      <w:r>
        <w:rPr>
          <w:rFonts w:hint="eastAsia" w:ascii="宋体" w:hAnsi="宋体" w:eastAsia="宋体" w:cs="宋体"/>
          <w:spacing w:val="-2"/>
          <w:lang w:eastAsia="zh-CN"/>
        </w:rPr>
        <w:t>③厚粉刷石膏砂浆打底分遍抹平;</w:t>
      </w:r>
    </w:p>
    <w:p w14:paraId="0E3BA3D5">
      <w:pPr>
        <w:spacing w:before="37"/>
        <w:ind w:left="16"/>
        <w:rPr>
          <w:rFonts w:ascii="宋体" w:hAnsi="宋体" w:eastAsia="宋体" w:cs="宋体"/>
          <w:spacing w:val="-2"/>
          <w:lang w:eastAsia="zh-CN"/>
        </w:rPr>
      </w:pPr>
      <w:r>
        <w:rPr>
          <w:rFonts w:hint="eastAsia" w:ascii="宋体" w:hAnsi="宋体" w:eastAsia="宋体" w:cs="宋体"/>
          <w:spacing w:val="-2"/>
          <w:lang w:eastAsia="zh-CN"/>
        </w:rPr>
        <w:t>④素水泥浆一道。</w:t>
      </w:r>
    </w:p>
    <w:p w14:paraId="1F2B7556">
      <w:pPr>
        <w:spacing w:before="37"/>
        <w:ind w:left="16"/>
        <w:jc w:val="center"/>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（三）消防设计</w:t>
      </w:r>
    </w:p>
    <w:p w14:paraId="4EE2BEC2">
      <w:pPr>
        <w:spacing w:before="37"/>
        <w:ind w:left="16" w:firstLine="412" w:firstLineChars="200"/>
        <w:rPr>
          <w:rFonts w:ascii="宋体" w:hAnsi="宋体" w:eastAsia="宋体" w:cs="宋体"/>
          <w:spacing w:val="-2"/>
          <w:lang w:eastAsia="zh-CN"/>
        </w:rPr>
      </w:pPr>
      <w:r>
        <w:rPr>
          <w:rFonts w:hint="eastAsia" w:ascii="宋体" w:hAnsi="宋体" w:eastAsia="宋体" w:cs="宋体"/>
          <w:spacing w:val="-2"/>
          <w:lang w:eastAsia="zh-CN"/>
        </w:rPr>
        <w:t>所有金属铁件均刷防锈漆二度，外露部分刷调和漆二度。依据《建筑防火通用规范》6.31条和《建筑防火规范》5.1.2条，电梯井壁为不燃性，耐火极限不低于2.00h，主要承重构件梁、柱均为不燃性，耐火极限:竖向承重构件(柱)不应低于2.50h，梁不应低于1.50h,楼板不应低于1.00h，屋面承重构件不应低于1.00h，非承重外墙0.50h。防火涂料必须选用通过国家检测机关检验合格、消防部门认可的产品，且需与底漆相配套，不得发生化学反应。所选用防火涂料的性能、涂层厚度、质量要求应符合现行国家标准《钢结构防火涂料》GB14907-2002和现行国家标准《钢结构防火涂料应用技术》CECS24:90中3.4.12的规定。内装修均使用燃烧性能为A级的材料。满足《建筑防火通用规范》GB55037-2022《建筑内部装修设计防火规范》GB50222-2017 要求。</w:t>
      </w:r>
    </w:p>
    <w:p w14:paraId="15713286">
      <w:pPr>
        <w:spacing w:before="37"/>
        <w:ind w:left="16"/>
        <w:jc w:val="center"/>
        <w:rPr>
          <w:rFonts w:ascii="宋体" w:hAnsi="宋体" w:eastAsia="宋体" w:cs="宋体"/>
          <w:b/>
          <w:bCs/>
          <w:spacing w:val="-2"/>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（四）电气</w:t>
      </w:r>
    </w:p>
    <w:p w14:paraId="0121ACEB">
      <w:pPr>
        <w:spacing w:before="37"/>
        <w:ind w:left="16"/>
        <w:rPr>
          <w:rFonts w:ascii="宋体" w:hAnsi="宋体" w:eastAsia="宋体" w:cs="宋体"/>
          <w:spacing w:val="-2"/>
          <w:lang w:eastAsia="zh-CN"/>
        </w:rPr>
      </w:pPr>
      <w:r>
        <w:rPr>
          <w:rFonts w:hint="eastAsia" w:ascii="宋体" w:hAnsi="宋体" w:eastAsia="宋体" w:cs="宋体"/>
          <w:spacing w:val="-2"/>
          <w:lang w:eastAsia="zh-CN"/>
        </w:rPr>
        <w:t>编制依据及范围</w:t>
      </w:r>
    </w:p>
    <w:p w14:paraId="560943B7">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(1)编制依据</w:t>
      </w:r>
    </w:p>
    <w:p w14:paraId="5BC0804D">
      <w:pPr>
        <w:spacing w:before="37"/>
        <w:ind w:left="16"/>
        <w:rPr>
          <w:rFonts w:ascii="宋体" w:hAnsi="宋体" w:eastAsia="宋体" w:cs="宋体"/>
          <w:spacing w:val="-2"/>
          <w:lang w:eastAsia="zh-CN"/>
        </w:rPr>
      </w:pPr>
      <w:r>
        <w:rPr>
          <w:rFonts w:hint="eastAsia" w:ascii="宋体" w:hAnsi="宋体" w:eastAsia="宋体" w:cs="宋体"/>
          <w:spacing w:val="-2"/>
          <w:lang w:eastAsia="zh-CN"/>
        </w:rPr>
        <w:t>《民用建筑电气设计标准》GB51348-2019;</w:t>
      </w:r>
    </w:p>
    <w:p w14:paraId="46CD2FD5">
      <w:pPr>
        <w:spacing w:before="37"/>
        <w:ind w:left="16"/>
        <w:rPr>
          <w:rFonts w:ascii="宋体" w:hAnsi="宋体" w:eastAsia="宋体" w:cs="宋体"/>
          <w:spacing w:val="-2"/>
          <w:lang w:eastAsia="zh-CN"/>
        </w:rPr>
      </w:pPr>
      <w:r>
        <w:rPr>
          <w:rFonts w:hint="eastAsia" w:ascii="宋体" w:hAnsi="宋体" w:eastAsia="宋体" w:cs="宋体"/>
          <w:spacing w:val="-2"/>
          <w:lang w:eastAsia="zh-CN"/>
        </w:rPr>
        <w:t>《建筑设计防火规范》GB50016-2014(2018版);</w:t>
      </w:r>
    </w:p>
    <w:p w14:paraId="2B75627C">
      <w:pPr>
        <w:spacing w:before="37"/>
        <w:ind w:left="16"/>
        <w:rPr>
          <w:rFonts w:ascii="宋体" w:hAnsi="宋体" w:eastAsia="宋体" w:cs="宋体"/>
          <w:spacing w:val="-2"/>
          <w:lang w:eastAsia="zh-CN"/>
        </w:rPr>
      </w:pPr>
      <w:r>
        <w:rPr>
          <w:rFonts w:hint="eastAsia" w:ascii="宋体" w:hAnsi="宋体" w:eastAsia="宋体" w:cs="宋体"/>
          <w:spacing w:val="-2"/>
          <w:lang w:eastAsia="zh-CN"/>
        </w:rPr>
        <w:t>《建筑照明设计标准》GB50034-2013;</w:t>
      </w:r>
    </w:p>
    <w:p w14:paraId="282B7C32">
      <w:pPr>
        <w:spacing w:before="37"/>
        <w:ind w:left="16"/>
        <w:rPr>
          <w:rFonts w:ascii="宋体" w:hAnsi="宋体" w:eastAsia="宋体" w:cs="宋体"/>
          <w:spacing w:val="-2"/>
          <w:lang w:eastAsia="zh-CN"/>
        </w:rPr>
      </w:pPr>
      <w:r>
        <w:rPr>
          <w:rFonts w:hint="eastAsia" w:ascii="宋体" w:hAnsi="宋体" w:eastAsia="宋体" w:cs="宋体"/>
          <w:spacing w:val="-2"/>
          <w:lang w:eastAsia="zh-CN"/>
        </w:rPr>
        <w:t>《供配电系统设计规范》GB50052-2009;</w:t>
      </w:r>
    </w:p>
    <w:p w14:paraId="60B44F1B">
      <w:pPr>
        <w:spacing w:before="37"/>
        <w:ind w:left="16"/>
        <w:rPr>
          <w:rFonts w:ascii="宋体" w:hAnsi="宋体" w:eastAsia="宋体" w:cs="宋体"/>
          <w:spacing w:val="-2"/>
          <w:lang w:eastAsia="zh-CN"/>
        </w:rPr>
      </w:pPr>
      <w:r>
        <w:rPr>
          <w:rFonts w:hint="eastAsia" w:ascii="宋体" w:hAnsi="宋体" w:eastAsia="宋体" w:cs="宋体"/>
          <w:spacing w:val="-2"/>
          <w:lang w:eastAsia="zh-CN"/>
        </w:rPr>
        <w:t>《低压配电设计规范》GB50054-2011;</w:t>
      </w:r>
    </w:p>
    <w:p w14:paraId="197AB20C">
      <w:pPr>
        <w:spacing w:before="37"/>
        <w:ind w:left="16"/>
        <w:rPr>
          <w:rFonts w:ascii="宋体" w:hAnsi="宋体" w:eastAsia="宋体" w:cs="宋体"/>
          <w:spacing w:val="-2"/>
          <w:lang w:eastAsia="zh-CN"/>
        </w:rPr>
      </w:pPr>
      <w:r>
        <w:rPr>
          <w:rFonts w:hint="eastAsia" w:ascii="宋体" w:hAnsi="宋体" w:eastAsia="宋体" w:cs="宋体"/>
          <w:spacing w:val="-2"/>
          <w:lang w:eastAsia="zh-CN"/>
        </w:rPr>
        <w:t>《电力工程电缆设计标准》GB 50217-2018;</w:t>
      </w:r>
    </w:p>
    <w:p w14:paraId="56D8C6D7">
      <w:pPr>
        <w:spacing w:before="37"/>
        <w:ind w:left="16"/>
        <w:rPr>
          <w:rFonts w:ascii="宋体" w:hAnsi="宋体" w:eastAsia="宋体" w:cs="宋体"/>
          <w:spacing w:val="-2"/>
          <w:lang w:eastAsia="zh-CN"/>
        </w:rPr>
      </w:pPr>
      <w:r>
        <w:rPr>
          <w:rFonts w:hint="eastAsia" w:ascii="宋体" w:hAnsi="宋体" w:eastAsia="宋体" w:cs="宋体"/>
          <w:spacing w:val="-2"/>
          <w:lang w:eastAsia="zh-CN"/>
        </w:rPr>
        <w:t>《建筑物防雷设计规范》GB50057-2010;</w:t>
      </w:r>
    </w:p>
    <w:p w14:paraId="7860E141">
      <w:pPr>
        <w:spacing w:before="37"/>
        <w:ind w:left="16"/>
        <w:rPr>
          <w:rFonts w:ascii="宋体" w:hAnsi="宋体" w:eastAsia="宋体" w:cs="宋体"/>
          <w:spacing w:val="-2"/>
          <w:lang w:eastAsia="zh-CN"/>
        </w:rPr>
      </w:pPr>
      <w:r>
        <w:rPr>
          <w:rFonts w:hint="eastAsia" w:ascii="宋体" w:hAnsi="宋体" w:eastAsia="宋体" w:cs="宋体"/>
          <w:spacing w:val="-2"/>
          <w:lang w:eastAsia="zh-CN"/>
        </w:rPr>
        <w:t>《住宅建筑电气设计规范》JGJ 242-2011;</w:t>
      </w:r>
    </w:p>
    <w:p w14:paraId="508AB782">
      <w:pPr>
        <w:spacing w:before="37"/>
        <w:ind w:left="16"/>
        <w:rPr>
          <w:rFonts w:ascii="宋体" w:hAnsi="宋体" w:eastAsia="宋体" w:cs="宋体"/>
          <w:spacing w:val="-2"/>
          <w:lang w:eastAsia="zh-CN"/>
        </w:rPr>
      </w:pPr>
      <w:r>
        <w:rPr>
          <w:rFonts w:hint="eastAsia" w:ascii="宋体" w:hAnsi="宋体" w:eastAsia="宋体" w:cs="宋体"/>
          <w:spacing w:val="-2"/>
          <w:lang w:eastAsia="zh-CN"/>
        </w:rPr>
        <w:t>《居民住宅小区电力配置规范》GB/T 36040-2018;</w:t>
      </w:r>
    </w:p>
    <w:p w14:paraId="69906665">
      <w:pPr>
        <w:spacing w:before="37"/>
        <w:ind w:left="16"/>
        <w:rPr>
          <w:rFonts w:ascii="宋体" w:hAnsi="宋体" w:eastAsia="宋体" w:cs="宋体"/>
          <w:spacing w:val="-2"/>
          <w:lang w:eastAsia="zh-CN"/>
        </w:rPr>
      </w:pPr>
      <w:r>
        <w:rPr>
          <w:rFonts w:hint="eastAsia" w:ascii="宋体" w:hAnsi="宋体" w:eastAsia="宋体" w:cs="宋体"/>
          <w:spacing w:val="-2"/>
          <w:lang w:eastAsia="zh-CN"/>
        </w:rPr>
        <w:t>《建筑节能与可再生能源利用通用规范》GB55015-2021;</w:t>
      </w:r>
    </w:p>
    <w:p w14:paraId="5F5AE6A3">
      <w:pPr>
        <w:spacing w:before="37"/>
        <w:ind w:left="16"/>
        <w:rPr>
          <w:rFonts w:ascii="宋体" w:hAnsi="宋体" w:eastAsia="宋体" w:cs="宋体"/>
          <w:spacing w:val="-2"/>
          <w:lang w:eastAsia="zh-CN"/>
        </w:rPr>
      </w:pPr>
      <w:r>
        <w:rPr>
          <w:rFonts w:hint="eastAsia" w:ascii="宋体" w:hAnsi="宋体" w:eastAsia="宋体" w:cs="宋体"/>
          <w:spacing w:val="-2"/>
          <w:lang w:eastAsia="zh-CN"/>
        </w:rPr>
        <w:t>《建筑电气与智能化通用规范》GB55024-2022;</w:t>
      </w:r>
    </w:p>
    <w:p w14:paraId="3B791084">
      <w:pPr>
        <w:spacing w:before="37"/>
        <w:ind w:left="16"/>
        <w:rPr>
          <w:rFonts w:ascii="宋体" w:hAnsi="宋体" w:eastAsia="宋体" w:cs="宋体"/>
          <w:spacing w:val="-2"/>
          <w:lang w:eastAsia="zh-CN"/>
        </w:rPr>
      </w:pPr>
      <w:r>
        <w:rPr>
          <w:rFonts w:hint="eastAsia" w:ascii="宋体" w:hAnsi="宋体" w:eastAsia="宋体" w:cs="宋体"/>
          <w:spacing w:val="-2"/>
          <w:lang w:eastAsia="zh-CN"/>
        </w:rPr>
        <w:t>《建筑防火通用规范》GB55037-2022;</w:t>
      </w:r>
    </w:p>
    <w:p w14:paraId="2BC30F33">
      <w:pPr>
        <w:spacing w:before="37"/>
        <w:ind w:left="16"/>
        <w:rPr>
          <w:rFonts w:ascii="宋体" w:hAnsi="宋体" w:eastAsia="宋体" w:cs="宋体"/>
          <w:spacing w:val="-2"/>
          <w:lang w:eastAsia="zh-CN"/>
        </w:rPr>
      </w:pPr>
      <w:r>
        <w:rPr>
          <w:rFonts w:hint="eastAsia" w:ascii="宋体" w:hAnsi="宋体" w:eastAsia="宋体" w:cs="宋体"/>
          <w:spacing w:val="-2"/>
          <w:lang w:eastAsia="zh-CN"/>
        </w:rPr>
        <w:t>《安全防范工程通用规范》GB44029-2022;</w:t>
      </w:r>
    </w:p>
    <w:p w14:paraId="75FEDB06">
      <w:pPr>
        <w:spacing w:before="37"/>
        <w:ind w:left="16"/>
        <w:rPr>
          <w:rFonts w:ascii="宋体" w:hAnsi="宋体" w:eastAsia="宋体" w:cs="宋体"/>
          <w:spacing w:val="-2"/>
          <w:lang w:eastAsia="zh-CN"/>
        </w:rPr>
      </w:pPr>
      <w:r>
        <w:rPr>
          <w:rFonts w:hint="eastAsia" w:ascii="宋体" w:hAnsi="宋体" w:eastAsia="宋体" w:cs="宋体"/>
          <w:spacing w:val="-2"/>
          <w:lang w:eastAsia="zh-CN"/>
        </w:rPr>
        <w:t>国家与地方现行的其他设计规范和标准。</w:t>
      </w:r>
    </w:p>
    <w:p w14:paraId="11C26E8F">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(2)编制范围</w:t>
      </w:r>
    </w:p>
    <w:p w14:paraId="01756317">
      <w:pPr>
        <w:spacing w:before="37"/>
        <w:ind w:left="16"/>
        <w:rPr>
          <w:rFonts w:ascii="宋体" w:hAnsi="宋体" w:eastAsia="宋体" w:cs="宋体"/>
          <w:spacing w:val="-2"/>
          <w:lang w:eastAsia="zh-CN"/>
        </w:rPr>
      </w:pPr>
      <w:r>
        <w:rPr>
          <w:rFonts w:hint="eastAsia" w:ascii="宋体" w:hAnsi="宋体" w:eastAsia="宋体" w:cs="宋体"/>
          <w:spacing w:val="-2"/>
          <w:lang w:eastAsia="zh-CN"/>
        </w:rPr>
        <w:t>编制范围包括配电系统、照明系统、防雷接地系统、闭路电视监控系统、电梯五方对讲系统。</w:t>
      </w:r>
    </w:p>
    <w:p w14:paraId="36837CF4">
      <w:pPr>
        <w:spacing w:before="37"/>
        <w:ind w:left="16"/>
        <w:rPr>
          <w:rFonts w:ascii="宋体" w:hAnsi="宋体" w:eastAsia="宋体" w:cs="宋体"/>
          <w:spacing w:val="-2"/>
          <w:lang w:eastAsia="zh-CN"/>
        </w:rPr>
      </w:pPr>
      <w:r>
        <w:rPr>
          <w:rFonts w:hint="eastAsia" w:ascii="宋体" w:hAnsi="宋体" w:eastAsia="宋体" w:cs="宋体"/>
          <w:spacing w:val="-2"/>
          <w:lang w:eastAsia="zh-CN"/>
        </w:rPr>
        <w:t>2.1配电系统</w:t>
      </w:r>
    </w:p>
    <w:p w14:paraId="27313FFA">
      <w:pPr>
        <w:spacing w:before="37"/>
        <w:ind w:left="16"/>
        <w:rPr>
          <w:rFonts w:ascii="宋体" w:hAnsi="宋体" w:eastAsia="宋体" w:cs="宋体"/>
          <w:spacing w:val="-2"/>
          <w:lang w:eastAsia="zh-CN"/>
        </w:rPr>
      </w:pPr>
      <w:r>
        <w:rPr>
          <w:rFonts w:hint="eastAsia" w:ascii="宋体" w:hAnsi="宋体" w:eastAsia="宋体" w:cs="宋体"/>
          <w:spacing w:val="-2"/>
          <w:lang w:eastAsia="zh-CN"/>
        </w:rPr>
        <w:t>1)负荷等级</w:t>
      </w:r>
    </w:p>
    <w:p w14:paraId="6E7C1950">
      <w:pPr>
        <w:spacing w:before="37"/>
        <w:ind w:left="16"/>
        <w:rPr>
          <w:rFonts w:ascii="宋体" w:hAnsi="宋体" w:eastAsia="宋体" w:cs="宋体"/>
          <w:spacing w:val="-2"/>
          <w:lang w:eastAsia="zh-CN"/>
        </w:rPr>
      </w:pPr>
      <w:r>
        <w:rPr>
          <w:rFonts w:hint="eastAsia" w:ascii="宋体" w:hAnsi="宋体" w:eastAsia="宋体" w:cs="宋体"/>
          <w:spacing w:val="-2"/>
          <w:lang w:eastAsia="zh-CN"/>
        </w:rPr>
        <w:t>根据本工程的性质及《建筑设计防火规范》等有关规定，本工程属于多层、高层民用建筑，电梯负荷等级为三级负荷。</w:t>
      </w:r>
    </w:p>
    <w:p w14:paraId="7CE81911">
      <w:pPr>
        <w:spacing w:before="37"/>
        <w:ind w:left="16"/>
        <w:rPr>
          <w:rFonts w:ascii="宋体" w:hAnsi="宋体" w:eastAsia="宋体" w:cs="宋体"/>
          <w:spacing w:val="-2"/>
          <w:lang w:eastAsia="zh-CN"/>
        </w:rPr>
      </w:pPr>
      <w:r>
        <w:rPr>
          <w:rFonts w:hint="eastAsia" w:ascii="宋体" w:hAnsi="宋体" w:eastAsia="宋体" w:cs="宋体"/>
          <w:spacing w:val="-2"/>
          <w:lang w:eastAsia="zh-CN"/>
        </w:rPr>
        <w:t>2)供电电源及电压等级</w:t>
      </w:r>
    </w:p>
    <w:p w14:paraId="147D7FB8">
      <w:pPr>
        <w:spacing w:before="37"/>
        <w:ind w:left="16"/>
        <w:rPr>
          <w:rFonts w:ascii="宋体" w:hAnsi="宋体" w:eastAsia="宋体" w:cs="宋体"/>
          <w:spacing w:val="-2"/>
          <w:lang w:eastAsia="zh-CN"/>
        </w:rPr>
      </w:pPr>
      <w:r>
        <w:rPr>
          <w:rFonts w:hint="eastAsia" w:ascii="宋体" w:hAnsi="宋体" w:eastAsia="宋体" w:cs="宋体"/>
          <w:spacing w:val="-2"/>
          <w:lang w:eastAsia="zh-CN"/>
        </w:rPr>
        <w:t>本工程电梯功率为15kW/台，接入现有380V电源。电梯厅照明的220V电源均接自楼内原有照明回路。</w:t>
      </w:r>
    </w:p>
    <w:p w14:paraId="1D66EC61">
      <w:pPr>
        <w:spacing w:before="37"/>
        <w:ind w:left="16"/>
        <w:rPr>
          <w:rFonts w:ascii="宋体" w:hAnsi="宋体" w:eastAsia="宋体" w:cs="宋体"/>
          <w:spacing w:val="-2"/>
          <w:lang w:eastAsia="zh-CN"/>
        </w:rPr>
      </w:pPr>
      <w:r>
        <w:rPr>
          <w:rFonts w:hint="eastAsia" w:ascii="宋体" w:hAnsi="宋体" w:eastAsia="宋体" w:cs="宋体"/>
          <w:spacing w:val="-2"/>
          <w:lang w:eastAsia="zh-CN"/>
        </w:rPr>
        <w:t>3)计量</w:t>
      </w:r>
    </w:p>
    <w:p w14:paraId="1C83832D">
      <w:pPr>
        <w:spacing w:before="37"/>
        <w:ind w:left="16"/>
        <w:rPr>
          <w:rFonts w:ascii="宋体" w:hAnsi="宋体" w:eastAsia="宋体" w:cs="宋体"/>
          <w:spacing w:val="-2"/>
          <w:lang w:eastAsia="zh-CN"/>
        </w:rPr>
      </w:pPr>
      <w:r>
        <w:rPr>
          <w:rFonts w:hint="eastAsia" w:ascii="宋体" w:hAnsi="宋体" w:eastAsia="宋体" w:cs="宋体"/>
          <w:spacing w:val="-2"/>
          <w:lang w:eastAsia="zh-CN"/>
        </w:rPr>
        <w:t>本项目在每单元首层设电梯专用计量表箱。</w:t>
      </w:r>
    </w:p>
    <w:p w14:paraId="2AC380B8">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（3）电力系统</w:t>
      </w:r>
    </w:p>
    <w:p w14:paraId="70FCA613">
      <w:pPr>
        <w:spacing w:before="37"/>
        <w:ind w:left="16"/>
        <w:rPr>
          <w:rFonts w:ascii="宋体" w:hAnsi="宋体" w:eastAsia="宋体" w:cs="宋体"/>
          <w:spacing w:val="-2"/>
          <w:lang w:eastAsia="zh-CN"/>
        </w:rPr>
      </w:pPr>
      <w:r>
        <w:rPr>
          <w:rFonts w:hint="eastAsia" w:ascii="宋体" w:hAnsi="宋体" w:eastAsia="宋体" w:cs="宋体"/>
          <w:spacing w:val="-2"/>
          <w:lang w:eastAsia="zh-CN"/>
        </w:rPr>
        <w:t>1)低压配电系统采用220/380V放射式与树干式相结合的方式。</w:t>
      </w:r>
    </w:p>
    <w:p w14:paraId="62250F08">
      <w:pPr>
        <w:spacing w:before="37"/>
        <w:ind w:left="16"/>
        <w:rPr>
          <w:rFonts w:ascii="宋体" w:hAnsi="宋体" w:eastAsia="宋体" w:cs="宋体"/>
          <w:spacing w:val="-2"/>
          <w:lang w:eastAsia="zh-CN"/>
        </w:rPr>
      </w:pPr>
      <w:r>
        <w:rPr>
          <w:rFonts w:hint="eastAsia" w:ascii="宋体" w:hAnsi="宋体" w:eastAsia="宋体" w:cs="宋体"/>
          <w:spacing w:val="-2"/>
          <w:lang w:eastAsia="zh-CN"/>
        </w:rPr>
        <w:t>2)电表箱、配电箱选用IP54防护等级，在墙上暗装。</w:t>
      </w:r>
    </w:p>
    <w:p w14:paraId="78DFC332">
      <w:pPr>
        <w:spacing w:before="37"/>
        <w:ind w:left="16"/>
        <w:rPr>
          <w:rFonts w:ascii="宋体" w:hAnsi="宋体" w:eastAsia="宋体" w:cs="宋体"/>
          <w:spacing w:val="-2"/>
          <w:lang w:eastAsia="zh-CN"/>
        </w:rPr>
      </w:pPr>
      <w:r>
        <w:rPr>
          <w:rFonts w:hint="eastAsia" w:ascii="宋体" w:hAnsi="宋体" w:eastAsia="宋体" w:cs="宋体"/>
          <w:spacing w:val="-2"/>
          <w:lang w:eastAsia="zh-CN"/>
        </w:rPr>
        <w:t>3)电梯的电动机采用软启动装置。</w:t>
      </w:r>
    </w:p>
    <w:p w14:paraId="6CA06DA2">
      <w:pPr>
        <w:spacing w:before="37"/>
        <w:ind w:left="16"/>
        <w:rPr>
          <w:rFonts w:ascii="宋体" w:hAnsi="宋体" w:eastAsia="宋体" w:cs="宋体"/>
          <w:spacing w:val="-2"/>
          <w:lang w:eastAsia="zh-CN"/>
        </w:rPr>
      </w:pPr>
      <w:r>
        <w:rPr>
          <w:rFonts w:hint="eastAsia" w:ascii="宋体" w:hAnsi="宋体" w:eastAsia="宋体" w:cs="宋体"/>
          <w:spacing w:val="-2"/>
          <w:lang w:eastAsia="zh-CN"/>
        </w:rPr>
        <w:t>4)电梯供电采用YJV型电缆;电梯间加装照明灯具的电源线引自原有楼层楼梯间照明回路，配电线路为BV-3X2.5mm2穿SC15管，电气管线在楼板内敷设。</w:t>
      </w:r>
    </w:p>
    <w:p w14:paraId="00587CAC">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（4）照明系统</w:t>
      </w:r>
    </w:p>
    <w:p w14:paraId="757F715F">
      <w:pPr>
        <w:spacing w:before="37"/>
        <w:rPr>
          <w:rFonts w:ascii="宋体" w:hAnsi="宋体" w:eastAsia="宋体" w:cs="宋体"/>
          <w:spacing w:val="-2"/>
          <w:lang w:eastAsia="zh-CN"/>
        </w:rPr>
      </w:pPr>
      <w:r>
        <w:rPr>
          <w:rFonts w:hint="eastAsia" w:ascii="宋体" w:hAnsi="宋体" w:eastAsia="宋体" w:cs="宋体"/>
          <w:spacing w:val="-2"/>
          <w:lang w:eastAsia="zh-CN"/>
        </w:rPr>
        <w:t>按现行国家标准《建筑节能与可再生能源利用通用规范》GB55015-2021，电梯间照度标准值为50Lx，照明功率密度≤4W/m。灯具均采用高效、节能、环保型LED节能灯。电梯轿厢照明和电梯井道照明均由电梯厂家提供。</w:t>
      </w:r>
    </w:p>
    <w:p w14:paraId="0F7C1127">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（5）防雷接地系统</w:t>
      </w:r>
    </w:p>
    <w:p w14:paraId="27572967">
      <w:pPr>
        <w:spacing w:before="37"/>
        <w:ind w:left="16"/>
        <w:rPr>
          <w:rFonts w:ascii="宋体" w:hAnsi="宋体" w:eastAsia="宋体" w:cs="宋体"/>
          <w:spacing w:val="-2"/>
          <w:lang w:eastAsia="zh-CN"/>
        </w:rPr>
      </w:pPr>
      <w:r>
        <w:rPr>
          <w:rFonts w:hint="eastAsia" w:ascii="宋体" w:hAnsi="宋体" w:eastAsia="宋体" w:cs="宋体"/>
          <w:spacing w:val="-2"/>
          <w:lang w:eastAsia="zh-CN"/>
        </w:rPr>
        <w:t>1)本项目低压配电系统接地型式采用TN-C-S系统。</w:t>
      </w:r>
    </w:p>
    <w:p w14:paraId="58269CE7">
      <w:pPr>
        <w:spacing w:before="37"/>
        <w:ind w:left="16"/>
        <w:rPr>
          <w:rFonts w:ascii="宋体" w:hAnsi="宋体" w:eastAsia="宋体" w:cs="宋体"/>
          <w:spacing w:val="-2"/>
          <w:lang w:eastAsia="zh-CN"/>
        </w:rPr>
      </w:pPr>
      <w:r>
        <w:rPr>
          <w:rFonts w:hint="eastAsia" w:ascii="宋体" w:hAnsi="宋体" w:eastAsia="宋体" w:cs="宋体"/>
          <w:spacing w:val="-2"/>
          <w:lang w:eastAsia="zh-CN"/>
        </w:rPr>
        <w:t>2)利用新建电梯井道的基础钢筋做接地装置，与原有建筑物地网连接，要求接地电阻≤4Ω。</w:t>
      </w:r>
    </w:p>
    <w:p w14:paraId="5A3761DC">
      <w:pPr>
        <w:spacing w:before="37"/>
        <w:ind w:left="16"/>
        <w:rPr>
          <w:rFonts w:ascii="宋体" w:hAnsi="宋体" w:eastAsia="宋体" w:cs="宋体"/>
          <w:spacing w:val="-2"/>
          <w:lang w:eastAsia="zh-CN"/>
        </w:rPr>
      </w:pPr>
      <w:r>
        <w:rPr>
          <w:rFonts w:hint="eastAsia" w:ascii="宋体" w:hAnsi="宋体" w:eastAsia="宋体" w:cs="宋体"/>
          <w:spacing w:val="-2"/>
          <w:lang w:eastAsia="zh-CN"/>
        </w:rPr>
        <w:t>3)轿厢内的电气设备、井道内的金属件与建筑物的用电设备(包括控制用微处理器)采用同一接地极。整个电梯装置的金属件须采取等电位连接措施，将设备进线管、建筑物金属构件进行联结。</w:t>
      </w:r>
    </w:p>
    <w:p w14:paraId="6B8A7537">
      <w:pPr>
        <w:spacing w:before="37"/>
        <w:ind w:left="16"/>
        <w:rPr>
          <w:rFonts w:ascii="宋体" w:hAnsi="宋体" w:eastAsia="宋体" w:cs="宋体"/>
          <w:spacing w:val="-2"/>
          <w:lang w:eastAsia="zh-CN"/>
        </w:rPr>
      </w:pPr>
      <w:r>
        <w:rPr>
          <w:rFonts w:hint="eastAsia" w:ascii="宋体" w:hAnsi="宋体" w:eastAsia="宋体" w:cs="宋体"/>
          <w:spacing w:val="-2"/>
          <w:lang w:eastAsia="zh-CN"/>
        </w:rPr>
        <w:t>4)电梯控制设备处应设浪涌保护器。</w:t>
      </w:r>
    </w:p>
    <w:p w14:paraId="6726B118">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（6）闭路电视监控系统</w:t>
      </w:r>
    </w:p>
    <w:p w14:paraId="5EA9A3A1">
      <w:pPr>
        <w:spacing w:before="37"/>
        <w:ind w:left="16"/>
        <w:rPr>
          <w:rFonts w:ascii="宋体" w:hAnsi="宋体" w:eastAsia="宋体" w:cs="宋体"/>
          <w:spacing w:val="-2"/>
          <w:lang w:eastAsia="zh-CN"/>
        </w:rPr>
      </w:pPr>
      <w:r>
        <w:rPr>
          <w:rFonts w:hint="eastAsia" w:ascii="宋体" w:hAnsi="宋体" w:eastAsia="宋体" w:cs="宋体"/>
          <w:spacing w:val="-2"/>
          <w:lang w:eastAsia="zh-CN"/>
        </w:rPr>
        <w:t>在电梯轿厢内设置电梯专用摄像机,配备具有电梯运行参数采集和网络远程传输功能的检测装置，符合电梯安全管理服务平台数据接口标准，并可实时查看电梯运行状态、上传数据，保证电梯运行安全。采用视频传输图像,总线控制方式。视频及控制线从物业或社区监控室引来。无物业、社区监控室的电梯采用无线监控设备形式，监控设备自带存储装置，可保留7天内视频图像。</w:t>
      </w:r>
    </w:p>
    <w:p w14:paraId="34996578">
      <w:pPr>
        <w:spacing w:before="37"/>
        <w:ind w:left="16"/>
        <w:rPr>
          <w:rFonts w:ascii="宋体" w:hAnsi="宋体" w:eastAsia="宋体" w:cs="宋体"/>
          <w:b/>
          <w:bCs/>
          <w:spacing w:val="-2"/>
          <w:lang w:eastAsia="zh-CN"/>
        </w:rPr>
      </w:pPr>
      <w:r>
        <w:rPr>
          <w:rFonts w:hint="eastAsia" w:ascii="宋体" w:hAnsi="宋体" w:eastAsia="宋体" w:cs="宋体"/>
          <w:b/>
          <w:bCs/>
          <w:spacing w:val="-2"/>
          <w:lang w:eastAsia="zh-CN"/>
        </w:rPr>
        <w:t>（7）电梯五方对讲系统</w:t>
      </w:r>
    </w:p>
    <w:p w14:paraId="235C1DF0">
      <w:pPr>
        <w:spacing w:before="37"/>
        <w:ind w:left="16"/>
        <w:rPr>
          <w:rFonts w:ascii="宋体" w:hAnsi="宋体" w:eastAsia="宋体" w:cs="宋体"/>
          <w:spacing w:val="-2"/>
          <w:lang w:eastAsia="zh-CN"/>
        </w:rPr>
      </w:pPr>
      <w:r>
        <w:rPr>
          <w:rFonts w:hint="eastAsia" w:ascii="宋体" w:hAnsi="宋体" w:eastAsia="宋体" w:cs="宋体"/>
          <w:spacing w:val="-2"/>
          <w:lang w:eastAsia="zh-CN"/>
        </w:rPr>
        <w:t>由现有监控室引来五方对讲专用回路,通过竖井引至顶层,在电梯机房与电梯轿厢内设置五方对讲机。在监控室设置对讲主机。电梯五方对讲系统是一种用于电梯内部通讯和紧急呼叫的系统。它通常包括五个部分:呼叫按钮、对讲设备、控制器、通讯线路和中心监控系统。呼叫按钮通常安装在电梯内部，乘客可以通过按下按钮来呼叫楼层或进行紧急呼叫。对讲设备用于实现乘客与电梯控制中心或其他相关人员之间的语音通讯。控制器负责处理呼叫请求，控制通讯设备的工作，并将呼叫信息传输到中心监控系统。通讯线路则用于连接各个部件，确保信息的传输和交换。中心监控系统则是用于接收和处理呼叫信息的中央控制设备。电梯五方对讲系统可以提高电梯内部通讯的效率和安全性，确保乘客在紧急情况下能够及时获得帮助。</w:t>
      </w:r>
    </w:p>
    <w:p w14:paraId="06BE0225">
      <w:pPr>
        <w:spacing w:before="37"/>
        <w:ind w:left="16"/>
        <w:rPr>
          <w:rFonts w:ascii="宋体" w:hAnsi="宋体" w:eastAsia="宋体" w:cs="宋体"/>
          <w:b/>
          <w:bCs/>
          <w:lang w:eastAsia="zh-CN"/>
        </w:rPr>
      </w:pPr>
      <w:r>
        <w:rPr>
          <w:rFonts w:hint="eastAsia" w:ascii="宋体" w:hAnsi="宋体" w:eastAsia="宋体" w:cs="宋体"/>
          <w:spacing w:val="-1"/>
          <w:lang w:eastAsia="zh-CN"/>
        </w:rPr>
        <w:t>★</w:t>
      </w:r>
      <w:r>
        <w:rPr>
          <w:rFonts w:hint="eastAsia" w:ascii="宋体" w:hAnsi="宋体" w:eastAsia="宋体" w:cs="宋体"/>
          <w:b/>
          <w:bCs/>
          <w:spacing w:val="-2"/>
          <w:lang w:eastAsia="zh-CN"/>
        </w:rPr>
        <w:t>三、售后服务要求：</w:t>
      </w:r>
    </w:p>
    <w:p w14:paraId="0DF869F9">
      <w:pPr>
        <w:spacing w:before="180"/>
        <w:ind w:left="16"/>
        <w:rPr>
          <w:rFonts w:ascii="宋体" w:hAnsi="宋体" w:eastAsia="宋体" w:cs="宋体"/>
          <w:lang w:eastAsia="zh-CN"/>
        </w:rPr>
      </w:pPr>
      <w:r>
        <w:rPr>
          <w:rFonts w:hint="eastAsia" w:ascii="宋体" w:hAnsi="宋体" w:eastAsia="宋体" w:cs="宋体"/>
          <w:spacing w:val="-2"/>
          <w:lang w:eastAsia="zh-CN"/>
        </w:rPr>
        <w:t>（1）保证电梯安全运行。</w:t>
      </w:r>
      <w:r>
        <w:rPr>
          <w:rFonts w:hint="eastAsia" w:ascii="宋体" w:hAnsi="宋体" w:eastAsia="宋体" w:cs="宋体"/>
          <w:spacing w:val="-1"/>
          <w:lang w:eastAsia="zh-CN"/>
        </w:rPr>
        <w:t>在保证电梯安全运行的前提下降低电梯维护保养成本。</w:t>
      </w:r>
    </w:p>
    <w:p w14:paraId="69285DC2">
      <w:pPr>
        <w:spacing w:before="184"/>
        <w:ind w:left="16"/>
        <w:rPr>
          <w:rFonts w:ascii="宋体" w:hAnsi="宋体" w:eastAsia="宋体" w:cs="宋体"/>
          <w:lang w:eastAsia="zh-CN"/>
        </w:rPr>
      </w:pPr>
      <w:r>
        <w:rPr>
          <w:rFonts w:hint="eastAsia" w:ascii="宋体" w:hAnsi="宋体" w:eastAsia="宋体" w:cs="宋体"/>
          <w:spacing w:val="-2"/>
          <w:lang w:eastAsia="zh-CN"/>
        </w:rPr>
        <w:t>（2）</w:t>
      </w:r>
      <w:r>
        <w:rPr>
          <w:rFonts w:hint="eastAsia" w:ascii="宋体" w:hAnsi="宋体" w:eastAsia="宋体" w:cs="宋体"/>
          <w:spacing w:val="-4"/>
          <w:lang w:eastAsia="zh-CN"/>
        </w:rPr>
        <w:t>日常维护保养应遵守的其他标准。</w:t>
      </w:r>
    </w:p>
    <w:p w14:paraId="5A4EF70D">
      <w:pPr>
        <w:kinsoku/>
        <w:spacing w:before="181"/>
        <w:ind w:left="13" w:right="137" w:firstLine="3"/>
        <w:rPr>
          <w:rFonts w:ascii="宋体" w:hAnsi="宋体" w:eastAsia="宋体" w:cs="宋体"/>
          <w:lang w:eastAsia="zh-CN"/>
        </w:rPr>
      </w:pPr>
      <w:r>
        <w:rPr>
          <w:rFonts w:hint="eastAsia" w:ascii="宋体" w:hAnsi="宋体" w:eastAsia="宋体" w:cs="宋体"/>
          <w:spacing w:val="-2"/>
          <w:lang w:eastAsia="zh-CN"/>
        </w:rPr>
        <w:t>（3）</w:t>
      </w:r>
      <w:r>
        <w:rPr>
          <w:rFonts w:hint="eastAsia" w:ascii="宋体" w:hAnsi="宋体" w:eastAsia="宋体" w:cs="宋体"/>
          <w:lang w:eastAsia="zh-CN"/>
        </w:rPr>
        <w:t>提供24小时应急响应服务，能在接到故障或事故</w:t>
      </w:r>
      <w:r>
        <w:rPr>
          <w:rFonts w:hint="eastAsia" w:ascii="宋体" w:hAnsi="宋体" w:eastAsia="宋体" w:cs="宋体"/>
          <w:spacing w:val="-1"/>
          <w:lang w:eastAsia="zh-CN"/>
        </w:rPr>
        <w:t>报警后30分钟内到达现场，并</w:t>
      </w:r>
      <w:r>
        <w:rPr>
          <w:rFonts w:hint="eastAsia" w:ascii="宋体" w:hAnsi="宋体" w:eastAsia="宋体" w:cs="宋体"/>
          <w:lang w:eastAsia="zh-CN"/>
        </w:rPr>
        <w:t>能提 供正常连续的服务直至故障或事故排除。对非电子板原因的</w:t>
      </w:r>
      <w:r>
        <w:rPr>
          <w:rFonts w:hint="eastAsia" w:ascii="宋体" w:hAnsi="宋体" w:eastAsia="宋体" w:cs="宋体"/>
          <w:spacing w:val="-1"/>
          <w:lang w:eastAsia="zh-CN"/>
        </w:rPr>
        <w:t>常见故障要求在60分</w:t>
      </w:r>
      <w:r>
        <w:rPr>
          <w:rFonts w:hint="eastAsia" w:ascii="宋体" w:hAnsi="宋体" w:eastAsia="宋体" w:cs="宋体"/>
          <w:spacing w:val="-4"/>
          <w:lang w:eastAsia="zh-CN"/>
        </w:rPr>
        <w:t>钟内排</w:t>
      </w:r>
      <w:r>
        <w:rPr>
          <w:rFonts w:hint="eastAsia" w:ascii="宋体" w:hAnsi="宋体" w:eastAsia="宋体" w:cs="宋体"/>
          <w:spacing w:val="-1"/>
          <w:lang w:eastAsia="zh-CN"/>
        </w:rPr>
        <w:t>除，对电子板原因的故障应在普遍认可的合理时间内解决。</w:t>
      </w:r>
    </w:p>
    <w:p w14:paraId="25AE6560">
      <w:pPr>
        <w:kinsoku/>
        <w:spacing w:before="184"/>
        <w:ind w:left="16"/>
        <w:rPr>
          <w:rFonts w:ascii="宋体" w:hAnsi="宋体" w:eastAsia="宋体" w:cs="宋体"/>
          <w:lang w:eastAsia="zh-CN"/>
        </w:rPr>
      </w:pPr>
      <w:r>
        <w:rPr>
          <w:rFonts w:hint="eastAsia" w:ascii="宋体" w:hAnsi="宋体" w:eastAsia="宋体" w:cs="宋体"/>
          <w:spacing w:val="-2"/>
          <w:lang w:eastAsia="zh-CN"/>
        </w:rPr>
        <w:t>（4）</w:t>
      </w:r>
      <w:r>
        <w:rPr>
          <w:rFonts w:hint="eastAsia" w:ascii="宋体" w:hAnsi="宋体" w:eastAsia="宋体" w:cs="宋体"/>
          <w:lang w:eastAsia="zh-CN"/>
        </w:rPr>
        <w:t>更换下来的电梯部件残值应交由</w:t>
      </w:r>
      <w:r>
        <w:rPr>
          <w:rFonts w:hint="eastAsia" w:ascii="宋体" w:hAnsi="宋体" w:eastAsia="宋体" w:cs="宋体"/>
          <w:spacing w:val="-1"/>
          <w:lang w:eastAsia="zh-CN"/>
        </w:rPr>
        <w:t>中标单位处置，残值价款应返还给招标人。</w:t>
      </w:r>
    </w:p>
    <w:p w14:paraId="7EFD7C86">
      <w:pPr>
        <w:kinsoku/>
        <w:spacing w:before="181"/>
        <w:ind w:left="12" w:right="137" w:firstLine="4"/>
        <w:rPr>
          <w:rFonts w:ascii="宋体" w:hAnsi="宋体" w:eastAsia="宋体" w:cs="宋体"/>
          <w:lang w:eastAsia="zh-CN"/>
        </w:rPr>
      </w:pPr>
      <w:r>
        <w:rPr>
          <w:rFonts w:hint="eastAsia" w:ascii="宋体" w:hAnsi="宋体" w:eastAsia="宋体" w:cs="宋体"/>
          <w:spacing w:val="-2"/>
          <w:lang w:eastAsia="zh-CN"/>
        </w:rPr>
        <w:t>（5）</w:t>
      </w:r>
      <w:r>
        <w:rPr>
          <w:rFonts w:hint="eastAsia" w:ascii="宋体" w:hAnsi="宋体" w:eastAsia="宋体" w:cs="宋体"/>
          <w:lang w:eastAsia="zh-CN"/>
        </w:rPr>
        <w:t>如因使用不当造成电梯故障或损坏，中标单位</w:t>
      </w:r>
      <w:r>
        <w:rPr>
          <w:rFonts w:hint="eastAsia" w:ascii="宋体" w:hAnsi="宋体" w:eastAsia="宋体" w:cs="宋体"/>
          <w:spacing w:val="-1"/>
          <w:lang w:eastAsia="zh-CN"/>
        </w:rPr>
        <w:t>有责任及时修复使其恢复安全、正常运行，费用双方另行协商确定。</w:t>
      </w:r>
    </w:p>
    <w:p w14:paraId="685D5412">
      <w:pPr>
        <w:kinsoku/>
        <w:ind w:left="16"/>
        <w:rPr>
          <w:rFonts w:ascii="宋体" w:hAnsi="宋体" w:eastAsia="宋体" w:cs="宋体"/>
          <w:lang w:eastAsia="zh-CN"/>
        </w:rPr>
      </w:pPr>
      <w:r>
        <w:rPr>
          <w:rFonts w:hint="eastAsia" w:ascii="宋体" w:hAnsi="宋体" w:eastAsia="宋体" w:cs="宋体"/>
          <w:spacing w:val="-2"/>
          <w:lang w:eastAsia="zh-CN"/>
        </w:rPr>
        <w:t>（6）</w:t>
      </w:r>
      <w:r>
        <w:rPr>
          <w:rFonts w:hint="eastAsia" w:ascii="宋体" w:hAnsi="宋体" w:eastAsia="宋体" w:cs="宋体"/>
          <w:spacing w:val="-1"/>
          <w:lang w:eastAsia="zh-CN"/>
        </w:rPr>
        <w:t>协助使用单位做好年度检验检测工作。</w:t>
      </w:r>
    </w:p>
    <w:p w14:paraId="73900BD2">
      <w:pPr>
        <w:kinsoku/>
        <w:spacing w:before="184"/>
        <w:ind w:left="16"/>
        <w:rPr>
          <w:rFonts w:ascii="宋体" w:hAnsi="宋体" w:eastAsia="宋体" w:cs="宋体"/>
          <w:lang w:eastAsia="zh-CN"/>
        </w:rPr>
      </w:pPr>
      <w:r>
        <w:rPr>
          <w:rFonts w:hint="eastAsia" w:ascii="宋体" w:hAnsi="宋体" w:eastAsia="宋体" w:cs="宋体"/>
          <w:spacing w:val="-2"/>
          <w:lang w:eastAsia="zh-CN"/>
        </w:rPr>
        <w:t>（7）</w:t>
      </w:r>
      <w:r>
        <w:rPr>
          <w:rFonts w:hint="eastAsia" w:ascii="宋体" w:hAnsi="宋体" w:eastAsia="宋体" w:cs="宋体"/>
          <w:spacing w:val="-1"/>
          <w:lang w:eastAsia="zh-CN"/>
        </w:rPr>
        <w:t>协助使用单位做好完善相关制度、预案、演习演练。</w:t>
      </w:r>
    </w:p>
    <w:p w14:paraId="26A0D9A1">
      <w:pPr>
        <w:kinsoku/>
        <w:spacing w:before="180"/>
        <w:ind w:left="16"/>
        <w:rPr>
          <w:rFonts w:ascii="宋体" w:hAnsi="宋体" w:eastAsia="宋体" w:cs="宋体"/>
          <w:lang w:eastAsia="zh-CN"/>
        </w:rPr>
      </w:pPr>
      <w:r>
        <w:rPr>
          <w:rFonts w:hint="eastAsia" w:ascii="宋体" w:hAnsi="宋体" w:eastAsia="宋体" w:cs="宋体"/>
          <w:spacing w:val="-2"/>
          <w:lang w:eastAsia="zh-CN"/>
        </w:rPr>
        <w:t>（8）</w:t>
      </w:r>
      <w:r>
        <w:rPr>
          <w:rFonts w:hint="eastAsia" w:ascii="宋体" w:hAnsi="宋体" w:eastAsia="宋体" w:cs="宋体"/>
          <w:lang w:eastAsia="zh-CN"/>
        </w:rPr>
        <w:t>此项目为交钥匙项目，请投标单位充分理解本</w:t>
      </w:r>
      <w:r>
        <w:rPr>
          <w:rFonts w:hint="eastAsia" w:ascii="宋体" w:hAnsi="宋体" w:eastAsia="宋体" w:cs="宋体"/>
          <w:spacing w:val="-1"/>
          <w:lang w:eastAsia="zh-CN"/>
        </w:rPr>
        <w:t>项目所需的一切费用产生的可能。</w:t>
      </w:r>
    </w:p>
    <w:p w14:paraId="070AF253">
      <w:pPr>
        <w:kinsoku/>
        <w:spacing w:before="184"/>
        <w:ind w:left="13" w:right="137"/>
        <w:rPr>
          <w:rFonts w:ascii="宋体" w:hAnsi="宋体" w:eastAsia="宋体" w:cs="宋体"/>
          <w:lang w:eastAsia="zh-CN"/>
        </w:rPr>
      </w:pPr>
      <w:r>
        <w:rPr>
          <w:rFonts w:hint="eastAsia" w:ascii="宋体" w:hAnsi="宋体" w:eastAsia="宋体" w:cs="宋体"/>
          <w:spacing w:val="-1"/>
          <w:lang w:eastAsia="zh-CN"/>
        </w:rPr>
        <w:t>本预算包含残值评估费、设备费、旧电梯拆除费、安装费、调试费、运输费、</w:t>
      </w:r>
      <w:r>
        <w:rPr>
          <w:rFonts w:hint="eastAsia" w:ascii="宋体" w:hAnsi="宋体" w:eastAsia="宋体" w:cs="宋体"/>
          <w:spacing w:val="-2"/>
          <w:lang w:eastAsia="zh-CN"/>
        </w:rPr>
        <w:t>监督检验费、使用登记</w:t>
      </w:r>
      <w:r>
        <w:rPr>
          <w:rFonts w:hint="eastAsia" w:ascii="宋体" w:hAnsi="宋体" w:eastAsia="宋体" w:cs="宋体"/>
          <w:spacing w:val="-1"/>
          <w:lang w:eastAsia="zh-CN"/>
        </w:rPr>
        <w:t>等其他一切电梯更新全过程费用。</w:t>
      </w:r>
    </w:p>
    <w:p w14:paraId="358AB47B">
      <w:pPr>
        <w:kinsoku/>
        <w:ind w:left="34"/>
        <w:rPr>
          <w:rFonts w:ascii="宋体" w:hAnsi="宋体" w:eastAsia="宋体" w:cs="宋体"/>
          <w:lang w:eastAsia="zh-CN"/>
        </w:rPr>
      </w:pPr>
      <w:r>
        <w:rPr>
          <w:rFonts w:hint="eastAsia" w:ascii="宋体" w:hAnsi="宋体" w:eastAsia="宋体" w:cs="宋体"/>
          <w:spacing w:val="-4"/>
          <w:lang w:eastAsia="zh-CN"/>
        </w:rPr>
        <w:t>四、检验考核要求</w:t>
      </w:r>
    </w:p>
    <w:p w14:paraId="45458B83">
      <w:pPr>
        <w:kinsoku/>
        <w:spacing w:before="181"/>
        <w:ind w:left="17" w:right="17" w:hanging="4"/>
        <w:rPr>
          <w:rFonts w:ascii="宋体" w:hAnsi="宋体" w:eastAsia="宋体" w:cs="宋体"/>
          <w:lang w:eastAsia="zh-CN"/>
        </w:rPr>
      </w:pPr>
      <w:r>
        <w:rPr>
          <w:rFonts w:hint="eastAsia" w:ascii="宋体" w:hAnsi="宋体" w:eastAsia="宋体" w:cs="宋体"/>
          <w:lang w:eastAsia="zh-CN"/>
        </w:rPr>
        <w:t>招标人应对合同设备在考核中应达到的技术性能考核指标进行</w:t>
      </w:r>
      <w:r>
        <w:rPr>
          <w:rFonts w:hint="eastAsia" w:ascii="宋体" w:hAnsi="宋体" w:eastAsia="宋体" w:cs="宋体"/>
          <w:spacing w:val="-1"/>
          <w:lang w:eastAsia="zh-CN"/>
        </w:rPr>
        <w:t>规定，并可根据合同设备的实际情况，规定可以接受的合同设备的最低技术性能考核指标。</w:t>
      </w:r>
    </w:p>
    <w:p w14:paraId="5C02921E">
      <w:pPr>
        <w:kinsoku/>
        <w:ind w:left="16"/>
        <w:rPr>
          <w:rFonts w:ascii="宋体" w:hAnsi="宋体" w:eastAsia="宋体" w:cs="宋体"/>
          <w:b/>
          <w:bCs/>
          <w:lang w:eastAsia="zh-CN"/>
        </w:rPr>
      </w:pPr>
      <w:r>
        <w:rPr>
          <w:rFonts w:hint="eastAsia" w:ascii="宋体" w:hAnsi="宋体" w:eastAsia="宋体" w:cs="宋体"/>
          <w:b/>
          <w:bCs/>
          <w:spacing w:val="-3"/>
          <w:lang w:eastAsia="zh-CN"/>
        </w:rPr>
        <w:t>四、服务要求</w:t>
      </w:r>
    </w:p>
    <w:p w14:paraId="47DD060E">
      <w:pPr>
        <w:kinsoku/>
        <w:spacing w:before="180"/>
        <w:ind w:left="16"/>
        <w:rPr>
          <w:rFonts w:ascii="宋体" w:hAnsi="宋体" w:eastAsia="宋体" w:cs="宋体"/>
          <w:lang w:eastAsia="zh-CN"/>
        </w:rPr>
      </w:pPr>
      <w:r>
        <w:rPr>
          <w:rFonts w:hint="eastAsia" w:ascii="宋体" w:hAnsi="宋体" w:eastAsia="宋体" w:cs="宋体"/>
          <w:spacing w:val="-1"/>
          <w:lang w:eastAsia="zh-CN"/>
        </w:rPr>
        <w:t>★</w:t>
      </w:r>
      <w:r>
        <w:rPr>
          <w:rFonts w:hint="eastAsia" w:ascii="宋体" w:hAnsi="宋体" w:eastAsia="宋体" w:cs="宋体"/>
          <w:spacing w:val="-2"/>
          <w:lang w:eastAsia="zh-CN"/>
        </w:rPr>
        <w:t>（1）</w:t>
      </w:r>
      <w:r>
        <w:rPr>
          <w:rFonts w:hint="eastAsia" w:ascii="宋体" w:hAnsi="宋体" w:eastAsia="宋体" w:cs="宋体"/>
          <w:spacing w:val="-1"/>
          <w:lang w:eastAsia="zh-CN"/>
        </w:rPr>
        <w:t>交货地点：采购人指定地点</w:t>
      </w:r>
    </w:p>
    <w:p w14:paraId="1BE07A60">
      <w:pPr>
        <w:kinsoku/>
        <w:spacing w:before="183"/>
        <w:ind w:left="15" w:firstLine="206" w:firstLineChars="100"/>
        <w:rPr>
          <w:rFonts w:ascii="宋体" w:hAnsi="宋体" w:eastAsia="宋体" w:cs="宋体"/>
          <w:lang w:eastAsia="zh-CN"/>
        </w:rPr>
      </w:pPr>
      <w:r>
        <w:rPr>
          <w:rFonts w:hint="eastAsia" w:ascii="宋体" w:hAnsi="宋体" w:eastAsia="宋体" w:cs="宋体"/>
          <w:spacing w:val="-2"/>
          <w:lang w:eastAsia="zh-CN"/>
        </w:rPr>
        <w:t>（2）</w:t>
      </w:r>
      <w:r>
        <w:rPr>
          <w:rFonts w:hint="eastAsia" w:ascii="宋体" w:hAnsi="宋体" w:eastAsia="宋体" w:cs="宋体"/>
          <w:spacing w:val="-1"/>
          <w:lang w:eastAsia="zh-CN"/>
        </w:rPr>
        <w:t>本项目合同期内（供货安装调试期内</w:t>
      </w:r>
      <w:r>
        <w:rPr>
          <w:rFonts w:hint="eastAsia" w:ascii="宋体" w:hAnsi="宋体" w:eastAsia="宋体" w:cs="宋体"/>
          <w:spacing w:val="-51"/>
          <w:lang w:eastAsia="zh-CN"/>
        </w:rPr>
        <w:t>），</w:t>
      </w:r>
      <w:r>
        <w:rPr>
          <w:rFonts w:hint="eastAsia" w:ascii="宋体" w:hAnsi="宋体" w:eastAsia="宋体" w:cs="宋体"/>
          <w:spacing w:val="-1"/>
          <w:lang w:eastAsia="zh-CN"/>
        </w:rPr>
        <w:t>水、电费用由中标人自行承担。</w:t>
      </w:r>
    </w:p>
    <w:p w14:paraId="633CEC2D">
      <w:pPr>
        <w:kinsoku/>
        <w:spacing w:before="48"/>
        <w:ind w:left="4"/>
        <w:rPr>
          <w:rFonts w:ascii="宋体" w:hAnsi="宋体" w:eastAsia="宋体" w:cs="宋体"/>
          <w:lang w:eastAsia="zh-CN"/>
        </w:rPr>
      </w:pPr>
      <w:r>
        <w:rPr>
          <w:rFonts w:hint="eastAsia" w:ascii="宋体" w:hAnsi="宋体" w:eastAsia="宋体" w:cs="宋体"/>
          <w:spacing w:val="-1"/>
          <w:lang w:eastAsia="zh-CN"/>
        </w:rPr>
        <w:t>★</w:t>
      </w:r>
      <w:r>
        <w:rPr>
          <w:rFonts w:hint="eastAsia" w:ascii="宋体" w:hAnsi="宋体" w:eastAsia="宋体" w:cs="宋体"/>
          <w:spacing w:val="-2"/>
          <w:lang w:eastAsia="zh-CN"/>
        </w:rPr>
        <w:t>（3）</w:t>
      </w:r>
      <w:r>
        <w:rPr>
          <w:rFonts w:hint="eastAsia" w:ascii="宋体" w:hAnsi="宋体" w:eastAsia="宋体" w:cs="宋体"/>
          <w:spacing w:val="-1"/>
          <w:lang w:eastAsia="zh-CN"/>
        </w:rPr>
        <w:t>质量保证期：5 年；免费维护保养：5年。</w:t>
      </w:r>
    </w:p>
    <w:p w14:paraId="083C4085">
      <w:pPr>
        <w:kinsoku/>
        <w:spacing w:before="182"/>
        <w:ind w:left="4"/>
        <w:rPr>
          <w:rFonts w:ascii="宋体" w:hAnsi="宋体" w:eastAsia="宋体" w:cs="宋体"/>
          <w:lang w:eastAsia="zh-CN"/>
        </w:rPr>
      </w:pPr>
      <w:r>
        <w:rPr>
          <w:rFonts w:hint="eastAsia" w:ascii="宋体" w:hAnsi="宋体" w:eastAsia="宋体" w:cs="宋体"/>
          <w:spacing w:val="-1"/>
          <w:lang w:eastAsia="zh-CN"/>
        </w:rPr>
        <w:t>★</w:t>
      </w:r>
      <w:r>
        <w:rPr>
          <w:rFonts w:hint="eastAsia" w:ascii="宋体" w:hAnsi="宋体" w:eastAsia="宋体" w:cs="宋体"/>
          <w:spacing w:val="-2"/>
          <w:lang w:eastAsia="zh-CN"/>
        </w:rPr>
        <w:t>（4）</w:t>
      </w:r>
      <w:r>
        <w:rPr>
          <w:rFonts w:hint="eastAsia" w:ascii="宋体" w:hAnsi="宋体" w:eastAsia="宋体" w:cs="宋体"/>
          <w:spacing w:val="-1"/>
          <w:lang w:eastAsia="zh-CN"/>
        </w:rPr>
        <w:t>交货期：合同签订后30日内完成供货</w:t>
      </w:r>
    </w:p>
    <w:p w14:paraId="4B1A1244">
      <w:pPr>
        <w:kinsoku/>
        <w:spacing w:before="182"/>
        <w:ind w:left="1" w:right="157" w:firstLine="2"/>
        <w:rPr>
          <w:rFonts w:ascii="宋体" w:hAnsi="宋体" w:eastAsia="宋体" w:cs="宋体"/>
          <w:lang w:eastAsia="zh-CN"/>
        </w:rPr>
      </w:pPr>
      <w:r>
        <w:rPr>
          <w:rFonts w:hint="eastAsia" w:ascii="宋体" w:hAnsi="宋体" w:eastAsia="宋体" w:cs="宋体"/>
          <w:spacing w:val="-5"/>
          <w:lang w:eastAsia="zh-CN"/>
        </w:rPr>
        <w:t>★</w:t>
      </w:r>
      <w:r>
        <w:rPr>
          <w:rFonts w:hint="eastAsia" w:ascii="宋体" w:hAnsi="宋体" w:eastAsia="宋体" w:cs="宋体"/>
          <w:spacing w:val="-2"/>
          <w:lang w:eastAsia="zh-CN"/>
        </w:rPr>
        <w:t>（5）</w:t>
      </w:r>
      <w:r>
        <w:rPr>
          <w:rFonts w:hint="eastAsia" w:ascii="宋体" w:hAnsi="宋体" w:eastAsia="宋体" w:cs="宋体"/>
          <w:spacing w:val="-5"/>
          <w:lang w:eastAsia="zh-CN"/>
        </w:rPr>
        <w:t>付款方式及条件：全部电梯安装、调试、验收合格后并取得《特种设备运行许可证》，</w:t>
      </w:r>
      <w:r>
        <w:rPr>
          <w:rFonts w:hint="eastAsia" w:ascii="宋体" w:hAnsi="宋体" w:eastAsia="宋体" w:cs="宋体"/>
          <w:lang w:eastAsia="zh-CN"/>
        </w:rPr>
        <w:t>支付全部合同价款；货物交付后须提供电梯质量合格证明等相</w:t>
      </w:r>
      <w:r>
        <w:rPr>
          <w:rFonts w:hint="eastAsia" w:ascii="宋体" w:hAnsi="宋体" w:eastAsia="宋体" w:cs="宋体"/>
          <w:spacing w:val="-1"/>
          <w:lang w:eastAsia="zh-CN"/>
        </w:rPr>
        <w:t>关材料，未提供相关材料的</w:t>
      </w:r>
      <w:r>
        <w:rPr>
          <w:rFonts w:hint="eastAsia" w:ascii="宋体" w:hAnsi="宋体" w:eastAsia="宋体" w:cs="宋体"/>
          <w:spacing w:val="-3"/>
          <w:lang w:eastAsia="zh-CN"/>
        </w:rPr>
        <w:t>不予结算</w:t>
      </w:r>
    </w:p>
    <w:p w14:paraId="52C5D3BF">
      <w:pPr>
        <w:kinsoku/>
        <w:ind w:left="4"/>
        <w:rPr>
          <w:rFonts w:ascii="宋体" w:hAnsi="宋体" w:eastAsia="宋体" w:cs="宋体"/>
          <w:lang w:eastAsia="zh-CN"/>
        </w:rPr>
      </w:pPr>
      <w:r>
        <w:rPr>
          <w:rFonts w:hint="eastAsia" w:ascii="宋体" w:hAnsi="宋体" w:eastAsia="宋体" w:cs="宋体"/>
          <w:spacing w:val="-1"/>
          <w:lang w:eastAsia="zh-CN"/>
        </w:rPr>
        <w:t>★</w:t>
      </w:r>
      <w:r>
        <w:rPr>
          <w:rFonts w:hint="eastAsia" w:ascii="宋体" w:hAnsi="宋体" w:eastAsia="宋体" w:cs="宋体"/>
          <w:spacing w:val="-2"/>
          <w:lang w:eastAsia="zh-CN"/>
        </w:rPr>
        <w:t>（6）</w:t>
      </w:r>
      <w:r>
        <w:rPr>
          <w:rFonts w:hint="eastAsia" w:ascii="宋体" w:hAnsi="宋体" w:eastAsia="宋体" w:cs="宋体"/>
          <w:spacing w:val="-1"/>
          <w:lang w:eastAsia="zh-CN"/>
        </w:rPr>
        <w:t>验收标准：按国家有关规定执行</w:t>
      </w:r>
    </w:p>
    <w:p w14:paraId="2B85F539">
      <w:pPr>
        <w:kinsoku/>
        <w:spacing w:before="180"/>
        <w:rPr>
          <w:rFonts w:ascii="宋体" w:hAnsi="宋体" w:eastAsia="宋体" w:cs="宋体"/>
          <w:lang w:eastAsia="zh-CN"/>
        </w:rPr>
      </w:pPr>
      <w:r>
        <w:rPr>
          <w:rFonts w:hint="eastAsia" w:ascii="宋体" w:hAnsi="宋体" w:eastAsia="宋体" w:cs="宋体"/>
          <w:spacing w:val="-1"/>
          <w:lang w:eastAsia="zh-CN"/>
        </w:rPr>
        <w:t>验收程序：按国家有关规定执行</w:t>
      </w:r>
    </w:p>
    <w:p w14:paraId="27C8FE9C">
      <w:pPr>
        <w:kinsoku/>
        <w:spacing w:before="183"/>
        <w:rPr>
          <w:rFonts w:ascii="宋体" w:hAnsi="宋体" w:eastAsia="宋体" w:cs="宋体"/>
          <w:lang w:eastAsia="zh-CN"/>
        </w:rPr>
      </w:pPr>
      <w:r>
        <w:rPr>
          <w:rFonts w:hint="eastAsia" w:ascii="宋体" w:hAnsi="宋体" w:eastAsia="宋体" w:cs="宋体"/>
          <w:spacing w:val="-1"/>
          <w:lang w:eastAsia="zh-CN"/>
        </w:rPr>
        <w:t>验收报告：按国家有关规定执行</w:t>
      </w:r>
    </w:p>
    <w:p w14:paraId="7475037B">
      <w:pPr>
        <w:kinsoku/>
        <w:spacing w:before="184"/>
        <w:ind w:left="3"/>
        <w:rPr>
          <w:rFonts w:ascii="宋体" w:hAnsi="宋体" w:eastAsia="宋体" w:cs="宋体"/>
          <w:lang w:eastAsia="zh-CN"/>
        </w:rPr>
      </w:pPr>
      <w:r>
        <w:rPr>
          <w:rFonts w:hint="eastAsia" w:ascii="宋体" w:hAnsi="宋体" w:eastAsia="宋体" w:cs="宋体"/>
          <w:spacing w:val="-1"/>
          <w:lang w:eastAsia="zh-CN"/>
        </w:rPr>
        <w:t>组织验收主体：本项目的履约验收工作由招标人依法组织实施</w:t>
      </w:r>
    </w:p>
    <w:p w14:paraId="26551F82">
      <w:pPr>
        <w:kinsoku/>
        <w:spacing w:before="182"/>
        <w:ind w:left="1" w:firstLine="2"/>
        <w:rPr>
          <w:rFonts w:ascii="宋体" w:hAnsi="宋体" w:eastAsia="宋体" w:cs="宋体"/>
          <w:spacing w:val="1"/>
          <w:lang w:eastAsia="zh-CN"/>
        </w:rPr>
      </w:pPr>
      <w:r>
        <w:rPr>
          <w:rFonts w:hint="eastAsia" w:ascii="宋体" w:hAnsi="宋体" w:eastAsia="宋体" w:cs="宋体"/>
          <w:spacing w:val="1"/>
          <w:lang w:eastAsia="zh-CN"/>
        </w:rPr>
        <w:t>★</w:t>
      </w:r>
      <w:r>
        <w:rPr>
          <w:rFonts w:hint="eastAsia" w:ascii="宋体" w:hAnsi="宋体" w:eastAsia="宋体" w:cs="宋体"/>
          <w:spacing w:val="-2"/>
          <w:lang w:eastAsia="zh-CN"/>
        </w:rPr>
        <w:t>（7）</w:t>
      </w:r>
      <w:r>
        <w:rPr>
          <w:rFonts w:hint="eastAsia" w:ascii="宋体" w:hAnsi="宋体" w:eastAsia="宋体" w:cs="宋体"/>
          <w:spacing w:val="1"/>
          <w:lang w:eastAsia="zh-CN"/>
        </w:rPr>
        <w:t>投标人需提供24小时热线支持电话，现场支持</w:t>
      </w:r>
      <w:r>
        <w:rPr>
          <w:rFonts w:hint="eastAsia" w:ascii="宋体" w:hAnsi="宋体" w:eastAsia="宋体" w:cs="宋体"/>
          <w:spacing w:val="-60"/>
          <w:w w:val="94"/>
          <w:lang w:eastAsia="zh-CN"/>
        </w:rPr>
        <w:t>：（</w:t>
      </w:r>
      <w:r>
        <w:rPr>
          <w:rFonts w:hint="eastAsia" w:ascii="宋体" w:hAnsi="宋体" w:eastAsia="宋体" w:cs="宋体"/>
          <w:spacing w:val="1"/>
          <w:lang w:eastAsia="zh-CN"/>
        </w:rPr>
        <w:t>0.5</w:t>
      </w:r>
      <w:r>
        <w:rPr>
          <w:rFonts w:hint="eastAsia" w:ascii="宋体" w:hAnsi="宋体" w:eastAsia="宋体" w:cs="宋体"/>
          <w:spacing w:val="-60"/>
          <w:w w:val="94"/>
          <w:lang w:eastAsia="zh-CN"/>
        </w:rPr>
        <w:t>）</w:t>
      </w:r>
      <w:r>
        <w:rPr>
          <w:rFonts w:hint="eastAsia" w:ascii="宋体" w:hAnsi="宋体" w:eastAsia="宋体" w:cs="宋体"/>
          <w:spacing w:val="1"/>
          <w:lang w:eastAsia="zh-CN"/>
        </w:rPr>
        <w:t>小时内响应</w:t>
      </w:r>
      <w:r>
        <w:rPr>
          <w:rFonts w:hint="eastAsia" w:ascii="宋体" w:hAnsi="宋体" w:eastAsia="宋体" w:cs="宋体"/>
          <w:spacing w:val="-60"/>
          <w:w w:val="94"/>
          <w:lang w:eastAsia="zh-CN"/>
        </w:rPr>
        <w:t>；（</w:t>
      </w:r>
      <w:r>
        <w:rPr>
          <w:rFonts w:hint="eastAsia" w:ascii="宋体" w:hAnsi="宋体" w:eastAsia="宋体" w:cs="宋体"/>
          <w:spacing w:val="1"/>
          <w:lang w:eastAsia="zh-CN"/>
        </w:rPr>
        <w:t>2）小时内到达</w:t>
      </w:r>
    </w:p>
    <w:p w14:paraId="4AD39867">
      <w:pPr>
        <w:kinsoku/>
        <w:spacing w:before="182"/>
        <w:ind w:left="1" w:firstLine="2"/>
        <w:rPr>
          <w:rFonts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spacing w:val="-2"/>
          <w:lang w:eastAsia="zh-CN"/>
        </w:rPr>
        <w:t>（8）</w:t>
      </w:r>
      <w:r>
        <w:rPr>
          <w:rFonts w:hint="eastAsia" w:ascii="宋体" w:hAnsi="宋体" w:eastAsia="宋体" w:cs="宋体"/>
          <w:lang w:eastAsia="zh-CN"/>
        </w:rPr>
        <w:t>本项目包括电梯的设计、供货、运输、装卸、现场保管、</w:t>
      </w:r>
      <w:r>
        <w:rPr>
          <w:rFonts w:hint="eastAsia" w:ascii="宋体" w:hAnsi="宋体" w:eastAsia="宋体" w:cs="宋体"/>
          <w:spacing w:val="-1"/>
          <w:lang w:eastAsia="zh-CN"/>
        </w:rPr>
        <w:t>安装、多次搬运，调试、验</w:t>
      </w:r>
      <w:r>
        <w:rPr>
          <w:rFonts w:hint="eastAsia" w:ascii="宋体" w:hAnsi="宋体" w:eastAsia="宋体" w:cs="宋体"/>
          <w:lang w:eastAsia="zh-CN"/>
        </w:rPr>
        <w:t>收（特种设备安全检验、新设备取得《特种设备运行许可证》、旧设备办理注销手续）、质保期内的服务及电梯年检、培训及虽未说明但为本系统正</w:t>
      </w:r>
      <w:r>
        <w:rPr>
          <w:rFonts w:hint="eastAsia" w:ascii="宋体" w:hAnsi="宋体" w:eastAsia="宋体" w:cs="宋体"/>
          <w:spacing w:val="-1"/>
          <w:lang w:eastAsia="zh-CN"/>
        </w:rPr>
        <w:t>常施工和调试运转所做的工</w:t>
      </w:r>
      <w:r>
        <w:rPr>
          <w:rFonts w:hint="eastAsia" w:ascii="宋体" w:hAnsi="宋体" w:eastAsia="宋体" w:cs="宋体"/>
          <w:spacing w:val="-4"/>
          <w:lang w:eastAsia="zh-CN"/>
        </w:rPr>
        <w:t>作、原有旧电梯拆除（电梯拆除后残值归属中标人所有，投标报价时须考虑此部分残值）、</w:t>
      </w:r>
      <w:r>
        <w:rPr>
          <w:rFonts w:hint="eastAsia" w:ascii="宋体" w:hAnsi="宋体" w:eastAsia="宋体" w:cs="宋体"/>
          <w:spacing w:val="-3"/>
          <w:lang w:eastAsia="zh-CN"/>
        </w:rPr>
        <w:t>土建整改（井道内圈梁、机房整改、底坑修复等所有土</w:t>
      </w:r>
      <w:r>
        <w:rPr>
          <w:rFonts w:hint="eastAsia" w:ascii="宋体" w:hAnsi="宋体" w:eastAsia="宋体" w:cs="宋体"/>
          <w:spacing w:val="-4"/>
          <w:lang w:eastAsia="zh-CN"/>
        </w:rPr>
        <w:t>建整改内容）、原有电梯与楼梯相</w:t>
      </w:r>
    </w:p>
    <w:p w14:paraId="24675C91">
      <w:pPr>
        <w:kinsoku/>
        <w:spacing w:before="1"/>
        <w:ind w:right="219" w:firstLine="4"/>
        <w:rPr>
          <w:rFonts w:ascii="宋体" w:hAnsi="宋体" w:eastAsia="宋体" w:cs="宋体"/>
          <w:lang w:eastAsia="zh-CN"/>
        </w:rPr>
      </w:pPr>
      <w:r>
        <w:rPr>
          <w:rFonts w:hint="eastAsia" w:ascii="宋体" w:hAnsi="宋体" w:eastAsia="宋体" w:cs="宋体"/>
          <w:spacing w:val="-1"/>
          <w:lang w:eastAsia="zh-CN"/>
        </w:rPr>
        <w:t>关联的部分的装饰装修，厅门口及地面破坏恢复等所有工作内容（需与原装修一致</w:t>
      </w:r>
      <w:r>
        <w:rPr>
          <w:rFonts w:hint="eastAsia" w:ascii="宋体" w:hAnsi="宋体" w:eastAsia="宋体" w:cs="宋体"/>
          <w:spacing w:val="-49"/>
          <w:lang w:eastAsia="zh-CN"/>
        </w:rPr>
        <w:t>），</w:t>
      </w:r>
      <w:r>
        <w:rPr>
          <w:rFonts w:hint="eastAsia" w:ascii="宋体" w:hAnsi="宋体" w:eastAsia="宋体" w:cs="宋体"/>
          <w:spacing w:val="-1"/>
          <w:lang w:eastAsia="zh-CN"/>
        </w:rPr>
        <w:t>井</w:t>
      </w:r>
      <w:r>
        <w:rPr>
          <w:rFonts w:hint="eastAsia" w:ascii="宋体" w:hAnsi="宋体" w:eastAsia="宋体" w:cs="宋体"/>
          <w:lang w:eastAsia="zh-CN"/>
        </w:rPr>
        <w:t>道照明、钢牛腿、爬梯、现场安全文明施工保障措施及费用等，所</w:t>
      </w:r>
      <w:r>
        <w:rPr>
          <w:rFonts w:hint="eastAsia" w:ascii="宋体" w:hAnsi="宋体" w:eastAsia="宋体" w:cs="宋体"/>
          <w:spacing w:val="-1"/>
          <w:lang w:eastAsia="zh-CN"/>
        </w:rPr>
        <w:t>有与电梯更换有关的所有内容及费用，一次性包干价格，中标后价格不作任何调整和变更</w:t>
      </w:r>
      <w:r>
        <w:rPr>
          <w:rFonts w:hint="eastAsia" w:ascii="宋体" w:hAnsi="宋体" w:eastAsia="宋体" w:cs="宋体"/>
          <w:spacing w:val="-2"/>
          <w:lang w:eastAsia="zh-CN"/>
        </w:rPr>
        <w:t>，电梯验收完毕后需</w:t>
      </w:r>
      <w:r>
        <w:rPr>
          <w:rFonts w:hint="eastAsia" w:ascii="宋体" w:hAnsi="宋体" w:eastAsia="宋体" w:cs="宋体"/>
          <w:spacing w:val="-1"/>
          <w:lang w:eastAsia="zh-CN"/>
        </w:rPr>
        <w:t>提</w:t>
      </w:r>
      <w:r>
        <w:rPr>
          <w:rFonts w:hint="eastAsia" w:ascii="宋体" w:hAnsi="宋体" w:eastAsia="宋体" w:cs="宋体"/>
          <w:lang w:eastAsia="zh-CN"/>
        </w:rPr>
        <w:t>供5年免费维保服务。</w:t>
      </w:r>
    </w:p>
    <w:p w14:paraId="253D8692">
      <w:pPr>
        <w:kinsoku/>
        <w:spacing w:before="1"/>
        <w:ind w:right="219" w:firstLine="4"/>
        <w:rPr>
          <w:rFonts w:ascii="宋体" w:hAnsi="宋体" w:eastAsia="宋体" w:cs="宋体"/>
          <w:lang w:eastAsia="zh-CN"/>
        </w:rPr>
        <w:sectPr>
          <w:footerReference r:id="rId113" w:type="default"/>
          <w:pgSz w:w="11905" w:h="16840"/>
          <w:pgMar w:top="1186" w:right="1051" w:bottom="1158" w:left="1282" w:header="0" w:footer="913" w:gutter="0"/>
          <w:cols w:space="720" w:num="1"/>
        </w:sectPr>
      </w:pPr>
      <w:r>
        <w:rPr>
          <w:rFonts w:hint="eastAsia" w:ascii="宋体" w:hAnsi="宋体" w:eastAsia="宋体" w:cs="宋体"/>
          <w:spacing w:val="-5"/>
          <w:lang w:eastAsia="zh-CN"/>
        </w:rPr>
        <w:t>★</w:t>
      </w:r>
      <w:r>
        <w:rPr>
          <w:rFonts w:hint="eastAsia" w:ascii="宋体" w:hAnsi="宋体" w:eastAsia="宋体" w:cs="宋体"/>
          <w:lang w:eastAsia="zh-CN"/>
        </w:rPr>
        <w:t>（9）原有老旧电梯残值、安全评估由招标人负责，老旧电梯残值价值归招标人。残值评估价值确定后，按评估价值抵中标单位货款。</w:t>
      </w:r>
    </w:p>
    <w:p w14:paraId="5CA154A7">
      <w:pPr>
        <w:pStyle w:val="10"/>
      </w:pPr>
    </w:p>
    <w:p w14:paraId="0E0F20A5">
      <w:pPr>
        <w:pStyle w:val="8"/>
        <w:spacing w:line="251" w:lineRule="auto"/>
        <w:rPr>
          <w:lang w:eastAsia="zh-CN"/>
        </w:rPr>
      </w:pPr>
    </w:p>
    <w:p w14:paraId="11BD15A5">
      <w:pPr>
        <w:pStyle w:val="8"/>
        <w:spacing w:line="251" w:lineRule="auto"/>
        <w:rPr>
          <w:lang w:eastAsia="zh-CN"/>
        </w:rPr>
      </w:pPr>
    </w:p>
    <w:p w14:paraId="506B9A24">
      <w:pPr>
        <w:pStyle w:val="8"/>
        <w:spacing w:line="251" w:lineRule="auto"/>
        <w:rPr>
          <w:lang w:eastAsia="zh-CN"/>
        </w:rPr>
      </w:pPr>
    </w:p>
    <w:p w14:paraId="0D6577CE">
      <w:pPr>
        <w:pStyle w:val="8"/>
        <w:spacing w:line="251" w:lineRule="auto"/>
        <w:rPr>
          <w:lang w:eastAsia="zh-CN"/>
        </w:rPr>
      </w:pPr>
    </w:p>
    <w:p w14:paraId="4B9B78FE">
      <w:pPr>
        <w:pStyle w:val="8"/>
        <w:spacing w:line="266" w:lineRule="auto"/>
        <w:rPr>
          <w:lang w:eastAsia="zh-CN"/>
        </w:rPr>
      </w:pPr>
    </w:p>
    <w:p w14:paraId="1F45EBBE">
      <w:pPr>
        <w:pStyle w:val="8"/>
        <w:spacing w:line="266" w:lineRule="auto"/>
        <w:rPr>
          <w:lang w:eastAsia="zh-CN"/>
        </w:rPr>
      </w:pPr>
    </w:p>
    <w:p w14:paraId="1961FD68">
      <w:pPr>
        <w:spacing w:before="156" w:line="222" w:lineRule="auto"/>
        <w:jc w:val="both"/>
        <w:rPr>
          <w:rFonts w:ascii="黑体" w:hAnsi="黑体" w:eastAsia="黑体" w:cs="黑体"/>
          <w:color w:val="auto"/>
          <w:spacing w:val="-5"/>
          <w:sz w:val="48"/>
          <w:szCs w:val="48"/>
          <w:lang w:eastAsia="zh-CN"/>
        </w:rPr>
      </w:pPr>
      <w:bookmarkStart w:id="380" w:name="bookmark173"/>
      <w:bookmarkEnd w:id="380"/>
      <w:bookmarkStart w:id="381" w:name="bookmark172"/>
      <w:bookmarkEnd w:id="381"/>
      <w:bookmarkStart w:id="382" w:name="_Toc22834"/>
      <w:bookmarkStart w:id="383" w:name="_Toc31762"/>
      <w:bookmarkStart w:id="384" w:name="_Toc23260"/>
      <w:bookmarkStart w:id="385" w:name="_Toc4218"/>
      <w:bookmarkStart w:id="386" w:name="_Toc17248"/>
    </w:p>
    <w:p w14:paraId="0E56525B">
      <w:pPr>
        <w:spacing w:before="156" w:line="222" w:lineRule="auto"/>
        <w:jc w:val="center"/>
        <w:rPr>
          <w:rFonts w:ascii="黑体" w:hAnsi="黑体" w:eastAsia="黑体" w:cs="黑体"/>
          <w:color w:val="auto"/>
          <w:spacing w:val="-5"/>
          <w:sz w:val="48"/>
          <w:szCs w:val="48"/>
          <w:lang w:eastAsia="zh-CN"/>
        </w:rPr>
      </w:pPr>
    </w:p>
    <w:p w14:paraId="6AB64D4B">
      <w:pPr>
        <w:spacing w:before="156" w:line="222" w:lineRule="auto"/>
        <w:jc w:val="both"/>
        <w:rPr>
          <w:rFonts w:ascii="黑体" w:hAnsi="黑体" w:eastAsia="黑体" w:cs="黑体"/>
          <w:color w:val="auto"/>
          <w:spacing w:val="-5"/>
          <w:sz w:val="48"/>
          <w:szCs w:val="48"/>
          <w:lang w:eastAsia="zh-CN"/>
        </w:rPr>
      </w:pPr>
    </w:p>
    <w:p w14:paraId="0980305C">
      <w:pPr>
        <w:spacing w:before="156" w:line="222" w:lineRule="auto"/>
        <w:jc w:val="center"/>
        <w:rPr>
          <w:rFonts w:ascii="黑体" w:hAnsi="黑体" w:eastAsia="黑体" w:cs="黑体"/>
          <w:color w:val="auto"/>
          <w:spacing w:val="-5"/>
          <w:sz w:val="48"/>
          <w:szCs w:val="48"/>
          <w:lang w:eastAsia="zh-CN"/>
        </w:rPr>
      </w:pPr>
    </w:p>
    <w:p w14:paraId="39AEA9D7">
      <w:pPr>
        <w:spacing w:before="156" w:line="222" w:lineRule="auto"/>
        <w:jc w:val="center"/>
        <w:rPr>
          <w:rFonts w:ascii="黑体" w:hAnsi="黑体" w:eastAsia="黑体" w:cs="黑体"/>
          <w:color w:val="auto"/>
          <w:spacing w:val="-5"/>
          <w:sz w:val="48"/>
          <w:szCs w:val="48"/>
          <w:lang w:eastAsia="zh-CN"/>
        </w:rPr>
      </w:pPr>
    </w:p>
    <w:p w14:paraId="5AE46C8B">
      <w:pPr>
        <w:spacing w:before="156" w:line="222" w:lineRule="auto"/>
        <w:jc w:val="both"/>
        <w:rPr>
          <w:rFonts w:ascii="黑体" w:hAnsi="黑体" w:eastAsia="黑体" w:cs="黑体"/>
          <w:color w:val="auto"/>
          <w:spacing w:val="-5"/>
          <w:sz w:val="48"/>
          <w:szCs w:val="48"/>
          <w:lang w:eastAsia="zh-CN"/>
        </w:rPr>
      </w:pPr>
    </w:p>
    <w:p w14:paraId="090AA5D6">
      <w:pPr>
        <w:spacing w:before="156" w:line="222" w:lineRule="auto"/>
        <w:jc w:val="center"/>
        <w:rPr>
          <w:rFonts w:ascii="黑体" w:hAnsi="黑体" w:eastAsia="黑体" w:cs="黑体"/>
          <w:color w:val="auto"/>
          <w:spacing w:val="-5"/>
          <w:sz w:val="48"/>
          <w:szCs w:val="48"/>
          <w:lang w:eastAsia="zh-CN"/>
        </w:rPr>
      </w:pPr>
    </w:p>
    <w:p w14:paraId="485302A4">
      <w:pPr>
        <w:spacing w:before="156" w:line="222" w:lineRule="auto"/>
        <w:jc w:val="center"/>
        <w:rPr>
          <w:rFonts w:ascii="黑体" w:hAnsi="黑体" w:eastAsia="黑体" w:cs="黑体"/>
          <w:color w:val="auto"/>
          <w:spacing w:val="-5"/>
          <w:sz w:val="48"/>
          <w:szCs w:val="48"/>
          <w:lang w:eastAsia="zh-CN"/>
        </w:rPr>
      </w:pPr>
    </w:p>
    <w:p w14:paraId="14EEFFAD">
      <w:pPr>
        <w:spacing w:before="156" w:line="222" w:lineRule="auto"/>
        <w:jc w:val="center"/>
        <w:rPr>
          <w:rFonts w:ascii="黑体" w:hAnsi="黑体" w:eastAsia="黑体" w:cs="黑体"/>
          <w:color w:val="auto"/>
          <w:spacing w:val="-5"/>
          <w:sz w:val="48"/>
          <w:szCs w:val="48"/>
          <w:lang w:eastAsia="zh-CN"/>
        </w:rPr>
      </w:pPr>
    </w:p>
    <w:p w14:paraId="181A2C9D">
      <w:pPr>
        <w:spacing w:before="156" w:line="222" w:lineRule="auto"/>
        <w:jc w:val="center"/>
        <w:outlineLvl w:val="0"/>
        <w:rPr>
          <w:rFonts w:ascii="黑体" w:hAnsi="黑体" w:eastAsia="黑体" w:cs="黑体"/>
          <w:color w:val="auto"/>
          <w:sz w:val="48"/>
          <w:szCs w:val="48"/>
          <w:lang w:eastAsia="zh-CN"/>
        </w:rPr>
      </w:pPr>
      <w:bookmarkStart w:id="387" w:name="_Toc441"/>
      <w:r>
        <w:rPr>
          <w:rFonts w:ascii="黑体" w:hAnsi="黑体" w:eastAsia="黑体" w:cs="黑体"/>
          <w:color w:val="auto"/>
          <w:spacing w:val="-5"/>
          <w:sz w:val="48"/>
          <w:szCs w:val="48"/>
          <w:lang w:eastAsia="zh-CN"/>
        </w:rPr>
        <w:t>第三卷</w:t>
      </w:r>
      <w:bookmarkEnd w:id="382"/>
      <w:bookmarkEnd w:id="383"/>
      <w:bookmarkEnd w:id="384"/>
      <w:bookmarkEnd w:id="385"/>
      <w:bookmarkEnd w:id="386"/>
      <w:bookmarkEnd w:id="387"/>
    </w:p>
    <w:p w14:paraId="1CA32A11">
      <w:pPr>
        <w:spacing w:line="222" w:lineRule="auto"/>
        <w:rPr>
          <w:rFonts w:ascii="黑体" w:hAnsi="黑体" w:eastAsia="黑体" w:cs="黑体"/>
          <w:color w:val="auto"/>
          <w:sz w:val="48"/>
          <w:szCs w:val="48"/>
          <w:lang w:eastAsia="zh-CN"/>
        </w:rPr>
        <w:sectPr>
          <w:headerReference r:id="rId114" w:type="default"/>
          <w:footerReference r:id="rId115" w:type="default"/>
          <w:pgSz w:w="11906" w:h="16839"/>
          <w:pgMar w:top="1440" w:right="1803" w:bottom="1440" w:left="1803" w:header="0" w:footer="987" w:gutter="0"/>
          <w:cols w:space="720" w:num="1"/>
        </w:sectPr>
      </w:pPr>
    </w:p>
    <w:p w14:paraId="709E7CFA">
      <w:pPr>
        <w:pStyle w:val="8"/>
        <w:spacing w:line="249" w:lineRule="auto"/>
        <w:rPr>
          <w:lang w:eastAsia="zh-CN"/>
        </w:rPr>
      </w:pPr>
    </w:p>
    <w:p w14:paraId="6C2AC7BF">
      <w:pPr>
        <w:pStyle w:val="8"/>
        <w:spacing w:line="249" w:lineRule="auto"/>
        <w:rPr>
          <w:lang w:eastAsia="zh-CN"/>
        </w:rPr>
      </w:pPr>
    </w:p>
    <w:p w14:paraId="78FEB15E">
      <w:pPr>
        <w:pStyle w:val="8"/>
        <w:spacing w:line="249" w:lineRule="auto"/>
        <w:rPr>
          <w:lang w:eastAsia="zh-CN"/>
        </w:rPr>
      </w:pPr>
    </w:p>
    <w:p w14:paraId="33C9DBC1">
      <w:pPr>
        <w:pStyle w:val="8"/>
        <w:spacing w:line="249" w:lineRule="auto"/>
        <w:rPr>
          <w:lang w:eastAsia="zh-CN"/>
        </w:rPr>
      </w:pPr>
    </w:p>
    <w:p w14:paraId="56BA95AE">
      <w:pPr>
        <w:pStyle w:val="8"/>
        <w:spacing w:line="249" w:lineRule="auto"/>
        <w:rPr>
          <w:lang w:eastAsia="zh-CN"/>
        </w:rPr>
      </w:pPr>
    </w:p>
    <w:p w14:paraId="1DEC5EA6">
      <w:pPr>
        <w:pStyle w:val="8"/>
        <w:spacing w:line="249" w:lineRule="auto"/>
        <w:rPr>
          <w:lang w:eastAsia="zh-CN"/>
        </w:rPr>
      </w:pPr>
    </w:p>
    <w:p w14:paraId="6CAD950B">
      <w:pPr>
        <w:pStyle w:val="8"/>
        <w:spacing w:line="250" w:lineRule="auto"/>
        <w:rPr>
          <w:lang w:eastAsia="zh-CN"/>
        </w:rPr>
      </w:pPr>
    </w:p>
    <w:p w14:paraId="0610AED6">
      <w:pPr>
        <w:pStyle w:val="8"/>
        <w:spacing w:line="250" w:lineRule="auto"/>
        <w:rPr>
          <w:lang w:eastAsia="zh-CN"/>
        </w:rPr>
      </w:pPr>
    </w:p>
    <w:p w14:paraId="730A65D3">
      <w:pPr>
        <w:pStyle w:val="8"/>
        <w:spacing w:line="250" w:lineRule="auto"/>
        <w:rPr>
          <w:lang w:eastAsia="zh-CN"/>
        </w:rPr>
      </w:pPr>
    </w:p>
    <w:p w14:paraId="220D4F52">
      <w:pPr>
        <w:pStyle w:val="8"/>
        <w:spacing w:line="250" w:lineRule="auto"/>
        <w:rPr>
          <w:lang w:eastAsia="zh-CN"/>
        </w:rPr>
      </w:pPr>
    </w:p>
    <w:p w14:paraId="5A8241A4">
      <w:pPr>
        <w:pStyle w:val="8"/>
        <w:spacing w:line="250" w:lineRule="auto"/>
        <w:rPr>
          <w:lang w:eastAsia="zh-CN"/>
        </w:rPr>
      </w:pPr>
    </w:p>
    <w:p w14:paraId="32C38EAF">
      <w:pPr>
        <w:pStyle w:val="8"/>
        <w:spacing w:line="250" w:lineRule="auto"/>
        <w:rPr>
          <w:lang w:eastAsia="zh-CN"/>
        </w:rPr>
      </w:pPr>
    </w:p>
    <w:p w14:paraId="691B0181">
      <w:pPr>
        <w:pStyle w:val="8"/>
        <w:spacing w:line="250" w:lineRule="auto"/>
        <w:rPr>
          <w:lang w:eastAsia="zh-CN"/>
        </w:rPr>
      </w:pPr>
    </w:p>
    <w:p w14:paraId="158B9196">
      <w:pPr>
        <w:pStyle w:val="8"/>
        <w:spacing w:line="250" w:lineRule="auto"/>
        <w:rPr>
          <w:lang w:eastAsia="zh-CN"/>
        </w:rPr>
      </w:pPr>
    </w:p>
    <w:p w14:paraId="282DE8F9">
      <w:pPr>
        <w:pStyle w:val="8"/>
        <w:spacing w:line="250" w:lineRule="auto"/>
        <w:rPr>
          <w:lang w:eastAsia="zh-CN"/>
        </w:rPr>
      </w:pPr>
    </w:p>
    <w:p w14:paraId="06C64F75">
      <w:pPr>
        <w:pStyle w:val="8"/>
        <w:spacing w:line="250" w:lineRule="auto"/>
        <w:rPr>
          <w:lang w:eastAsia="zh-CN"/>
        </w:rPr>
      </w:pPr>
    </w:p>
    <w:p w14:paraId="7A8C5BBA">
      <w:pPr>
        <w:pStyle w:val="8"/>
        <w:spacing w:line="250" w:lineRule="auto"/>
        <w:rPr>
          <w:lang w:eastAsia="zh-CN"/>
        </w:rPr>
      </w:pPr>
    </w:p>
    <w:p w14:paraId="25C126B1">
      <w:pPr>
        <w:pStyle w:val="8"/>
        <w:spacing w:line="250" w:lineRule="auto"/>
        <w:rPr>
          <w:lang w:eastAsia="zh-CN"/>
        </w:rPr>
      </w:pPr>
    </w:p>
    <w:p w14:paraId="4F2242DD">
      <w:pPr>
        <w:pStyle w:val="8"/>
        <w:spacing w:line="250" w:lineRule="auto"/>
        <w:rPr>
          <w:lang w:eastAsia="zh-CN"/>
        </w:rPr>
      </w:pPr>
    </w:p>
    <w:p w14:paraId="1BE0972C">
      <w:pPr>
        <w:pStyle w:val="8"/>
        <w:spacing w:line="250" w:lineRule="auto"/>
        <w:rPr>
          <w:lang w:eastAsia="zh-CN"/>
        </w:rPr>
      </w:pPr>
    </w:p>
    <w:p w14:paraId="1BE2D2DD">
      <w:pPr>
        <w:pStyle w:val="8"/>
        <w:spacing w:line="250" w:lineRule="auto"/>
        <w:rPr>
          <w:lang w:eastAsia="zh-CN"/>
        </w:rPr>
      </w:pPr>
    </w:p>
    <w:p w14:paraId="4EB0CEA1">
      <w:pPr>
        <w:pStyle w:val="8"/>
        <w:spacing w:line="250" w:lineRule="auto"/>
        <w:rPr>
          <w:lang w:eastAsia="zh-CN"/>
        </w:rPr>
      </w:pPr>
    </w:p>
    <w:p w14:paraId="776403FE">
      <w:pPr>
        <w:pStyle w:val="8"/>
        <w:spacing w:line="250" w:lineRule="auto"/>
        <w:rPr>
          <w:lang w:eastAsia="zh-CN"/>
        </w:rPr>
      </w:pPr>
    </w:p>
    <w:p w14:paraId="6501B15C">
      <w:pPr>
        <w:spacing w:before="104" w:line="222" w:lineRule="auto"/>
        <w:ind w:left="4259"/>
        <w:outlineLvl w:val="0"/>
        <w:rPr>
          <w:rFonts w:ascii="黑体" w:hAnsi="黑体" w:eastAsia="黑体" w:cs="黑体"/>
          <w:color w:val="auto"/>
          <w:sz w:val="32"/>
          <w:szCs w:val="32"/>
          <w:lang w:eastAsia="zh-CN"/>
        </w:rPr>
      </w:pPr>
      <w:bookmarkStart w:id="388" w:name="bookmark174"/>
      <w:bookmarkEnd w:id="388"/>
      <w:bookmarkStart w:id="389" w:name="_Toc14264"/>
      <w:bookmarkStart w:id="390" w:name="_Toc30019"/>
      <w:bookmarkStart w:id="391" w:name="_Toc20266"/>
      <w:bookmarkStart w:id="392" w:name="_Toc3332"/>
      <w:bookmarkStart w:id="393" w:name="_Toc11019"/>
      <w:bookmarkStart w:id="394" w:name="_Toc11359"/>
      <w:r>
        <w:rPr>
          <w:rFonts w:ascii="黑体" w:hAnsi="黑体" w:eastAsia="黑体" w:cs="黑体"/>
          <w:color w:val="auto"/>
          <w:spacing w:val="-1"/>
          <w:sz w:val="32"/>
          <w:szCs w:val="32"/>
          <w:lang w:eastAsia="zh-CN"/>
        </w:rPr>
        <w:t>第六章  投标文件格式</w:t>
      </w:r>
      <w:bookmarkEnd w:id="389"/>
      <w:bookmarkEnd w:id="390"/>
      <w:bookmarkEnd w:id="391"/>
      <w:bookmarkEnd w:id="392"/>
      <w:bookmarkEnd w:id="393"/>
      <w:bookmarkEnd w:id="394"/>
    </w:p>
    <w:p w14:paraId="065109A2">
      <w:pPr>
        <w:spacing w:line="222" w:lineRule="auto"/>
        <w:rPr>
          <w:rFonts w:ascii="黑体" w:hAnsi="黑体" w:eastAsia="黑体" w:cs="黑体"/>
          <w:color w:val="auto"/>
          <w:sz w:val="32"/>
          <w:szCs w:val="32"/>
          <w:lang w:eastAsia="zh-CN"/>
        </w:rPr>
        <w:sectPr>
          <w:footerReference r:id="rId116" w:type="default"/>
          <w:pgSz w:w="11906" w:h="16839"/>
          <w:pgMar w:top="400" w:right="0" w:bottom="1147" w:left="105" w:header="0" w:footer="987" w:gutter="0"/>
          <w:cols w:space="720" w:num="1"/>
        </w:sectPr>
      </w:pPr>
    </w:p>
    <w:p w14:paraId="6436D87D">
      <w:pPr>
        <w:pStyle w:val="8"/>
        <w:spacing w:line="256" w:lineRule="auto"/>
        <w:rPr>
          <w:lang w:eastAsia="zh-CN"/>
        </w:rPr>
      </w:pPr>
    </w:p>
    <w:p w14:paraId="163F6BC0">
      <w:pPr>
        <w:pStyle w:val="8"/>
        <w:spacing w:line="256" w:lineRule="auto"/>
        <w:rPr>
          <w:lang w:eastAsia="zh-CN"/>
        </w:rPr>
      </w:pPr>
    </w:p>
    <w:p w14:paraId="69181711">
      <w:pPr>
        <w:pStyle w:val="8"/>
        <w:spacing w:line="257" w:lineRule="auto"/>
        <w:rPr>
          <w:lang w:eastAsia="zh-CN"/>
        </w:rPr>
      </w:pPr>
    </w:p>
    <w:p w14:paraId="316DDD1A">
      <w:pPr>
        <w:pStyle w:val="8"/>
        <w:spacing w:line="257" w:lineRule="auto"/>
        <w:rPr>
          <w:lang w:eastAsia="zh-CN"/>
        </w:rPr>
      </w:pPr>
    </w:p>
    <w:p w14:paraId="11BF051F">
      <w:pPr>
        <w:pStyle w:val="8"/>
        <w:spacing w:line="257" w:lineRule="auto"/>
        <w:rPr>
          <w:lang w:eastAsia="zh-CN"/>
        </w:rPr>
      </w:pPr>
    </w:p>
    <w:p w14:paraId="3BB7F622">
      <w:pPr>
        <w:pStyle w:val="8"/>
        <w:spacing w:line="257" w:lineRule="auto"/>
        <w:rPr>
          <w:lang w:eastAsia="zh-CN"/>
        </w:rPr>
      </w:pPr>
    </w:p>
    <w:p w14:paraId="1E47AFC3">
      <w:pPr>
        <w:pStyle w:val="8"/>
        <w:spacing w:line="257" w:lineRule="auto"/>
        <w:rPr>
          <w:lang w:eastAsia="zh-CN"/>
        </w:rPr>
      </w:pPr>
    </w:p>
    <w:p w14:paraId="2D9B6976">
      <w:pPr>
        <w:pStyle w:val="8"/>
        <w:spacing w:line="257" w:lineRule="auto"/>
        <w:rPr>
          <w:lang w:eastAsia="zh-CN"/>
        </w:rPr>
      </w:pPr>
    </w:p>
    <w:p w14:paraId="3F2215EE">
      <w:pPr>
        <w:pStyle w:val="8"/>
        <w:spacing w:line="257" w:lineRule="auto"/>
        <w:rPr>
          <w:lang w:eastAsia="zh-CN"/>
        </w:rPr>
      </w:pPr>
    </w:p>
    <w:p w14:paraId="2CE574AF">
      <w:pPr>
        <w:pStyle w:val="8"/>
        <w:spacing w:line="257" w:lineRule="auto"/>
        <w:rPr>
          <w:lang w:eastAsia="zh-CN"/>
        </w:rPr>
      </w:pPr>
    </w:p>
    <w:p w14:paraId="1ED52E65">
      <w:pPr>
        <w:pStyle w:val="8"/>
        <w:spacing w:line="257" w:lineRule="auto"/>
        <w:rPr>
          <w:lang w:eastAsia="zh-CN"/>
        </w:rPr>
      </w:pPr>
    </w:p>
    <w:p w14:paraId="126A89E8">
      <w:pPr>
        <w:pStyle w:val="8"/>
        <w:spacing w:line="257" w:lineRule="auto"/>
        <w:rPr>
          <w:lang w:eastAsia="zh-CN"/>
        </w:rPr>
      </w:pPr>
    </w:p>
    <w:p w14:paraId="30726110">
      <w:pPr>
        <w:pStyle w:val="8"/>
        <w:spacing w:line="257" w:lineRule="auto"/>
        <w:rPr>
          <w:lang w:eastAsia="zh-CN"/>
        </w:rPr>
      </w:pPr>
    </w:p>
    <w:p w14:paraId="77292ECB">
      <w:pPr>
        <w:pStyle w:val="8"/>
        <w:spacing w:line="257" w:lineRule="auto"/>
        <w:rPr>
          <w:lang w:eastAsia="zh-CN"/>
        </w:rPr>
      </w:pPr>
    </w:p>
    <w:p w14:paraId="7D36F9FC">
      <w:pPr>
        <w:tabs>
          <w:tab w:val="left" w:pos="5717"/>
        </w:tabs>
        <w:spacing w:before="91" w:line="222" w:lineRule="auto"/>
        <w:ind w:left="3177"/>
        <w:rPr>
          <w:rFonts w:ascii="黑体" w:hAnsi="黑体" w:eastAsia="黑体" w:cs="黑体"/>
          <w:color w:val="auto"/>
          <w:sz w:val="28"/>
          <w:szCs w:val="28"/>
          <w:lang w:eastAsia="zh-CN"/>
        </w:rPr>
      </w:pPr>
      <w:r>
        <w:rPr>
          <w:rFonts w:ascii="宋体" w:hAnsi="宋体" w:eastAsia="宋体" w:cs="宋体"/>
          <w:color w:val="auto"/>
          <w:sz w:val="28"/>
          <w:szCs w:val="28"/>
          <w:u w:val="single"/>
          <w:lang w:eastAsia="zh-CN"/>
        </w:rPr>
        <w:tab/>
      </w:r>
      <w:r>
        <w:rPr>
          <w:rFonts w:ascii="宋体" w:hAnsi="宋体" w:eastAsia="宋体" w:cs="宋体"/>
          <w:color w:val="auto"/>
          <w:sz w:val="28"/>
          <w:szCs w:val="28"/>
          <w:lang w:eastAsia="zh-CN"/>
        </w:rPr>
        <w:t>（标段名称）</w:t>
      </w:r>
      <w:r>
        <w:rPr>
          <w:rFonts w:ascii="黑体" w:hAnsi="黑体" w:eastAsia="黑体" w:cs="黑体"/>
          <w:color w:val="auto"/>
          <w:sz w:val="28"/>
          <w:szCs w:val="28"/>
          <w:lang w:eastAsia="zh-CN"/>
        </w:rPr>
        <w:t>项目招标</w:t>
      </w:r>
    </w:p>
    <w:p w14:paraId="44E4E5EA">
      <w:pPr>
        <w:pStyle w:val="8"/>
        <w:spacing w:line="374" w:lineRule="auto"/>
        <w:rPr>
          <w:lang w:eastAsia="zh-CN"/>
        </w:rPr>
      </w:pPr>
    </w:p>
    <w:p w14:paraId="0CBF02B7">
      <w:pPr>
        <w:spacing w:before="143" w:line="222" w:lineRule="auto"/>
        <w:ind w:left="4320"/>
        <w:rPr>
          <w:rFonts w:ascii="黑体" w:hAnsi="黑体" w:eastAsia="黑体" w:cs="黑体"/>
          <w:color w:val="auto"/>
          <w:sz w:val="44"/>
          <w:szCs w:val="44"/>
          <w:lang w:eastAsia="zh-CN"/>
        </w:rPr>
      </w:pPr>
      <w:r>
        <w:rPr>
          <w:rFonts w:ascii="黑体" w:hAnsi="黑体" w:eastAsia="黑体" w:cs="黑体"/>
          <w:color w:val="auto"/>
          <w:spacing w:val="-12"/>
          <w:sz w:val="44"/>
          <w:szCs w:val="44"/>
          <w:lang w:eastAsia="zh-CN"/>
        </w:rPr>
        <w:t>投标文件</w:t>
      </w:r>
    </w:p>
    <w:p w14:paraId="6A554BB7">
      <w:pPr>
        <w:pStyle w:val="8"/>
        <w:spacing w:line="264" w:lineRule="auto"/>
        <w:rPr>
          <w:lang w:eastAsia="zh-CN"/>
        </w:rPr>
      </w:pPr>
    </w:p>
    <w:p w14:paraId="24BACCC1">
      <w:pPr>
        <w:pStyle w:val="8"/>
        <w:spacing w:line="264" w:lineRule="auto"/>
        <w:rPr>
          <w:lang w:eastAsia="zh-CN"/>
        </w:rPr>
      </w:pPr>
    </w:p>
    <w:p w14:paraId="6A1E5BAD">
      <w:pPr>
        <w:pStyle w:val="8"/>
        <w:spacing w:line="265" w:lineRule="auto"/>
        <w:rPr>
          <w:lang w:eastAsia="zh-CN"/>
        </w:rPr>
      </w:pPr>
    </w:p>
    <w:p w14:paraId="183D1AE7">
      <w:pPr>
        <w:pStyle w:val="8"/>
        <w:spacing w:line="265" w:lineRule="auto"/>
        <w:rPr>
          <w:lang w:eastAsia="zh-CN"/>
        </w:rPr>
      </w:pPr>
    </w:p>
    <w:p w14:paraId="1998196C">
      <w:pPr>
        <w:pStyle w:val="8"/>
        <w:spacing w:line="265" w:lineRule="auto"/>
        <w:rPr>
          <w:lang w:eastAsia="zh-CN"/>
        </w:rPr>
      </w:pPr>
    </w:p>
    <w:p w14:paraId="5D83AF97">
      <w:pPr>
        <w:spacing w:before="91" w:line="220" w:lineRule="auto"/>
        <w:ind w:left="3187"/>
        <w:rPr>
          <w:rFonts w:ascii="楷体" w:hAnsi="楷体" w:eastAsia="楷体" w:cs="楷体"/>
          <w:color w:val="auto"/>
          <w:sz w:val="28"/>
          <w:szCs w:val="28"/>
          <w:lang w:eastAsia="zh-CN"/>
        </w:rPr>
      </w:pPr>
      <w:r>
        <w:rPr>
          <w:rFonts w:ascii="楷体" w:hAnsi="楷体" w:eastAsia="楷体" w:cs="楷体"/>
          <w:color w:val="auto"/>
          <w:spacing w:val="-3"/>
          <w:sz w:val="28"/>
          <w:szCs w:val="28"/>
          <w:lang w:eastAsia="zh-CN"/>
        </w:rPr>
        <w:t>（标段唯一标识码</w:t>
      </w:r>
      <w:r>
        <w:rPr>
          <w:rFonts w:ascii="楷体" w:hAnsi="楷体" w:eastAsia="楷体" w:cs="楷体"/>
          <w:color w:val="auto"/>
          <w:spacing w:val="-1"/>
          <w:sz w:val="28"/>
          <w:szCs w:val="28"/>
          <w:lang w:eastAsia="zh-CN"/>
        </w:rPr>
        <w:t>：）</w:t>
      </w:r>
    </w:p>
    <w:p w14:paraId="16B726E1">
      <w:pPr>
        <w:spacing w:before="290" w:line="217" w:lineRule="auto"/>
        <w:ind w:left="3187"/>
        <w:rPr>
          <w:rFonts w:ascii="楷体" w:hAnsi="楷体" w:eastAsia="楷体" w:cs="楷体"/>
          <w:color w:val="auto"/>
          <w:sz w:val="28"/>
          <w:szCs w:val="28"/>
          <w:lang w:eastAsia="zh-CN"/>
        </w:rPr>
      </w:pPr>
      <w:r>
        <w:rPr>
          <w:rFonts w:ascii="楷体" w:hAnsi="楷体" w:eastAsia="楷体" w:cs="楷体"/>
          <w:color w:val="auto"/>
          <w:sz w:val="28"/>
          <w:szCs w:val="28"/>
          <w:lang w:eastAsia="zh-CN"/>
        </w:rPr>
        <w:t>（标段编号</w:t>
      </w:r>
      <w:r>
        <w:rPr>
          <w:rFonts w:hint="eastAsia" w:ascii="楷体" w:hAnsi="楷体" w:eastAsia="楷体" w:cs="楷体"/>
          <w:color w:val="auto"/>
          <w:sz w:val="28"/>
          <w:szCs w:val="28"/>
          <w:lang w:eastAsia="zh-CN"/>
        </w:rPr>
        <w:t>：</w:t>
      </w:r>
      <w:r>
        <w:rPr>
          <w:rFonts w:ascii="楷体" w:hAnsi="楷体" w:eastAsia="楷体" w:cs="楷体"/>
          <w:color w:val="auto"/>
          <w:sz w:val="28"/>
          <w:szCs w:val="28"/>
          <w:lang w:eastAsia="zh-CN"/>
        </w:rPr>
        <w:t>）</w:t>
      </w:r>
    </w:p>
    <w:p w14:paraId="141004EB">
      <w:pPr>
        <w:pStyle w:val="8"/>
        <w:spacing w:line="245" w:lineRule="auto"/>
        <w:rPr>
          <w:lang w:eastAsia="zh-CN"/>
        </w:rPr>
      </w:pPr>
    </w:p>
    <w:p w14:paraId="3AE11736">
      <w:pPr>
        <w:pStyle w:val="8"/>
        <w:spacing w:line="245" w:lineRule="auto"/>
        <w:rPr>
          <w:lang w:eastAsia="zh-CN"/>
        </w:rPr>
      </w:pPr>
    </w:p>
    <w:p w14:paraId="7223574B">
      <w:pPr>
        <w:pStyle w:val="8"/>
        <w:spacing w:line="245" w:lineRule="auto"/>
        <w:rPr>
          <w:lang w:eastAsia="zh-CN"/>
        </w:rPr>
      </w:pPr>
    </w:p>
    <w:p w14:paraId="658D9896">
      <w:pPr>
        <w:pStyle w:val="8"/>
        <w:spacing w:line="245" w:lineRule="auto"/>
        <w:rPr>
          <w:lang w:eastAsia="zh-CN"/>
        </w:rPr>
      </w:pPr>
    </w:p>
    <w:p w14:paraId="72D6CB30">
      <w:pPr>
        <w:pStyle w:val="8"/>
        <w:spacing w:line="245" w:lineRule="auto"/>
        <w:rPr>
          <w:lang w:eastAsia="zh-CN"/>
        </w:rPr>
      </w:pPr>
    </w:p>
    <w:p w14:paraId="2E39FC60">
      <w:pPr>
        <w:pStyle w:val="8"/>
        <w:spacing w:line="245" w:lineRule="auto"/>
        <w:rPr>
          <w:lang w:eastAsia="zh-CN"/>
        </w:rPr>
      </w:pPr>
    </w:p>
    <w:p w14:paraId="1096AA5C">
      <w:pPr>
        <w:pStyle w:val="8"/>
        <w:spacing w:line="245" w:lineRule="auto"/>
        <w:rPr>
          <w:lang w:eastAsia="zh-CN"/>
        </w:rPr>
      </w:pPr>
    </w:p>
    <w:p w14:paraId="052B9D90">
      <w:pPr>
        <w:pStyle w:val="8"/>
        <w:spacing w:line="245" w:lineRule="auto"/>
        <w:rPr>
          <w:lang w:eastAsia="zh-CN"/>
        </w:rPr>
      </w:pPr>
    </w:p>
    <w:p w14:paraId="69A66184">
      <w:pPr>
        <w:pStyle w:val="8"/>
        <w:spacing w:line="245" w:lineRule="auto"/>
        <w:rPr>
          <w:lang w:eastAsia="zh-CN"/>
        </w:rPr>
      </w:pPr>
    </w:p>
    <w:p w14:paraId="737E63A4">
      <w:pPr>
        <w:pStyle w:val="8"/>
        <w:spacing w:line="245" w:lineRule="auto"/>
        <w:rPr>
          <w:lang w:eastAsia="zh-CN"/>
        </w:rPr>
      </w:pPr>
    </w:p>
    <w:p w14:paraId="5174412A">
      <w:pPr>
        <w:pStyle w:val="8"/>
        <w:spacing w:line="245" w:lineRule="auto"/>
        <w:rPr>
          <w:lang w:eastAsia="zh-CN"/>
        </w:rPr>
      </w:pPr>
    </w:p>
    <w:p w14:paraId="34C78589">
      <w:pPr>
        <w:pStyle w:val="8"/>
        <w:spacing w:line="245" w:lineRule="auto"/>
        <w:rPr>
          <w:lang w:eastAsia="zh-CN"/>
        </w:rPr>
      </w:pPr>
    </w:p>
    <w:p w14:paraId="5D8EE5BD">
      <w:pPr>
        <w:pStyle w:val="8"/>
        <w:spacing w:line="245" w:lineRule="auto"/>
        <w:rPr>
          <w:lang w:eastAsia="zh-CN"/>
        </w:rPr>
      </w:pPr>
    </w:p>
    <w:p w14:paraId="627B81A4">
      <w:pPr>
        <w:pStyle w:val="8"/>
        <w:spacing w:line="245" w:lineRule="auto"/>
        <w:rPr>
          <w:lang w:eastAsia="zh-CN"/>
        </w:rPr>
      </w:pPr>
    </w:p>
    <w:p w14:paraId="6D8F8934">
      <w:pPr>
        <w:pStyle w:val="8"/>
        <w:spacing w:line="246" w:lineRule="auto"/>
        <w:rPr>
          <w:lang w:eastAsia="zh-CN"/>
        </w:rPr>
      </w:pPr>
    </w:p>
    <w:p w14:paraId="672DE788">
      <w:pPr>
        <w:pStyle w:val="8"/>
        <w:spacing w:line="246" w:lineRule="auto"/>
        <w:rPr>
          <w:lang w:eastAsia="zh-CN"/>
        </w:rPr>
      </w:pPr>
    </w:p>
    <w:p w14:paraId="4BB30A60">
      <w:pPr>
        <w:spacing w:before="92" w:line="413" w:lineRule="auto"/>
        <w:ind w:left="2569" w:right="2691" w:hanging="4"/>
        <w:rPr>
          <w:rFonts w:ascii="黑体" w:hAnsi="黑体" w:eastAsia="黑体" w:cs="黑体"/>
          <w:color w:val="auto"/>
          <w:sz w:val="28"/>
          <w:szCs w:val="28"/>
          <w:lang w:eastAsia="zh-CN"/>
        </w:rPr>
      </w:pPr>
      <w:r>
        <w:rPr>
          <w:rFonts w:ascii="黑体" w:hAnsi="黑体" w:eastAsia="黑体" w:cs="黑体"/>
          <w:color w:val="auto"/>
          <w:spacing w:val="-4"/>
          <w:sz w:val="28"/>
          <w:szCs w:val="28"/>
          <w:lang w:eastAsia="zh-CN"/>
        </w:rPr>
        <w:t>投标人：（盖单位章）</w:t>
      </w:r>
      <w:r>
        <w:rPr>
          <w:rFonts w:ascii="黑体" w:hAnsi="黑体" w:eastAsia="黑体" w:cs="黑体"/>
          <w:color w:val="auto"/>
          <w:spacing w:val="-3"/>
          <w:sz w:val="28"/>
          <w:szCs w:val="28"/>
          <w:lang w:eastAsia="zh-CN"/>
        </w:rPr>
        <w:t>法定代表人或授权委托人</w:t>
      </w:r>
      <w:r>
        <w:rPr>
          <w:rFonts w:ascii="黑体" w:hAnsi="黑体" w:eastAsia="黑体" w:cs="黑体"/>
          <w:color w:val="auto"/>
          <w:spacing w:val="-1"/>
          <w:sz w:val="28"/>
          <w:szCs w:val="28"/>
          <w:lang w:eastAsia="zh-CN"/>
        </w:rPr>
        <w:t>：（</w:t>
      </w:r>
      <w:r>
        <w:rPr>
          <w:rFonts w:ascii="黑体" w:hAnsi="黑体" w:eastAsia="黑体" w:cs="黑体"/>
          <w:color w:val="auto"/>
          <w:spacing w:val="-3"/>
          <w:sz w:val="28"/>
          <w:szCs w:val="28"/>
          <w:lang w:eastAsia="zh-CN"/>
        </w:rPr>
        <w:t>签章）</w:t>
      </w:r>
    </w:p>
    <w:p w14:paraId="410288D6">
      <w:pPr>
        <w:pStyle w:val="8"/>
        <w:spacing w:line="262" w:lineRule="auto"/>
        <w:rPr>
          <w:lang w:eastAsia="zh-CN"/>
        </w:rPr>
      </w:pPr>
    </w:p>
    <w:p w14:paraId="5FC5ECD3">
      <w:pPr>
        <w:pStyle w:val="8"/>
        <w:spacing w:line="263" w:lineRule="auto"/>
        <w:rPr>
          <w:lang w:eastAsia="zh-CN"/>
        </w:rPr>
      </w:pPr>
    </w:p>
    <w:p w14:paraId="0C265FFB">
      <w:pPr>
        <w:tabs>
          <w:tab w:val="left" w:pos="5077"/>
        </w:tabs>
        <w:spacing w:before="91" w:line="223" w:lineRule="auto"/>
        <w:ind w:left="4237"/>
        <w:rPr>
          <w:rFonts w:ascii="黑体" w:hAnsi="黑体" w:eastAsia="黑体" w:cs="黑体"/>
          <w:color w:val="auto"/>
          <w:sz w:val="28"/>
          <w:szCs w:val="28"/>
          <w:lang w:eastAsia="zh-CN"/>
        </w:rPr>
      </w:pPr>
      <w:r>
        <w:rPr>
          <w:rFonts w:ascii="黑体" w:hAnsi="黑体" w:eastAsia="黑体" w:cs="黑体"/>
          <w:color w:val="auto"/>
          <w:sz w:val="28"/>
          <w:szCs w:val="28"/>
          <w:u w:val="single"/>
          <w:lang w:eastAsia="zh-CN"/>
        </w:rPr>
        <w:tab/>
      </w:r>
      <w:r>
        <w:rPr>
          <w:rFonts w:ascii="黑体" w:hAnsi="黑体" w:eastAsia="黑体" w:cs="黑体"/>
          <w:color w:val="auto"/>
          <w:spacing w:val="-10"/>
          <w:sz w:val="28"/>
          <w:szCs w:val="28"/>
          <w:lang w:eastAsia="zh-CN"/>
        </w:rPr>
        <w:t>年月日</w:t>
      </w:r>
    </w:p>
    <w:p w14:paraId="574E6271">
      <w:pPr>
        <w:spacing w:line="223" w:lineRule="auto"/>
        <w:rPr>
          <w:rFonts w:ascii="黑体" w:hAnsi="黑体" w:eastAsia="黑体" w:cs="黑体"/>
          <w:color w:val="auto"/>
          <w:sz w:val="28"/>
          <w:szCs w:val="28"/>
          <w:lang w:eastAsia="zh-CN"/>
        </w:rPr>
        <w:sectPr>
          <w:footerReference r:id="rId117" w:type="default"/>
          <w:pgSz w:w="11906" w:h="16839"/>
          <w:pgMar w:top="400" w:right="0" w:bottom="1147" w:left="105" w:header="0" w:footer="987" w:gutter="0"/>
          <w:cols w:space="720" w:num="1"/>
        </w:sectPr>
      </w:pPr>
    </w:p>
    <w:p w14:paraId="71B1698D">
      <w:pPr>
        <w:pStyle w:val="8"/>
        <w:spacing w:line="280" w:lineRule="auto"/>
        <w:rPr>
          <w:lang w:eastAsia="zh-CN"/>
        </w:rPr>
      </w:pPr>
    </w:p>
    <w:p w14:paraId="407FB938">
      <w:pPr>
        <w:pStyle w:val="8"/>
        <w:spacing w:line="280" w:lineRule="auto"/>
        <w:rPr>
          <w:lang w:eastAsia="zh-CN"/>
        </w:rPr>
      </w:pPr>
    </w:p>
    <w:p w14:paraId="788356AE">
      <w:pPr>
        <w:pStyle w:val="8"/>
        <w:spacing w:line="280" w:lineRule="auto"/>
        <w:rPr>
          <w:lang w:eastAsia="zh-CN"/>
        </w:rPr>
      </w:pPr>
    </w:p>
    <w:p w14:paraId="0B009508">
      <w:pPr>
        <w:pStyle w:val="8"/>
        <w:spacing w:line="280" w:lineRule="auto"/>
        <w:rPr>
          <w:lang w:eastAsia="zh-CN"/>
        </w:rPr>
      </w:pPr>
    </w:p>
    <w:p w14:paraId="4CE26568">
      <w:pPr>
        <w:spacing w:before="91" w:line="222" w:lineRule="auto"/>
        <w:ind w:left="5333"/>
        <w:outlineLvl w:val="1"/>
        <w:rPr>
          <w:rFonts w:ascii="黑体" w:hAnsi="黑体" w:eastAsia="黑体" w:cs="黑体"/>
          <w:color w:val="auto"/>
          <w:sz w:val="28"/>
          <w:szCs w:val="28"/>
          <w:lang w:eastAsia="zh-CN"/>
        </w:rPr>
      </w:pPr>
      <w:bookmarkStart w:id="395" w:name="bookmark175"/>
      <w:bookmarkEnd w:id="395"/>
      <w:bookmarkStart w:id="396" w:name="_Toc4242"/>
      <w:bookmarkStart w:id="397" w:name="_Toc16561"/>
      <w:bookmarkStart w:id="398" w:name="_Toc10425"/>
      <w:bookmarkStart w:id="399" w:name="_Toc25959"/>
      <w:bookmarkStart w:id="400" w:name="_Toc28985"/>
      <w:bookmarkStart w:id="401" w:name="_Toc24385"/>
      <w:r>
        <w:rPr>
          <w:rFonts w:ascii="黑体" w:hAnsi="黑体" w:eastAsia="黑体" w:cs="黑体"/>
          <w:color w:val="auto"/>
          <w:spacing w:val="-23"/>
          <w:sz w:val="28"/>
          <w:szCs w:val="28"/>
          <w:lang w:eastAsia="zh-CN"/>
        </w:rPr>
        <w:t>目录</w:t>
      </w:r>
      <w:bookmarkEnd w:id="396"/>
      <w:bookmarkEnd w:id="397"/>
      <w:bookmarkEnd w:id="398"/>
      <w:bookmarkEnd w:id="399"/>
      <w:bookmarkEnd w:id="400"/>
      <w:bookmarkEnd w:id="401"/>
    </w:p>
    <w:p w14:paraId="7B69301E">
      <w:pPr>
        <w:pStyle w:val="8"/>
        <w:spacing w:line="282" w:lineRule="auto"/>
        <w:rPr>
          <w:lang w:eastAsia="zh-CN"/>
        </w:rPr>
      </w:pPr>
    </w:p>
    <w:p w14:paraId="6F57A862">
      <w:pPr>
        <w:pStyle w:val="8"/>
        <w:spacing w:line="283" w:lineRule="auto"/>
        <w:rPr>
          <w:lang w:eastAsia="zh-CN"/>
        </w:rPr>
      </w:pPr>
    </w:p>
    <w:sdt>
      <w:sdtPr>
        <w:rPr>
          <w:rFonts w:ascii="宋体" w:hAnsi="宋体" w:eastAsia="宋体" w:cs="宋体"/>
          <w:color w:val="auto"/>
        </w:rPr>
        <w:id w:val="147482576"/>
        <w:docPartObj>
          <w:docPartGallery w:val="Table of Contents"/>
          <w:docPartUnique/>
        </w:docPartObj>
      </w:sdtPr>
      <w:sdtEndPr>
        <w:rPr>
          <w:rFonts w:ascii="宋体" w:hAnsi="宋体" w:eastAsia="宋体" w:cs="宋体"/>
          <w:color w:val="auto"/>
        </w:rPr>
      </w:sdtEndPr>
      <w:sdtContent>
        <w:p w14:paraId="0F08CFAE">
          <w:pPr>
            <w:spacing w:before="68" w:line="220" w:lineRule="auto"/>
            <w:ind w:left="1705"/>
            <w:rPr>
              <w:rFonts w:ascii="宋体" w:hAnsi="宋体" w:eastAsia="宋体" w:cs="宋体"/>
              <w:color w:val="auto"/>
              <w:lang w:eastAsia="zh-CN"/>
            </w:rPr>
          </w:pPr>
          <w:r>
            <w:rPr>
              <w:rFonts w:ascii="宋体" w:hAnsi="宋体" w:eastAsia="宋体" w:cs="宋体"/>
              <w:color w:val="auto"/>
              <w:spacing w:val="-3"/>
              <w:lang w:eastAsia="zh-CN"/>
            </w:rPr>
            <w:t>一、投标函及承诺函等</w:t>
          </w:r>
        </w:p>
        <w:p w14:paraId="469AE62A">
          <w:pPr>
            <w:spacing w:before="60" w:line="220" w:lineRule="auto"/>
            <w:ind w:left="1705"/>
            <w:rPr>
              <w:rFonts w:ascii="宋体" w:hAnsi="宋体" w:eastAsia="宋体" w:cs="宋体"/>
              <w:color w:val="auto"/>
              <w:lang w:eastAsia="zh-CN"/>
            </w:rPr>
          </w:pPr>
          <w:r>
            <w:rPr>
              <w:rFonts w:ascii="宋体" w:hAnsi="宋体" w:eastAsia="宋体" w:cs="宋体"/>
              <w:color w:val="auto"/>
              <w:spacing w:val="-1"/>
              <w:lang w:eastAsia="zh-CN"/>
            </w:rPr>
            <w:t>二、法定代表人身份证明或授权委托书</w:t>
          </w:r>
        </w:p>
        <w:p w14:paraId="6E1CC731">
          <w:pPr>
            <w:spacing w:before="63" w:line="221" w:lineRule="auto"/>
            <w:ind w:left="1702"/>
            <w:rPr>
              <w:rFonts w:ascii="宋体" w:hAnsi="宋体" w:eastAsia="宋体" w:cs="宋体"/>
              <w:color w:val="auto"/>
              <w:lang w:eastAsia="zh-CN"/>
            </w:rPr>
          </w:pPr>
          <w:r>
            <w:rPr>
              <w:rFonts w:ascii="宋体" w:hAnsi="宋体" w:eastAsia="宋体" w:cs="宋体"/>
              <w:color w:val="auto"/>
              <w:spacing w:val="-2"/>
              <w:lang w:eastAsia="zh-CN"/>
            </w:rPr>
            <w:t>三、投标保证金</w:t>
          </w:r>
        </w:p>
        <w:p w14:paraId="2C3A969E">
          <w:pPr>
            <w:spacing w:before="60" w:line="220" w:lineRule="auto"/>
            <w:ind w:left="1722"/>
            <w:rPr>
              <w:rFonts w:ascii="宋体" w:hAnsi="宋体" w:eastAsia="宋体" w:cs="宋体"/>
              <w:color w:val="auto"/>
              <w:lang w:eastAsia="zh-CN"/>
            </w:rPr>
          </w:pPr>
          <w:r>
            <w:rPr>
              <w:rFonts w:ascii="宋体" w:hAnsi="宋体" w:eastAsia="宋体" w:cs="宋体"/>
              <w:color w:val="auto"/>
              <w:spacing w:val="-4"/>
              <w:lang w:eastAsia="zh-CN"/>
            </w:rPr>
            <w:t>四、联合体协议书</w:t>
          </w:r>
        </w:p>
        <w:p w14:paraId="3950A55F">
          <w:pPr>
            <w:spacing w:before="62" w:line="220" w:lineRule="auto"/>
            <w:ind w:left="1705"/>
            <w:rPr>
              <w:rFonts w:ascii="宋体" w:hAnsi="宋体" w:eastAsia="宋体" w:cs="宋体"/>
              <w:color w:val="auto"/>
              <w:lang w:eastAsia="zh-CN"/>
            </w:rPr>
          </w:pPr>
          <w:r>
            <w:rPr>
              <w:rFonts w:ascii="宋体" w:hAnsi="宋体" w:eastAsia="宋体" w:cs="宋体"/>
              <w:color w:val="auto"/>
              <w:spacing w:val="-2"/>
              <w:lang w:eastAsia="zh-CN"/>
            </w:rPr>
            <w:t>五、商务和技术偏差表</w:t>
          </w:r>
        </w:p>
        <w:p w14:paraId="685F73BE">
          <w:pPr>
            <w:spacing w:before="62" w:line="219" w:lineRule="auto"/>
            <w:ind w:left="1703"/>
            <w:rPr>
              <w:rFonts w:ascii="宋体" w:hAnsi="宋体" w:eastAsia="宋体" w:cs="宋体"/>
              <w:color w:val="auto"/>
              <w:lang w:eastAsia="zh-CN"/>
            </w:rPr>
          </w:pPr>
          <w:r>
            <w:rPr>
              <w:rFonts w:ascii="宋体" w:hAnsi="宋体" w:eastAsia="宋体" w:cs="宋体"/>
              <w:color w:val="auto"/>
              <w:spacing w:val="-2"/>
              <w:lang w:eastAsia="zh-CN"/>
            </w:rPr>
            <w:t>六、分项报价表</w:t>
          </w:r>
        </w:p>
        <w:p w14:paraId="75C3B202">
          <w:pPr>
            <w:spacing w:before="63" w:line="220" w:lineRule="auto"/>
            <w:ind w:left="1701"/>
            <w:rPr>
              <w:rFonts w:ascii="宋体" w:hAnsi="宋体" w:eastAsia="宋体" w:cs="宋体"/>
              <w:color w:val="auto"/>
              <w:lang w:eastAsia="zh-CN"/>
            </w:rPr>
          </w:pPr>
          <w:r>
            <w:rPr>
              <w:rFonts w:ascii="宋体" w:hAnsi="宋体" w:eastAsia="宋体" w:cs="宋体"/>
              <w:color w:val="auto"/>
              <w:spacing w:val="-1"/>
              <w:lang w:eastAsia="zh-CN"/>
            </w:rPr>
            <w:t>七、资格审查资料</w:t>
          </w:r>
        </w:p>
        <w:p w14:paraId="1781299E">
          <w:pPr>
            <w:spacing w:before="62" w:line="220" w:lineRule="auto"/>
            <w:ind w:left="1705"/>
            <w:rPr>
              <w:rFonts w:ascii="宋体" w:hAnsi="宋体" w:eastAsia="宋体" w:cs="宋体"/>
              <w:color w:val="auto"/>
              <w:lang w:eastAsia="zh-CN"/>
            </w:rPr>
          </w:pPr>
          <w:r>
            <w:rPr>
              <w:rFonts w:ascii="宋体" w:hAnsi="宋体" w:eastAsia="宋体" w:cs="宋体"/>
              <w:color w:val="auto"/>
              <w:spacing w:val="-1"/>
              <w:lang w:eastAsia="zh-CN"/>
            </w:rPr>
            <w:t>八、投标设备技术性能指标的详细描述</w:t>
          </w:r>
        </w:p>
        <w:p w14:paraId="40199D95">
          <w:pPr>
            <w:spacing w:before="61" w:line="220" w:lineRule="auto"/>
            <w:ind w:left="1707"/>
            <w:rPr>
              <w:rFonts w:ascii="宋体" w:hAnsi="宋体" w:eastAsia="宋体" w:cs="宋体"/>
              <w:color w:val="auto"/>
              <w:lang w:eastAsia="zh-CN"/>
            </w:rPr>
          </w:pPr>
          <w:r>
            <w:rPr>
              <w:rFonts w:ascii="宋体" w:hAnsi="宋体" w:eastAsia="宋体" w:cs="宋体"/>
              <w:color w:val="auto"/>
              <w:spacing w:val="-2"/>
              <w:lang w:eastAsia="zh-CN"/>
            </w:rPr>
            <w:t>九、技术支持资料</w:t>
          </w:r>
        </w:p>
        <w:p w14:paraId="03D84F24">
          <w:pPr>
            <w:spacing w:before="62" w:line="220" w:lineRule="auto"/>
            <w:ind w:left="1703"/>
            <w:rPr>
              <w:rFonts w:ascii="宋体" w:hAnsi="宋体" w:eastAsia="宋体" w:cs="宋体"/>
              <w:color w:val="auto"/>
              <w:lang w:eastAsia="zh-CN"/>
            </w:rPr>
          </w:pPr>
          <w:r>
            <w:rPr>
              <w:rFonts w:ascii="宋体" w:hAnsi="宋体" w:eastAsia="宋体" w:cs="宋体"/>
              <w:color w:val="auto"/>
              <w:spacing w:val="-1"/>
              <w:lang w:eastAsia="zh-CN"/>
            </w:rPr>
            <w:t>十、技术服务和质保期服务计划</w:t>
          </w:r>
        </w:p>
        <w:p w14:paraId="5D50CA73">
          <w:pPr>
            <w:spacing w:before="61" w:line="220" w:lineRule="auto"/>
            <w:ind w:left="1703"/>
            <w:rPr>
              <w:rFonts w:ascii="宋体" w:hAnsi="宋体" w:eastAsia="宋体" w:cs="宋体"/>
              <w:color w:val="auto"/>
              <w:lang w:eastAsia="zh-CN"/>
            </w:rPr>
          </w:pPr>
          <w:r>
            <w:rPr>
              <w:rFonts w:ascii="宋体" w:hAnsi="宋体" w:eastAsia="宋体" w:cs="宋体"/>
              <w:color w:val="auto"/>
              <w:spacing w:val="-3"/>
              <w:lang w:eastAsia="zh-CN"/>
            </w:rPr>
            <w:t>十一、其他材料</w:t>
          </w:r>
        </w:p>
      </w:sdtContent>
    </w:sdt>
    <w:p w14:paraId="7D27AA44">
      <w:pPr>
        <w:spacing w:line="220" w:lineRule="auto"/>
        <w:rPr>
          <w:rFonts w:ascii="宋体" w:hAnsi="宋体" w:eastAsia="宋体" w:cs="宋体"/>
          <w:color w:val="auto"/>
          <w:lang w:eastAsia="zh-CN"/>
        </w:rPr>
        <w:sectPr>
          <w:headerReference r:id="rId118" w:type="default"/>
          <w:footerReference r:id="rId119" w:type="default"/>
          <w:pgSz w:w="11906" w:h="16839"/>
          <w:pgMar w:top="400" w:right="0" w:bottom="1147" w:left="105" w:header="0" w:footer="987" w:gutter="0"/>
          <w:cols w:space="720" w:num="1"/>
        </w:sectPr>
      </w:pPr>
    </w:p>
    <w:p w14:paraId="62096194">
      <w:pPr>
        <w:pStyle w:val="8"/>
        <w:spacing w:line="248" w:lineRule="auto"/>
        <w:rPr>
          <w:lang w:eastAsia="zh-CN"/>
        </w:rPr>
      </w:pPr>
    </w:p>
    <w:p w14:paraId="2E393251">
      <w:pPr>
        <w:pStyle w:val="8"/>
        <w:spacing w:line="248" w:lineRule="auto"/>
        <w:rPr>
          <w:lang w:eastAsia="zh-CN"/>
        </w:rPr>
      </w:pPr>
    </w:p>
    <w:p w14:paraId="0730D824">
      <w:pPr>
        <w:pStyle w:val="8"/>
        <w:spacing w:line="248" w:lineRule="auto"/>
        <w:rPr>
          <w:lang w:eastAsia="zh-CN"/>
        </w:rPr>
      </w:pPr>
    </w:p>
    <w:p w14:paraId="4B513B92">
      <w:pPr>
        <w:pStyle w:val="8"/>
        <w:spacing w:line="248" w:lineRule="auto"/>
        <w:rPr>
          <w:lang w:eastAsia="zh-CN"/>
        </w:rPr>
      </w:pPr>
    </w:p>
    <w:p w14:paraId="2BDF32A6">
      <w:pPr>
        <w:pStyle w:val="8"/>
        <w:spacing w:line="248" w:lineRule="auto"/>
        <w:rPr>
          <w:lang w:eastAsia="zh-CN"/>
        </w:rPr>
      </w:pPr>
    </w:p>
    <w:p w14:paraId="2031953F">
      <w:pPr>
        <w:pStyle w:val="8"/>
        <w:spacing w:line="248" w:lineRule="auto"/>
        <w:rPr>
          <w:lang w:eastAsia="zh-CN"/>
        </w:rPr>
      </w:pPr>
    </w:p>
    <w:p w14:paraId="314A363A">
      <w:pPr>
        <w:pStyle w:val="8"/>
        <w:spacing w:line="248" w:lineRule="auto"/>
        <w:rPr>
          <w:lang w:eastAsia="zh-CN"/>
        </w:rPr>
      </w:pPr>
    </w:p>
    <w:p w14:paraId="69DB61A0">
      <w:pPr>
        <w:pStyle w:val="8"/>
        <w:spacing w:line="248" w:lineRule="auto"/>
        <w:rPr>
          <w:lang w:eastAsia="zh-CN"/>
        </w:rPr>
      </w:pPr>
    </w:p>
    <w:p w14:paraId="2B5580AC">
      <w:pPr>
        <w:pStyle w:val="8"/>
        <w:spacing w:line="248" w:lineRule="auto"/>
        <w:rPr>
          <w:lang w:eastAsia="zh-CN"/>
        </w:rPr>
      </w:pPr>
    </w:p>
    <w:p w14:paraId="4C0CCDDF">
      <w:pPr>
        <w:pStyle w:val="8"/>
        <w:spacing w:line="248" w:lineRule="auto"/>
        <w:rPr>
          <w:lang w:eastAsia="zh-CN"/>
        </w:rPr>
      </w:pPr>
    </w:p>
    <w:p w14:paraId="132F69AF">
      <w:pPr>
        <w:pStyle w:val="8"/>
        <w:spacing w:line="248" w:lineRule="auto"/>
        <w:rPr>
          <w:lang w:eastAsia="zh-CN"/>
        </w:rPr>
      </w:pPr>
    </w:p>
    <w:p w14:paraId="733B147E">
      <w:pPr>
        <w:pStyle w:val="8"/>
        <w:spacing w:line="248" w:lineRule="auto"/>
        <w:rPr>
          <w:lang w:eastAsia="zh-CN"/>
        </w:rPr>
      </w:pPr>
    </w:p>
    <w:p w14:paraId="06C52BA5">
      <w:pPr>
        <w:pStyle w:val="8"/>
        <w:spacing w:line="248" w:lineRule="auto"/>
        <w:rPr>
          <w:lang w:eastAsia="zh-CN"/>
        </w:rPr>
      </w:pPr>
    </w:p>
    <w:p w14:paraId="7A0C9030">
      <w:pPr>
        <w:pStyle w:val="8"/>
        <w:spacing w:line="248" w:lineRule="auto"/>
        <w:rPr>
          <w:lang w:eastAsia="zh-CN"/>
        </w:rPr>
      </w:pPr>
    </w:p>
    <w:p w14:paraId="54A29B1F">
      <w:pPr>
        <w:pStyle w:val="8"/>
        <w:spacing w:line="248" w:lineRule="auto"/>
        <w:rPr>
          <w:lang w:eastAsia="zh-CN"/>
        </w:rPr>
      </w:pPr>
    </w:p>
    <w:p w14:paraId="5E334A91">
      <w:pPr>
        <w:pStyle w:val="8"/>
        <w:spacing w:line="249" w:lineRule="auto"/>
        <w:rPr>
          <w:lang w:eastAsia="zh-CN"/>
        </w:rPr>
      </w:pPr>
    </w:p>
    <w:p w14:paraId="1E903DB6">
      <w:pPr>
        <w:pStyle w:val="8"/>
        <w:spacing w:line="249" w:lineRule="auto"/>
        <w:rPr>
          <w:lang w:eastAsia="zh-CN"/>
        </w:rPr>
      </w:pPr>
    </w:p>
    <w:p w14:paraId="4A803159">
      <w:pPr>
        <w:pStyle w:val="8"/>
        <w:spacing w:line="249" w:lineRule="auto"/>
        <w:rPr>
          <w:lang w:eastAsia="zh-CN"/>
        </w:rPr>
      </w:pPr>
    </w:p>
    <w:p w14:paraId="1E67C45F">
      <w:pPr>
        <w:pStyle w:val="8"/>
        <w:spacing w:line="249" w:lineRule="auto"/>
        <w:rPr>
          <w:lang w:eastAsia="zh-CN"/>
        </w:rPr>
      </w:pPr>
    </w:p>
    <w:p w14:paraId="62C90995">
      <w:pPr>
        <w:pStyle w:val="8"/>
        <w:spacing w:line="249" w:lineRule="auto"/>
        <w:rPr>
          <w:lang w:eastAsia="zh-CN"/>
        </w:rPr>
      </w:pPr>
    </w:p>
    <w:p w14:paraId="02ED9C2F">
      <w:pPr>
        <w:pStyle w:val="8"/>
        <w:spacing w:line="249" w:lineRule="auto"/>
        <w:rPr>
          <w:lang w:eastAsia="zh-CN"/>
        </w:rPr>
      </w:pPr>
    </w:p>
    <w:p w14:paraId="60CC2CD4">
      <w:pPr>
        <w:pStyle w:val="8"/>
        <w:spacing w:line="249" w:lineRule="auto"/>
        <w:rPr>
          <w:lang w:eastAsia="zh-CN"/>
        </w:rPr>
      </w:pPr>
    </w:p>
    <w:p w14:paraId="7CAD43D2">
      <w:pPr>
        <w:spacing w:before="91" w:line="222" w:lineRule="auto"/>
        <w:ind w:left="4462"/>
        <w:outlineLvl w:val="1"/>
        <w:rPr>
          <w:rFonts w:ascii="黑体" w:hAnsi="黑体" w:eastAsia="黑体" w:cs="黑体"/>
          <w:color w:val="auto"/>
          <w:sz w:val="28"/>
          <w:szCs w:val="28"/>
          <w:lang w:eastAsia="zh-CN"/>
        </w:rPr>
      </w:pPr>
      <w:bookmarkStart w:id="402" w:name="bookmark176"/>
      <w:bookmarkEnd w:id="402"/>
      <w:bookmarkStart w:id="403" w:name="_Toc13898"/>
      <w:bookmarkStart w:id="404" w:name="_Toc17226"/>
      <w:bookmarkStart w:id="405" w:name="_Toc30227"/>
      <w:bookmarkStart w:id="406" w:name="_Toc8726"/>
      <w:bookmarkStart w:id="407" w:name="_Toc29225"/>
      <w:bookmarkStart w:id="408" w:name="_Toc10680"/>
      <w:r>
        <w:rPr>
          <w:rFonts w:ascii="黑体" w:hAnsi="黑体" w:eastAsia="黑体" w:cs="黑体"/>
          <w:color w:val="auto"/>
          <w:spacing w:val="-3"/>
          <w:sz w:val="28"/>
          <w:szCs w:val="28"/>
          <w:lang w:eastAsia="zh-CN"/>
        </w:rPr>
        <w:t>一、投标函及承诺函等</w:t>
      </w:r>
      <w:bookmarkEnd w:id="403"/>
      <w:bookmarkEnd w:id="404"/>
      <w:bookmarkEnd w:id="405"/>
      <w:bookmarkEnd w:id="406"/>
      <w:bookmarkEnd w:id="407"/>
      <w:bookmarkEnd w:id="408"/>
    </w:p>
    <w:p w14:paraId="4A890F94">
      <w:pPr>
        <w:spacing w:line="222" w:lineRule="auto"/>
        <w:rPr>
          <w:rFonts w:ascii="黑体" w:hAnsi="黑体" w:eastAsia="黑体" w:cs="黑体"/>
          <w:color w:val="auto"/>
          <w:sz w:val="28"/>
          <w:szCs w:val="28"/>
          <w:lang w:eastAsia="zh-CN"/>
        </w:rPr>
        <w:sectPr>
          <w:headerReference r:id="rId120" w:type="default"/>
          <w:footerReference r:id="rId121" w:type="default"/>
          <w:pgSz w:w="11906" w:h="16839"/>
          <w:pgMar w:top="400" w:right="0" w:bottom="1147" w:left="105" w:header="0" w:footer="987" w:gutter="0"/>
          <w:cols w:space="720" w:num="1"/>
        </w:sectPr>
      </w:pPr>
    </w:p>
    <w:p w14:paraId="2A1FDC24">
      <w:pPr>
        <w:pStyle w:val="8"/>
        <w:spacing w:line="266" w:lineRule="auto"/>
        <w:rPr>
          <w:lang w:eastAsia="zh-CN"/>
        </w:rPr>
      </w:pPr>
    </w:p>
    <w:p w14:paraId="672B693F">
      <w:pPr>
        <w:pStyle w:val="8"/>
        <w:spacing w:line="266" w:lineRule="auto"/>
        <w:rPr>
          <w:lang w:eastAsia="zh-CN"/>
        </w:rPr>
      </w:pPr>
    </w:p>
    <w:p w14:paraId="4FB6B4F4">
      <w:pPr>
        <w:pStyle w:val="8"/>
        <w:spacing w:line="266" w:lineRule="auto"/>
        <w:rPr>
          <w:lang w:eastAsia="zh-CN"/>
        </w:rPr>
      </w:pPr>
    </w:p>
    <w:p w14:paraId="78DBA546">
      <w:pPr>
        <w:pStyle w:val="8"/>
        <w:spacing w:line="267" w:lineRule="auto"/>
        <w:rPr>
          <w:lang w:eastAsia="zh-CN"/>
        </w:rPr>
      </w:pPr>
    </w:p>
    <w:p w14:paraId="768CAC0D">
      <w:pPr>
        <w:pStyle w:val="8"/>
        <w:spacing w:line="267" w:lineRule="auto"/>
        <w:rPr>
          <w:lang w:eastAsia="zh-CN"/>
        </w:rPr>
      </w:pPr>
    </w:p>
    <w:p w14:paraId="73315320">
      <w:pPr>
        <w:spacing w:before="91" w:line="222" w:lineRule="auto"/>
        <w:ind w:left="5036"/>
        <w:outlineLvl w:val="2"/>
        <w:rPr>
          <w:rFonts w:ascii="黑体" w:hAnsi="黑体" w:eastAsia="黑体" w:cs="黑体"/>
          <w:color w:val="auto"/>
          <w:sz w:val="28"/>
          <w:szCs w:val="28"/>
          <w:lang w:eastAsia="zh-CN"/>
        </w:rPr>
      </w:pPr>
      <w:bookmarkStart w:id="409" w:name="bookmark177"/>
      <w:bookmarkEnd w:id="409"/>
      <w:r>
        <w:rPr>
          <w:rFonts w:ascii="黑体" w:hAnsi="黑体" w:eastAsia="黑体" w:cs="黑体"/>
          <w:color w:val="auto"/>
          <w:spacing w:val="-9"/>
          <w:sz w:val="28"/>
          <w:szCs w:val="28"/>
          <w:lang w:eastAsia="zh-CN"/>
        </w:rPr>
        <w:t>（一）投标函</w:t>
      </w:r>
    </w:p>
    <w:p w14:paraId="0B148AD8">
      <w:pPr>
        <w:pStyle w:val="8"/>
        <w:spacing w:line="396" w:lineRule="auto"/>
        <w:rPr>
          <w:lang w:eastAsia="zh-CN"/>
        </w:rPr>
      </w:pPr>
    </w:p>
    <w:p w14:paraId="6407E7D3">
      <w:pPr>
        <w:tabs>
          <w:tab w:val="left" w:pos="4318"/>
        </w:tabs>
        <w:spacing w:before="68" w:line="221" w:lineRule="auto"/>
        <w:ind w:left="1694"/>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7"/>
          <w:lang w:eastAsia="zh-CN"/>
        </w:rPr>
        <w:t>（招标人名称</w:t>
      </w:r>
      <w:r>
        <w:rPr>
          <w:rFonts w:ascii="宋体" w:hAnsi="宋体" w:eastAsia="宋体" w:cs="宋体"/>
          <w:color w:val="auto"/>
          <w:spacing w:val="-9"/>
          <w:lang w:eastAsia="zh-CN"/>
        </w:rPr>
        <w:t>）：</w:t>
      </w:r>
    </w:p>
    <w:p w14:paraId="6B67D343">
      <w:pPr>
        <w:spacing w:before="146" w:line="364" w:lineRule="auto"/>
        <w:ind w:left="1704" w:right="1794" w:firstLine="433"/>
        <w:rPr>
          <w:rFonts w:ascii="宋体" w:hAnsi="宋体" w:eastAsia="宋体" w:cs="宋体"/>
          <w:color w:val="auto"/>
          <w:lang w:eastAsia="zh-CN"/>
        </w:rPr>
      </w:pPr>
      <w:r>
        <w:rPr>
          <w:rFonts w:ascii="Times New Roman" w:hAnsi="Times New Roman" w:eastAsia="Times New Roman" w:cs="Times New Roman"/>
          <w:color w:val="auto"/>
          <w:spacing w:val="1"/>
          <w:lang w:eastAsia="zh-CN"/>
        </w:rPr>
        <w:t>1.</w:t>
      </w:r>
      <w:r>
        <w:rPr>
          <w:rFonts w:ascii="宋体" w:hAnsi="宋体" w:eastAsia="宋体" w:cs="宋体"/>
          <w:color w:val="auto"/>
          <w:spacing w:val="1"/>
          <w:lang w:eastAsia="zh-CN"/>
        </w:rPr>
        <w:t>我方已仔细研究了（标段名称）项目招标文件的全</w:t>
      </w:r>
      <w:r>
        <w:rPr>
          <w:rFonts w:ascii="宋体" w:hAnsi="宋体" w:eastAsia="宋体" w:cs="宋体"/>
          <w:color w:val="auto"/>
          <w:lang w:eastAsia="zh-CN"/>
        </w:rPr>
        <w:t>部内容，愿意以【人</w:t>
      </w:r>
      <w:r>
        <w:rPr>
          <w:rFonts w:ascii="宋体" w:hAnsi="宋体" w:eastAsia="宋体" w:cs="宋体"/>
          <w:color w:val="auto"/>
          <w:spacing w:val="6"/>
          <w:lang w:eastAsia="zh-CN"/>
        </w:rPr>
        <w:t>民币（大写）元</w:t>
      </w:r>
      <w:r>
        <w:rPr>
          <w:rFonts w:hint="eastAsia" w:ascii="宋体" w:hAnsi="宋体" w:eastAsia="宋体" w:cs="宋体"/>
          <w:color w:val="auto"/>
          <w:spacing w:val="6"/>
          <w:lang w:eastAsia="zh-CN"/>
        </w:rPr>
        <w:t>（</w:t>
      </w:r>
      <w:r>
        <w:rPr>
          <w:rFonts w:ascii="宋体" w:hAnsi="宋体" w:eastAsia="宋体" w:cs="宋体"/>
          <w:color w:val="auto"/>
          <w:spacing w:val="6"/>
          <w:lang w:eastAsia="zh-CN"/>
        </w:rPr>
        <w:t>¥元）】的投标报价，项目负责人为</w:t>
      </w:r>
      <w:r>
        <w:rPr>
          <w:rFonts w:ascii="宋体" w:hAnsi="宋体" w:eastAsia="宋体" w:cs="宋体"/>
          <w:color w:val="auto"/>
          <w:spacing w:val="5"/>
          <w:u w:val="single"/>
          <w:lang w:eastAsia="zh-CN"/>
        </w:rPr>
        <w:t>（姓名</w:t>
      </w:r>
      <w:r>
        <w:rPr>
          <w:rFonts w:ascii="宋体" w:hAnsi="宋体" w:eastAsia="宋体" w:cs="宋体"/>
          <w:color w:val="auto"/>
          <w:spacing w:val="-39"/>
          <w:u w:val="single"/>
          <w:lang w:eastAsia="zh-CN"/>
        </w:rPr>
        <w:t>）</w:t>
      </w:r>
      <w:r>
        <w:rPr>
          <w:rFonts w:ascii="宋体" w:hAnsi="宋体" w:eastAsia="宋体" w:cs="宋体"/>
          <w:color w:val="auto"/>
          <w:spacing w:val="-39"/>
          <w:lang w:eastAsia="zh-CN"/>
        </w:rPr>
        <w:t>，</w:t>
      </w:r>
      <w:r>
        <w:rPr>
          <w:rFonts w:ascii="宋体" w:hAnsi="宋体" w:eastAsia="宋体" w:cs="宋体"/>
          <w:color w:val="auto"/>
          <w:spacing w:val="5"/>
          <w:lang w:eastAsia="zh-CN"/>
        </w:rPr>
        <w:t>交货期</w:t>
      </w:r>
      <w:r>
        <w:rPr>
          <w:rFonts w:ascii="宋体" w:hAnsi="宋体" w:eastAsia="宋体" w:cs="宋体"/>
          <w:color w:val="auto"/>
          <w:spacing w:val="-2"/>
          <w:lang w:eastAsia="zh-CN"/>
        </w:rPr>
        <w:t>日历天，提供设备需求一览表中所列全部设</w:t>
      </w:r>
      <w:r>
        <w:rPr>
          <w:rFonts w:ascii="宋体" w:hAnsi="宋体" w:eastAsia="宋体" w:cs="宋体"/>
          <w:color w:val="auto"/>
          <w:spacing w:val="-3"/>
          <w:lang w:eastAsia="zh-CN"/>
        </w:rPr>
        <w:t>备及技术服务和质保期服务，并按合同约定履行</w:t>
      </w:r>
      <w:r>
        <w:rPr>
          <w:rFonts w:ascii="宋体" w:hAnsi="宋体" w:eastAsia="宋体" w:cs="宋体"/>
          <w:color w:val="auto"/>
          <w:spacing w:val="-2"/>
          <w:lang w:eastAsia="zh-CN"/>
        </w:rPr>
        <w:t>义务，质量标准达到。</w:t>
      </w:r>
    </w:p>
    <w:p w14:paraId="6603ED43">
      <w:pPr>
        <w:spacing w:before="217" w:line="220" w:lineRule="auto"/>
        <w:ind w:left="2124"/>
        <w:rPr>
          <w:rFonts w:ascii="宋体" w:hAnsi="宋体" w:eastAsia="宋体" w:cs="宋体"/>
          <w:color w:val="auto"/>
          <w:lang w:eastAsia="zh-CN"/>
        </w:rPr>
      </w:pPr>
      <w:r>
        <w:rPr>
          <w:rFonts w:ascii="宋体" w:hAnsi="宋体" w:eastAsia="宋体" w:cs="宋体"/>
          <w:color w:val="auto"/>
          <w:spacing w:val="-3"/>
          <w:lang w:eastAsia="zh-CN"/>
        </w:rPr>
        <w:t>2.我方的投标文件包括下列内容：</w:t>
      </w:r>
    </w:p>
    <w:p w14:paraId="0A73076E">
      <w:pPr>
        <w:spacing w:before="217" w:line="221" w:lineRule="auto"/>
        <w:ind w:left="2127"/>
        <w:rPr>
          <w:rFonts w:ascii="宋体" w:hAnsi="宋体" w:eastAsia="宋体" w:cs="宋体"/>
          <w:color w:val="auto"/>
          <w:lang w:eastAsia="zh-CN"/>
        </w:rPr>
      </w:pPr>
      <w:r>
        <w:rPr>
          <w:rFonts w:ascii="宋体" w:hAnsi="宋体" w:eastAsia="宋体" w:cs="宋体"/>
          <w:color w:val="auto"/>
          <w:spacing w:val="-8"/>
          <w:lang w:eastAsia="zh-CN"/>
        </w:rPr>
        <w:t>（1）投标函；</w:t>
      </w:r>
    </w:p>
    <w:p w14:paraId="0A37BBED">
      <w:pPr>
        <w:spacing w:before="216" w:line="220" w:lineRule="auto"/>
        <w:ind w:left="2127"/>
        <w:rPr>
          <w:rFonts w:ascii="宋体" w:hAnsi="宋体" w:eastAsia="宋体" w:cs="宋体"/>
          <w:color w:val="auto"/>
          <w:lang w:eastAsia="zh-CN"/>
        </w:rPr>
      </w:pPr>
      <w:r>
        <w:rPr>
          <w:rFonts w:ascii="宋体" w:hAnsi="宋体" w:eastAsia="宋体" w:cs="宋体"/>
          <w:color w:val="auto"/>
          <w:spacing w:val="-3"/>
          <w:lang w:eastAsia="zh-CN"/>
        </w:rPr>
        <w:t>（2）法定代表人（单位负责人）身份证明或授权委托书；</w:t>
      </w:r>
    </w:p>
    <w:p w14:paraId="64847356">
      <w:pPr>
        <w:spacing w:before="218" w:line="221" w:lineRule="auto"/>
        <w:ind w:left="2127"/>
        <w:rPr>
          <w:rFonts w:ascii="宋体" w:hAnsi="宋体" w:eastAsia="宋体" w:cs="宋体"/>
          <w:color w:val="auto"/>
          <w:lang w:eastAsia="zh-CN"/>
        </w:rPr>
      </w:pPr>
      <w:r>
        <w:rPr>
          <w:rFonts w:ascii="宋体" w:hAnsi="宋体" w:eastAsia="宋体" w:cs="宋体"/>
          <w:color w:val="auto"/>
          <w:spacing w:val="-7"/>
          <w:lang w:eastAsia="zh-CN"/>
        </w:rPr>
        <w:t>（3）投标保证金；</w:t>
      </w:r>
    </w:p>
    <w:p w14:paraId="73B5C4C7">
      <w:pPr>
        <w:spacing w:before="216" w:line="220" w:lineRule="auto"/>
        <w:ind w:left="2127"/>
        <w:rPr>
          <w:rFonts w:ascii="宋体" w:hAnsi="宋体" w:eastAsia="宋体" w:cs="宋体"/>
          <w:color w:val="auto"/>
          <w:lang w:eastAsia="zh-CN"/>
        </w:rPr>
      </w:pPr>
      <w:r>
        <w:rPr>
          <w:rFonts w:ascii="宋体" w:hAnsi="宋体" w:eastAsia="宋体" w:cs="宋体"/>
          <w:color w:val="auto"/>
          <w:spacing w:val="-11"/>
          <w:lang w:eastAsia="zh-CN"/>
        </w:rPr>
        <w:t>（4）联合体协议书（如有</w:t>
      </w:r>
      <w:r>
        <w:rPr>
          <w:rFonts w:ascii="宋体" w:hAnsi="宋体" w:eastAsia="宋体" w:cs="宋体"/>
          <w:color w:val="auto"/>
          <w:spacing w:val="-1"/>
          <w:lang w:eastAsia="zh-CN"/>
        </w:rPr>
        <w:t>）；</w:t>
      </w:r>
    </w:p>
    <w:p w14:paraId="5497B762">
      <w:pPr>
        <w:spacing w:before="219" w:line="220" w:lineRule="auto"/>
        <w:ind w:left="2127"/>
        <w:rPr>
          <w:rFonts w:ascii="宋体" w:hAnsi="宋体" w:eastAsia="宋体" w:cs="宋体"/>
          <w:color w:val="auto"/>
          <w:lang w:eastAsia="zh-CN"/>
        </w:rPr>
      </w:pPr>
      <w:r>
        <w:rPr>
          <w:rFonts w:ascii="宋体" w:hAnsi="宋体" w:eastAsia="宋体" w:cs="宋体"/>
          <w:color w:val="auto"/>
          <w:spacing w:val="-5"/>
          <w:lang w:eastAsia="zh-CN"/>
        </w:rPr>
        <w:t>（5）商务和技术偏差表；</w:t>
      </w:r>
    </w:p>
    <w:p w14:paraId="341ED106">
      <w:pPr>
        <w:spacing w:before="217" w:line="219" w:lineRule="auto"/>
        <w:ind w:left="2127"/>
        <w:rPr>
          <w:rFonts w:ascii="宋体" w:hAnsi="宋体" w:eastAsia="宋体" w:cs="宋体"/>
          <w:color w:val="auto"/>
          <w:lang w:eastAsia="zh-CN"/>
        </w:rPr>
      </w:pPr>
      <w:r>
        <w:rPr>
          <w:rFonts w:ascii="宋体" w:hAnsi="宋体" w:eastAsia="宋体" w:cs="宋体"/>
          <w:color w:val="auto"/>
          <w:spacing w:val="-7"/>
          <w:lang w:eastAsia="zh-CN"/>
        </w:rPr>
        <w:t>（6）分项报价表；</w:t>
      </w:r>
    </w:p>
    <w:p w14:paraId="51F1B93F">
      <w:pPr>
        <w:spacing w:before="220" w:line="220" w:lineRule="auto"/>
        <w:ind w:left="2127"/>
        <w:rPr>
          <w:rFonts w:ascii="宋体" w:hAnsi="宋体" w:eastAsia="宋体" w:cs="宋体"/>
          <w:color w:val="auto"/>
          <w:lang w:eastAsia="zh-CN"/>
        </w:rPr>
      </w:pPr>
      <w:r>
        <w:rPr>
          <w:rFonts w:ascii="宋体" w:hAnsi="宋体" w:eastAsia="宋体" w:cs="宋体"/>
          <w:color w:val="auto"/>
          <w:spacing w:val="-6"/>
          <w:lang w:eastAsia="zh-CN"/>
        </w:rPr>
        <w:t>（7）资格审查资料；</w:t>
      </w:r>
    </w:p>
    <w:p w14:paraId="5BBDF1AD">
      <w:pPr>
        <w:spacing w:before="217" w:line="220" w:lineRule="auto"/>
        <w:ind w:left="2127"/>
        <w:rPr>
          <w:rFonts w:ascii="宋体" w:hAnsi="宋体" w:eastAsia="宋体" w:cs="宋体"/>
          <w:color w:val="auto"/>
          <w:lang w:eastAsia="zh-CN"/>
        </w:rPr>
      </w:pPr>
      <w:r>
        <w:rPr>
          <w:rFonts w:ascii="宋体" w:hAnsi="宋体" w:eastAsia="宋体" w:cs="宋体"/>
          <w:color w:val="auto"/>
          <w:spacing w:val="-4"/>
          <w:lang w:eastAsia="zh-CN"/>
        </w:rPr>
        <w:t>（8）投标设备技术性能指标的详细描述；</w:t>
      </w:r>
    </w:p>
    <w:p w14:paraId="6C1C7E17">
      <w:pPr>
        <w:spacing w:before="218" w:line="220" w:lineRule="auto"/>
        <w:ind w:left="2127"/>
        <w:rPr>
          <w:rFonts w:ascii="宋体" w:hAnsi="宋体" w:eastAsia="宋体" w:cs="宋体"/>
          <w:color w:val="auto"/>
          <w:lang w:eastAsia="zh-CN"/>
        </w:rPr>
      </w:pPr>
      <w:r>
        <w:rPr>
          <w:rFonts w:ascii="宋体" w:hAnsi="宋体" w:eastAsia="宋体" w:cs="宋体"/>
          <w:color w:val="auto"/>
          <w:spacing w:val="-6"/>
          <w:lang w:eastAsia="zh-CN"/>
        </w:rPr>
        <w:t>（9）技术支持资料；</w:t>
      </w:r>
    </w:p>
    <w:p w14:paraId="15733D4A">
      <w:pPr>
        <w:spacing w:before="218" w:line="220" w:lineRule="auto"/>
        <w:ind w:left="2127"/>
        <w:rPr>
          <w:rFonts w:ascii="宋体" w:hAnsi="宋体" w:eastAsia="宋体" w:cs="宋体"/>
          <w:color w:val="auto"/>
          <w:lang w:eastAsia="zh-CN"/>
        </w:rPr>
      </w:pPr>
      <w:r>
        <w:rPr>
          <w:rFonts w:ascii="宋体" w:hAnsi="宋体" w:eastAsia="宋体" w:cs="宋体"/>
          <w:color w:val="auto"/>
          <w:spacing w:val="-4"/>
          <w:lang w:eastAsia="zh-CN"/>
        </w:rPr>
        <w:t>（10）技术服务和质保期服务计划；</w:t>
      </w:r>
    </w:p>
    <w:p w14:paraId="6DE912B2">
      <w:pPr>
        <w:spacing w:before="217" w:line="221" w:lineRule="auto"/>
        <w:ind w:left="2127"/>
        <w:rPr>
          <w:rFonts w:ascii="宋体" w:hAnsi="宋体" w:eastAsia="宋体" w:cs="宋体"/>
          <w:color w:val="auto"/>
          <w:lang w:eastAsia="zh-CN"/>
        </w:rPr>
      </w:pPr>
      <w:r>
        <w:rPr>
          <w:rFonts w:ascii="宋体" w:hAnsi="宋体" w:eastAsia="宋体" w:cs="宋体"/>
          <w:color w:val="auto"/>
          <w:spacing w:val="-5"/>
          <w:lang w:eastAsia="zh-CN"/>
        </w:rPr>
        <w:t>（11）其他资料。</w:t>
      </w:r>
    </w:p>
    <w:p w14:paraId="6D519966">
      <w:pPr>
        <w:spacing w:before="217" w:line="220" w:lineRule="auto"/>
        <w:ind w:left="2124"/>
        <w:rPr>
          <w:rFonts w:ascii="宋体" w:hAnsi="宋体" w:eastAsia="宋体" w:cs="宋体"/>
          <w:color w:val="auto"/>
          <w:lang w:eastAsia="zh-CN"/>
        </w:rPr>
      </w:pPr>
      <w:r>
        <w:rPr>
          <w:rFonts w:ascii="宋体" w:hAnsi="宋体" w:eastAsia="宋体" w:cs="宋体"/>
          <w:color w:val="auto"/>
          <w:spacing w:val="-2"/>
          <w:lang w:eastAsia="zh-CN"/>
        </w:rPr>
        <w:t>投标文件的上述组成部分如存在内容不一致的，以投标函为准。</w:t>
      </w:r>
    </w:p>
    <w:p w14:paraId="20A2159C">
      <w:pPr>
        <w:spacing w:before="218" w:line="220" w:lineRule="auto"/>
        <w:ind w:left="2126"/>
        <w:rPr>
          <w:rFonts w:ascii="宋体" w:hAnsi="宋体" w:eastAsia="宋体" w:cs="宋体"/>
          <w:color w:val="auto"/>
          <w:lang w:eastAsia="zh-CN"/>
        </w:rPr>
      </w:pPr>
      <w:r>
        <w:rPr>
          <w:rFonts w:ascii="宋体" w:hAnsi="宋体" w:eastAsia="宋体" w:cs="宋体"/>
          <w:color w:val="auto"/>
          <w:spacing w:val="-1"/>
          <w:lang w:eastAsia="zh-CN"/>
        </w:rPr>
        <w:t>3.我方承诺除商务和技术偏差表列出的偏差外，我方响应招标文</w:t>
      </w:r>
      <w:r>
        <w:rPr>
          <w:rFonts w:ascii="宋体" w:hAnsi="宋体" w:eastAsia="宋体" w:cs="宋体"/>
          <w:color w:val="auto"/>
          <w:spacing w:val="-2"/>
          <w:lang w:eastAsia="zh-CN"/>
        </w:rPr>
        <w:t>件的全部要求。</w:t>
      </w:r>
    </w:p>
    <w:p w14:paraId="44625525">
      <w:pPr>
        <w:spacing w:before="120" w:line="220" w:lineRule="auto"/>
        <w:ind w:left="2117"/>
        <w:rPr>
          <w:rFonts w:ascii="宋体" w:hAnsi="宋体" w:eastAsia="宋体" w:cs="宋体"/>
          <w:color w:val="auto"/>
          <w:lang w:eastAsia="zh-CN"/>
        </w:rPr>
      </w:pP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我方承诺在投标有效期天内不修改、撤销投标文件。</w:t>
      </w:r>
    </w:p>
    <w:p w14:paraId="038045AC">
      <w:pPr>
        <w:spacing w:before="157" w:line="220" w:lineRule="auto"/>
        <w:ind w:left="2124"/>
        <w:rPr>
          <w:rFonts w:ascii="宋体" w:hAnsi="宋体" w:eastAsia="宋体" w:cs="宋体"/>
          <w:color w:val="auto"/>
          <w:lang w:eastAsia="zh-CN"/>
        </w:rPr>
      </w:pP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随同本投标函提交投标保证金一份，金额为人民币（大写）元</w:t>
      </w:r>
      <w:r>
        <w:rPr>
          <w:rFonts w:hint="eastAsia" w:ascii="宋体" w:hAnsi="宋体" w:eastAsia="宋体" w:cs="宋体"/>
          <w:color w:val="auto"/>
          <w:spacing w:val="2"/>
          <w:lang w:eastAsia="zh-CN"/>
        </w:rPr>
        <w:t>（</w:t>
      </w:r>
      <w:r>
        <w:rPr>
          <w:rFonts w:ascii="Times New Roman" w:hAnsi="Times New Roman" w:eastAsia="Times New Roman" w:cs="Times New Roman"/>
          <w:color w:val="auto"/>
          <w:spacing w:val="2"/>
          <w:lang w:eastAsia="zh-CN"/>
        </w:rPr>
        <w:t>¥</w:t>
      </w:r>
      <w:r>
        <w:rPr>
          <w:rFonts w:hint="eastAsia" w:ascii="宋体" w:hAnsi="宋体" w:eastAsia="宋体" w:cs="宋体"/>
          <w:color w:val="auto"/>
          <w:spacing w:val="2"/>
          <w:lang w:eastAsia="zh-CN"/>
        </w:rPr>
        <w:t>）</w:t>
      </w:r>
      <w:r>
        <w:rPr>
          <w:rFonts w:ascii="宋体" w:hAnsi="宋体" w:eastAsia="宋体" w:cs="宋体"/>
          <w:color w:val="auto"/>
          <w:spacing w:val="2"/>
          <w:lang w:eastAsia="zh-CN"/>
        </w:rPr>
        <w:t>。</w:t>
      </w:r>
    </w:p>
    <w:p w14:paraId="0D99CB3A">
      <w:pPr>
        <w:spacing w:before="257" w:line="220" w:lineRule="auto"/>
        <w:ind w:left="2123"/>
        <w:rPr>
          <w:rFonts w:ascii="宋体" w:hAnsi="宋体" w:eastAsia="宋体" w:cs="宋体"/>
          <w:color w:val="auto"/>
          <w:lang w:eastAsia="zh-CN"/>
        </w:rPr>
      </w:pPr>
      <w:r>
        <w:rPr>
          <w:rFonts w:ascii="宋体" w:hAnsi="宋体" w:eastAsia="宋体" w:cs="宋体"/>
          <w:color w:val="auto"/>
          <w:spacing w:val="-4"/>
          <w:lang w:eastAsia="zh-CN"/>
        </w:rPr>
        <w:t>6.如我方中标，我方承诺：</w:t>
      </w:r>
    </w:p>
    <w:p w14:paraId="05A037BB">
      <w:pPr>
        <w:spacing w:before="217" w:line="220" w:lineRule="auto"/>
        <w:ind w:left="2127"/>
        <w:rPr>
          <w:rFonts w:ascii="宋体" w:hAnsi="宋体" w:eastAsia="宋体" w:cs="宋体"/>
          <w:color w:val="auto"/>
          <w:lang w:eastAsia="zh-CN"/>
        </w:rPr>
      </w:pPr>
      <w:r>
        <w:rPr>
          <w:rFonts w:ascii="宋体" w:hAnsi="宋体" w:eastAsia="宋体" w:cs="宋体"/>
          <w:color w:val="auto"/>
          <w:spacing w:val="-3"/>
          <w:lang w:eastAsia="zh-CN"/>
        </w:rPr>
        <w:t>（1）在收到中标通知书后，在中标通知书规定的期限内与你方签订合同；</w:t>
      </w:r>
    </w:p>
    <w:p w14:paraId="23E78850">
      <w:pPr>
        <w:spacing w:before="218" w:line="220" w:lineRule="auto"/>
        <w:ind w:left="2127"/>
        <w:rPr>
          <w:rFonts w:ascii="宋体" w:hAnsi="宋体" w:eastAsia="宋体" w:cs="宋体"/>
          <w:color w:val="auto"/>
          <w:lang w:eastAsia="zh-CN"/>
        </w:rPr>
      </w:pPr>
      <w:r>
        <w:rPr>
          <w:rFonts w:ascii="宋体" w:hAnsi="宋体" w:eastAsia="宋体" w:cs="宋体"/>
          <w:color w:val="auto"/>
          <w:spacing w:val="-4"/>
          <w:lang w:eastAsia="zh-CN"/>
        </w:rPr>
        <w:t>（2）在签订合同时不向你方提出附加条件；</w:t>
      </w:r>
    </w:p>
    <w:p w14:paraId="3323BBF6">
      <w:pPr>
        <w:spacing w:before="219" w:line="220" w:lineRule="auto"/>
        <w:ind w:left="2127"/>
        <w:rPr>
          <w:rFonts w:ascii="宋体" w:hAnsi="宋体" w:eastAsia="宋体" w:cs="宋体"/>
          <w:color w:val="auto"/>
          <w:lang w:eastAsia="zh-CN"/>
        </w:rPr>
      </w:pPr>
      <w:r>
        <w:rPr>
          <w:rFonts w:ascii="宋体" w:hAnsi="宋体" w:eastAsia="宋体" w:cs="宋体"/>
          <w:color w:val="auto"/>
          <w:spacing w:val="-4"/>
          <w:lang w:eastAsia="zh-CN"/>
        </w:rPr>
        <w:t>（3）按照招标文件要求提交履约保证金；</w:t>
      </w:r>
    </w:p>
    <w:p w14:paraId="65AE6B86">
      <w:pPr>
        <w:spacing w:before="217" w:line="220" w:lineRule="auto"/>
        <w:ind w:left="2127"/>
        <w:rPr>
          <w:rFonts w:ascii="宋体" w:hAnsi="宋体" w:eastAsia="宋体" w:cs="宋体"/>
          <w:color w:val="auto"/>
          <w:lang w:eastAsia="zh-CN"/>
        </w:rPr>
      </w:pPr>
      <w:r>
        <w:rPr>
          <w:rFonts w:ascii="宋体" w:hAnsi="宋体" w:eastAsia="宋体" w:cs="宋体"/>
          <w:color w:val="auto"/>
          <w:spacing w:val="-3"/>
          <w:lang w:eastAsia="zh-CN"/>
        </w:rPr>
        <w:t>（4）在合同约定的期限内完成合同规定的全部</w:t>
      </w:r>
      <w:r>
        <w:rPr>
          <w:rFonts w:ascii="宋体" w:hAnsi="宋体" w:eastAsia="宋体" w:cs="宋体"/>
          <w:color w:val="auto"/>
          <w:spacing w:val="-4"/>
          <w:lang w:eastAsia="zh-CN"/>
        </w:rPr>
        <w:t>义务。</w:t>
      </w:r>
    </w:p>
    <w:p w14:paraId="2ACE5EDD">
      <w:pPr>
        <w:spacing w:before="217" w:line="233" w:lineRule="auto"/>
        <w:ind w:left="2127"/>
        <w:rPr>
          <w:rFonts w:ascii="宋体" w:hAnsi="宋体" w:eastAsia="宋体" w:cs="宋体"/>
          <w:color w:val="auto"/>
          <w:lang w:eastAsia="zh-CN"/>
        </w:rPr>
      </w:pPr>
      <w:r>
        <w:rPr>
          <w:rFonts w:ascii="宋体" w:hAnsi="宋体" w:eastAsia="宋体" w:cs="宋体"/>
          <w:color w:val="auto"/>
          <w:spacing w:val="-2"/>
          <w:lang w:eastAsia="zh-CN"/>
        </w:rPr>
        <w:t>（5）。</w:t>
      </w:r>
    </w:p>
    <w:p w14:paraId="0B12A783">
      <w:pPr>
        <w:spacing w:before="203" w:line="220" w:lineRule="auto"/>
        <w:ind w:left="2127"/>
        <w:rPr>
          <w:rFonts w:ascii="宋体" w:hAnsi="宋体" w:eastAsia="宋体" w:cs="宋体"/>
          <w:color w:val="auto"/>
          <w:lang w:eastAsia="zh-CN"/>
        </w:rPr>
      </w:pPr>
      <w:r>
        <w:rPr>
          <w:rFonts w:ascii="宋体" w:hAnsi="宋体" w:eastAsia="宋体" w:cs="宋体"/>
          <w:color w:val="auto"/>
          <w:spacing w:val="-8"/>
          <w:lang w:eastAsia="zh-CN"/>
        </w:rPr>
        <w:t>7.我方在此声明，所递交的投标文件及有关资料内容完整、真实和准确，且不存在第二章</w:t>
      </w:r>
    </w:p>
    <w:p w14:paraId="61B75094">
      <w:pPr>
        <w:spacing w:line="220" w:lineRule="auto"/>
        <w:rPr>
          <w:rFonts w:ascii="宋体" w:hAnsi="宋体" w:eastAsia="宋体" w:cs="宋体"/>
          <w:color w:val="auto"/>
          <w:lang w:eastAsia="zh-CN"/>
        </w:rPr>
        <w:sectPr>
          <w:headerReference r:id="rId122" w:type="default"/>
          <w:footerReference r:id="rId123" w:type="default"/>
          <w:pgSz w:w="11906" w:h="16839"/>
          <w:pgMar w:top="400" w:right="0" w:bottom="1147" w:left="105" w:header="0" w:footer="987" w:gutter="0"/>
          <w:cols w:space="720" w:num="1"/>
        </w:sectPr>
      </w:pPr>
    </w:p>
    <w:p w14:paraId="6830F1F2">
      <w:pPr>
        <w:pStyle w:val="8"/>
        <w:spacing w:line="273" w:lineRule="auto"/>
        <w:rPr>
          <w:lang w:eastAsia="zh-CN"/>
        </w:rPr>
      </w:pPr>
    </w:p>
    <w:p w14:paraId="76D63B3F">
      <w:pPr>
        <w:pStyle w:val="8"/>
        <w:spacing w:line="274" w:lineRule="auto"/>
        <w:rPr>
          <w:lang w:eastAsia="zh-CN"/>
        </w:rPr>
      </w:pPr>
    </w:p>
    <w:p w14:paraId="46FEA952">
      <w:pPr>
        <w:pStyle w:val="8"/>
        <w:spacing w:line="274" w:lineRule="auto"/>
        <w:rPr>
          <w:lang w:eastAsia="zh-CN"/>
        </w:rPr>
      </w:pPr>
    </w:p>
    <w:p w14:paraId="1A407043">
      <w:pPr>
        <w:pStyle w:val="8"/>
        <w:spacing w:line="274" w:lineRule="auto"/>
        <w:rPr>
          <w:lang w:eastAsia="zh-CN"/>
        </w:rPr>
      </w:pPr>
    </w:p>
    <w:p w14:paraId="40392A0D">
      <w:pPr>
        <w:spacing w:before="69" w:line="220" w:lineRule="auto"/>
        <w:ind w:left="1685"/>
        <w:rPr>
          <w:rFonts w:ascii="宋体" w:hAnsi="宋体" w:eastAsia="宋体" w:cs="宋体"/>
          <w:color w:val="auto"/>
          <w:lang w:eastAsia="zh-CN"/>
        </w:rPr>
      </w:pPr>
      <w:r>
        <w:rPr>
          <w:rFonts w:ascii="宋体" w:hAnsi="宋体" w:eastAsia="宋体" w:cs="宋体"/>
          <w:color w:val="auto"/>
          <w:spacing w:val="-6"/>
          <w:lang w:eastAsia="zh-CN"/>
        </w:rPr>
        <w:t>“投标人须知”第1.4.3项规定的任何一种情形。</w:t>
      </w:r>
    </w:p>
    <w:p w14:paraId="58AD9EA5">
      <w:pPr>
        <w:spacing w:before="258" w:line="220" w:lineRule="auto"/>
        <w:ind w:left="2123"/>
        <w:rPr>
          <w:rFonts w:ascii="宋体" w:hAnsi="宋体" w:eastAsia="宋体" w:cs="宋体"/>
          <w:color w:val="auto"/>
          <w:lang w:eastAsia="zh-CN"/>
        </w:rPr>
      </w:pPr>
      <w:r>
        <w:rPr>
          <w:rFonts w:ascii="宋体" w:hAnsi="宋体" w:eastAsia="宋体" w:cs="宋体"/>
          <w:color w:val="auto"/>
          <w:spacing w:val="-12"/>
          <w:lang w:eastAsia="zh-CN"/>
        </w:rPr>
        <w:t>8.（其他补充说明）。</w:t>
      </w:r>
    </w:p>
    <w:p w14:paraId="1607C67F">
      <w:pPr>
        <w:spacing w:before="188" w:line="220" w:lineRule="auto"/>
        <w:ind w:left="5379"/>
        <w:rPr>
          <w:rFonts w:ascii="宋体" w:hAnsi="宋体" w:eastAsia="宋体" w:cs="宋体"/>
          <w:color w:val="auto"/>
          <w:lang w:eastAsia="zh-CN"/>
        </w:rPr>
      </w:pPr>
      <w:r>
        <w:rPr>
          <w:rFonts w:ascii="宋体" w:hAnsi="宋体" w:eastAsia="宋体" w:cs="宋体"/>
          <w:color w:val="auto"/>
          <w:spacing w:val="-3"/>
          <w:lang w:eastAsia="zh-CN"/>
        </w:rPr>
        <w:t>投 标人</w:t>
      </w:r>
      <w:r>
        <w:rPr>
          <w:rFonts w:ascii="宋体" w:hAnsi="宋体" w:eastAsia="宋体" w:cs="宋体"/>
          <w:color w:val="auto"/>
          <w:spacing w:val="-4"/>
          <w:lang w:eastAsia="zh-CN"/>
        </w:rPr>
        <w:t>：（</w:t>
      </w:r>
      <w:r>
        <w:rPr>
          <w:rFonts w:ascii="宋体" w:hAnsi="宋体" w:eastAsia="宋体" w:cs="宋体"/>
          <w:color w:val="auto"/>
          <w:spacing w:val="-3"/>
          <w:lang w:eastAsia="zh-CN"/>
        </w:rPr>
        <w:t>盖单位章）</w:t>
      </w:r>
    </w:p>
    <w:p w14:paraId="6EC24D44">
      <w:pPr>
        <w:spacing w:before="189" w:line="220" w:lineRule="auto"/>
        <w:ind w:left="5378"/>
        <w:rPr>
          <w:rFonts w:ascii="宋体" w:hAnsi="宋体" w:eastAsia="宋体" w:cs="宋体"/>
          <w:color w:val="auto"/>
          <w:lang w:eastAsia="zh-CN"/>
        </w:rPr>
      </w:pPr>
      <w:r>
        <w:rPr>
          <w:rFonts w:ascii="宋体" w:hAnsi="宋体" w:eastAsia="宋体" w:cs="宋体"/>
          <w:color w:val="auto"/>
          <w:spacing w:val="-2"/>
          <w:lang w:eastAsia="zh-CN"/>
        </w:rPr>
        <w:t>法定代表人或授权委托人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019CE475">
      <w:pPr>
        <w:spacing w:before="190" w:line="230" w:lineRule="auto"/>
        <w:ind w:left="5377"/>
        <w:rPr>
          <w:rFonts w:ascii="宋体" w:hAnsi="宋体" w:eastAsia="宋体" w:cs="宋体"/>
          <w:color w:val="auto"/>
          <w:lang w:eastAsia="zh-CN"/>
        </w:rPr>
      </w:pPr>
      <w:r>
        <w:rPr>
          <w:rFonts w:ascii="宋体" w:hAnsi="宋体" w:eastAsia="宋体" w:cs="宋体"/>
          <w:color w:val="auto"/>
          <w:spacing w:val="-3"/>
          <w:lang w:eastAsia="zh-CN"/>
        </w:rPr>
        <w:t>地址：</w:t>
      </w:r>
    </w:p>
    <w:p w14:paraId="0967EC33">
      <w:pPr>
        <w:spacing w:before="179" w:line="225" w:lineRule="auto"/>
        <w:ind w:left="5393"/>
        <w:rPr>
          <w:rFonts w:ascii="宋体" w:hAnsi="宋体" w:eastAsia="宋体" w:cs="宋体"/>
          <w:color w:val="auto"/>
          <w:lang w:eastAsia="zh-CN"/>
        </w:rPr>
      </w:pPr>
      <w:r>
        <w:rPr>
          <w:rFonts w:ascii="宋体" w:hAnsi="宋体" w:eastAsia="宋体" w:cs="宋体"/>
          <w:color w:val="auto"/>
          <w:spacing w:val="-9"/>
          <w:lang w:eastAsia="zh-CN"/>
        </w:rPr>
        <w:t>网址：</w:t>
      </w:r>
    </w:p>
    <w:p w14:paraId="7E3D663C">
      <w:pPr>
        <w:spacing w:before="184" w:line="222" w:lineRule="auto"/>
        <w:ind w:left="5401"/>
        <w:rPr>
          <w:rFonts w:ascii="宋体" w:hAnsi="宋体" w:eastAsia="宋体" w:cs="宋体"/>
          <w:color w:val="auto"/>
          <w:lang w:eastAsia="zh-CN"/>
        </w:rPr>
      </w:pPr>
      <w:r>
        <w:rPr>
          <w:rFonts w:ascii="宋体" w:hAnsi="宋体" w:eastAsia="宋体" w:cs="宋体"/>
          <w:color w:val="auto"/>
          <w:spacing w:val="-6"/>
          <w:lang w:eastAsia="zh-CN"/>
        </w:rPr>
        <w:t>电话：</w:t>
      </w:r>
    </w:p>
    <w:p w14:paraId="64B03CDE">
      <w:pPr>
        <w:spacing w:before="187" w:line="220" w:lineRule="auto"/>
        <w:ind w:left="5375"/>
        <w:rPr>
          <w:rFonts w:ascii="宋体" w:hAnsi="宋体" w:eastAsia="宋体" w:cs="宋体"/>
          <w:color w:val="auto"/>
          <w:lang w:eastAsia="zh-CN"/>
        </w:rPr>
      </w:pPr>
      <w:r>
        <w:rPr>
          <w:rFonts w:ascii="宋体" w:hAnsi="宋体" w:eastAsia="宋体" w:cs="宋体"/>
          <w:color w:val="auto"/>
          <w:spacing w:val="-3"/>
          <w:lang w:eastAsia="zh-CN"/>
        </w:rPr>
        <w:t>传真：</w:t>
      </w:r>
    </w:p>
    <w:p w14:paraId="1A834CE2">
      <w:pPr>
        <w:tabs>
          <w:tab w:val="left" w:pos="7784"/>
        </w:tabs>
        <w:spacing w:before="191" w:line="284" w:lineRule="auto"/>
        <w:ind w:left="7153" w:right="2125" w:hanging="1761"/>
        <w:rPr>
          <w:rFonts w:ascii="宋体" w:hAnsi="宋体" w:eastAsia="宋体" w:cs="宋体"/>
          <w:color w:val="auto"/>
          <w:lang w:eastAsia="zh-CN"/>
        </w:rPr>
      </w:pPr>
      <w:r>
        <w:rPr>
          <w:rFonts w:ascii="宋体" w:hAnsi="宋体" w:eastAsia="宋体" w:cs="宋体"/>
          <w:color w:val="auto"/>
          <w:spacing w:val="-5"/>
          <w:lang w:eastAsia="zh-CN"/>
        </w:rPr>
        <w:t>邮政编码：</w:t>
      </w:r>
      <w:r>
        <w:rPr>
          <w:rFonts w:ascii="宋体" w:hAnsi="宋体" w:eastAsia="宋体" w:cs="宋体"/>
          <w:color w:val="auto"/>
          <w:u w:val="single"/>
          <w:lang w:eastAsia="zh-CN"/>
        </w:rPr>
        <w:tab/>
      </w:r>
      <w:r>
        <w:rPr>
          <w:rFonts w:ascii="宋体" w:hAnsi="宋体" w:eastAsia="宋体" w:cs="宋体"/>
          <w:color w:val="auto"/>
          <w:spacing w:val="-23"/>
          <w:lang w:eastAsia="zh-CN"/>
        </w:rPr>
        <w:t>年月日</w:t>
      </w:r>
    </w:p>
    <w:p w14:paraId="5D343032">
      <w:pPr>
        <w:spacing w:line="284" w:lineRule="auto"/>
        <w:rPr>
          <w:rFonts w:ascii="宋体" w:hAnsi="宋体" w:eastAsia="宋体" w:cs="宋体"/>
          <w:color w:val="auto"/>
          <w:lang w:eastAsia="zh-CN"/>
        </w:rPr>
        <w:sectPr>
          <w:headerReference r:id="rId124" w:type="default"/>
          <w:footerReference r:id="rId125" w:type="default"/>
          <w:pgSz w:w="11906" w:h="16839"/>
          <w:pgMar w:top="400" w:right="0" w:bottom="1147" w:left="105" w:header="0" w:footer="987" w:gutter="0"/>
          <w:cols w:space="720" w:num="1"/>
        </w:sectPr>
      </w:pPr>
    </w:p>
    <w:p w14:paraId="501346F6">
      <w:pPr>
        <w:pStyle w:val="8"/>
        <w:spacing w:line="266" w:lineRule="auto"/>
        <w:rPr>
          <w:lang w:eastAsia="zh-CN"/>
        </w:rPr>
      </w:pPr>
    </w:p>
    <w:p w14:paraId="30E0BA31">
      <w:pPr>
        <w:pStyle w:val="8"/>
        <w:spacing w:line="266" w:lineRule="auto"/>
        <w:rPr>
          <w:lang w:eastAsia="zh-CN"/>
        </w:rPr>
      </w:pPr>
    </w:p>
    <w:p w14:paraId="78B0AE53">
      <w:pPr>
        <w:pStyle w:val="8"/>
        <w:spacing w:line="266" w:lineRule="auto"/>
        <w:rPr>
          <w:lang w:eastAsia="zh-CN"/>
        </w:rPr>
      </w:pPr>
    </w:p>
    <w:p w14:paraId="4F532601">
      <w:pPr>
        <w:pStyle w:val="8"/>
        <w:spacing w:line="267" w:lineRule="auto"/>
        <w:rPr>
          <w:lang w:eastAsia="zh-CN"/>
        </w:rPr>
      </w:pPr>
    </w:p>
    <w:p w14:paraId="46CF599D">
      <w:pPr>
        <w:pStyle w:val="8"/>
        <w:spacing w:line="267" w:lineRule="auto"/>
        <w:rPr>
          <w:lang w:eastAsia="zh-CN"/>
        </w:rPr>
      </w:pPr>
    </w:p>
    <w:p w14:paraId="3C768E6C">
      <w:pPr>
        <w:spacing w:before="91" w:line="222" w:lineRule="auto"/>
        <w:ind w:left="4756"/>
        <w:outlineLvl w:val="2"/>
        <w:rPr>
          <w:rFonts w:ascii="黑体" w:hAnsi="黑体" w:eastAsia="黑体" w:cs="黑体"/>
          <w:color w:val="auto"/>
          <w:sz w:val="28"/>
          <w:szCs w:val="28"/>
          <w:lang w:eastAsia="zh-CN"/>
        </w:rPr>
      </w:pPr>
      <w:bookmarkStart w:id="410" w:name="bookmark178"/>
      <w:bookmarkEnd w:id="410"/>
      <w:r>
        <w:rPr>
          <w:rFonts w:ascii="黑体" w:hAnsi="黑体" w:eastAsia="黑体" w:cs="黑体"/>
          <w:color w:val="auto"/>
          <w:spacing w:val="-7"/>
          <w:sz w:val="28"/>
          <w:szCs w:val="28"/>
          <w:lang w:eastAsia="zh-CN"/>
        </w:rPr>
        <w:t>（二）告知承诺函</w:t>
      </w:r>
    </w:p>
    <w:p w14:paraId="3CEDE2ED">
      <w:pPr>
        <w:pStyle w:val="8"/>
        <w:spacing w:line="395" w:lineRule="auto"/>
        <w:rPr>
          <w:lang w:eastAsia="zh-CN"/>
        </w:rPr>
      </w:pPr>
    </w:p>
    <w:p w14:paraId="153CCD7B">
      <w:pPr>
        <w:spacing w:before="68" w:line="387" w:lineRule="auto"/>
        <w:ind w:left="1702" w:right="1800" w:firstLine="421"/>
        <w:jc w:val="both"/>
        <w:rPr>
          <w:rFonts w:ascii="宋体" w:hAnsi="宋体" w:eastAsia="宋体" w:cs="宋体"/>
          <w:color w:val="auto"/>
          <w:lang w:eastAsia="zh-CN"/>
        </w:rPr>
      </w:pPr>
      <w:r>
        <w:rPr>
          <w:rFonts w:ascii="宋体" w:hAnsi="宋体" w:eastAsia="宋体" w:cs="宋体"/>
          <w:color w:val="auto"/>
          <w:spacing w:val="-1"/>
          <w:lang w:eastAsia="zh-CN"/>
        </w:rPr>
        <w:t>我单位参与</w:t>
      </w:r>
      <w:r>
        <w:rPr>
          <w:rFonts w:ascii="宋体" w:hAnsi="宋体" w:eastAsia="宋体" w:cs="宋体"/>
          <w:color w:val="auto"/>
          <w:spacing w:val="-1"/>
          <w:u w:val="single"/>
          <w:lang w:eastAsia="zh-CN"/>
        </w:rPr>
        <w:t xml:space="preserve">    （标段名称）    </w:t>
      </w:r>
      <w:r>
        <w:rPr>
          <w:rFonts w:ascii="宋体" w:hAnsi="宋体" w:eastAsia="宋体" w:cs="宋体"/>
          <w:color w:val="auto"/>
          <w:spacing w:val="-1"/>
          <w:lang w:eastAsia="zh-CN"/>
        </w:rPr>
        <w:t>的投标。根据</w:t>
      </w:r>
      <w:r>
        <w:rPr>
          <w:rFonts w:ascii="宋体" w:hAnsi="宋体" w:eastAsia="宋体" w:cs="宋体"/>
          <w:color w:val="auto"/>
          <w:spacing w:val="-2"/>
          <w:lang w:eastAsia="zh-CN"/>
        </w:rPr>
        <w:t>《中华人民共和国招标投标法》等法</w:t>
      </w:r>
      <w:r>
        <w:rPr>
          <w:rFonts w:ascii="宋体" w:hAnsi="宋体" w:eastAsia="宋体" w:cs="宋体"/>
          <w:color w:val="auto"/>
          <w:lang w:eastAsia="zh-CN"/>
        </w:rPr>
        <w:t>律法规的规定，我已知悉本单位相关权利义务，作为法定代表人（</w:t>
      </w:r>
      <w:r>
        <w:rPr>
          <w:rFonts w:ascii="宋体" w:hAnsi="宋体" w:eastAsia="宋体" w:cs="宋体"/>
          <w:color w:val="auto"/>
          <w:spacing w:val="-1"/>
          <w:lang w:eastAsia="zh-CN"/>
        </w:rPr>
        <w:t>或授权委托人</w:t>
      </w:r>
      <w:r>
        <w:rPr>
          <w:rFonts w:ascii="宋体" w:hAnsi="宋体" w:eastAsia="宋体" w:cs="宋体"/>
          <w:color w:val="auto"/>
          <w:spacing w:val="-48"/>
          <w:lang w:eastAsia="zh-CN"/>
        </w:rPr>
        <w:t>），</w:t>
      </w:r>
      <w:r>
        <w:rPr>
          <w:rFonts w:ascii="宋体" w:hAnsi="宋体" w:eastAsia="宋体" w:cs="宋体"/>
          <w:color w:val="auto"/>
          <w:spacing w:val="-1"/>
          <w:lang w:eastAsia="zh-CN"/>
        </w:rPr>
        <w:t>本人清</w:t>
      </w:r>
      <w:r>
        <w:rPr>
          <w:rFonts w:ascii="宋体" w:hAnsi="宋体" w:eastAsia="宋体" w:cs="宋体"/>
          <w:color w:val="auto"/>
          <w:spacing w:val="-4"/>
          <w:lang w:eastAsia="zh-CN"/>
        </w:rPr>
        <w:t>楚知晓我单位在本项目投标活动的情况。本人已详细阅读告知承诺函的内容，并在此郑重承</w:t>
      </w:r>
      <w:r>
        <w:rPr>
          <w:rFonts w:ascii="宋体" w:hAnsi="宋体" w:eastAsia="宋体" w:cs="宋体"/>
          <w:color w:val="auto"/>
          <w:spacing w:val="-15"/>
          <w:lang w:eastAsia="zh-CN"/>
        </w:rPr>
        <w:t>诺：</w:t>
      </w:r>
    </w:p>
    <w:p w14:paraId="2403C3CA">
      <w:pPr>
        <w:spacing w:before="2" w:line="303" w:lineRule="auto"/>
        <w:ind w:left="1704" w:right="1800" w:firstLine="420"/>
        <w:rPr>
          <w:rFonts w:ascii="宋体" w:hAnsi="宋体" w:eastAsia="宋体" w:cs="宋体"/>
          <w:color w:val="auto"/>
          <w:lang w:eastAsia="zh-CN"/>
        </w:rPr>
      </w:pPr>
      <w:r>
        <w:rPr>
          <w:rFonts w:ascii="宋体" w:hAnsi="宋体" w:eastAsia="宋体" w:cs="宋体"/>
          <w:color w:val="auto"/>
          <w:lang w:eastAsia="zh-CN"/>
        </w:rPr>
        <w:t>一、我单位和我本人遵循公开、公平、公正、诚实守信的原则， 依法依规参与</w:t>
      </w:r>
      <w:r>
        <w:rPr>
          <w:rFonts w:ascii="宋体" w:hAnsi="宋体" w:eastAsia="宋体" w:cs="宋体"/>
          <w:color w:val="auto"/>
          <w:spacing w:val="-1"/>
          <w:lang w:eastAsia="zh-CN"/>
        </w:rPr>
        <w:t>本项目</w:t>
      </w:r>
      <w:r>
        <w:rPr>
          <w:rFonts w:ascii="宋体" w:hAnsi="宋体" w:eastAsia="宋体" w:cs="宋体"/>
          <w:color w:val="auto"/>
          <w:spacing w:val="-9"/>
          <w:lang w:eastAsia="zh-CN"/>
        </w:rPr>
        <w:t>投标。</w:t>
      </w:r>
    </w:p>
    <w:p w14:paraId="41795D42">
      <w:pPr>
        <w:spacing w:before="189" w:line="303" w:lineRule="auto"/>
        <w:ind w:left="1705" w:right="1831" w:firstLine="420"/>
        <w:rPr>
          <w:rFonts w:ascii="宋体" w:hAnsi="宋体" w:eastAsia="宋体" w:cs="宋体"/>
          <w:color w:val="auto"/>
          <w:lang w:eastAsia="zh-CN"/>
        </w:rPr>
      </w:pPr>
      <w:r>
        <w:rPr>
          <w:rFonts w:ascii="宋体" w:hAnsi="宋体" w:eastAsia="宋体" w:cs="宋体"/>
          <w:color w:val="auto"/>
          <w:spacing w:val="-1"/>
          <w:lang w:eastAsia="zh-CN"/>
        </w:rPr>
        <w:t>二、我单位具有参与本次投标的资质和能力，公司运营状况良好， 不存在挂靠投标、不</w:t>
      </w:r>
      <w:r>
        <w:rPr>
          <w:rFonts w:hint="eastAsia" w:ascii="宋体" w:hAnsi="宋体" w:eastAsia="宋体" w:cs="宋体"/>
          <w:color w:val="auto"/>
          <w:spacing w:val="-1"/>
          <w:lang w:eastAsia="zh-CN"/>
        </w:rPr>
        <w:t>转</w:t>
      </w:r>
      <w:r>
        <w:rPr>
          <w:rFonts w:ascii="宋体" w:hAnsi="宋体" w:eastAsia="宋体" w:cs="宋体"/>
          <w:color w:val="auto"/>
          <w:spacing w:val="-1"/>
          <w:lang w:eastAsia="zh-CN"/>
        </w:rPr>
        <w:t>让、租借、出租、出借资格或资质证书，无</w:t>
      </w:r>
      <w:r>
        <w:rPr>
          <w:rFonts w:ascii="宋体" w:hAnsi="宋体" w:eastAsia="宋体" w:cs="宋体"/>
          <w:color w:val="auto"/>
          <w:spacing w:val="-2"/>
          <w:lang w:eastAsia="zh-CN"/>
        </w:rPr>
        <w:t>处罚期内的不良行为。</w:t>
      </w:r>
    </w:p>
    <w:p w14:paraId="683455EB">
      <w:pPr>
        <w:spacing w:before="189" w:line="304" w:lineRule="auto"/>
        <w:ind w:left="1703" w:right="1800" w:firstLine="419"/>
        <w:rPr>
          <w:rFonts w:ascii="宋体" w:hAnsi="宋体" w:eastAsia="宋体" w:cs="宋体"/>
          <w:color w:val="auto"/>
          <w:lang w:eastAsia="zh-CN"/>
        </w:rPr>
      </w:pPr>
      <w:r>
        <w:rPr>
          <w:rFonts w:ascii="宋体" w:hAnsi="宋体" w:eastAsia="宋体" w:cs="宋体"/>
          <w:color w:val="auto"/>
          <w:lang w:eastAsia="zh-CN"/>
        </w:rPr>
        <w:t>三、我单位在本项目投标过程中从招标公告/投标邀请书列明的渠道获取招标文件，没</w:t>
      </w:r>
      <w:r>
        <w:rPr>
          <w:rFonts w:ascii="宋体" w:hAnsi="宋体" w:eastAsia="宋体" w:cs="宋体"/>
          <w:color w:val="auto"/>
          <w:spacing w:val="-3"/>
          <w:lang w:eastAsia="zh-CN"/>
        </w:rPr>
        <w:t>有通过其他不正当渠道获取招标文件。</w:t>
      </w:r>
    </w:p>
    <w:p w14:paraId="39CEE42E">
      <w:pPr>
        <w:spacing w:before="189" w:line="303" w:lineRule="auto"/>
        <w:ind w:left="1703" w:right="1799" w:firstLine="438"/>
        <w:rPr>
          <w:rFonts w:ascii="宋体" w:hAnsi="宋体" w:eastAsia="宋体" w:cs="宋体"/>
          <w:color w:val="auto"/>
          <w:lang w:eastAsia="zh-CN"/>
        </w:rPr>
      </w:pPr>
      <w:r>
        <w:rPr>
          <w:rFonts w:ascii="宋体" w:hAnsi="宋体" w:eastAsia="宋体" w:cs="宋体"/>
          <w:color w:val="auto"/>
          <w:spacing w:val="-5"/>
          <w:lang w:eastAsia="zh-CN"/>
        </w:rPr>
        <w:t>四、我单位承诺投标文件由本单位员工独立编制，严</w:t>
      </w:r>
      <w:r>
        <w:rPr>
          <w:rFonts w:ascii="宋体" w:hAnsi="宋体" w:eastAsia="宋体" w:cs="宋体"/>
          <w:color w:val="auto"/>
          <w:spacing w:val="-6"/>
          <w:lang w:eastAsia="zh-CN"/>
        </w:rPr>
        <w:t>格遵守保密义务。所提供的一切投</w:t>
      </w:r>
      <w:r>
        <w:rPr>
          <w:rFonts w:ascii="宋体" w:hAnsi="宋体" w:eastAsia="宋体" w:cs="宋体"/>
          <w:color w:val="auto"/>
          <w:spacing w:val="-3"/>
          <w:lang w:eastAsia="zh-CN"/>
        </w:rPr>
        <w:t>标相关材料都是真实、有效、合法的。</w:t>
      </w:r>
    </w:p>
    <w:p w14:paraId="7E3698DC">
      <w:pPr>
        <w:spacing w:before="189" w:line="304" w:lineRule="auto"/>
        <w:ind w:left="1702" w:right="1799" w:firstLine="423"/>
        <w:rPr>
          <w:rFonts w:ascii="宋体" w:hAnsi="宋体" w:eastAsia="宋体" w:cs="宋体"/>
          <w:color w:val="auto"/>
          <w:lang w:eastAsia="zh-CN"/>
        </w:rPr>
      </w:pPr>
      <w:r>
        <w:rPr>
          <w:rFonts w:ascii="宋体" w:hAnsi="宋体" w:eastAsia="宋体" w:cs="宋体"/>
          <w:color w:val="auto"/>
          <w:spacing w:val="-5"/>
          <w:lang w:eastAsia="zh-CN"/>
        </w:rPr>
        <w:t>五、我单位不与其他投标人相互串通投标报价，不恶意压低或抬高投标报价，不排挤其</w:t>
      </w:r>
      <w:r>
        <w:rPr>
          <w:rFonts w:ascii="宋体" w:hAnsi="宋体" w:eastAsia="宋体" w:cs="宋体"/>
          <w:color w:val="auto"/>
          <w:spacing w:val="-2"/>
          <w:lang w:eastAsia="zh-CN"/>
        </w:rPr>
        <w:t>他投标人的公平竞争，不损害招标人或其他投标人的合法权益。</w:t>
      </w:r>
    </w:p>
    <w:p w14:paraId="0F78059A">
      <w:pPr>
        <w:spacing w:before="189" w:line="304" w:lineRule="auto"/>
        <w:ind w:left="1703" w:right="1799" w:firstLine="420"/>
        <w:rPr>
          <w:rFonts w:ascii="宋体" w:hAnsi="宋体" w:eastAsia="宋体" w:cs="宋体"/>
          <w:color w:val="auto"/>
          <w:lang w:eastAsia="zh-CN"/>
        </w:rPr>
      </w:pPr>
      <w:r>
        <w:rPr>
          <w:rFonts w:ascii="宋体" w:hAnsi="宋体" w:eastAsia="宋体" w:cs="宋体"/>
          <w:color w:val="auto"/>
          <w:spacing w:val="-5"/>
          <w:lang w:eastAsia="zh-CN"/>
        </w:rPr>
        <w:t>六、我单位不与招标人或招标代理机构串通投标，损害国家利益、社会公共利益或者他人的合法权益。</w:t>
      </w:r>
    </w:p>
    <w:p w14:paraId="326453CF">
      <w:pPr>
        <w:spacing w:before="189" w:line="304" w:lineRule="auto"/>
        <w:ind w:left="1704" w:right="1800" w:firstLine="416"/>
        <w:rPr>
          <w:rFonts w:ascii="宋体" w:hAnsi="宋体" w:eastAsia="宋体" w:cs="宋体"/>
          <w:color w:val="auto"/>
          <w:lang w:eastAsia="zh-CN"/>
        </w:rPr>
      </w:pPr>
      <w:r>
        <w:rPr>
          <w:rFonts w:ascii="宋体" w:hAnsi="宋体" w:eastAsia="宋体" w:cs="宋体"/>
          <w:color w:val="auto"/>
          <w:spacing w:val="-4"/>
          <w:lang w:eastAsia="zh-CN"/>
        </w:rPr>
        <w:t>七、我单位不向招标人或者评标委员会成员行贿以牟取中标，不在开标后进行</w:t>
      </w:r>
      <w:r>
        <w:rPr>
          <w:rFonts w:ascii="宋体" w:hAnsi="宋体" w:eastAsia="宋体" w:cs="宋体"/>
          <w:color w:val="auto"/>
          <w:spacing w:val="-5"/>
          <w:lang w:eastAsia="zh-CN"/>
        </w:rPr>
        <w:t>虚假恶意</w:t>
      </w:r>
      <w:r>
        <w:rPr>
          <w:rFonts w:ascii="宋体" w:hAnsi="宋体" w:eastAsia="宋体" w:cs="宋体"/>
          <w:color w:val="auto"/>
          <w:spacing w:val="-9"/>
          <w:lang w:eastAsia="zh-CN"/>
        </w:rPr>
        <w:t>投诉。</w:t>
      </w:r>
    </w:p>
    <w:p w14:paraId="1E96D291">
      <w:pPr>
        <w:spacing w:before="189" w:line="345" w:lineRule="auto"/>
        <w:ind w:left="1703" w:right="1635" w:firstLine="422"/>
        <w:rPr>
          <w:rFonts w:ascii="宋体" w:hAnsi="宋体" w:eastAsia="宋体" w:cs="宋体"/>
          <w:color w:val="auto"/>
          <w:lang w:eastAsia="zh-CN"/>
        </w:rPr>
      </w:pPr>
      <w:r>
        <w:rPr>
          <w:rFonts w:ascii="宋体" w:hAnsi="宋体" w:eastAsia="宋体" w:cs="宋体"/>
          <w:color w:val="auto"/>
          <w:spacing w:val="-3"/>
          <w:lang w:eastAsia="zh-CN"/>
        </w:rPr>
        <w:t>八、我单位和我个人清楚并知晓《中华人民共和国刑法》第二百二十三条“投标人相互串通投标报价，损害招标人或者其他投标人利益，情节严重的，处三年以下有期徒刑或者拘</w:t>
      </w:r>
      <w:r>
        <w:rPr>
          <w:rFonts w:ascii="宋体" w:hAnsi="宋体" w:eastAsia="宋体" w:cs="宋体"/>
          <w:color w:val="auto"/>
          <w:spacing w:val="2"/>
          <w:lang w:eastAsia="zh-CN"/>
        </w:rPr>
        <w:t>役，并处或者单处罚金。投标人与招标人串通</w:t>
      </w:r>
      <w:r>
        <w:rPr>
          <w:rFonts w:ascii="宋体" w:hAnsi="宋体" w:eastAsia="宋体" w:cs="宋体"/>
          <w:color w:val="auto"/>
          <w:spacing w:val="1"/>
          <w:lang w:eastAsia="zh-CN"/>
        </w:rPr>
        <w:t>投标，损害国家、集体、公民的合法利益的，</w:t>
      </w:r>
      <w:r>
        <w:rPr>
          <w:rFonts w:ascii="宋体" w:hAnsi="宋体" w:eastAsia="宋体" w:cs="宋体"/>
          <w:color w:val="auto"/>
          <w:spacing w:val="-4"/>
          <w:lang w:eastAsia="zh-CN"/>
        </w:rPr>
        <w:t>依照前款的规定处罚”的规定。</w:t>
      </w:r>
    </w:p>
    <w:p w14:paraId="44F065D5">
      <w:pPr>
        <w:spacing w:before="190" w:line="303" w:lineRule="auto"/>
        <w:ind w:left="1703" w:right="1799" w:firstLine="423"/>
        <w:rPr>
          <w:rFonts w:ascii="宋体" w:hAnsi="宋体" w:eastAsia="宋体" w:cs="宋体"/>
          <w:color w:val="auto"/>
          <w:lang w:eastAsia="zh-CN"/>
        </w:rPr>
      </w:pPr>
      <w:r>
        <w:rPr>
          <w:rFonts w:ascii="宋体" w:hAnsi="宋体" w:eastAsia="宋体" w:cs="宋体"/>
          <w:color w:val="auto"/>
          <w:spacing w:val="-5"/>
          <w:lang w:eastAsia="zh-CN"/>
        </w:rPr>
        <w:t>九、我单位如在本项目招标投标活动评标工作中存在串通投标、弄虚作假等行为的，本</w:t>
      </w:r>
      <w:r>
        <w:rPr>
          <w:rFonts w:ascii="宋体" w:hAnsi="宋体" w:eastAsia="宋体" w:cs="宋体"/>
          <w:color w:val="auto"/>
          <w:spacing w:val="-1"/>
          <w:lang w:eastAsia="zh-CN"/>
        </w:rPr>
        <w:t>单位及本人自愿承担法律责任，接受相应刑事、纪律和行政处罚以及</w:t>
      </w:r>
      <w:r>
        <w:rPr>
          <w:rFonts w:ascii="宋体" w:hAnsi="宋体" w:eastAsia="宋体" w:cs="宋体"/>
          <w:color w:val="auto"/>
          <w:spacing w:val="-2"/>
          <w:lang w:eastAsia="zh-CN"/>
        </w:rPr>
        <w:t>失信惩戒。</w:t>
      </w:r>
    </w:p>
    <w:p w14:paraId="5DD1043F">
      <w:pPr>
        <w:spacing w:before="190" w:line="220" w:lineRule="auto"/>
        <w:ind w:left="2123"/>
        <w:rPr>
          <w:rFonts w:ascii="宋体" w:hAnsi="宋体" w:eastAsia="宋体" w:cs="宋体"/>
          <w:color w:val="auto"/>
          <w:lang w:eastAsia="zh-CN"/>
        </w:rPr>
      </w:pPr>
      <w:r>
        <w:rPr>
          <w:rFonts w:ascii="宋体" w:hAnsi="宋体" w:eastAsia="宋体" w:cs="宋体"/>
          <w:color w:val="auto"/>
          <w:spacing w:val="-1"/>
          <w:lang w:eastAsia="zh-CN"/>
        </w:rPr>
        <w:t>十、本承诺函由我单位盖章及法定代表人（授权委托人）签字（或盖章</w:t>
      </w:r>
      <w:r>
        <w:rPr>
          <w:rFonts w:ascii="宋体" w:hAnsi="宋体" w:eastAsia="宋体" w:cs="宋体"/>
          <w:color w:val="auto"/>
          <w:spacing w:val="-2"/>
          <w:lang w:eastAsia="zh-CN"/>
        </w:rPr>
        <w:t>）确认。</w:t>
      </w:r>
    </w:p>
    <w:p w14:paraId="7C28EF99">
      <w:pPr>
        <w:pStyle w:val="8"/>
        <w:spacing w:line="279" w:lineRule="auto"/>
        <w:rPr>
          <w:lang w:eastAsia="zh-CN"/>
        </w:rPr>
      </w:pPr>
    </w:p>
    <w:p w14:paraId="5E900CA2">
      <w:pPr>
        <w:pStyle w:val="8"/>
        <w:spacing w:line="279" w:lineRule="auto"/>
        <w:rPr>
          <w:lang w:eastAsia="zh-CN"/>
        </w:rPr>
      </w:pPr>
    </w:p>
    <w:p w14:paraId="681894F8">
      <w:pPr>
        <w:spacing w:before="68" w:line="220" w:lineRule="auto"/>
        <w:ind w:left="6847"/>
        <w:rPr>
          <w:rFonts w:ascii="宋体" w:hAnsi="宋体" w:eastAsia="宋体" w:cs="宋体"/>
          <w:color w:val="auto"/>
          <w:lang w:eastAsia="zh-CN"/>
        </w:rPr>
      </w:pPr>
      <w:r>
        <w:rPr>
          <w:rFonts w:ascii="宋体" w:hAnsi="宋体" w:eastAsia="宋体" w:cs="宋体"/>
          <w:color w:val="auto"/>
          <w:spacing w:val="-10"/>
          <w:lang w:eastAsia="zh-CN"/>
        </w:rPr>
        <w:t>承诺单位</w:t>
      </w:r>
      <w:r>
        <w:rPr>
          <w:rFonts w:ascii="宋体" w:hAnsi="宋体" w:eastAsia="宋体" w:cs="宋体"/>
          <w:color w:val="auto"/>
          <w:spacing w:val="-8"/>
          <w:lang w:eastAsia="zh-CN"/>
        </w:rPr>
        <w:t>：（</w:t>
      </w:r>
      <w:r>
        <w:rPr>
          <w:rFonts w:ascii="宋体" w:hAnsi="宋体" w:eastAsia="宋体" w:cs="宋体"/>
          <w:color w:val="auto"/>
          <w:spacing w:val="-10"/>
          <w:lang w:eastAsia="zh-CN"/>
        </w:rPr>
        <w:t>盖单位章）</w:t>
      </w:r>
    </w:p>
    <w:p w14:paraId="416E9B1A">
      <w:pPr>
        <w:spacing w:before="190" w:line="220" w:lineRule="auto"/>
        <w:ind w:left="5798"/>
        <w:rPr>
          <w:rFonts w:ascii="宋体" w:hAnsi="宋体" w:eastAsia="宋体" w:cs="宋体"/>
          <w:color w:val="auto"/>
          <w:lang w:eastAsia="zh-CN"/>
        </w:rPr>
      </w:pPr>
      <w:r>
        <w:rPr>
          <w:rFonts w:ascii="宋体" w:hAnsi="宋体" w:eastAsia="宋体" w:cs="宋体"/>
          <w:color w:val="auto"/>
          <w:spacing w:val="-5"/>
          <w:lang w:eastAsia="zh-CN"/>
        </w:rPr>
        <w:t>法定代表人或授权委托人</w:t>
      </w:r>
      <w:r>
        <w:rPr>
          <w:rFonts w:ascii="宋体" w:hAnsi="宋体" w:eastAsia="宋体" w:cs="宋体"/>
          <w:color w:val="auto"/>
          <w:spacing w:val="-13"/>
          <w:lang w:eastAsia="zh-CN"/>
        </w:rPr>
        <w:t>：（</w:t>
      </w:r>
      <w:r>
        <w:rPr>
          <w:rFonts w:ascii="宋体" w:hAnsi="宋体" w:eastAsia="宋体" w:cs="宋体"/>
          <w:color w:val="auto"/>
          <w:spacing w:val="-5"/>
          <w:lang w:eastAsia="zh-CN"/>
        </w:rPr>
        <w:t>签章）</w:t>
      </w:r>
    </w:p>
    <w:p w14:paraId="09895927">
      <w:pPr>
        <w:spacing w:before="191" w:line="220" w:lineRule="auto"/>
        <w:ind w:left="6170"/>
        <w:rPr>
          <w:rFonts w:ascii="宋体" w:hAnsi="宋体" w:eastAsia="宋体" w:cs="宋体"/>
          <w:color w:val="auto"/>
          <w:lang w:eastAsia="zh-CN"/>
        </w:rPr>
      </w:pPr>
      <w:r>
        <w:rPr>
          <w:rFonts w:ascii="宋体" w:hAnsi="宋体" w:eastAsia="宋体" w:cs="宋体"/>
          <w:color w:val="auto"/>
          <w:spacing w:val="-2"/>
          <w:lang w:eastAsia="zh-CN"/>
        </w:rPr>
        <w:t>承诺时间：     年月日</w:t>
      </w:r>
    </w:p>
    <w:p w14:paraId="4DC8CA2D">
      <w:pPr>
        <w:spacing w:line="220" w:lineRule="auto"/>
        <w:rPr>
          <w:rFonts w:ascii="宋体" w:hAnsi="宋体" w:eastAsia="宋体" w:cs="宋体"/>
          <w:color w:val="auto"/>
          <w:lang w:eastAsia="zh-CN"/>
        </w:rPr>
        <w:sectPr>
          <w:headerReference r:id="rId126" w:type="default"/>
          <w:footerReference r:id="rId127" w:type="default"/>
          <w:pgSz w:w="11906" w:h="16839"/>
          <w:pgMar w:top="400" w:right="0" w:bottom="1147" w:left="105" w:header="0" w:footer="987" w:gutter="0"/>
          <w:cols w:space="720" w:num="1"/>
        </w:sectPr>
      </w:pPr>
    </w:p>
    <w:p w14:paraId="4894A9BC">
      <w:pPr>
        <w:pStyle w:val="8"/>
        <w:spacing w:line="266" w:lineRule="auto"/>
        <w:rPr>
          <w:lang w:eastAsia="zh-CN"/>
        </w:rPr>
      </w:pPr>
    </w:p>
    <w:p w14:paraId="7DD1E0D3">
      <w:pPr>
        <w:pStyle w:val="8"/>
        <w:spacing w:line="266" w:lineRule="auto"/>
        <w:rPr>
          <w:lang w:eastAsia="zh-CN"/>
        </w:rPr>
      </w:pPr>
    </w:p>
    <w:p w14:paraId="75094886">
      <w:pPr>
        <w:pStyle w:val="8"/>
        <w:spacing w:line="266" w:lineRule="auto"/>
        <w:rPr>
          <w:lang w:eastAsia="zh-CN"/>
        </w:rPr>
      </w:pPr>
    </w:p>
    <w:p w14:paraId="7793578D">
      <w:pPr>
        <w:pStyle w:val="8"/>
        <w:spacing w:line="267" w:lineRule="auto"/>
        <w:rPr>
          <w:lang w:eastAsia="zh-CN"/>
        </w:rPr>
      </w:pPr>
    </w:p>
    <w:p w14:paraId="7BF7045C">
      <w:pPr>
        <w:pStyle w:val="8"/>
        <w:spacing w:line="267" w:lineRule="auto"/>
        <w:rPr>
          <w:lang w:eastAsia="zh-CN"/>
        </w:rPr>
      </w:pPr>
    </w:p>
    <w:p w14:paraId="75AB21C2">
      <w:pPr>
        <w:spacing w:before="91" w:line="221" w:lineRule="auto"/>
        <w:ind w:left="5036"/>
        <w:outlineLvl w:val="2"/>
        <w:rPr>
          <w:rFonts w:ascii="黑体" w:hAnsi="黑体" w:eastAsia="黑体" w:cs="黑体"/>
          <w:color w:val="auto"/>
          <w:sz w:val="28"/>
          <w:szCs w:val="28"/>
          <w:lang w:eastAsia="zh-CN"/>
        </w:rPr>
      </w:pPr>
      <w:bookmarkStart w:id="411" w:name="bookmark179"/>
      <w:bookmarkEnd w:id="411"/>
      <w:r>
        <w:rPr>
          <w:rFonts w:ascii="黑体" w:hAnsi="黑体" w:eastAsia="黑体" w:cs="黑体"/>
          <w:color w:val="auto"/>
          <w:spacing w:val="-9"/>
          <w:sz w:val="28"/>
          <w:szCs w:val="28"/>
          <w:lang w:eastAsia="zh-CN"/>
        </w:rPr>
        <w:t>（三）声明函</w:t>
      </w:r>
    </w:p>
    <w:p w14:paraId="6630F645">
      <w:pPr>
        <w:pStyle w:val="8"/>
        <w:spacing w:line="262" w:lineRule="auto"/>
        <w:rPr>
          <w:lang w:eastAsia="zh-CN"/>
        </w:rPr>
      </w:pPr>
    </w:p>
    <w:p w14:paraId="1BB612C1">
      <w:pPr>
        <w:pStyle w:val="8"/>
        <w:spacing w:line="263" w:lineRule="auto"/>
        <w:rPr>
          <w:lang w:eastAsia="zh-CN"/>
        </w:rPr>
      </w:pPr>
    </w:p>
    <w:p w14:paraId="550A5F59">
      <w:pPr>
        <w:spacing w:before="68" w:line="220" w:lineRule="auto"/>
        <w:ind w:left="2121"/>
        <w:rPr>
          <w:rFonts w:ascii="宋体" w:hAnsi="宋体" w:eastAsia="宋体" w:cs="宋体"/>
          <w:color w:val="auto"/>
          <w:lang w:eastAsia="zh-CN"/>
        </w:rPr>
      </w:pPr>
      <w:r>
        <w:rPr>
          <w:rFonts w:ascii="宋体" w:hAnsi="宋体" w:eastAsia="宋体" w:cs="宋体"/>
          <w:color w:val="auto"/>
          <w:spacing w:val="-3"/>
          <w:lang w:eastAsia="zh-CN"/>
        </w:rPr>
        <w:t>在本项目编制投标文件过程中，我单位声明如下：</w:t>
      </w:r>
    </w:p>
    <w:p w14:paraId="3F8D6516">
      <w:pPr>
        <w:spacing w:before="189" w:line="220" w:lineRule="auto"/>
        <w:ind w:left="2125"/>
        <w:rPr>
          <w:rFonts w:ascii="宋体" w:hAnsi="宋体" w:eastAsia="宋体" w:cs="宋体"/>
          <w:color w:val="auto"/>
          <w:lang w:eastAsia="zh-CN"/>
        </w:rPr>
      </w:pPr>
      <w:r>
        <w:rPr>
          <w:rFonts w:ascii="宋体" w:hAnsi="宋体" w:eastAsia="宋体" w:cs="宋体"/>
          <w:color w:val="auto"/>
          <w:spacing w:val="-2"/>
          <w:lang w:eastAsia="zh-CN"/>
        </w:rPr>
        <w:t>一、未与本标段其他投标人委托同一单位或同一人编制投标文件；</w:t>
      </w:r>
    </w:p>
    <w:p w14:paraId="7361DB07">
      <w:pPr>
        <w:spacing w:before="190" w:line="219" w:lineRule="auto"/>
        <w:ind w:left="2125"/>
        <w:rPr>
          <w:rFonts w:ascii="宋体" w:hAnsi="宋体" w:eastAsia="宋体" w:cs="宋体"/>
          <w:color w:val="auto"/>
          <w:lang w:eastAsia="zh-CN"/>
        </w:rPr>
      </w:pPr>
      <w:r>
        <w:rPr>
          <w:rFonts w:ascii="宋体" w:hAnsi="宋体" w:eastAsia="宋体" w:cs="宋体"/>
          <w:color w:val="auto"/>
          <w:spacing w:val="-3"/>
          <w:lang w:eastAsia="zh-CN"/>
        </w:rPr>
        <w:t>二、未与本标段其他投标人协商投标报价；</w:t>
      </w:r>
    </w:p>
    <w:p w14:paraId="64E99EB2">
      <w:pPr>
        <w:spacing w:before="190" w:line="220" w:lineRule="auto"/>
        <w:ind w:left="2122"/>
        <w:rPr>
          <w:rFonts w:ascii="宋体" w:hAnsi="宋体" w:eastAsia="宋体" w:cs="宋体"/>
          <w:color w:val="auto"/>
          <w:lang w:eastAsia="zh-CN"/>
        </w:rPr>
      </w:pPr>
      <w:r>
        <w:rPr>
          <w:rFonts w:ascii="宋体" w:hAnsi="宋体" w:eastAsia="宋体" w:cs="宋体"/>
          <w:color w:val="auto"/>
          <w:spacing w:val="-2"/>
          <w:lang w:eastAsia="zh-CN"/>
        </w:rPr>
        <w:t>三、未与本标段其他投标人使用同一电脑等电子设备编制投标文件；</w:t>
      </w:r>
    </w:p>
    <w:p w14:paraId="2C723228">
      <w:pPr>
        <w:spacing w:before="189" w:line="220" w:lineRule="auto"/>
        <w:ind w:left="2142"/>
        <w:rPr>
          <w:rFonts w:ascii="宋体" w:hAnsi="宋体" w:eastAsia="宋体" w:cs="宋体"/>
          <w:color w:val="auto"/>
          <w:lang w:eastAsia="zh-CN"/>
        </w:rPr>
      </w:pPr>
      <w:r>
        <w:rPr>
          <w:rFonts w:ascii="宋体" w:hAnsi="宋体" w:eastAsia="宋体" w:cs="宋体"/>
          <w:color w:val="auto"/>
          <w:spacing w:val="-3"/>
          <w:lang w:eastAsia="zh-CN"/>
        </w:rPr>
        <w:t>四、未使用“网络虚拟设备”等无法识别电子设备归属的电脑编制投标文件；</w:t>
      </w:r>
    </w:p>
    <w:p w14:paraId="78E58E9A">
      <w:pPr>
        <w:spacing w:before="191" w:line="331" w:lineRule="auto"/>
        <w:ind w:left="1702" w:right="1890" w:firstLine="423"/>
        <w:rPr>
          <w:rFonts w:ascii="宋体" w:hAnsi="宋体" w:eastAsia="宋体" w:cs="宋体"/>
          <w:color w:val="auto"/>
          <w:lang w:eastAsia="zh-CN"/>
        </w:rPr>
      </w:pPr>
      <w:r>
        <w:rPr>
          <w:rFonts w:ascii="宋体" w:hAnsi="宋体" w:eastAsia="宋体" w:cs="宋体"/>
          <w:color w:val="auto"/>
          <w:lang w:eastAsia="zh-CN"/>
        </w:rPr>
        <w:t>五、本项目技术标（技术规格和技术标准）是针对本项目现场实际、技术特点以及施工图纸而编制的相应的技术方案，在编制过程中未抄袭、摘抄网络或其他项目相关技术资</w:t>
      </w:r>
      <w:r>
        <w:rPr>
          <w:rFonts w:ascii="宋体" w:hAnsi="宋体" w:eastAsia="宋体" w:cs="宋体"/>
          <w:color w:val="auto"/>
          <w:spacing w:val="-3"/>
          <w:lang w:eastAsia="zh-CN"/>
        </w:rPr>
        <w:t>料，对文件内容具有独立自主知识产权；</w:t>
      </w:r>
    </w:p>
    <w:p w14:paraId="7B2F4669">
      <w:pPr>
        <w:spacing w:before="189" w:line="303" w:lineRule="auto"/>
        <w:ind w:left="1716" w:right="1890" w:firstLine="406"/>
        <w:rPr>
          <w:rFonts w:ascii="宋体" w:hAnsi="宋体" w:eastAsia="宋体" w:cs="宋体"/>
          <w:color w:val="auto"/>
          <w:lang w:eastAsia="zh-CN"/>
        </w:rPr>
      </w:pPr>
      <w:r>
        <w:rPr>
          <w:rFonts w:ascii="宋体" w:hAnsi="宋体" w:eastAsia="宋体" w:cs="宋体"/>
          <w:color w:val="auto"/>
          <w:lang w:eastAsia="zh-CN"/>
        </w:rPr>
        <w:t>六、本项目经济标（投标报价）是依据本项目给定的图纸、最高投标限价以及现场实</w:t>
      </w:r>
      <w:r>
        <w:rPr>
          <w:rFonts w:ascii="宋体" w:hAnsi="宋体" w:eastAsia="宋体" w:cs="宋体"/>
          <w:color w:val="auto"/>
          <w:spacing w:val="-3"/>
          <w:lang w:eastAsia="zh-CN"/>
        </w:rPr>
        <w:t>际独立编制的，对投标报价编制的完整性、准确性负责；</w:t>
      </w:r>
    </w:p>
    <w:p w14:paraId="6BEDC431">
      <w:pPr>
        <w:spacing w:before="192" w:line="331" w:lineRule="auto"/>
        <w:ind w:left="1703" w:right="1890" w:firstLine="418"/>
        <w:rPr>
          <w:rFonts w:ascii="宋体" w:hAnsi="宋体" w:eastAsia="宋体" w:cs="宋体"/>
          <w:color w:val="auto"/>
          <w:lang w:eastAsia="zh-CN"/>
        </w:rPr>
      </w:pPr>
      <w:r>
        <w:rPr>
          <w:rFonts w:ascii="宋体" w:hAnsi="宋体" w:eastAsia="宋体" w:cs="宋体"/>
          <w:color w:val="auto"/>
          <w:lang w:eastAsia="zh-CN"/>
        </w:rPr>
        <w:t>七、本项目资信标提供的材料均为我单位真实、有效和完整的材料，不存在任何弄虚作假行为。投标文件所附的各类材料均为我单位提供相关材料和填写的内容在主体信息库</w:t>
      </w:r>
      <w:r>
        <w:rPr>
          <w:rFonts w:ascii="宋体" w:hAnsi="宋体" w:eastAsia="宋体" w:cs="宋体"/>
          <w:color w:val="auto"/>
          <w:spacing w:val="-1"/>
          <w:lang w:eastAsia="zh-CN"/>
        </w:rPr>
        <w:t>依据规则生成，我单位已对材料进行确认，并认可提供材料的有效性、真实性和完整性。</w:t>
      </w:r>
    </w:p>
    <w:p w14:paraId="032FF9BE">
      <w:pPr>
        <w:spacing w:before="189" w:line="387" w:lineRule="auto"/>
        <w:ind w:left="1701" w:right="1890" w:firstLine="422"/>
        <w:jc w:val="both"/>
        <w:rPr>
          <w:rFonts w:ascii="宋体" w:hAnsi="宋体" w:eastAsia="宋体" w:cs="宋体"/>
          <w:color w:val="auto"/>
          <w:lang w:eastAsia="zh-CN"/>
        </w:rPr>
      </w:pPr>
      <w:r>
        <w:rPr>
          <w:rFonts w:ascii="宋体" w:hAnsi="宋体" w:eastAsia="宋体" w:cs="宋体"/>
          <w:color w:val="auto"/>
          <w:lang w:eastAsia="zh-CN"/>
        </w:rPr>
        <w:t>我单位对以上声明内容完全负责，如违反以上任一款，评标委员会有权依据招标文件相应条款否决我单位投标文件，招标人有权依据相关法律不接受我单位投标并没收我单</w:t>
      </w:r>
      <w:r>
        <w:rPr>
          <w:rFonts w:ascii="宋体" w:hAnsi="宋体" w:eastAsia="宋体" w:cs="宋体"/>
          <w:color w:val="auto"/>
          <w:spacing w:val="-1"/>
          <w:lang w:eastAsia="zh-CN"/>
        </w:rPr>
        <w:t>位投标保证金，由此造成的一切法律责任和经济损失我单位均</w:t>
      </w:r>
      <w:r>
        <w:rPr>
          <w:rFonts w:ascii="宋体" w:hAnsi="宋体" w:eastAsia="宋体" w:cs="宋体"/>
          <w:color w:val="auto"/>
          <w:spacing w:val="-2"/>
          <w:lang w:eastAsia="zh-CN"/>
        </w:rPr>
        <w:t>予以承担。</w:t>
      </w:r>
    </w:p>
    <w:p w14:paraId="5309983A">
      <w:pPr>
        <w:spacing w:before="1" w:line="220" w:lineRule="auto"/>
        <w:ind w:left="2122"/>
        <w:rPr>
          <w:rFonts w:ascii="宋体" w:hAnsi="宋体" w:eastAsia="宋体" w:cs="宋体"/>
          <w:color w:val="auto"/>
          <w:lang w:eastAsia="zh-CN"/>
        </w:rPr>
      </w:pPr>
      <w:r>
        <w:rPr>
          <w:rFonts w:ascii="宋体" w:hAnsi="宋体" w:eastAsia="宋体" w:cs="宋体"/>
          <w:color w:val="auto"/>
          <w:spacing w:val="-6"/>
          <w:lang w:eastAsia="zh-CN"/>
        </w:rPr>
        <w:t>特此声明！</w:t>
      </w:r>
    </w:p>
    <w:p w14:paraId="54481717">
      <w:pPr>
        <w:pStyle w:val="8"/>
        <w:spacing w:line="286" w:lineRule="auto"/>
        <w:rPr>
          <w:lang w:eastAsia="zh-CN"/>
        </w:rPr>
      </w:pPr>
    </w:p>
    <w:p w14:paraId="727D6210">
      <w:pPr>
        <w:pStyle w:val="8"/>
        <w:spacing w:line="286" w:lineRule="auto"/>
        <w:rPr>
          <w:lang w:eastAsia="zh-CN"/>
        </w:rPr>
      </w:pPr>
    </w:p>
    <w:p w14:paraId="5EAE80BF">
      <w:pPr>
        <w:pStyle w:val="8"/>
        <w:spacing w:line="286" w:lineRule="auto"/>
        <w:rPr>
          <w:lang w:eastAsia="zh-CN"/>
        </w:rPr>
      </w:pPr>
    </w:p>
    <w:p w14:paraId="668428C9">
      <w:pPr>
        <w:pStyle w:val="8"/>
        <w:spacing w:line="286" w:lineRule="auto"/>
        <w:rPr>
          <w:lang w:eastAsia="zh-CN"/>
        </w:rPr>
      </w:pPr>
    </w:p>
    <w:p w14:paraId="021C56D3">
      <w:pPr>
        <w:pStyle w:val="8"/>
        <w:spacing w:line="287" w:lineRule="auto"/>
        <w:rPr>
          <w:lang w:eastAsia="zh-CN"/>
        </w:rPr>
      </w:pPr>
    </w:p>
    <w:p w14:paraId="3B7D9842">
      <w:pPr>
        <w:spacing w:before="69" w:line="220" w:lineRule="auto"/>
        <w:ind w:left="5801"/>
        <w:rPr>
          <w:rFonts w:ascii="宋体" w:hAnsi="宋体" w:eastAsia="宋体" w:cs="宋体"/>
          <w:color w:val="auto"/>
          <w:lang w:eastAsia="zh-CN"/>
        </w:rPr>
      </w:pPr>
      <w:r>
        <w:rPr>
          <w:rFonts w:ascii="宋体" w:hAnsi="宋体" w:eastAsia="宋体" w:cs="宋体"/>
          <w:color w:val="auto"/>
          <w:spacing w:val="-10"/>
          <w:lang w:eastAsia="zh-CN"/>
        </w:rPr>
        <w:t>声明单位</w:t>
      </w:r>
      <w:r>
        <w:rPr>
          <w:rFonts w:ascii="宋体" w:hAnsi="宋体" w:eastAsia="宋体" w:cs="宋体"/>
          <w:color w:val="auto"/>
          <w:spacing w:val="-11"/>
          <w:lang w:eastAsia="zh-CN"/>
        </w:rPr>
        <w:t>：（</w:t>
      </w:r>
      <w:r>
        <w:rPr>
          <w:rFonts w:ascii="宋体" w:hAnsi="宋体" w:eastAsia="宋体" w:cs="宋体"/>
          <w:color w:val="auto"/>
          <w:spacing w:val="-10"/>
          <w:lang w:eastAsia="zh-CN"/>
        </w:rPr>
        <w:t>盖单位章）</w:t>
      </w:r>
    </w:p>
    <w:p w14:paraId="0C456040">
      <w:pPr>
        <w:spacing w:before="189" w:line="220" w:lineRule="auto"/>
        <w:ind w:left="5798"/>
        <w:rPr>
          <w:rFonts w:ascii="宋体" w:hAnsi="宋体" w:eastAsia="宋体" w:cs="宋体"/>
          <w:color w:val="auto"/>
          <w:lang w:eastAsia="zh-CN"/>
        </w:rPr>
      </w:pPr>
      <w:r>
        <w:rPr>
          <w:rFonts w:ascii="宋体" w:hAnsi="宋体" w:eastAsia="宋体" w:cs="宋体"/>
          <w:color w:val="auto"/>
          <w:spacing w:val="-5"/>
          <w:lang w:eastAsia="zh-CN"/>
        </w:rPr>
        <w:t>法定代表人或授权委托人</w:t>
      </w:r>
      <w:r>
        <w:rPr>
          <w:rFonts w:ascii="宋体" w:hAnsi="宋体" w:eastAsia="宋体" w:cs="宋体"/>
          <w:color w:val="auto"/>
          <w:spacing w:val="-13"/>
          <w:lang w:eastAsia="zh-CN"/>
        </w:rPr>
        <w:t>：（</w:t>
      </w:r>
      <w:r>
        <w:rPr>
          <w:rFonts w:ascii="宋体" w:hAnsi="宋体" w:eastAsia="宋体" w:cs="宋体"/>
          <w:color w:val="auto"/>
          <w:spacing w:val="-5"/>
          <w:lang w:eastAsia="zh-CN"/>
        </w:rPr>
        <w:t>签章）</w:t>
      </w:r>
    </w:p>
    <w:p w14:paraId="0AB3AFD2">
      <w:pPr>
        <w:spacing w:before="191" w:line="220" w:lineRule="auto"/>
        <w:ind w:left="5859"/>
        <w:rPr>
          <w:rFonts w:ascii="宋体" w:hAnsi="宋体" w:eastAsia="宋体" w:cs="宋体"/>
          <w:color w:val="auto"/>
          <w:lang w:eastAsia="zh-CN"/>
        </w:rPr>
      </w:pPr>
      <w:r>
        <w:rPr>
          <w:rFonts w:ascii="宋体" w:hAnsi="宋体" w:eastAsia="宋体" w:cs="宋体"/>
          <w:color w:val="auto"/>
          <w:spacing w:val="-2"/>
          <w:lang w:eastAsia="zh-CN"/>
        </w:rPr>
        <w:t>声明时间：     年月日</w:t>
      </w:r>
    </w:p>
    <w:p w14:paraId="4DCBA8B4">
      <w:pPr>
        <w:spacing w:line="220" w:lineRule="auto"/>
        <w:rPr>
          <w:rFonts w:ascii="宋体" w:hAnsi="宋体" w:eastAsia="宋体" w:cs="宋体"/>
          <w:color w:val="auto"/>
          <w:lang w:eastAsia="zh-CN"/>
        </w:rPr>
        <w:sectPr>
          <w:headerReference r:id="rId128" w:type="default"/>
          <w:footerReference r:id="rId129" w:type="default"/>
          <w:pgSz w:w="11906" w:h="16839"/>
          <w:pgMar w:top="400" w:right="0" w:bottom="1147" w:left="105" w:header="0" w:footer="987" w:gutter="0"/>
          <w:cols w:space="720" w:num="1"/>
        </w:sectPr>
      </w:pPr>
    </w:p>
    <w:p w14:paraId="0149EEE4">
      <w:pPr>
        <w:pStyle w:val="8"/>
        <w:spacing w:line="248" w:lineRule="auto"/>
        <w:rPr>
          <w:lang w:eastAsia="zh-CN"/>
        </w:rPr>
      </w:pPr>
    </w:p>
    <w:p w14:paraId="59542809">
      <w:pPr>
        <w:pStyle w:val="8"/>
        <w:spacing w:line="248" w:lineRule="auto"/>
        <w:rPr>
          <w:lang w:eastAsia="zh-CN"/>
        </w:rPr>
      </w:pPr>
    </w:p>
    <w:p w14:paraId="533A779D">
      <w:pPr>
        <w:pStyle w:val="8"/>
        <w:spacing w:line="248" w:lineRule="auto"/>
        <w:rPr>
          <w:lang w:eastAsia="zh-CN"/>
        </w:rPr>
      </w:pPr>
    </w:p>
    <w:p w14:paraId="1D5C7556">
      <w:pPr>
        <w:pStyle w:val="8"/>
        <w:spacing w:line="248" w:lineRule="auto"/>
        <w:rPr>
          <w:lang w:eastAsia="zh-CN"/>
        </w:rPr>
      </w:pPr>
    </w:p>
    <w:p w14:paraId="30CB07F3">
      <w:pPr>
        <w:pStyle w:val="8"/>
        <w:spacing w:line="248" w:lineRule="auto"/>
        <w:rPr>
          <w:lang w:eastAsia="zh-CN"/>
        </w:rPr>
      </w:pPr>
    </w:p>
    <w:p w14:paraId="6A1EF3D1">
      <w:pPr>
        <w:pStyle w:val="8"/>
        <w:spacing w:line="248" w:lineRule="auto"/>
        <w:rPr>
          <w:lang w:eastAsia="zh-CN"/>
        </w:rPr>
      </w:pPr>
    </w:p>
    <w:p w14:paraId="13DB6845">
      <w:pPr>
        <w:pStyle w:val="8"/>
        <w:spacing w:line="248" w:lineRule="auto"/>
        <w:rPr>
          <w:lang w:eastAsia="zh-CN"/>
        </w:rPr>
      </w:pPr>
    </w:p>
    <w:p w14:paraId="5079F4CA">
      <w:pPr>
        <w:pStyle w:val="8"/>
        <w:spacing w:line="248" w:lineRule="auto"/>
        <w:rPr>
          <w:lang w:eastAsia="zh-CN"/>
        </w:rPr>
      </w:pPr>
    </w:p>
    <w:p w14:paraId="4B2F54AF">
      <w:pPr>
        <w:pStyle w:val="8"/>
        <w:spacing w:line="248" w:lineRule="auto"/>
        <w:rPr>
          <w:lang w:eastAsia="zh-CN"/>
        </w:rPr>
      </w:pPr>
    </w:p>
    <w:p w14:paraId="5CF8A7F0">
      <w:pPr>
        <w:pStyle w:val="8"/>
        <w:spacing w:line="248" w:lineRule="auto"/>
        <w:rPr>
          <w:lang w:eastAsia="zh-CN"/>
        </w:rPr>
      </w:pPr>
    </w:p>
    <w:p w14:paraId="25306582">
      <w:pPr>
        <w:pStyle w:val="8"/>
        <w:spacing w:line="248" w:lineRule="auto"/>
        <w:rPr>
          <w:lang w:eastAsia="zh-CN"/>
        </w:rPr>
      </w:pPr>
    </w:p>
    <w:p w14:paraId="5C3A6C74">
      <w:pPr>
        <w:pStyle w:val="8"/>
        <w:spacing w:line="248" w:lineRule="auto"/>
        <w:rPr>
          <w:lang w:eastAsia="zh-CN"/>
        </w:rPr>
      </w:pPr>
    </w:p>
    <w:p w14:paraId="0B415BE6">
      <w:pPr>
        <w:pStyle w:val="8"/>
        <w:spacing w:line="248" w:lineRule="auto"/>
        <w:rPr>
          <w:lang w:eastAsia="zh-CN"/>
        </w:rPr>
      </w:pPr>
    </w:p>
    <w:p w14:paraId="23E1610E">
      <w:pPr>
        <w:pStyle w:val="8"/>
        <w:spacing w:line="248" w:lineRule="auto"/>
        <w:rPr>
          <w:lang w:eastAsia="zh-CN"/>
        </w:rPr>
      </w:pPr>
    </w:p>
    <w:p w14:paraId="797D9975">
      <w:pPr>
        <w:pStyle w:val="8"/>
        <w:spacing w:line="248" w:lineRule="auto"/>
        <w:rPr>
          <w:lang w:eastAsia="zh-CN"/>
        </w:rPr>
      </w:pPr>
    </w:p>
    <w:p w14:paraId="5F37F730">
      <w:pPr>
        <w:pStyle w:val="8"/>
        <w:spacing w:line="248" w:lineRule="auto"/>
        <w:rPr>
          <w:lang w:eastAsia="zh-CN"/>
        </w:rPr>
      </w:pPr>
    </w:p>
    <w:p w14:paraId="3638368D">
      <w:pPr>
        <w:pStyle w:val="8"/>
        <w:spacing w:line="249" w:lineRule="auto"/>
        <w:rPr>
          <w:lang w:eastAsia="zh-CN"/>
        </w:rPr>
      </w:pPr>
    </w:p>
    <w:p w14:paraId="15EBF05D">
      <w:pPr>
        <w:pStyle w:val="8"/>
        <w:spacing w:line="249" w:lineRule="auto"/>
        <w:rPr>
          <w:lang w:eastAsia="zh-CN"/>
        </w:rPr>
      </w:pPr>
    </w:p>
    <w:p w14:paraId="57B26945">
      <w:pPr>
        <w:pStyle w:val="8"/>
        <w:spacing w:line="249" w:lineRule="auto"/>
        <w:rPr>
          <w:lang w:eastAsia="zh-CN"/>
        </w:rPr>
      </w:pPr>
    </w:p>
    <w:p w14:paraId="11B2FD72">
      <w:pPr>
        <w:pStyle w:val="8"/>
        <w:spacing w:line="249" w:lineRule="auto"/>
        <w:rPr>
          <w:lang w:eastAsia="zh-CN"/>
        </w:rPr>
      </w:pPr>
    </w:p>
    <w:p w14:paraId="182B8973">
      <w:pPr>
        <w:pStyle w:val="8"/>
        <w:spacing w:line="249" w:lineRule="auto"/>
        <w:rPr>
          <w:lang w:eastAsia="zh-CN"/>
        </w:rPr>
      </w:pPr>
    </w:p>
    <w:p w14:paraId="2A3479F5">
      <w:pPr>
        <w:pStyle w:val="8"/>
        <w:spacing w:line="249" w:lineRule="auto"/>
        <w:rPr>
          <w:lang w:eastAsia="zh-CN"/>
        </w:rPr>
      </w:pPr>
    </w:p>
    <w:p w14:paraId="6812E127">
      <w:pPr>
        <w:spacing w:before="91" w:line="221" w:lineRule="auto"/>
        <w:ind w:left="3482"/>
        <w:outlineLvl w:val="1"/>
        <w:rPr>
          <w:rFonts w:ascii="黑体" w:hAnsi="黑体" w:eastAsia="黑体" w:cs="黑体"/>
          <w:color w:val="auto"/>
          <w:sz w:val="28"/>
          <w:szCs w:val="28"/>
          <w:lang w:eastAsia="zh-CN"/>
        </w:rPr>
      </w:pPr>
      <w:bookmarkStart w:id="412" w:name="bookmark180"/>
      <w:bookmarkEnd w:id="412"/>
      <w:bookmarkStart w:id="413" w:name="_Toc427"/>
      <w:bookmarkStart w:id="414" w:name="_Toc6817"/>
      <w:bookmarkStart w:id="415" w:name="_Toc10734"/>
      <w:bookmarkStart w:id="416" w:name="_Toc21454"/>
      <w:bookmarkStart w:id="417" w:name="_Toc31679"/>
      <w:bookmarkStart w:id="418" w:name="_Toc14745"/>
      <w:r>
        <w:rPr>
          <w:rFonts w:ascii="黑体" w:hAnsi="黑体" w:eastAsia="黑体" w:cs="黑体"/>
          <w:color w:val="auto"/>
          <w:spacing w:val="-1"/>
          <w:sz w:val="28"/>
          <w:szCs w:val="28"/>
          <w:lang w:eastAsia="zh-CN"/>
        </w:rPr>
        <w:t>二、法定代表人身份证明或授权委托书</w:t>
      </w:r>
      <w:bookmarkEnd w:id="413"/>
      <w:bookmarkEnd w:id="414"/>
      <w:bookmarkEnd w:id="415"/>
      <w:bookmarkEnd w:id="416"/>
      <w:bookmarkEnd w:id="417"/>
      <w:bookmarkEnd w:id="418"/>
    </w:p>
    <w:p w14:paraId="2C6FF7FE">
      <w:pPr>
        <w:spacing w:line="221" w:lineRule="auto"/>
        <w:rPr>
          <w:rFonts w:ascii="黑体" w:hAnsi="黑体" w:eastAsia="黑体" w:cs="黑体"/>
          <w:color w:val="auto"/>
          <w:sz w:val="28"/>
          <w:szCs w:val="28"/>
          <w:lang w:eastAsia="zh-CN"/>
        </w:rPr>
        <w:sectPr>
          <w:headerReference r:id="rId130" w:type="default"/>
          <w:footerReference r:id="rId131" w:type="default"/>
          <w:pgSz w:w="11906" w:h="16839"/>
          <w:pgMar w:top="400" w:right="0" w:bottom="1147" w:left="105" w:header="0" w:footer="987" w:gutter="0"/>
          <w:cols w:space="720" w:num="1"/>
        </w:sectPr>
      </w:pPr>
    </w:p>
    <w:p w14:paraId="44DD8C40">
      <w:pPr>
        <w:pStyle w:val="8"/>
        <w:spacing w:line="266" w:lineRule="auto"/>
        <w:rPr>
          <w:lang w:eastAsia="zh-CN"/>
        </w:rPr>
      </w:pPr>
    </w:p>
    <w:p w14:paraId="4CFC6251">
      <w:pPr>
        <w:pStyle w:val="8"/>
        <w:spacing w:line="266" w:lineRule="auto"/>
        <w:rPr>
          <w:lang w:eastAsia="zh-CN"/>
        </w:rPr>
      </w:pPr>
    </w:p>
    <w:p w14:paraId="27EB5FFD">
      <w:pPr>
        <w:pStyle w:val="8"/>
        <w:spacing w:line="266" w:lineRule="auto"/>
        <w:rPr>
          <w:lang w:eastAsia="zh-CN"/>
        </w:rPr>
      </w:pPr>
    </w:p>
    <w:p w14:paraId="2F019E3E">
      <w:pPr>
        <w:pStyle w:val="8"/>
        <w:spacing w:line="267" w:lineRule="auto"/>
        <w:rPr>
          <w:lang w:eastAsia="zh-CN"/>
        </w:rPr>
      </w:pPr>
    </w:p>
    <w:p w14:paraId="02FD9EAF">
      <w:pPr>
        <w:pStyle w:val="8"/>
        <w:spacing w:line="267" w:lineRule="auto"/>
        <w:rPr>
          <w:lang w:eastAsia="zh-CN"/>
        </w:rPr>
      </w:pPr>
    </w:p>
    <w:p w14:paraId="510607D9">
      <w:pPr>
        <w:spacing w:before="91" w:line="221" w:lineRule="auto"/>
        <w:ind w:left="4196"/>
        <w:outlineLvl w:val="2"/>
        <w:rPr>
          <w:rFonts w:ascii="黑体" w:hAnsi="黑体" w:eastAsia="黑体" w:cs="黑体"/>
          <w:color w:val="auto"/>
          <w:sz w:val="28"/>
          <w:szCs w:val="28"/>
          <w:lang w:eastAsia="zh-CN"/>
        </w:rPr>
      </w:pPr>
      <w:bookmarkStart w:id="419" w:name="bookmark181"/>
      <w:bookmarkEnd w:id="419"/>
      <w:r>
        <w:rPr>
          <w:rFonts w:ascii="黑体" w:hAnsi="黑体" w:eastAsia="黑体" w:cs="黑体"/>
          <w:color w:val="auto"/>
          <w:spacing w:val="-5"/>
          <w:sz w:val="28"/>
          <w:szCs w:val="28"/>
          <w:lang w:eastAsia="zh-CN"/>
        </w:rPr>
        <w:t>（一）法定代表人身份证明</w:t>
      </w:r>
    </w:p>
    <w:p w14:paraId="4B454B06">
      <w:pPr>
        <w:pStyle w:val="8"/>
        <w:spacing w:line="446" w:lineRule="auto"/>
        <w:rPr>
          <w:lang w:eastAsia="zh-CN"/>
        </w:rPr>
      </w:pPr>
    </w:p>
    <w:p w14:paraId="48B8F415">
      <w:pPr>
        <w:spacing w:before="68" w:line="221" w:lineRule="auto"/>
        <w:ind w:left="1704"/>
        <w:rPr>
          <w:rFonts w:ascii="宋体" w:hAnsi="宋体" w:eastAsia="宋体" w:cs="宋体"/>
          <w:color w:val="auto"/>
          <w:lang w:eastAsia="zh-CN"/>
        </w:rPr>
      </w:pPr>
      <w:r>
        <w:rPr>
          <w:rFonts w:ascii="宋体" w:hAnsi="宋体" w:eastAsia="宋体" w:cs="宋体"/>
          <w:color w:val="auto"/>
          <w:spacing w:val="-8"/>
          <w:lang w:eastAsia="zh-CN"/>
        </w:rPr>
        <w:t>投标人：</w:t>
      </w:r>
    </w:p>
    <w:p w14:paraId="74800441">
      <w:pPr>
        <w:spacing w:before="248" w:line="221" w:lineRule="auto"/>
        <w:ind w:left="1703"/>
        <w:rPr>
          <w:rFonts w:ascii="宋体" w:hAnsi="宋体" w:eastAsia="宋体" w:cs="宋体"/>
          <w:color w:val="auto"/>
          <w:lang w:eastAsia="zh-CN"/>
        </w:rPr>
      </w:pPr>
      <w:r>
        <w:rPr>
          <w:rFonts w:ascii="宋体" w:hAnsi="宋体" w:eastAsia="宋体" w:cs="宋体"/>
          <w:color w:val="auto"/>
          <w:spacing w:val="-2"/>
          <w:lang w:eastAsia="zh-CN"/>
        </w:rPr>
        <w:t>单位性质：</w:t>
      </w:r>
    </w:p>
    <w:p w14:paraId="50AAB357">
      <w:pPr>
        <w:spacing w:before="248" w:line="230" w:lineRule="auto"/>
        <w:ind w:left="1702"/>
        <w:rPr>
          <w:rFonts w:ascii="宋体" w:hAnsi="宋体" w:eastAsia="宋体" w:cs="宋体"/>
          <w:color w:val="auto"/>
          <w:lang w:eastAsia="zh-CN"/>
        </w:rPr>
      </w:pPr>
      <w:r>
        <w:rPr>
          <w:rFonts w:ascii="宋体" w:hAnsi="宋体" w:eastAsia="宋体" w:cs="宋体"/>
          <w:color w:val="auto"/>
          <w:spacing w:val="-4"/>
          <w:lang w:eastAsia="zh-CN"/>
        </w:rPr>
        <w:t>地址：</w:t>
      </w:r>
    </w:p>
    <w:p w14:paraId="48C6EBFA">
      <w:pPr>
        <w:spacing w:before="239" w:line="220" w:lineRule="auto"/>
        <w:ind w:left="1703"/>
        <w:rPr>
          <w:rFonts w:ascii="宋体" w:hAnsi="宋体" w:eastAsia="宋体" w:cs="宋体"/>
          <w:color w:val="auto"/>
          <w:lang w:eastAsia="zh-CN"/>
        </w:rPr>
      </w:pPr>
      <w:r>
        <w:rPr>
          <w:rFonts w:ascii="宋体" w:hAnsi="宋体" w:eastAsia="宋体" w:cs="宋体"/>
          <w:color w:val="auto"/>
          <w:spacing w:val="-2"/>
          <w:lang w:eastAsia="zh-CN"/>
        </w:rPr>
        <w:t>成立时间：年月日</w:t>
      </w:r>
    </w:p>
    <w:p w14:paraId="483AB51B">
      <w:pPr>
        <w:spacing w:before="249" w:line="221" w:lineRule="auto"/>
        <w:ind w:left="1703"/>
        <w:rPr>
          <w:rFonts w:ascii="宋体" w:hAnsi="宋体" w:eastAsia="宋体" w:cs="宋体"/>
          <w:color w:val="auto"/>
          <w:lang w:eastAsia="zh-CN"/>
        </w:rPr>
      </w:pPr>
      <w:r>
        <w:rPr>
          <w:rFonts w:ascii="宋体" w:hAnsi="宋体" w:eastAsia="宋体" w:cs="宋体"/>
          <w:color w:val="auto"/>
          <w:spacing w:val="-2"/>
          <w:lang w:eastAsia="zh-CN"/>
        </w:rPr>
        <w:t>经营期限：</w:t>
      </w:r>
    </w:p>
    <w:p w14:paraId="20D4D97C">
      <w:pPr>
        <w:spacing w:before="248" w:line="220" w:lineRule="auto"/>
        <w:ind w:left="1702"/>
        <w:rPr>
          <w:rFonts w:ascii="宋体" w:hAnsi="宋体" w:eastAsia="宋体" w:cs="宋体"/>
          <w:color w:val="auto"/>
          <w:lang w:eastAsia="zh-CN"/>
        </w:rPr>
      </w:pPr>
      <w:r>
        <w:rPr>
          <w:rFonts w:ascii="宋体" w:hAnsi="宋体" w:eastAsia="宋体" w:cs="宋体"/>
          <w:color w:val="auto"/>
          <w:spacing w:val="-7"/>
          <w:lang w:eastAsia="zh-CN"/>
        </w:rPr>
        <w:t>姓名：性别：</w:t>
      </w:r>
    </w:p>
    <w:p w14:paraId="4FE258C0">
      <w:pPr>
        <w:spacing w:before="250" w:line="220" w:lineRule="auto"/>
        <w:ind w:left="1703"/>
        <w:rPr>
          <w:rFonts w:ascii="宋体" w:hAnsi="宋体" w:eastAsia="宋体" w:cs="宋体"/>
          <w:color w:val="auto"/>
          <w:lang w:eastAsia="zh-CN"/>
        </w:rPr>
      </w:pPr>
      <w:r>
        <w:rPr>
          <w:rFonts w:ascii="宋体" w:hAnsi="宋体" w:eastAsia="宋体" w:cs="宋体"/>
          <w:color w:val="auto"/>
          <w:spacing w:val="-6"/>
          <w:lang w:eastAsia="zh-CN"/>
        </w:rPr>
        <w:t>年龄：职务：</w:t>
      </w:r>
    </w:p>
    <w:p w14:paraId="4A84AB8F">
      <w:pPr>
        <w:spacing w:before="248" w:line="442" w:lineRule="auto"/>
        <w:ind w:left="1702" w:right="1840" w:firstLine="4"/>
        <w:rPr>
          <w:rFonts w:ascii="宋体" w:hAnsi="宋体" w:eastAsia="宋体" w:cs="宋体"/>
          <w:color w:val="auto"/>
          <w:lang w:eastAsia="zh-CN"/>
        </w:rPr>
      </w:pPr>
      <w:r>
        <w:rPr>
          <w:rFonts w:ascii="宋体" w:hAnsi="宋体" w:eastAsia="宋体" w:cs="宋体"/>
          <w:color w:val="auto"/>
          <w:lang w:eastAsia="zh-CN"/>
        </w:rPr>
        <w:t>系</w:t>
      </w:r>
      <w:r>
        <w:rPr>
          <w:rFonts w:ascii="宋体" w:hAnsi="宋体" w:eastAsia="宋体" w:cs="宋体"/>
          <w:color w:val="auto"/>
          <w:spacing w:val="-1"/>
          <w:lang w:eastAsia="zh-CN"/>
        </w:rPr>
        <w:t>（投标人名称）的法定代表人。</w:t>
      </w:r>
      <w:r>
        <w:rPr>
          <w:rFonts w:ascii="宋体" w:hAnsi="宋体" w:eastAsia="宋体" w:cs="宋体"/>
          <w:color w:val="auto"/>
          <w:spacing w:val="-7"/>
          <w:lang w:eastAsia="zh-CN"/>
        </w:rPr>
        <w:t>特此证明。</w:t>
      </w:r>
    </w:p>
    <w:p w14:paraId="455FD92B">
      <w:pPr>
        <w:pStyle w:val="8"/>
        <w:spacing w:line="283" w:lineRule="auto"/>
        <w:rPr>
          <w:lang w:eastAsia="zh-CN"/>
        </w:rPr>
      </w:pPr>
    </w:p>
    <w:p w14:paraId="3176330E">
      <w:pPr>
        <w:pStyle w:val="8"/>
        <w:spacing w:line="283" w:lineRule="auto"/>
        <w:rPr>
          <w:lang w:eastAsia="zh-CN"/>
        </w:rPr>
      </w:pPr>
    </w:p>
    <w:p w14:paraId="48A096A3">
      <w:pPr>
        <w:pStyle w:val="8"/>
        <w:spacing w:line="283" w:lineRule="auto"/>
        <w:rPr>
          <w:lang w:eastAsia="zh-CN"/>
        </w:rPr>
      </w:pPr>
    </w:p>
    <w:p w14:paraId="7EC6BBE3">
      <w:pPr>
        <w:pStyle w:val="8"/>
        <w:spacing w:line="284" w:lineRule="auto"/>
        <w:rPr>
          <w:lang w:eastAsia="zh-CN"/>
        </w:rPr>
      </w:pPr>
    </w:p>
    <w:p w14:paraId="430791F1">
      <w:pPr>
        <w:pStyle w:val="8"/>
        <w:spacing w:line="284" w:lineRule="auto"/>
        <w:rPr>
          <w:lang w:eastAsia="zh-CN"/>
        </w:rPr>
      </w:pPr>
    </w:p>
    <w:p w14:paraId="7179C315">
      <w:pPr>
        <w:tabs>
          <w:tab w:val="left" w:pos="7585"/>
        </w:tabs>
        <w:spacing w:before="69" w:line="442" w:lineRule="auto"/>
        <w:ind w:left="6639" w:right="1813" w:hanging="1459"/>
        <w:rPr>
          <w:rFonts w:ascii="宋体" w:hAnsi="宋体" w:eastAsia="宋体" w:cs="宋体"/>
          <w:color w:val="auto"/>
          <w:lang w:eastAsia="zh-CN"/>
        </w:rPr>
      </w:pPr>
      <w:r>
        <w:rPr>
          <w:rFonts w:ascii="宋体" w:hAnsi="宋体" w:eastAsia="宋体" w:cs="宋体"/>
          <w:color w:val="auto"/>
          <w:spacing w:val="-3"/>
          <w:lang w:eastAsia="zh-CN"/>
        </w:rPr>
        <w:t>投标人</w:t>
      </w:r>
      <w:r>
        <w:rPr>
          <w:rFonts w:ascii="宋体" w:hAnsi="宋体" w:eastAsia="宋体" w:cs="宋体"/>
          <w:color w:val="auto"/>
          <w:spacing w:val="-1"/>
          <w:lang w:eastAsia="zh-CN"/>
        </w:rPr>
        <w:t>：（</w:t>
      </w:r>
      <w:r>
        <w:rPr>
          <w:rFonts w:ascii="宋体" w:hAnsi="宋体" w:eastAsia="宋体" w:cs="宋体"/>
          <w:color w:val="auto"/>
          <w:spacing w:val="-3"/>
          <w:lang w:eastAsia="zh-CN"/>
        </w:rPr>
        <w:t>盖单位章）</w:t>
      </w: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372D41EA">
      <w:pPr>
        <w:spacing w:line="442" w:lineRule="auto"/>
        <w:rPr>
          <w:rFonts w:ascii="宋体" w:hAnsi="宋体" w:eastAsia="宋体" w:cs="宋体"/>
          <w:color w:val="auto"/>
          <w:lang w:eastAsia="zh-CN"/>
        </w:rPr>
        <w:sectPr>
          <w:headerReference r:id="rId132" w:type="default"/>
          <w:footerReference r:id="rId133" w:type="default"/>
          <w:pgSz w:w="11906" w:h="16839"/>
          <w:pgMar w:top="400" w:right="0" w:bottom="1147" w:left="105" w:header="0" w:footer="987" w:gutter="0"/>
          <w:cols w:space="720" w:num="1"/>
        </w:sectPr>
      </w:pPr>
    </w:p>
    <w:p w14:paraId="6E12E51F">
      <w:pPr>
        <w:pStyle w:val="8"/>
        <w:spacing w:line="266" w:lineRule="auto"/>
        <w:rPr>
          <w:lang w:eastAsia="zh-CN"/>
        </w:rPr>
      </w:pPr>
    </w:p>
    <w:p w14:paraId="382DB0D3">
      <w:pPr>
        <w:pStyle w:val="8"/>
        <w:spacing w:line="266" w:lineRule="auto"/>
        <w:rPr>
          <w:lang w:eastAsia="zh-CN"/>
        </w:rPr>
      </w:pPr>
    </w:p>
    <w:p w14:paraId="0C0FB117">
      <w:pPr>
        <w:pStyle w:val="8"/>
        <w:spacing w:line="266" w:lineRule="auto"/>
        <w:rPr>
          <w:lang w:eastAsia="zh-CN"/>
        </w:rPr>
      </w:pPr>
    </w:p>
    <w:p w14:paraId="37868275">
      <w:pPr>
        <w:pStyle w:val="8"/>
        <w:spacing w:line="267" w:lineRule="auto"/>
        <w:rPr>
          <w:lang w:eastAsia="zh-CN"/>
        </w:rPr>
      </w:pPr>
    </w:p>
    <w:p w14:paraId="284F8927">
      <w:pPr>
        <w:pStyle w:val="8"/>
        <w:spacing w:line="267" w:lineRule="auto"/>
        <w:rPr>
          <w:lang w:eastAsia="zh-CN"/>
        </w:rPr>
      </w:pPr>
    </w:p>
    <w:p w14:paraId="53A5C034">
      <w:pPr>
        <w:spacing w:before="91" w:line="222" w:lineRule="auto"/>
        <w:ind w:left="4756"/>
        <w:outlineLvl w:val="2"/>
        <w:rPr>
          <w:rFonts w:ascii="黑体" w:hAnsi="黑体" w:eastAsia="黑体" w:cs="黑体"/>
          <w:color w:val="auto"/>
          <w:sz w:val="28"/>
          <w:szCs w:val="28"/>
          <w:lang w:eastAsia="zh-CN"/>
        </w:rPr>
      </w:pPr>
      <w:bookmarkStart w:id="420" w:name="bookmark182"/>
      <w:bookmarkEnd w:id="420"/>
      <w:r>
        <w:rPr>
          <w:rFonts w:ascii="黑体" w:hAnsi="黑体" w:eastAsia="黑体" w:cs="黑体"/>
          <w:color w:val="auto"/>
          <w:spacing w:val="-7"/>
          <w:sz w:val="28"/>
          <w:szCs w:val="28"/>
          <w:lang w:eastAsia="zh-CN"/>
        </w:rPr>
        <w:t>（二）授权委托书</w:t>
      </w:r>
    </w:p>
    <w:p w14:paraId="0852E1DA">
      <w:pPr>
        <w:pStyle w:val="8"/>
        <w:spacing w:line="442" w:lineRule="auto"/>
        <w:rPr>
          <w:lang w:eastAsia="zh-CN"/>
        </w:rPr>
      </w:pPr>
    </w:p>
    <w:p w14:paraId="5B251059">
      <w:pPr>
        <w:spacing w:before="68" w:line="441" w:lineRule="auto"/>
        <w:ind w:left="1702" w:right="1620" w:firstLine="420"/>
        <w:jc w:val="both"/>
        <w:rPr>
          <w:rFonts w:ascii="宋体" w:hAnsi="宋体" w:eastAsia="宋体" w:cs="宋体"/>
          <w:color w:val="auto"/>
          <w:lang w:eastAsia="zh-CN"/>
        </w:rPr>
      </w:pPr>
      <w:r>
        <w:rPr>
          <w:rFonts w:ascii="宋体" w:hAnsi="宋体" w:eastAsia="宋体" w:cs="宋体"/>
          <w:color w:val="auto"/>
          <w:spacing w:val="-2"/>
          <w:lang w:eastAsia="zh-CN"/>
        </w:rPr>
        <w:t>本人（姓名）系（投标人名称）的法定代表</w:t>
      </w:r>
      <w:r>
        <w:rPr>
          <w:rFonts w:ascii="宋体" w:hAnsi="宋体" w:eastAsia="宋体" w:cs="宋体"/>
          <w:color w:val="auto"/>
          <w:spacing w:val="-3"/>
          <w:lang w:eastAsia="zh-CN"/>
        </w:rPr>
        <w:t>人，现委托（姓</w:t>
      </w:r>
      <w:r>
        <w:rPr>
          <w:rFonts w:ascii="宋体" w:hAnsi="宋体" w:eastAsia="宋体" w:cs="宋体"/>
          <w:color w:val="auto"/>
          <w:spacing w:val="2"/>
          <w:lang w:eastAsia="zh-CN"/>
        </w:rPr>
        <w:t>名）为我方代理人。代理人根据授权，以我方名义签署、澄清、说明、补正、递</w:t>
      </w:r>
      <w:r>
        <w:rPr>
          <w:rFonts w:ascii="宋体" w:hAnsi="宋体" w:eastAsia="宋体" w:cs="宋体"/>
          <w:color w:val="auto"/>
          <w:spacing w:val="1"/>
          <w:lang w:eastAsia="zh-CN"/>
        </w:rPr>
        <w:t>交、撤回、</w:t>
      </w:r>
      <w:r>
        <w:rPr>
          <w:rFonts w:ascii="宋体" w:hAnsi="宋体" w:eastAsia="宋体" w:cs="宋体"/>
          <w:color w:val="auto"/>
          <w:lang w:eastAsia="zh-CN"/>
        </w:rPr>
        <w:t>修改（标段名称）项目（标段唯</w:t>
      </w:r>
      <w:r>
        <w:rPr>
          <w:rFonts w:ascii="宋体" w:hAnsi="宋体" w:eastAsia="宋体" w:cs="宋体"/>
          <w:color w:val="auto"/>
          <w:spacing w:val="-1"/>
          <w:lang w:eastAsia="zh-CN"/>
        </w:rPr>
        <w:t>一标识码</w:t>
      </w:r>
      <w:r>
        <w:rPr>
          <w:rFonts w:ascii="宋体" w:hAnsi="宋体" w:eastAsia="宋体" w:cs="宋体"/>
          <w:color w:val="auto"/>
          <w:spacing w:val="-10"/>
          <w:lang w:eastAsia="zh-CN"/>
        </w:rPr>
        <w:t>：）</w:t>
      </w:r>
      <w:r>
        <w:rPr>
          <w:rFonts w:ascii="宋体" w:hAnsi="宋体" w:eastAsia="宋体" w:cs="宋体"/>
          <w:color w:val="auto"/>
          <w:spacing w:val="-1"/>
          <w:lang w:eastAsia="zh-CN"/>
        </w:rPr>
        <w:t>投标文件、签订合同</w:t>
      </w:r>
      <w:r>
        <w:rPr>
          <w:rFonts w:ascii="宋体" w:hAnsi="宋体" w:eastAsia="宋体" w:cs="宋体"/>
          <w:color w:val="auto"/>
          <w:spacing w:val="-2"/>
          <w:lang w:eastAsia="zh-CN"/>
        </w:rPr>
        <w:t>和处理有关事宜，其法律后果由我方承担。</w:t>
      </w:r>
    </w:p>
    <w:p w14:paraId="05C1E923">
      <w:pPr>
        <w:spacing w:before="151" w:line="221" w:lineRule="auto"/>
        <w:ind w:left="2121"/>
        <w:rPr>
          <w:rFonts w:ascii="宋体" w:hAnsi="宋体" w:eastAsia="宋体" w:cs="宋体"/>
          <w:color w:val="auto"/>
          <w:lang w:eastAsia="zh-CN"/>
        </w:rPr>
      </w:pPr>
      <w:r>
        <w:rPr>
          <w:rFonts w:ascii="宋体" w:hAnsi="宋体" w:eastAsia="宋体" w:cs="宋体"/>
          <w:color w:val="auto"/>
          <w:lang w:eastAsia="zh-CN"/>
        </w:rPr>
        <w:t>委托期限：</w:t>
      </w:r>
      <w:r>
        <w:rPr>
          <w:rFonts w:ascii="宋体" w:hAnsi="宋体" w:eastAsia="宋体" w:cs="宋体"/>
          <w:color w:val="auto"/>
          <w:spacing w:val="-1"/>
          <w:lang w:eastAsia="zh-CN"/>
        </w:rPr>
        <w:t>。</w:t>
      </w:r>
    </w:p>
    <w:p w14:paraId="68481018">
      <w:pPr>
        <w:pStyle w:val="8"/>
        <w:spacing w:line="244" w:lineRule="auto"/>
        <w:rPr>
          <w:lang w:eastAsia="zh-CN"/>
        </w:rPr>
      </w:pPr>
    </w:p>
    <w:p w14:paraId="0FA11D23">
      <w:pPr>
        <w:pStyle w:val="8"/>
        <w:spacing w:line="245" w:lineRule="auto"/>
        <w:rPr>
          <w:lang w:eastAsia="zh-CN"/>
        </w:rPr>
      </w:pPr>
    </w:p>
    <w:p w14:paraId="3B563C97">
      <w:pPr>
        <w:spacing w:before="68" w:line="220" w:lineRule="auto"/>
        <w:ind w:left="2121"/>
        <w:rPr>
          <w:rFonts w:ascii="宋体" w:hAnsi="宋体" w:eastAsia="宋体" w:cs="宋体"/>
          <w:color w:val="auto"/>
          <w:lang w:eastAsia="zh-CN"/>
        </w:rPr>
      </w:pPr>
      <w:r>
        <w:rPr>
          <w:rFonts w:ascii="宋体" w:hAnsi="宋体" w:eastAsia="宋体" w:cs="宋体"/>
          <w:color w:val="auto"/>
          <w:spacing w:val="-4"/>
          <w:lang w:eastAsia="zh-CN"/>
        </w:rPr>
        <w:t>代理人无转委托权。</w:t>
      </w:r>
    </w:p>
    <w:p w14:paraId="4875B19F">
      <w:pPr>
        <w:pStyle w:val="8"/>
        <w:spacing w:line="244" w:lineRule="auto"/>
        <w:rPr>
          <w:lang w:eastAsia="zh-CN"/>
        </w:rPr>
      </w:pPr>
    </w:p>
    <w:p w14:paraId="3819BD76">
      <w:pPr>
        <w:pStyle w:val="8"/>
        <w:spacing w:line="245" w:lineRule="auto"/>
        <w:rPr>
          <w:lang w:eastAsia="zh-CN"/>
        </w:rPr>
      </w:pPr>
    </w:p>
    <w:p w14:paraId="79B92395">
      <w:pPr>
        <w:spacing w:before="69" w:line="220" w:lineRule="auto"/>
        <w:ind w:left="4075"/>
        <w:rPr>
          <w:rFonts w:ascii="宋体" w:hAnsi="宋体" w:eastAsia="宋体" w:cs="宋体"/>
          <w:color w:val="auto"/>
          <w:lang w:eastAsia="zh-CN"/>
        </w:rPr>
      </w:pPr>
      <w:r>
        <w:rPr>
          <w:rFonts w:ascii="宋体" w:hAnsi="宋体" w:eastAsia="宋体" w:cs="宋体"/>
          <w:color w:val="auto"/>
          <w:spacing w:val="-2"/>
          <w:lang w:eastAsia="zh-CN"/>
        </w:rPr>
        <w:t>（附授权委托人身份证正反面复印件）</w:t>
      </w:r>
    </w:p>
    <w:p w14:paraId="571022BE">
      <w:pPr>
        <w:pStyle w:val="8"/>
        <w:spacing w:line="298" w:lineRule="auto"/>
        <w:rPr>
          <w:lang w:eastAsia="zh-CN"/>
        </w:rPr>
      </w:pPr>
    </w:p>
    <w:p w14:paraId="5A63F9C9">
      <w:pPr>
        <w:pStyle w:val="8"/>
        <w:spacing w:line="299" w:lineRule="auto"/>
        <w:rPr>
          <w:lang w:eastAsia="zh-CN"/>
        </w:rPr>
      </w:pPr>
    </w:p>
    <w:p w14:paraId="5EBC3998">
      <w:pPr>
        <w:spacing w:before="69" w:line="220" w:lineRule="auto"/>
        <w:ind w:left="5274"/>
        <w:rPr>
          <w:rFonts w:ascii="宋体" w:hAnsi="宋体" w:eastAsia="宋体" w:cs="宋体"/>
          <w:color w:val="auto"/>
          <w:lang w:eastAsia="zh-CN"/>
        </w:rPr>
      </w:pPr>
      <w:r>
        <w:rPr>
          <w:rFonts w:ascii="宋体" w:hAnsi="宋体" w:eastAsia="宋体" w:cs="宋体"/>
          <w:color w:val="auto"/>
          <w:spacing w:val="-3"/>
          <w:lang w:eastAsia="zh-CN"/>
        </w:rPr>
        <w:t>投  标人</w:t>
      </w:r>
      <w:r>
        <w:rPr>
          <w:rFonts w:ascii="宋体" w:hAnsi="宋体" w:eastAsia="宋体" w:cs="宋体"/>
          <w:color w:val="auto"/>
          <w:spacing w:val="-2"/>
          <w:lang w:eastAsia="zh-CN"/>
        </w:rPr>
        <w:t>：（</w:t>
      </w:r>
      <w:r>
        <w:rPr>
          <w:rFonts w:ascii="宋体" w:hAnsi="宋体" w:eastAsia="宋体" w:cs="宋体"/>
          <w:color w:val="auto"/>
          <w:spacing w:val="-3"/>
          <w:lang w:eastAsia="zh-CN"/>
        </w:rPr>
        <w:t>盖单位章）</w:t>
      </w:r>
    </w:p>
    <w:p w14:paraId="62D06BA0">
      <w:pPr>
        <w:pStyle w:val="8"/>
        <w:spacing w:line="478" w:lineRule="auto"/>
        <w:rPr>
          <w:lang w:eastAsia="zh-CN"/>
        </w:rPr>
      </w:pPr>
    </w:p>
    <w:p w14:paraId="778B3376">
      <w:pPr>
        <w:spacing w:before="69" w:line="220" w:lineRule="auto"/>
        <w:ind w:left="5273"/>
        <w:rPr>
          <w:rFonts w:ascii="宋体" w:hAnsi="宋体" w:eastAsia="宋体" w:cs="宋体"/>
          <w:color w:val="auto"/>
          <w:lang w:eastAsia="zh-CN"/>
        </w:rPr>
      </w:pPr>
      <w:r>
        <w:rPr>
          <w:rFonts w:ascii="宋体" w:hAnsi="宋体" w:eastAsia="宋体" w:cs="宋体"/>
          <w:color w:val="auto"/>
          <w:spacing w:val="-2"/>
          <w:lang w:eastAsia="zh-CN"/>
        </w:rPr>
        <w:t>法定代表人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2DB6A99F">
      <w:pPr>
        <w:pStyle w:val="8"/>
        <w:spacing w:line="479" w:lineRule="auto"/>
        <w:rPr>
          <w:lang w:eastAsia="zh-CN"/>
        </w:rPr>
      </w:pPr>
    </w:p>
    <w:p w14:paraId="05729ED4">
      <w:pPr>
        <w:spacing w:before="68" w:line="220" w:lineRule="auto"/>
        <w:ind w:left="5277"/>
        <w:rPr>
          <w:rFonts w:ascii="宋体" w:hAnsi="宋体" w:eastAsia="宋体" w:cs="宋体"/>
          <w:color w:val="auto"/>
          <w:lang w:eastAsia="zh-CN"/>
        </w:rPr>
      </w:pPr>
      <w:r>
        <w:rPr>
          <w:rFonts w:ascii="宋体" w:hAnsi="宋体" w:eastAsia="宋体" w:cs="宋体"/>
          <w:color w:val="auto"/>
          <w:spacing w:val="-3"/>
          <w:lang w:eastAsia="zh-CN"/>
        </w:rPr>
        <w:t>身份证号码：</w:t>
      </w:r>
    </w:p>
    <w:p w14:paraId="563E1691">
      <w:pPr>
        <w:pStyle w:val="8"/>
        <w:spacing w:line="477" w:lineRule="auto"/>
        <w:rPr>
          <w:lang w:eastAsia="zh-CN"/>
        </w:rPr>
      </w:pPr>
    </w:p>
    <w:p w14:paraId="1FA7C1EB">
      <w:pPr>
        <w:spacing w:before="69" w:line="220" w:lineRule="auto"/>
        <w:ind w:left="5271"/>
        <w:rPr>
          <w:rFonts w:ascii="宋体" w:hAnsi="宋体" w:eastAsia="宋体" w:cs="宋体"/>
          <w:color w:val="auto"/>
          <w:lang w:eastAsia="zh-CN"/>
        </w:rPr>
      </w:pPr>
      <w:r>
        <w:rPr>
          <w:rFonts w:ascii="宋体" w:hAnsi="宋体" w:eastAsia="宋体" w:cs="宋体"/>
          <w:color w:val="auto"/>
          <w:spacing w:val="-2"/>
          <w:lang w:eastAsia="zh-CN"/>
        </w:rPr>
        <w:t>委托代理人：（签章）</w:t>
      </w:r>
    </w:p>
    <w:p w14:paraId="0986C034">
      <w:pPr>
        <w:pStyle w:val="8"/>
        <w:spacing w:line="479" w:lineRule="auto"/>
        <w:rPr>
          <w:lang w:eastAsia="zh-CN"/>
        </w:rPr>
      </w:pPr>
    </w:p>
    <w:p w14:paraId="4DD64668">
      <w:pPr>
        <w:spacing w:before="69" w:line="220" w:lineRule="auto"/>
        <w:ind w:left="5277"/>
        <w:rPr>
          <w:rFonts w:ascii="宋体" w:hAnsi="宋体" w:eastAsia="宋体" w:cs="宋体"/>
          <w:color w:val="auto"/>
          <w:lang w:eastAsia="zh-CN"/>
        </w:rPr>
      </w:pPr>
      <w:r>
        <w:rPr>
          <w:rFonts w:ascii="宋体" w:hAnsi="宋体" w:eastAsia="宋体" w:cs="宋体"/>
          <w:color w:val="auto"/>
          <w:spacing w:val="-3"/>
          <w:lang w:eastAsia="zh-CN"/>
        </w:rPr>
        <w:t>身份证号码：</w:t>
      </w:r>
    </w:p>
    <w:p w14:paraId="1B59CBD3">
      <w:pPr>
        <w:pStyle w:val="8"/>
        <w:spacing w:line="478" w:lineRule="auto"/>
        <w:rPr>
          <w:lang w:eastAsia="zh-CN"/>
        </w:rPr>
      </w:pPr>
    </w:p>
    <w:p w14:paraId="79582D2A">
      <w:pPr>
        <w:tabs>
          <w:tab w:val="left" w:pos="7364"/>
        </w:tabs>
        <w:spacing w:before="69" w:line="220" w:lineRule="auto"/>
        <w:ind w:left="6524"/>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44EB0BD7">
      <w:pPr>
        <w:spacing w:line="220" w:lineRule="auto"/>
        <w:rPr>
          <w:rFonts w:ascii="宋体" w:hAnsi="宋体" w:eastAsia="宋体" w:cs="宋体"/>
          <w:color w:val="auto"/>
          <w:lang w:eastAsia="zh-CN"/>
        </w:rPr>
        <w:sectPr>
          <w:headerReference r:id="rId134" w:type="default"/>
          <w:footerReference r:id="rId135" w:type="default"/>
          <w:pgSz w:w="11906" w:h="16839"/>
          <w:pgMar w:top="400" w:right="0" w:bottom="1147" w:left="105" w:header="0" w:footer="987" w:gutter="0"/>
          <w:cols w:space="720" w:num="1"/>
        </w:sectPr>
      </w:pPr>
    </w:p>
    <w:p w14:paraId="3DD420DC">
      <w:pPr>
        <w:pStyle w:val="8"/>
        <w:spacing w:line="266" w:lineRule="auto"/>
        <w:rPr>
          <w:lang w:eastAsia="zh-CN"/>
        </w:rPr>
      </w:pPr>
    </w:p>
    <w:p w14:paraId="513D0810">
      <w:pPr>
        <w:pStyle w:val="8"/>
        <w:spacing w:line="266" w:lineRule="auto"/>
        <w:rPr>
          <w:lang w:eastAsia="zh-CN"/>
        </w:rPr>
      </w:pPr>
    </w:p>
    <w:p w14:paraId="1E0CF200">
      <w:pPr>
        <w:pStyle w:val="8"/>
        <w:spacing w:line="266" w:lineRule="auto"/>
        <w:rPr>
          <w:lang w:eastAsia="zh-CN"/>
        </w:rPr>
      </w:pPr>
    </w:p>
    <w:p w14:paraId="41EA5BE6">
      <w:pPr>
        <w:pStyle w:val="8"/>
        <w:spacing w:line="267" w:lineRule="auto"/>
        <w:rPr>
          <w:lang w:eastAsia="zh-CN"/>
        </w:rPr>
      </w:pPr>
    </w:p>
    <w:p w14:paraId="4F3FF8D7">
      <w:pPr>
        <w:pStyle w:val="8"/>
        <w:spacing w:line="267" w:lineRule="auto"/>
        <w:rPr>
          <w:lang w:eastAsia="zh-CN"/>
        </w:rPr>
      </w:pPr>
    </w:p>
    <w:p w14:paraId="6E391F86">
      <w:pPr>
        <w:spacing w:before="91" w:line="222" w:lineRule="auto"/>
        <w:ind w:left="4883"/>
        <w:outlineLvl w:val="1"/>
        <w:rPr>
          <w:rFonts w:ascii="黑体" w:hAnsi="黑体" w:eastAsia="黑体" w:cs="黑体"/>
          <w:color w:val="auto"/>
          <w:sz w:val="28"/>
          <w:szCs w:val="28"/>
          <w:lang w:eastAsia="zh-CN"/>
        </w:rPr>
      </w:pPr>
      <w:bookmarkStart w:id="421" w:name="bookmark183"/>
      <w:bookmarkEnd w:id="421"/>
      <w:bookmarkStart w:id="422" w:name="_Toc30898"/>
      <w:bookmarkStart w:id="423" w:name="_Toc5323"/>
      <w:bookmarkStart w:id="424" w:name="_Toc27541"/>
      <w:bookmarkStart w:id="425" w:name="_Toc30484"/>
      <w:bookmarkStart w:id="426" w:name="_Toc21382"/>
      <w:bookmarkStart w:id="427" w:name="_Toc15291"/>
      <w:r>
        <w:rPr>
          <w:rFonts w:ascii="黑体" w:hAnsi="黑体" w:eastAsia="黑体" w:cs="黑体"/>
          <w:color w:val="auto"/>
          <w:spacing w:val="-3"/>
          <w:sz w:val="28"/>
          <w:szCs w:val="28"/>
          <w:lang w:eastAsia="zh-CN"/>
        </w:rPr>
        <w:t>三、投标保证金</w:t>
      </w:r>
      <w:bookmarkEnd w:id="422"/>
      <w:bookmarkEnd w:id="423"/>
      <w:bookmarkEnd w:id="424"/>
      <w:bookmarkEnd w:id="425"/>
      <w:bookmarkEnd w:id="426"/>
      <w:bookmarkEnd w:id="427"/>
    </w:p>
    <w:p w14:paraId="0F441B1E">
      <w:pPr>
        <w:pStyle w:val="8"/>
        <w:spacing w:line="384" w:lineRule="auto"/>
        <w:rPr>
          <w:lang w:eastAsia="zh-CN"/>
        </w:rPr>
      </w:pPr>
    </w:p>
    <w:p w14:paraId="13FF76D6">
      <w:pPr>
        <w:spacing w:before="69" w:line="211" w:lineRule="auto"/>
        <w:ind w:left="2097"/>
        <w:rPr>
          <w:rFonts w:ascii="宋体" w:hAnsi="宋体" w:eastAsia="宋体" w:cs="宋体"/>
          <w:color w:val="auto"/>
          <w:lang w:eastAsia="zh-CN"/>
        </w:rPr>
      </w:pPr>
      <w:r>
        <w:rPr>
          <w:rFonts w:ascii="宋体" w:hAnsi="宋体" w:eastAsia="宋体" w:cs="宋体"/>
          <w:b/>
          <w:bCs/>
          <w:color w:val="auto"/>
          <w:spacing w:val="-2"/>
          <w:lang w:eastAsia="zh-CN"/>
        </w:rPr>
        <w:t>（一）若采用现金或支票，投标人应填写以下表格信息并提供汇款凭证的扫描件。</w:t>
      </w:r>
    </w:p>
    <w:tbl>
      <w:tblPr>
        <w:tblStyle w:val="20"/>
        <w:tblW w:w="8190" w:type="dxa"/>
        <w:tblInd w:w="16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6"/>
        <w:gridCol w:w="3285"/>
        <w:gridCol w:w="1134"/>
        <w:gridCol w:w="2355"/>
      </w:tblGrid>
      <w:tr w14:paraId="44636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190" w:type="dxa"/>
            <w:gridSpan w:val="4"/>
          </w:tcPr>
          <w:p w14:paraId="26A4875D">
            <w:pPr>
              <w:pStyle w:val="21"/>
              <w:spacing w:before="53" w:line="220" w:lineRule="auto"/>
              <w:ind w:left="3467"/>
              <w:rPr>
                <w:color w:val="auto"/>
              </w:rPr>
            </w:pPr>
            <w:r>
              <w:rPr>
                <w:b/>
                <w:bCs/>
                <w:color w:val="auto"/>
                <w:spacing w:val="-4"/>
              </w:rPr>
              <w:t>现金汇款信息</w:t>
            </w:r>
          </w:p>
        </w:tc>
      </w:tr>
      <w:tr w14:paraId="12678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16" w:type="dxa"/>
          </w:tcPr>
          <w:p w14:paraId="5C3C23CC">
            <w:pPr>
              <w:pStyle w:val="21"/>
              <w:spacing w:before="50" w:line="220" w:lineRule="auto"/>
              <w:ind w:left="297"/>
              <w:rPr>
                <w:color w:val="auto"/>
              </w:rPr>
            </w:pPr>
            <w:r>
              <w:rPr>
                <w:color w:val="auto"/>
                <w:spacing w:val="-3"/>
              </w:rPr>
              <w:t>收款账户</w:t>
            </w:r>
          </w:p>
        </w:tc>
        <w:tc>
          <w:tcPr>
            <w:tcW w:w="3285" w:type="dxa"/>
          </w:tcPr>
          <w:p w14:paraId="15CE9DCE">
            <w:pPr>
              <w:rPr>
                <w:color w:val="auto"/>
              </w:rPr>
            </w:pPr>
          </w:p>
        </w:tc>
        <w:tc>
          <w:tcPr>
            <w:tcW w:w="1134" w:type="dxa"/>
          </w:tcPr>
          <w:p w14:paraId="1C61EA3B">
            <w:pPr>
              <w:pStyle w:val="21"/>
              <w:spacing w:before="49" w:line="221" w:lineRule="auto"/>
              <w:ind w:left="151"/>
              <w:rPr>
                <w:color w:val="auto"/>
              </w:rPr>
            </w:pPr>
            <w:r>
              <w:rPr>
                <w:color w:val="auto"/>
                <w:spacing w:val="-2"/>
              </w:rPr>
              <w:t>汇款账户</w:t>
            </w:r>
          </w:p>
        </w:tc>
        <w:tc>
          <w:tcPr>
            <w:tcW w:w="2355" w:type="dxa"/>
          </w:tcPr>
          <w:p w14:paraId="5E7104FC">
            <w:pPr>
              <w:rPr>
                <w:color w:val="auto"/>
              </w:rPr>
            </w:pPr>
          </w:p>
        </w:tc>
      </w:tr>
      <w:tr w14:paraId="610C7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416" w:type="dxa"/>
          </w:tcPr>
          <w:p w14:paraId="44CFFB6D">
            <w:pPr>
              <w:pStyle w:val="21"/>
              <w:spacing w:before="50" w:line="219" w:lineRule="auto"/>
              <w:ind w:left="297"/>
              <w:rPr>
                <w:color w:val="auto"/>
              </w:rPr>
            </w:pPr>
            <w:r>
              <w:rPr>
                <w:color w:val="auto"/>
                <w:spacing w:val="-3"/>
              </w:rPr>
              <w:t>收款账号</w:t>
            </w:r>
          </w:p>
        </w:tc>
        <w:tc>
          <w:tcPr>
            <w:tcW w:w="3285" w:type="dxa"/>
          </w:tcPr>
          <w:p w14:paraId="1B924891">
            <w:pPr>
              <w:rPr>
                <w:color w:val="auto"/>
              </w:rPr>
            </w:pPr>
          </w:p>
        </w:tc>
        <w:tc>
          <w:tcPr>
            <w:tcW w:w="1134" w:type="dxa"/>
          </w:tcPr>
          <w:p w14:paraId="72DF5E0A">
            <w:pPr>
              <w:pStyle w:val="21"/>
              <w:spacing w:before="50" w:line="219" w:lineRule="auto"/>
              <w:ind w:left="151"/>
              <w:rPr>
                <w:color w:val="auto"/>
              </w:rPr>
            </w:pPr>
            <w:r>
              <w:rPr>
                <w:color w:val="auto"/>
                <w:spacing w:val="-2"/>
              </w:rPr>
              <w:t>汇款账号</w:t>
            </w:r>
          </w:p>
        </w:tc>
        <w:tc>
          <w:tcPr>
            <w:tcW w:w="2355" w:type="dxa"/>
          </w:tcPr>
          <w:p w14:paraId="4215699F">
            <w:pPr>
              <w:rPr>
                <w:color w:val="auto"/>
              </w:rPr>
            </w:pPr>
          </w:p>
        </w:tc>
      </w:tr>
      <w:tr w14:paraId="7F587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16" w:type="dxa"/>
          </w:tcPr>
          <w:p w14:paraId="1054BC38">
            <w:pPr>
              <w:pStyle w:val="21"/>
              <w:spacing w:before="53" w:line="218" w:lineRule="auto"/>
              <w:ind w:left="289"/>
              <w:rPr>
                <w:color w:val="auto"/>
              </w:rPr>
            </w:pPr>
            <w:r>
              <w:rPr>
                <w:color w:val="auto"/>
                <w:spacing w:val="-2"/>
              </w:rPr>
              <w:t>汇款金额</w:t>
            </w:r>
          </w:p>
        </w:tc>
        <w:tc>
          <w:tcPr>
            <w:tcW w:w="3285" w:type="dxa"/>
          </w:tcPr>
          <w:p w14:paraId="1BDD8060">
            <w:pPr>
              <w:rPr>
                <w:color w:val="auto"/>
              </w:rPr>
            </w:pPr>
          </w:p>
        </w:tc>
        <w:tc>
          <w:tcPr>
            <w:tcW w:w="1134" w:type="dxa"/>
          </w:tcPr>
          <w:p w14:paraId="1BA33A28">
            <w:pPr>
              <w:pStyle w:val="21"/>
              <w:spacing w:before="53" w:line="218" w:lineRule="auto"/>
              <w:ind w:left="151"/>
              <w:rPr>
                <w:color w:val="auto"/>
              </w:rPr>
            </w:pPr>
            <w:r>
              <w:rPr>
                <w:color w:val="auto"/>
                <w:spacing w:val="-2"/>
              </w:rPr>
              <w:t>汇款时间</w:t>
            </w:r>
          </w:p>
        </w:tc>
        <w:tc>
          <w:tcPr>
            <w:tcW w:w="2355" w:type="dxa"/>
          </w:tcPr>
          <w:p w14:paraId="2437737B">
            <w:pPr>
              <w:rPr>
                <w:color w:val="auto"/>
              </w:rPr>
            </w:pPr>
          </w:p>
        </w:tc>
      </w:tr>
      <w:tr w14:paraId="43447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16" w:type="dxa"/>
            <w:vMerge w:val="restart"/>
            <w:tcBorders>
              <w:bottom w:val="nil"/>
            </w:tcBorders>
          </w:tcPr>
          <w:p w14:paraId="75B93FB6">
            <w:pPr>
              <w:spacing w:line="305" w:lineRule="auto"/>
              <w:rPr>
                <w:color w:val="auto"/>
              </w:rPr>
            </w:pPr>
          </w:p>
          <w:p w14:paraId="7105DA85">
            <w:pPr>
              <w:pStyle w:val="21"/>
              <w:spacing w:before="68" w:line="220" w:lineRule="auto"/>
              <w:ind w:left="516"/>
              <w:rPr>
                <w:color w:val="auto"/>
              </w:rPr>
            </w:pPr>
            <w:r>
              <w:rPr>
                <w:color w:val="auto"/>
                <w:spacing w:val="-7"/>
              </w:rPr>
              <w:t>附件</w:t>
            </w:r>
          </w:p>
        </w:tc>
        <w:tc>
          <w:tcPr>
            <w:tcW w:w="6774" w:type="dxa"/>
            <w:gridSpan w:val="3"/>
          </w:tcPr>
          <w:p w14:paraId="099F6A63">
            <w:pPr>
              <w:pStyle w:val="21"/>
              <w:spacing w:before="54" w:line="217" w:lineRule="auto"/>
              <w:ind w:left="108"/>
              <w:rPr>
                <w:color w:val="auto"/>
              </w:rPr>
            </w:pPr>
            <w:r>
              <w:rPr>
                <w:color w:val="auto"/>
                <w:spacing w:val="-2"/>
              </w:rPr>
              <w:t>汇款凭证扫描件</w:t>
            </w:r>
          </w:p>
        </w:tc>
      </w:tr>
      <w:tr w14:paraId="780C0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416" w:type="dxa"/>
            <w:vMerge w:val="continue"/>
            <w:tcBorders>
              <w:top w:val="nil"/>
              <w:bottom w:val="nil"/>
            </w:tcBorders>
          </w:tcPr>
          <w:p w14:paraId="0AB96FA6">
            <w:pPr>
              <w:rPr>
                <w:color w:val="auto"/>
              </w:rPr>
            </w:pPr>
          </w:p>
        </w:tc>
        <w:tc>
          <w:tcPr>
            <w:tcW w:w="6774" w:type="dxa"/>
            <w:gridSpan w:val="3"/>
          </w:tcPr>
          <w:p w14:paraId="46E44638">
            <w:pPr>
              <w:pStyle w:val="21"/>
              <w:spacing w:before="54" w:line="217" w:lineRule="auto"/>
              <w:ind w:left="108"/>
              <w:rPr>
                <w:color w:val="auto"/>
                <w:lang w:eastAsia="zh-CN"/>
              </w:rPr>
            </w:pPr>
            <w:r>
              <w:rPr>
                <w:color w:val="auto"/>
                <w:spacing w:val="-1"/>
                <w:lang w:eastAsia="zh-CN"/>
              </w:rPr>
              <w:t>基本户开户许可证（基本存款账户信息）扫描件</w:t>
            </w:r>
          </w:p>
        </w:tc>
      </w:tr>
      <w:tr w14:paraId="21B8D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416" w:type="dxa"/>
            <w:vMerge w:val="continue"/>
            <w:tcBorders>
              <w:top w:val="nil"/>
            </w:tcBorders>
          </w:tcPr>
          <w:p w14:paraId="172E82CE">
            <w:pPr>
              <w:rPr>
                <w:color w:val="auto"/>
                <w:lang w:eastAsia="zh-CN"/>
              </w:rPr>
            </w:pPr>
          </w:p>
        </w:tc>
        <w:tc>
          <w:tcPr>
            <w:tcW w:w="6774" w:type="dxa"/>
            <w:gridSpan w:val="3"/>
          </w:tcPr>
          <w:p w14:paraId="52FDA25A">
            <w:pPr>
              <w:pStyle w:val="21"/>
              <w:spacing w:before="55" w:line="219" w:lineRule="auto"/>
              <w:ind w:left="109"/>
              <w:rPr>
                <w:color w:val="auto"/>
              </w:rPr>
            </w:pPr>
            <w:r>
              <w:rPr>
                <w:color w:val="auto"/>
                <w:spacing w:val="-3"/>
              </w:rPr>
              <w:t>其他材料（如有）</w:t>
            </w:r>
          </w:p>
        </w:tc>
      </w:tr>
    </w:tbl>
    <w:p w14:paraId="711B1C1E">
      <w:pPr>
        <w:pStyle w:val="8"/>
        <w:spacing w:line="277" w:lineRule="auto"/>
      </w:pPr>
    </w:p>
    <w:p w14:paraId="71A05E50">
      <w:pPr>
        <w:pStyle w:val="8"/>
        <w:spacing w:line="278" w:lineRule="auto"/>
      </w:pPr>
    </w:p>
    <w:p w14:paraId="10EF8D5F">
      <w:pPr>
        <w:spacing w:before="68" w:line="305" w:lineRule="auto"/>
        <w:ind w:left="1703" w:right="1604" w:firstLine="394"/>
        <w:jc w:val="both"/>
        <w:rPr>
          <w:rFonts w:ascii="宋体" w:hAnsi="宋体" w:eastAsia="宋体" w:cs="宋体"/>
          <w:color w:val="auto"/>
          <w:lang w:eastAsia="zh-CN"/>
        </w:rPr>
      </w:pPr>
      <w:r>
        <w:rPr>
          <w:rFonts w:ascii="宋体" w:hAnsi="宋体" w:eastAsia="宋体" w:cs="宋体"/>
          <w:b/>
          <w:bCs/>
          <w:color w:val="auto"/>
          <w:spacing w:val="-4"/>
          <w:lang w:eastAsia="zh-CN"/>
        </w:rPr>
        <w:t>（二）若采用辽宁省工程建设项目电子保函保险基础服务平</w:t>
      </w:r>
      <w:r>
        <w:rPr>
          <w:rFonts w:ascii="宋体" w:hAnsi="宋体" w:eastAsia="宋体" w:cs="宋体"/>
          <w:b/>
          <w:bCs/>
          <w:color w:val="auto"/>
          <w:spacing w:val="-5"/>
          <w:lang w:eastAsia="zh-CN"/>
        </w:rPr>
        <w:t>台（包含辽宁省建设工程领</w:t>
      </w:r>
      <w:r>
        <w:rPr>
          <w:rFonts w:ascii="宋体" w:hAnsi="宋体" w:eastAsia="宋体" w:cs="宋体"/>
          <w:b/>
          <w:bCs/>
          <w:color w:val="auto"/>
          <w:lang w:eastAsia="zh-CN"/>
        </w:rPr>
        <w:t>域电子保函保险基础公共服务平台及跨地区、跨行业自由服务试点的金融平台或金融机构）</w:t>
      </w:r>
      <w:r>
        <w:rPr>
          <w:rFonts w:ascii="宋体" w:hAnsi="宋体" w:eastAsia="宋体" w:cs="宋体"/>
          <w:b/>
          <w:bCs/>
          <w:color w:val="auto"/>
          <w:spacing w:val="-2"/>
          <w:lang w:eastAsia="zh-CN"/>
        </w:rPr>
        <w:t>电子保函，投标人应填写以下表格信息。</w:t>
      </w:r>
    </w:p>
    <w:tbl>
      <w:tblPr>
        <w:tblStyle w:val="20"/>
        <w:tblW w:w="8104" w:type="dxa"/>
        <w:tblInd w:w="16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49"/>
        <w:gridCol w:w="3058"/>
        <w:gridCol w:w="1226"/>
        <w:gridCol w:w="2271"/>
      </w:tblGrid>
      <w:tr w14:paraId="5FC21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104" w:type="dxa"/>
            <w:gridSpan w:val="4"/>
          </w:tcPr>
          <w:p w14:paraId="0726BB1D">
            <w:pPr>
              <w:pStyle w:val="21"/>
              <w:spacing w:before="55" w:line="220" w:lineRule="auto"/>
              <w:ind w:left="1424"/>
              <w:rPr>
                <w:color w:val="auto"/>
                <w:lang w:eastAsia="zh-CN"/>
              </w:rPr>
            </w:pPr>
            <w:r>
              <w:rPr>
                <w:b/>
                <w:bCs/>
                <w:color w:val="auto"/>
                <w:spacing w:val="-2"/>
                <w:lang w:eastAsia="zh-CN"/>
              </w:rPr>
              <w:t>辽宁省工程建设项目电子保函保险基础服务平台保函信息</w:t>
            </w:r>
          </w:p>
        </w:tc>
      </w:tr>
      <w:tr w14:paraId="4725D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549" w:type="dxa"/>
          </w:tcPr>
          <w:p w14:paraId="308AF103">
            <w:pPr>
              <w:pStyle w:val="21"/>
              <w:spacing w:before="60" w:line="220" w:lineRule="auto"/>
              <w:ind w:left="357"/>
              <w:rPr>
                <w:color w:val="auto"/>
              </w:rPr>
            </w:pPr>
            <w:r>
              <w:rPr>
                <w:color w:val="auto"/>
                <w:spacing w:val="-2"/>
              </w:rPr>
              <w:t>保函编号</w:t>
            </w:r>
          </w:p>
        </w:tc>
        <w:tc>
          <w:tcPr>
            <w:tcW w:w="6555" w:type="dxa"/>
            <w:gridSpan w:val="3"/>
          </w:tcPr>
          <w:p w14:paraId="4BBC79EB">
            <w:pPr>
              <w:rPr>
                <w:color w:val="auto"/>
              </w:rPr>
            </w:pPr>
          </w:p>
        </w:tc>
      </w:tr>
      <w:tr w14:paraId="2ECAA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549" w:type="dxa"/>
          </w:tcPr>
          <w:p w14:paraId="16ADA844">
            <w:pPr>
              <w:pStyle w:val="21"/>
              <w:spacing w:before="62" w:line="220" w:lineRule="auto"/>
              <w:ind w:left="144"/>
              <w:rPr>
                <w:color w:val="auto"/>
              </w:rPr>
            </w:pPr>
            <w:r>
              <w:rPr>
                <w:color w:val="auto"/>
                <w:spacing w:val="-1"/>
              </w:rPr>
              <w:t>缴费账户名称</w:t>
            </w:r>
          </w:p>
        </w:tc>
        <w:tc>
          <w:tcPr>
            <w:tcW w:w="3058" w:type="dxa"/>
          </w:tcPr>
          <w:p w14:paraId="54C28B65">
            <w:pPr>
              <w:rPr>
                <w:color w:val="auto"/>
              </w:rPr>
            </w:pPr>
          </w:p>
        </w:tc>
        <w:tc>
          <w:tcPr>
            <w:tcW w:w="1226" w:type="dxa"/>
          </w:tcPr>
          <w:p w14:paraId="0E1364EB">
            <w:pPr>
              <w:pStyle w:val="21"/>
              <w:spacing w:before="62" w:line="220" w:lineRule="auto"/>
              <w:ind w:left="196"/>
              <w:rPr>
                <w:color w:val="auto"/>
              </w:rPr>
            </w:pPr>
            <w:r>
              <w:rPr>
                <w:color w:val="auto"/>
                <w:spacing w:val="-2"/>
              </w:rPr>
              <w:t>缴费账号</w:t>
            </w:r>
          </w:p>
        </w:tc>
        <w:tc>
          <w:tcPr>
            <w:tcW w:w="2271" w:type="dxa"/>
          </w:tcPr>
          <w:p w14:paraId="26423474">
            <w:pPr>
              <w:rPr>
                <w:color w:val="auto"/>
              </w:rPr>
            </w:pPr>
          </w:p>
        </w:tc>
      </w:tr>
      <w:tr w14:paraId="191F3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549" w:type="dxa"/>
            <w:vMerge w:val="restart"/>
            <w:tcBorders>
              <w:bottom w:val="nil"/>
            </w:tcBorders>
          </w:tcPr>
          <w:p w14:paraId="1108CAAF">
            <w:pPr>
              <w:spacing w:line="325" w:lineRule="auto"/>
              <w:rPr>
                <w:color w:val="auto"/>
              </w:rPr>
            </w:pPr>
          </w:p>
          <w:p w14:paraId="5C9F133D">
            <w:pPr>
              <w:pStyle w:val="21"/>
              <w:spacing w:before="69" w:line="220" w:lineRule="auto"/>
              <w:ind w:left="582"/>
              <w:rPr>
                <w:color w:val="auto"/>
              </w:rPr>
            </w:pPr>
            <w:r>
              <w:rPr>
                <w:color w:val="auto"/>
                <w:spacing w:val="-7"/>
              </w:rPr>
              <w:t>附件</w:t>
            </w:r>
          </w:p>
        </w:tc>
        <w:tc>
          <w:tcPr>
            <w:tcW w:w="6555" w:type="dxa"/>
            <w:gridSpan w:val="3"/>
          </w:tcPr>
          <w:p w14:paraId="046892CB">
            <w:pPr>
              <w:pStyle w:val="21"/>
              <w:spacing w:before="63" w:line="220" w:lineRule="auto"/>
              <w:ind w:left="132"/>
              <w:rPr>
                <w:color w:val="auto"/>
                <w:lang w:eastAsia="zh-CN"/>
              </w:rPr>
            </w:pPr>
            <w:r>
              <w:rPr>
                <w:color w:val="auto"/>
                <w:spacing w:val="-4"/>
                <w:lang w:eastAsia="zh-CN"/>
              </w:rPr>
              <w:t>电子保函扫描件（含验真材料）</w:t>
            </w:r>
          </w:p>
        </w:tc>
      </w:tr>
      <w:tr w14:paraId="1EE0D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549" w:type="dxa"/>
            <w:vMerge w:val="continue"/>
            <w:tcBorders>
              <w:top w:val="nil"/>
              <w:bottom w:val="nil"/>
            </w:tcBorders>
          </w:tcPr>
          <w:p w14:paraId="255D700E">
            <w:pPr>
              <w:rPr>
                <w:color w:val="auto"/>
                <w:lang w:eastAsia="zh-CN"/>
              </w:rPr>
            </w:pPr>
          </w:p>
        </w:tc>
        <w:tc>
          <w:tcPr>
            <w:tcW w:w="6555" w:type="dxa"/>
            <w:gridSpan w:val="3"/>
          </w:tcPr>
          <w:p w14:paraId="6BA44461">
            <w:pPr>
              <w:pStyle w:val="21"/>
              <w:spacing w:before="66" w:line="220" w:lineRule="auto"/>
              <w:ind w:left="106"/>
              <w:rPr>
                <w:color w:val="auto"/>
              </w:rPr>
            </w:pPr>
            <w:r>
              <w:rPr>
                <w:color w:val="auto"/>
                <w:spacing w:val="-1"/>
              </w:rPr>
              <w:t>缴费凭证扫描件</w:t>
            </w:r>
          </w:p>
        </w:tc>
      </w:tr>
      <w:tr w14:paraId="360FE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49" w:type="dxa"/>
            <w:vMerge w:val="continue"/>
            <w:tcBorders>
              <w:top w:val="nil"/>
            </w:tcBorders>
          </w:tcPr>
          <w:p w14:paraId="6453F471">
            <w:pPr>
              <w:rPr>
                <w:color w:val="auto"/>
              </w:rPr>
            </w:pPr>
          </w:p>
        </w:tc>
        <w:tc>
          <w:tcPr>
            <w:tcW w:w="6555" w:type="dxa"/>
            <w:gridSpan w:val="3"/>
          </w:tcPr>
          <w:p w14:paraId="3BA5B546">
            <w:pPr>
              <w:pStyle w:val="21"/>
              <w:spacing w:before="58" w:line="218" w:lineRule="auto"/>
              <w:ind w:left="109"/>
              <w:rPr>
                <w:color w:val="auto"/>
              </w:rPr>
            </w:pPr>
            <w:r>
              <w:rPr>
                <w:color w:val="auto"/>
                <w:spacing w:val="-3"/>
              </w:rPr>
              <w:t>其他材料（如有）</w:t>
            </w:r>
          </w:p>
        </w:tc>
      </w:tr>
    </w:tbl>
    <w:p w14:paraId="577A9D85">
      <w:pPr>
        <w:pStyle w:val="8"/>
        <w:spacing w:line="244" w:lineRule="auto"/>
      </w:pPr>
    </w:p>
    <w:p w14:paraId="3A943405">
      <w:pPr>
        <w:pStyle w:val="8"/>
        <w:spacing w:line="244" w:lineRule="auto"/>
      </w:pPr>
    </w:p>
    <w:p w14:paraId="6DFA8208">
      <w:pPr>
        <w:spacing w:before="69" w:line="220" w:lineRule="auto"/>
        <w:ind w:left="2097"/>
        <w:rPr>
          <w:rFonts w:ascii="宋体" w:hAnsi="宋体" w:eastAsia="宋体" w:cs="宋体"/>
          <w:color w:val="auto"/>
          <w:lang w:eastAsia="zh-CN"/>
        </w:rPr>
      </w:pPr>
      <w:r>
        <w:rPr>
          <w:rFonts w:ascii="宋体" w:hAnsi="宋体" w:eastAsia="宋体" w:cs="宋体"/>
          <w:b/>
          <w:bCs/>
          <w:color w:val="auto"/>
          <w:spacing w:val="-4"/>
          <w:lang w:eastAsia="zh-CN"/>
        </w:rPr>
        <w:t>（三）若采用纸质保函或其他平台电子保函，投标人应填</w:t>
      </w:r>
      <w:r>
        <w:rPr>
          <w:rFonts w:ascii="宋体" w:hAnsi="宋体" w:eastAsia="宋体" w:cs="宋体"/>
          <w:b/>
          <w:bCs/>
          <w:color w:val="auto"/>
          <w:spacing w:val="-5"/>
          <w:lang w:eastAsia="zh-CN"/>
        </w:rPr>
        <w:t>写以下表格信息，并提供相关</w:t>
      </w:r>
    </w:p>
    <w:p w14:paraId="086F4C71">
      <w:pPr>
        <w:spacing w:before="149" w:line="211" w:lineRule="auto"/>
        <w:ind w:left="1702"/>
        <w:rPr>
          <w:rFonts w:ascii="宋体" w:hAnsi="宋体" w:eastAsia="宋体" w:cs="宋体"/>
          <w:color w:val="auto"/>
        </w:rPr>
      </w:pPr>
      <w:r>
        <w:rPr>
          <w:rFonts w:ascii="宋体" w:hAnsi="宋体" w:eastAsia="宋体" w:cs="宋体"/>
          <w:b/>
          <w:bCs/>
          <w:color w:val="auto"/>
          <w:spacing w:val="-3"/>
        </w:rPr>
        <w:t>材料扫描件信息。</w:t>
      </w:r>
    </w:p>
    <w:tbl>
      <w:tblPr>
        <w:tblStyle w:val="20"/>
        <w:tblW w:w="8189" w:type="dxa"/>
        <w:tblInd w:w="16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6"/>
        <w:gridCol w:w="2867"/>
        <w:gridCol w:w="1523"/>
        <w:gridCol w:w="2213"/>
      </w:tblGrid>
      <w:tr w14:paraId="739C8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189" w:type="dxa"/>
            <w:gridSpan w:val="4"/>
          </w:tcPr>
          <w:p w14:paraId="2D967F92">
            <w:pPr>
              <w:pStyle w:val="21"/>
              <w:spacing w:before="53" w:line="220" w:lineRule="auto"/>
              <w:ind w:left="622"/>
              <w:rPr>
                <w:color w:val="auto"/>
                <w:lang w:eastAsia="zh-CN"/>
              </w:rPr>
            </w:pPr>
            <w:r>
              <w:rPr>
                <w:b/>
                <w:bCs/>
                <w:color w:val="auto"/>
                <w:spacing w:val="-2"/>
                <w:lang w:eastAsia="zh-CN"/>
              </w:rPr>
              <w:t>非辽宁省工程建设项目电子保函保险基础服务平台电子保函或纸质保函信息</w:t>
            </w:r>
          </w:p>
        </w:tc>
      </w:tr>
      <w:tr w14:paraId="2676C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86" w:type="dxa"/>
          </w:tcPr>
          <w:p w14:paraId="7359DB74">
            <w:pPr>
              <w:pStyle w:val="21"/>
              <w:spacing w:before="49" w:line="220" w:lineRule="auto"/>
              <w:ind w:left="165"/>
              <w:rPr>
                <w:color w:val="auto"/>
              </w:rPr>
            </w:pPr>
            <w:r>
              <w:rPr>
                <w:color w:val="auto"/>
                <w:spacing w:val="-2"/>
              </w:rPr>
              <w:t>保函承保单位</w:t>
            </w:r>
          </w:p>
        </w:tc>
        <w:tc>
          <w:tcPr>
            <w:tcW w:w="2867" w:type="dxa"/>
          </w:tcPr>
          <w:p w14:paraId="0AA51756">
            <w:pPr>
              <w:rPr>
                <w:color w:val="auto"/>
              </w:rPr>
            </w:pPr>
          </w:p>
        </w:tc>
        <w:tc>
          <w:tcPr>
            <w:tcW w:w="1523" w:type="dxa"/>
          </w:tcPr>
          <w:p w14:paraId="7F5D7F0C">
            <w:pPr>
              <w:pStyle w:val="21"/>
              <w:spacing w:before="49" w:line="220" w:lineRule="auto"/>
              <w:ind w:left="346"/>
              <w:rPr>
                <w:color w:val="auto"/>
              </w:rPr>
            </w:pPr>
            <w:r>
              <w:rPr>
                <w:color w:val="auto"/>
                <w:spacing w:val="-2"/>
              </w:rPr>
              <w:t>保函额度</w:t>
            </w:r>
          </w:p>
        </w:tc>
        <w:tc>
          <w:tcPr>
            <w:tcW w:w="2213" w:type="dxa"/>
          </w:tcPr>
          <w:p w14:paraId="4692DE28">
            <w:pPr>
              <w:rPr>
                <w:color w:val="auto"/>
              </w:rPr>
            </w:pPr>
          </w:p>
        </w:tc>
      </w:tr>
      <w:tr w14:paraId="34C3F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86" w:type="dxa"/>
          </w:tcPr>
          <w:p w14:paraId="7C75D378">
            <w:pPr>
              <w:pStyle w:val="21"/>
              <w:spacing w:before="50" w:line="220" w:lineRule="auto"/>
              <w:ind w:left="163"/>
              <w:rPr>
                <w:color w:val="auto"/>
              </w:rPr>
            </w:pPr>
            <w:r>
              <w:rPr>
                <w:color w:val="auto"/>
                <w:spacing w:val="-1"/>
              </w:rPr>
              <w:t>缴费账户名称</w:t>
            </w:r>
          </w:p>
        </w:tc>
        <w:tc>
          <w:tcPr>
            <w:tcW w:w="2867" w:type="dxa"/>
          </w:tcPr>
          <w:p w14:paraId="672786BD">
            <w:pPr>
              <w:rPr>
                <w:color w:val="auto"/>
              </w:rPr>
            </w:pPr>
          </w:p>
        </w:tc>
        <w:tc>
          <w:tcPr>
            <w:tcW w:w="1523" w:type="dxa"/>
          </w:tcPr>
          <w:p w14:paraId="70AA303F">
            <w:pPr>
              <w:pStyle w:val="21"/>
              <w:spacing w:before="50" w:line="220" w:lineRule="auto"/>
              <w:ind w:left="136"/>
              <w:rPr>
                <w:color w:val="auto"/>
              </w:rPr>
            </w:pPr>
            <w:r>
              <w:rPr>
                <w:color w:val="auto"/>
                <w:spacing w:val="-2"/>
              </w:rPr>
              <w:t>保函办理时间</w:t>
            </w:r>
          </w:p>
        </w:tc>
        <w:tc>
          <w:tcPr>
            <w:tcW w:w="2213" w:type="dxa"/>
          </w:tcPr>
          <w:p w14:paraId="3C2BD6B9">
            <w:pPr>
              <w:rPr>
                <w:color w:val="auto"/>
              </w:rPr>
            </w:pPr>
          </w:p>
        </w:tc>
      </w:tr>
      <w:tr w14:paraId="68275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86" w:type="dxa"/>
          </w:tcPr>
          <w:p w14:paraId="5D852072">
            <w:pPr>
              <w:pStyle w:val="21"/>
              <w:spacing w:before="50" w:line="220" w:lineRule="auto"/>
              <w:ind w:left="373"/>
              <w:rPr>
                <w:color w:val="auto"/>
              </w:rPr>
            </w:pPr>
            <w:r>
              <w:rPr>
                <w:color w:val="auto"/>
                <w:spacing w:val="-2"/>
              </w:rPr>
              <w:t>缴费账号</w:t>
            </w:r>
          </w:p>
        </w:tc>
        <w:tc>
          <w:tcPr>
            <w:tcW w:w="2867" w:type="dxa"/>
          </w:tcPr>
          <w:p w14:paraId="39D3040B">
            <w:pPr>
              <w:rPr>
                <w:color w:val="auto"/>
              </w:rPr>
            </w:pPr>
          </w:p>
        </w:tc>
        <w:tc>
          <w:tcPr>
            <w:tcW w:w="1523" w:type="dxa"/>
          </w:tcPr>
          <w:p w14:paraId="7F14F179">
            <w:pPr>
              <w:pStyle w:val="21"/>
              <w:spacing w:before="50" w:line="220" w:lineRule="auto"/>
              <w:ind w:left="241"/>
              <w:rPr>
                <w:color w:val="auto"/>
              </w:rPr>
            </w:pPr>
            <w:r>
              <w:rPr>
                <w:color w:val="auto"/>
                <w:spacing w:val="-2"/>
              </w:rPr>
              <w:t>保函有效期</w:t>
            </w:r>
          </w:p>
        </w:tc>
        <w:tc>
          <w:tcPr>
            <w:tcW w:w="2213" w:type="dxa"/>
          </w:tcPr>
          <w:p w14:paraId="2E27C57B">
            <w:pPr>
              <w:rPr>
                <w:color w:val="auto"/>
              </w:rPr>
            </w:pPr>
          </w:p>
        </w:tc>
      </w:tr>
      <w:tr w14:paraId="6AB49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586" w:type="dxa"/>
          </w:tcPr>
          <w:p w14:paraId="604A288E">
            <w:pPr>
              <w:pStyle w:val="21"/>
              <w:spacing w:before="51" w:line="246" w:lineRule="auto"/>
              <w:ind w:left="600" w:right="159" w:hanging="435"/>
              <w:rPr>
                <w:color w:val="auto"/>
              </w:rPr>
            </w:pPr>
            <w:r>
              <w:rPr>
                <w:color w:val="auto"/>
                <w:spacing w:val="-2"/>
              </w:rPr>
              <w:t>保函验真平台</w:t>
            </w:r>
            <w:r>
              <w:rPr>
                <w:color w:val="auto"/>
                <w:spacing w:val="-7"/>
              </w:rPr>
              <w:t>网址</w:t>
            </w:r>
          </w:p>
        </w:tc>
        <w:tc>
          <w:tcPr>
            <w:tcW w:w="6603" w:type="dxa"/>
            <w:gridSpan w:val="3"/>
          </w:tcPr>
          <w:p w14:paraId="077025C8">
            <w:pPr>
              <w:rPr>
                <w:color w:val="auto"/>
              </w:rPr>
            </w:pPr>
          </w:p>
        </w:tc>
      </w:tr>
      <w:tr w14:paraId="6D310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86" w:type="dxa"/>
            <w:vMerge w:val="restart"/>
            <w:tcBorders>
              <w:bottom w:val="nil"/>
            </w:tcBorders>
          </w:tcPr>
          <w:p w14:paraId="75C131A0">
            <w:pPr>
              <w:spacing w:line="306" w:lineRule="auto"/>
              <w:rPr>
                <w:color w:val="auto"/>
              </w:rPr>
            </w:pPr>
          </w:p>
          <w:p w14:paraId="7F34F88C">
            <w:pPr>
              <w:pStyle w:val="21"/>
              <w:spacing w:before="68" w:line="220" w:lineRule="auto"/>
              <w:ind w:left="601"/>
              <w:rPr>
                <w:color w:val="auto"/>
              </w:rPr>
            </w:pPr>
            <w:r>
              <w:rPr>
                <w:color w:val="auto"/>
                <w:spacing w:val="-7"/>
              </w:rPr>
              <w:t>附件</w:t>
            </w:r>
          </w:p>
        </w:tc>
        <w:tc>
          <w:tcPr>
            <w:tcW w:w="6603" w:type="dxa"/>
            <w:gridSpan w:val="3"/>
          </w:tcPr>
          <w:p w14:paraId="68101256">
            <w:pPr>
              <w:pStyle w:val="21"/>
              <w:spacing w:before="54" w:line="217" w:lineRule="auto"/>
              <w:ind w:left="109"/>
              <w:rPr>
                <w:color w:val="auto"/>
                <w:lang w:eastAsia="zh-CN"/>
              </w:rPr>
            </w:pPr>
            <w:r>
              <w:rPr>
                <w:color w:val="auto"/>
                <w:spacing w:val="-2"/>
                <w:lang w:eastAsia="zh-CN"/>
              </w:rPr>
              <w:t>保函扫描件（含验真材料）</w:t>
            </w:r>
          </w:p>
        </w:tc>
      </w:tr>
      <w:tr w14:paraId="393CD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586" w:type="dxa"/>
            <w:vMerge w:val="continue"/>
            <w:tcBorders>
              <w:top w:val="nil"/>
              <w:bottom w:val="nil"/>
            </w:tcBorders>
          </w:tcPr>
          <w:p w14:paraId="332C938E">
            <w:pPr>
              <w:rPr>
                <w:color w:val="auto"/>
                <w:lang w:eastAsia="zh-CN"/>
              </w:rPr>
            </w:pPr>
          </w:p>
        </w:tc>
        <w:tc>
          <w:tcPr>
            <w:tcW w:w="6603" w:type="dxa"/>
            <w:gridSpan w:val="3"/>
          </w:tcPr>
          <w:p w14:paraId="19F10603">
            <w:pPr>
              <w:pStyle w:val="21"/>
              <w:spacing w:before="55" w:line="216" w:lineRule="auto"/>
              <w:ind w:left="106"/>
              <w:rPr>
                <w:color w:val="auto"/>
              </w:rPr>
            </w:pPr>
            <w:r>
              <w:rPr>
                <w:color w:val="auto"/>
                <w:spacing w:val="-1"/>
              </w:rPr>
              <w:t>缴费凭证扫描件</w:t>
            </w:r>
          </w:p>
        </w:tc>
      </w:tr>
      <w:tr w14:paraId="56FE3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86" w:type="dxa"/>
            <w:vMerge w:val="continue"/>
            <w:tcBorders>
              <w:top w:val="nil"/>
            </w:tcBorders>
          </w:tcPr>
          <w:p w14:paraId="6A60C194">
            <w:pPr>
              <w:rPr>
                <w:color w:val="auto"/>
              </w:rPr>
            </w:pPr>
          </w:p>
        </w:tc>
        <w:tc>
          <w:tcPr>
            <w:tcW w:w="6603" w:type="dxa"/>
            <w:gridSpan w:val="3"/>
          </w:tcPr>
          <w:p w14:paraId="7CF93002">
            <w:pPr>
              <w:pStyle w:val="21"/>
              <w:spacing w:before="56" w:line="219" w:lineRule="auto"/>
              <w:ind w:left="109"/>
              <w:rPr>
                <w:color w:val="auto"/>
              </w:rPr>
            </w:pPr>
            <w:r>
              <w:rPr>
                <w:color w:val="auto"/>
                <w:spacing w:val="-3"/>
              </w:rPr>
              <w:t>其他材料（如有）</w:t>
            </w:r>
          </w:p>
        </w:tc>
      </w:tr>
    </w:tbl>
    <w:p w14:paraId="00358DE9">
      <w:pPr>
        <w:pStyle w:val="8"/>
      </w:pPr>
    </w:p>
    <w:p w14:paraId="2D3C7368">
      <w:pPr>
        <w:rPr>
          <w:color w:val="auto"/>
        </w:rPr>
        <w:sectPr>
          <w:headerReference r:id="rId136" w:type="default"/>
          <w:footerReference r:id="rId137" w:type="default"/>
          <w:pgSz w:w="11906" w:h="16839"/>
          <w:pgMar w:top="400" w:right="0" w:bottom="1147" w:left="105" w:header="0" w:footer="987" w:gutter="0"/>
          <w:cols w:space="720" w:num="1"/>
        </w:sectPr>
      </w:pPr>
    </w:p>
    <w:p w14:paraId="49A0C8FE">
      <w:pPr>
        <w:pStyle w:val="8"/>
        <w:spacing w:line="280" w:lineRule="auto"/>
      </w:pPr>
    </w:p>
    <w:p w14:paraId="39551146">
      <w:pPr>
        <w:pStyle w:val="8"/>
        <w:spacing w:line="280" w:lineRule="auto"/>
      </w:pPr>
    </w:p>
    <w:p w14:paraId="1FF9A8E3">
      <w:pPr>
        <w:pStyle w:val="8"/>
        <w:spacing w:line="280" w:lineRule="auto"/>
      </w:pPr>
    </w:p>
    <w:p w14:paraId="38A640D6">
      <w:pPr>
        <w:pStyle w:val="8"/>
        <w:spacing w:line="280" w:lineRule="auto"/>
      </w:pPr>
    </w:p>
    <w:p w14:paraId="536D5FF9">
      <w:pPr>
        <w:spacing w:before="91" w:line="222" w:lineRule="auto"/>
        <w:ind w:left="4754"/>
        <w:outlineLvl w:val="1"/>
        <w:rPr>
          <w:rFonts w:ascii="黑体" w:hAnsi="黑体" w:eastAsia="黑体" w:cs="黑体"/>
          <w:color w:val="auto"/>
          <w:sz w:val="28"/>
          <w:szCs w:val="28"/>
        </w:rPr>
      </w:pPr>
      <w:bookmarkStart w:id="428" w:name="bookmark184"/>
      <w:bookmarkEnd w:id="428"/>
      <w:bookmarkStart w:id="429" w:name="_Toc26186"/>
      <w:bookmarkStart w:id="430" w:name="_Toc17163"/>
      <w:bookmarkStart w:id="431" w:name="_Toc24906"/>
      <w:bookmarkStart w:id="432" w:name="_Toc1787"/>
      <w:bookmarkStart w:id="433" w:name="_Toc29585"/>
      <w:bookmarkStart w:id="434" w:name="_Toc30498"/>
      <w:r>
        <w:rPr>
          <w:rFonts w:ascii="黑体" w:hAnsi="黑体" w:eastAsia="黑体" w:cs="黑体"/>
          <w:color w:val="auto"/>
          <w:spacing w:val="-4"/>
          <w:sz w:val="28"/>
          <w:szCs w:val="28"/>
        </w:rPr>
        <w:t>四、联合体协议书</w:t>
      </w:r>
      <w:bookmarkEnd w:id="429"/>
      <w:bookmarkEnd w:id="430"/>
      <w:bookmarkEnd w:id="431"/>
      <w:bookmarkEnd w:id="432"/>
      <w:bookmarkEnd w:id="433"/>
      <w:bookmarkEnd w:id="434"/>
    </w:p>
    <w:p w14:paraId="19F172C0">
      <w:pPr>
        <w:spacing w:before="119" w:line="221" w:lineRule="auto"/>
        <w:ind w:left="5439"/>
        <w:rPr>
          <w:rFonts w:ascii="宋体" w:hAnsi="宋体" w:eastAsia="宋体" w:cs="宋体"/>
          <w:color w:val="auto"/>
        </w:rPr>
      </w:pPr>
      <w:r>
        <w:rPr>
          <w:rFonts w:ascii="宋体" w:hAnsi="宋体" w:eastAsia="宋体" w:cs="宋体"/>
          <w:b/>
          <w:bCs/>
          <w:color w:val="auto"/>
          <w:spacing w:val="-6"/>
        </w:rPr>
        <w:t>（如有）</w:t>
      </w:r>
    </w:p>
    <w:p w14:paraId="2804FF22">
      <w:pPr>
        <w:pStyle w:val="8"/>
        <w:spacing w:line="464" w:lineRule="auto"/>
      </w:pPr>
    </w:p>
    <w:p w14:paraId="770CE2A4">
      <w:pPr>
        <w:spacing w:before="69" w:line="220" w:lineRule="auto"/>
        <w:ind w:left="1699"/>
        <w:rPr>
          <w:rFonts w:ascii="宋体" w:hAnsi="宋体" w:eastAsia="宋体" w:cs="宋体"/>
          <w:color w:val="auto"/>
        </w:rPr>
      </w:pPr>
      <w:r>
        <w:rPr>
          <w:rFonts w:ascii="宋体" w:hAnsi="宋体" w:eastAsia="宋体" w:cs="宋体"/>
          <w:color w:val="auto"/>
          <w:spacing w:val="-1"/>
        </w:rPr>
        <w:t>牵头人名称：</w:t>
      </w:r>
    </w:p>
    <w:p w14:paraId="438DE722">
      <w:pPr>
        <w:spacing w:before="144" w:line="220" w:lineRule="auto"/>
        <w:ind w:left="1703"/>
        <w:rPr>
          <w:rFonts w:ascii="宋体" w:hAnsi="宋体" w:eastAsia="宋体" w:cs="宋体"/>
          <w:color w:val="auto"/>
        </w:rPr>
      </w:pPr>
      <w:r>
        <w:rPr>
          <w:rFonts w:ascii="宋体" w:hAnsi="宋体" w:eastAsia="宋体" w:cs="宋体"/>
          <w:color w:val="auto"/>
          <w:spacing w:val="-2"/>
        </w:rPr>
        <w:t>法定代表人：</w:t>
      </w:r>
    </w:p>
    <w:p w14:paraId="2A7A13ED">
      <w:pPr>
        <w:spacing w:before="143" w:line="221" w:lineRule="auto"/>
        <w:ind w:left="1703"/>
        <w:rPr>
          <w:rFonts w:ascii="宋体" w:hAnsi="宋体" w:eastAsia="宋体" w:cs="宋体"/>
          <w:color w:val="auto"/>
        </w:rPr>
      </w:pPr>
      <w:r>
        <w:rPr>
          <w:rFonts w:ascii="宋体" w:hAnsi="宋体" w:eastAsia="宋体" w:cs="宋体"/>
          <w:color w:val="auto"/>
          <w:spacing w:val="-2"/>
        </w:rPr>
        <w:t>法定住所：</w:t>
      </w:r>
    </w:p>
    <w:p w14:paraId="21322671">
      <w:pPr>
        <w:pStyle w:val="8"/>
        <w:spacing w:line="465" w:lineRule="auto"/>
      </w:pPr>
    </w:p>
    <w:p w14:paraId="1443E0F5">
      <w:pPr>
        <w:spacing w:before="68" w:line="222" w:lineRule="auto"/>
        <w:ind w:left="1703"/>
        <w:rPr>
          <w:rFonts w:ascii="宋体" w:hAnsi="宋体" w:eastAsia="宋体" w:cs="宋体"/>
          <w:color w:val="auto"/>
        </w:rPr>
      </w:pPr>
      <w:r>
        <w:rPr>
          <w:rFonts w:ascii="宋体" w:hAnsi="宋体" w:eastAsia="宋体" w:cs="宋体"/>
          <w:color w:val="auto"/>
          <w:spacing w:val="-2"/>
        </w:rPr>
        <w:t>成员二名称：</w:t>
      </w:r>
    </w:p>
    <w:p w14:paraId="5A4DD158">
      <w:pPr>
        <w:spacing w:before="142" w:line="220" w:lineRule="auto"/>
        <w:ind w:left="1703"/>
        <w:rPr>
          <w:rFonts w:ascii="宋体" w:hAnsi="宋体" w:eastAsia="宋体" w:cs="宋体"/>
          <w:color w:val="auto"/>
        </w:rPr>
      </w:pPr>
      <w:r>
        <w:rPr>
          <w:rFonts w:ascii="宋体" w:hAnsi="宋体" w:eastAsia="宋体" w:cs="宋体"/>
          <w:color w:val="auto"/>
          <w:spacing w:val="-2"/>
        </w:rPr>
        <w:t>法定代表人：</w:t>
      </w:r>
    </w:p>
    <w:p w14:paraId="2A9FF80E">
      <w:pPr>
        <w:spacing w:before="144" w:line="221" w:lineRule="auto"/>
        <w:ind w:left="1703"/>
        <w:rPr>
          <w:rFonts w:ascii="宋体" w:hAnsi="宋体" w:eastAsia="宋体" w:cs="宋体"/>
          <w:color w:val="auto"/>
        </w:rPr>
      </w:pPr>
      <w:r>
        <w:rPr>
          <w:rFonts w:ascii="宋体" w:hAnsi="宋体" w:eastAsia="宋体" w:cs="宋体"/>
          <w:color w:val="auto"/>
          <w:spacing w:val="-2"/>
        </w:rPr>
        <w:t>法定住所：</w:t>
      </w:r>
    </w:p>
    <w:p w14:paraId="17970EE2">
      <w:pPr>
        <w:spacing w:before="143" w:line="331" w:lineRule="exact"/>
        <w:ind w:left="2240"/>
        <w:rPr>
          <w:rFonts w:ascii="宋体" w:hAnsi="宋体" w:eastAsia="宋体" w:cs="宋体"/>
          <w:color w:val="auto"/>
        </w:rPr>
      </w:pPr>
      <w:r>
        <w:rPr>
          <w:rFonts w:ascii="宋体" w:hAnsi="宋体" w:eastAsia="宋体" w:cs="宋体"/>
          <w:color w:val="auto"/>
          <w:spacing w:val="-6"/>
          <w:position w:val="2"/>
        </w:rPr>
        <w:t>……</w:t>
      </w:r>
    </w:p>
    <w:p w14:paraId="019DA518">
      <w:pPr>
        <w:spacing w:before="64" w:line="346" w:lineRule="auto"/>
        <w:ind w:left="1702" w:right="1709" w:firstLine="422"/>
        <w:jc w:val="both"/>
        <w:rPr>
          <w:rFonts w:ascii="宋体" w:hAnsi="宋体" w:eastAsia="宋体" w:cs="宋体"/>
          <w:color w:val="auto"/>
          <w:lang w:eastAsia="zh-CN"/>
        </w:rPr>
      </w:pPr>
      <w:r>
        <w:rPr>
          <w:rFonts w:ascii="宋体" w:hAnsi="宋体" w:eastAsia="宋体" w:cs="宋体"/>
          <w:color w:val="auto"/>
          <w:spacing w:val="-1"/>
          <w:lang w:eastAsia="zh-CN"/>
        </w:rPr>
        <w:t>鉴于上述各成员单位经过友好协商，自愿组成（联合体名称）联合体</w:t>
      </w:r>
      <w:r>
        <w:rPr>
          <w:rFonts w:ascii="宋体" w:hAnsi="宋体" w:eastAsia="宋体" w:cs="宋体"/>
          <w:color w:val="auto"/>
          <w:spacing w:val="-2"/>
          <w:lang w:eastAsia="zh-CN"/>
        </w:rPr>
        <w:t>，共同参</w:t>
      </w:r>
      <w:r>
        <w:rPr>
          <w:rFonts w:ascii="宋体" w:hAnsi="宋体" w:eastAsia="宋体" w:cs="宋体"/>
          <w:color w:val="auto"/>
          <w:spacing w:val="-1"/>
          <w:lang w:eastAsia="zh-CN"/>
        </w:rPr>
        <w:t>加（招标人名称</w:t>
      </w:r>
      <w:r>
        <w:rPr>
          <w:rFonts w:ascii="宋体" w:hAnsi="宋体" w:eastAsia="宋体" w:cs="宋体"/>
          <w:color w:val="auto"/>
          <w:spacing w:val="-20"/>
          <w:lang w:eastAsia="zh-CN"/>
        </w:rPr>
        <w:t>）（</w:t>
      </w:r>
      <w:r>
        <w:rPr>
          <w:rFonts w:ascii="宋体" w:hAnsi="宋体" w:eastAsia="宋体" w:cs="宋体"/>
          <w:color w:val="auto"/>
          <w:spacing w:val="-1"/>
          <w:lang w:eastAsia="zh-CN"/>
        </w:rPr>
        <w:t>以下简称招标人</w:t>
      </w:r>
      <w:r>
        <w:rPr>
          <w:rFonts w:ascii="宋体" w:hAnsi="宋体" w:eastAsia="宋体" w:cs="宋体"/>
          <w:color w:val="auto"/>
          <w:spacing w:val="-20"/>
          <w:lang w:eastAsia="zh-CN"/>
        </w:rPr>
        <w:t>）（</w:t>
      </w:r>
      <w:r>
        <w:rPr>
          <w:rFonts w:ascii="宋体" w:hAnsi="宋体" w:eastAsia="宋体" w:cs="宋体"/>
          <w:color w:val="auto"/>
          <w:spacing w:val="-2"/>
          <w:lang w:eastAsia="zh-CN"/>
        </w:rPr>
        <w:t>标段名称）</w:t>
      </w:r>
      <w:r>
        <w:rPr>
          <w:rFonts w:ascii="宋体" w:hAnsi="宋体" w:eastAsia="宋体" w:cs="宋体"/>
          <w:color w:val="auto"/>
          <w:spacing w:val="-3"/>
          <w:lang w:eastAsia="zh-CN"/>
        </w:rPr>
        <w:t>（以下简称本工程）的设备采购并争取赢得本项目合同（以下简称合同）。现就联合体投标</w:t>
      </w:r>
      <w:r>
        <w:rPr>
          <w:rFonts w:ascii="宋体" w:hAnsi="宋体" w:eastAsia="宋体" w:cs="宋体"/>
          <w:color w:val="auto"/>
          <w:spacing w:val="-6"/>
          <w:lang w:eastAsia="zh-CN"/>
        </w:rPr>
        <w:t>事宜订立如下协议：</w:t>
      </w:r>
    </w:p>
    <w:p w14:paraId="5BFB211E">
      <w:pPr>
        <w:spacing w:before="1" w:line="219" w:lineRule="auto"/>
        <w:ind w:left="2138"/>
        <w:rPr>
          <w:rFonts w:ascii="宋体" w:hAnsi="宋体" w:eastAsia="宋体" w:cs="宋体"/>
          <w:color w:val="auto"/>
          <w:lang w:eastAsia="zh-CN"/>
        </w:rPr>
      </w:pPr>
      <w:r>
        <w:rPr>
          <w:rFonts w:ascii="Times New Roman" w:hAnsi="Times New Roman" w:eastAsia="Times New Roman" w:cs="Times New Roman"/>
          <w:color w:val="auto"/>
          <w:spacing w:val="-2"/>
          <w:lang w:eastAsia="zh-CN"/>
        </w:rPr>
        <w:t>1</w:t>
      </w:r>
      <w:r>
        <w:rPr>
          <w:rFonts w:ascii="宋体" w:hAnsi="宋体" w:eastAsia="宋体" w:cs="宋体"/>
          <w:color w:val="auto"/>
          <w:spacing w:val="-11"/>
          <w:lang w:eastAsia="zh-CN"/>
        </w:rPr>
        <w:t>．（</w:t>
      </w:r>
      <w:r>
        <w:rPr>
          <w:rFonts w:ascii="宋体" w:hAnsi="宋体" w:eastAsia="宋体" w:cs="宋体"/>
          <w:color w:val="auto"/>
          <w:spacing w:val="-2"/>
          <w:lang w:eastAsia="zh-CN"/>
        </w:rPr>
        <w:t>某成员单位名称）为（联合体名称）牵头人。</w:t>
      </w:r>
    </w:p>
    <w:p w14:paraId="2BEDEAD4">
      <w:pPr>
        <w:spacing w:before="144" w:line="304" w:lineRule="auto"/>
        <w:ind w:left="1702" w:right="1724" w:firstLine="416"/>
        <w:rPr>
          <w:rFonts w:ascii="宋体" w:hAnsi="宋体" w:eastAsia="宋体" w:cs="宋体"/>
          <w:color w:val="auto"/>
          <w:lang w:eastAsia="zh-CN"/>
        </w:rPr>
      </w:pP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．在本设备项目投标阶段，联合体牵头人合法代表联合体各成员负责本项目</w:t>
      </w:r>
      <w:r>
        <w:rPr>
          <w:rFonts w:hint="eastAsia" w:ascii="宋体" w:hAnsi="宋体" w:eastAsia="宋体" w:cs="宋体"/>
          <w:color w:val="auto"/>
          <w:spacing w:val="-1"/>
          <w:lang w:eastAsia="zh-CN"/>
        </w:rPr>
        <w:t>投</w:t>
      </w:r>
      <w:r>
        <w:rPr>
          <w:rFonts w:ascii="宋体" w:hAnsi="宋体" w:eastAsia="宋体" w:cs="宋体"/>
          <w:color w:val="auto"/>
          <w:spacing w:val="-1"/>
          <w:lang w:eastAsia="zh-CN"/>
        </w:rPr>
        <w:t>标文件编</w:t>
      </w:r>
      <w:r>
        <w:rPr>
          <w:rFonts w:ascii="宋体" w:hAnsi="宋体" w:eastAsia="宋体" w:cs="宋体"/>
          <w:color w:val="auto"/>
          <w:spacing w:val="-5"/>
          <w:lang w:eastAsia="zh-CN"/>
        </w:rPr>
        <w:t>制活动，代表联合体提交和接收相关的资料、信息及指示， 并处理与投标和中标有</w:t>
      </w:r>
      <w:r>
        <w:rPr>
          <w:rFonts w:ascii="宋体" w:hAnsi="宋体" w:eastAsia="宋体" w:cs="宋体"/>
          <w:color w:val="auto"/>
          <w:spacing w:val="-6"/>
          <w:lang w:eastAsia="zh-CN"/>
        </w:rPr>
        <w:t>关的一切事务；联合体中标后，联合体牵头人负责合同订立和合同实施阶段的主办、组织和协调工作。</w:t>
      </w:r>
    </w:p>
    <w:p w14:paraId="0C88C1EF">
      <w:pPr>
        <w:spacing w:before="146" w:line="304" w:lineRule="auto"/>
        <w:ind w:left="1703" w:right="1799" w:firstLine="419"/>
        <w:rPr>
          <w:rFonts w:ascii="宋体" w:hAnsi="宋体" w:eastAsia="宋体" w:cs="宋体"/>
          <w:color w:val="auto"/>
          <w:lang w:eastAsia="zh-CN"/>
        </w:rPr>
      </w:pP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．联合体将严格按照招标文件的各项要求，递交投标文件，履行投标义务和中标后的</w:t>
      </w:r>
      <w:r>
        <w:rPr>
          <w:rFonts w:ascii="宋体" w:hAnsi="宋体" w:eastAsia="宋体" w:cs="宋体"/>
          <w:color w:val="auto"/>
          <w:spacing w:val="-3"/>
          <w:lang w:eastAsia="zh-CN"/>
        </w:rPr>
        <w:t>合同，共同承担合同规定的一切义务和责任，联合体各成员单位按照内部职责的部分，承担</w:t>
      </w:r>
      <w:r>
        <w:rPr>
          <w:rFonts w:ascii="宋体" w:hAnsi="宋体" w:eastAsia="宋体" w:cs="宋体"/>
          <w:color w:val="auto"/>
          <w:spacing w:val="-2"/>
          <w:lang w:eastAsia="zh-CN"/>
        </w:rPr>
        <w:t>各自所负的责任和风险，并向招标人承担连带责任。</w:t>
      </w:r>
    </w:p>
    <w:p w14:paraId="248B0967">
      <w:pPr>
        <w:spacing w:before="144" w:line="220" w:lineRule="auto"/>
        <w:ind w:left="2117"/>
        <w:rPr>
          <w:rFonts w:ascii="宋体" w:hAnsi="宋体" w:eastAsia="宋体" w:cs="宋体"/>
          <w:color w:val="auto"/>
          <w:lang w:eastAsia="zh-CN"/>
        </w:rPr>
      </w:pP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．联合体各成员单位内部的职责分工如下：</w:t>
      </w:r>
    </w:p>
    <w:p w14:paraId="0350BCF9">
      <w:pPr>
        <w:tabs>
          <w:tab w:val="left" w:pos="9674"/>
        </w:tabs>
        <w:spacing w:before="277" w:line="94" w:lineRule="auto"/>
        <w:ind w:left="1694"/>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w:t>
      </w:r>
    </w:p>
    <w:p w14:paraId="4B1FAFF4">
      <w:pPr>
        <w:spacing w:before="153" w:line="220" w:lineRule="auto"/>
        <w:ind w:left="2124"/>
        <w:rPr>
          <w:rFonts w:ascii="宋体" w:hAnsi="宋体" w:eastAsia="宋体" w:cs="宋体"/>
          <w:color w:val="auto"/>
          <w:lang w:eastAsia="zh-CN"/>
        </w:rPr>
      </w:pPr>
      <w:r>
        <w:rPr>
          <w:rFonts w:ascii="Times New Roman" w:hAnsi="Times New Roman" w:eastAsia="Times New Roman" w:cs="Times New Roman"/>
          <w:color w:val="auto"/>
          <w:spacing w:val="-2"/>
          <w:lang w:eastAsia="zh-CN"/>
        </w:rPr>
        <w:t>5</w:t>
      </w:r>
      <w:r>
        <w:rPr>
          <w:rFonts w:ascii="宋体" w:hAnsi="宋体" w:eastAsia="宋体" w:cs="宋体"/>
          <w:color w:val="auto"/>
          <w:spacing w:val="-2"/>
          <w:lang w:eastAsia="zh-CN"/>
        </w:rPr>
        <w:t>．投标工作和联合体在中标后项目实施过程中的有关费用按各自承担的工作量分摊。</w:t>
      </w:r>
    </w:p>
    <w:p w14:paraId="312862C3">
      <w:pPr>
        <w:spacing w:before="143" w:line="220" w:lineRule="auto"/>
        <w:ind w:left="2123"/>
        <w:rPr>
          <w:rFonts w:ascii="宋体" w:hAnsi="宋体" w:eastAsia="宋体" w:cs="宋体"/>
          <w:color w:val="auto"/>
          <w:lang w:eastAsia="zh-CN"/>
        </w:rPr>
      </w:pPr>
      <w:r>
        <w:rPr>
          <w:rFonts w:ascii="Times New Roman" w:hAnsi="Times New Roman" w:eastAsia="Times New Roman" w:cs="Times New Roman"/>
          <w:color w:val="auto"/>
          <w:spacing w:val="-2"/>
          <w:lang w:eastAsia="zh-CN"/>
        </w:rPr>
        <w:t>6</w:t>
      </w:r>
      <w:r>
        <w:rPr>
          <w:rFonts w:ascii="宋体" w:hAnsi="宋体" w:eastAsia="宋体" w:cs="宋体"/>
          <w:color w:val="auto"/>
          <w:spacing w:val="-2"/>
          <w:lang w:eastAsia="zh-CN"/>
        </w:rPr>
        <w:t>．联合体中标后，本联合体协议是合同的附件，对联合体各成员单位有合同约束力。</w:t>
      </w:r>
    </w:p>
    <w:p w14:paraId="23D00965">
      <w:pPr>
        <w:spacing w:before="144" w:line="220" w:lineRule="auto"/>
        <w:ind w:left="2121"/>
        <w:rPr>
          <w:rFonts w:ascii="宋体" w:hAnsi="宋体" w:eastAsia="宋体" w:cs="宋体"/>
          <w:color w:val="auto"/>
          <w:lang w:eastAsia="zh-CN"/>
        </w:rPr>
      </w:pPr>
      <w:r>
        <w:rPr>
          <w:rFonts w:ascii="Times New Roman" w:hAnsi="Times New Roman" w:eastAsia="Times New Roman" w:cs="Times New Roman"/>
          <w:color w:val="auto"/>
          <w:spacing w:val="-2"/>
          <w:lang w:eastAsia="zh-CN"/>
        </w:rPr>
        <w:t>7</w:t>
      </w:r>
      <w:r>
        <w:rPr>
          <w:rFonts w:ascii="宋体" w:hAnsi="宋体" w:eastAsia="宋体" w:cs="宋体"/>
          <w:color w:val="auto"/>
          <w:spacing w:val="-2"/>
          <w:lang w:eastAsia="zh-CN"/>
        </w:rPr>
        <w:t>．本协议书自签署之日起生效，联合体未中标或者中标合同履行完毕后自动失效。</w:t>
      </w:r>
    </w:p>
    <w:p w14:paraId="077EF1DB">
      <w:pPr>
        <w:spacing w:before="144" w:line="220" w:lineRule="auto"/>
        <w:ind w:left="2126"/>
        <w:rPr>
          <w:rFonts w:ascii="宋体" w:hAnsi="宋体" w:eastAsia="宋体" w:cs="宋体"/>
          <w:color w:val="auto"/>
          <w:lang w:eastAsia="zh-CN"/>
        </w:rPr>
      </w:pPr>
      <w:r>
        <w:rPr>
          <w:rFonts w:ascii="Times New Roman" w:hAnsi="Times New Roman" w:eastAsia="Times New Roman" w:cs="Times New Roman"/>
          <w:color w:val="auto"/>
          <w:spacing w:val="-2"/>
          <w:lang w:eastAsia="zh-CN"/>
        </w:rPr>
        <w:t>8</w:t>
      </w:r>
      <w:r>
        <w:rPr>
          <w:rFonts w:ascii="宋体" w:hAnsi="宋体" w:eastAsia="宋体" w:cs="宋体"/>
          <w:color w:val="auto"/>
          <w:spacing w:val="-2"/>
          <w:lang w:eastAsia="zh-CN"/>
        </w:rPr>
        <w:t>．本协议书一式</w:t>
      </w:r>
      <w:r>
        <w:rPr>
          <w:rFonts w:hint="eastAsia" w:ascii="宋体" w:hAnsi="宋体" w:eastAsia="宋体" w:cs="宋体"/>
          <w:color w:val="auto"/>
          <w:spacing w:val="-2"/>
          <w:lang w:eastAsia="zh-CN"/>
        </w:rPr>
        <w:t>两</w:t>
      </w:r>
      <w:r>
        <w:rPr>
          <w:rFonts w:ascii="宋体" w:hAnsi="宋体" w:eastAsia="宋体" w:cs="宋体"/>
          <w:color w:val="auto"/>
          <w:spacing w:val="-2"/>
          <w:lang w:eastAsia="zh-CN"/>
        </w:rPr>
        <w:t>份，联合体成员和招标人各执一份。</w:t>
      </w:r>
    </w:p>
    <w:p w14:paraId="560626B4">
      <w:pPr>
        <w:pStyle w:val="8"/>
        <w:spacing w:line="286" w:lineRule="auto"/>
        <w:rPr>
          <w:lang w:eastAsia="zh-CN"/>
        </w:rPr>
      </w:pPr>
    </w:p>
    <w:p w14:paraId="0A9E005B">
      <w:pPr>
        <w:pStyle w:val="8"/>
        <w:spacing w:line="286" w:lineRule="auto"/>
        <w:rPr>
          <w:lang w:eastAsia="zh-CN"/>
        </w:rPr>
      </w:pPr>
    </w:p>
    <w:p w14:paraId="7E3648DA">
      <w:pPr>
        <w:pStyle w:val="8"/>
        <w:spacing w:line="286" w:lineRule="auto"/>
        <w:rPr>
          <w:lang w:eastAsia="zh-CN"/>
        </w:rPr>
      </w:pPr>
    </w:p>
    <w:p w14:paraId="42264905">
      <w:pPr>
        <w:spacing w:before="68" w:line="220" w:lineRule="auto"/>
        <w:ind w:left="3799"/>
        <w:rPr>
          <w:rFonts w:ascii="宋体" w:hAnsi="宋体" w:eastAsia="宋体" w:cs="宋体"/>
          <w:color w:val="auto"/>
          <w:lang w:eastAsia="zh-CN"/>
        </w:rPr>
      </w:pPr>
      <w:r>
        <w:rPr>
          <w:rFonts w:ascii="宋体" w:hAnsi="宋体" w:eastAsia="宋体" w:cs="宋体"/>
          <w:color w:val="auto"/>
          <w:spacing w:val="-2"/>
          <w:lang w:eastAsia="zh-CN"/>
        </w:rPr>
        <w:t>牵头人名称</w:t>
      </w:r>
      <w:r>
        <w:rPr>
          <w:rFonts w:ascii="宋体" w:hAnsi="宋体" w:eastAsia="宋体" w:cs="宋体"/>
          <w:color w:val="auto"/>
          <w:lang w:eastAsia="zh-CN"/>
        </w:rPr>
        <w:t>：（</w:t>
      </w:r>
      <w:r>
        <w:rPr>
          <w:rFonts w:ascii="宋体" w:hAnsi="宋体" w:eastAsia="宋体" w:cs="宋体"/>
          <w:color w:val="auto"/>
          <w:spacing w:val="-2"/>
          <w:lang w:eastAsia="zh-CN"/>
        </w:rPr>
        <w:t>盖单位章）</w:t>
      </w:r>
    </w:p>
    <w:p w14:paraId="727DEA6F">
      <w:pPr>
        <w:spacing w:before="62" w:line="220" w:lineRule="auto"/>
        <w:ind w:left="3803"/>
        <w:rPr>
          <w:rFonts w:ascii="宋体" w:hAnsi="宋体" w:eastAsia="宋体" w:cs="宋体"/>
          <w:color w:val="auto"/>
          <w:lang w:eastAsia="zh-CN"/>
        </w:rPr>
      </w:pPr>
      <w:r>
        <w:rPr>
          <w:rFonts w:ascii="宋体" w:hAnsi="宋体" w:eastAsia="宋体" w:cs="宋体"/>
          <w:color w:val="auto"/>
          <w:spacing w:val="-2"/>
          <w:lang w:eastAsia="zh-CN"/>
        </w:rPr>
        <w:t>法定代表人或授权委托人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478D6CDF">
      <w:pPr>
        <w:pStyle w:val="8"/>
        <w:spacing w:line="466" w:lineRule="auto"/>
        <w:rPr>
          <w:lang w:eastAsia="zh-CN"/>
        </w:rPr>
      </w:pPr>
    </w:p>
    <w:p w14:paraId="79B67289">
      <w:pPr>
        <w:spacing w:before="69" w:line="220" w:lineRule="auto"/>
        <w:ind w:left="3906"/>
        <w:rPr>
          <w:rFonts w:ascii="宋体" w:hAnsi="宋体" w:eastAsia="宋体" w:cs="宋体"/>
          <w:color w:val="auto"/>
          <w:lang w:eastAsia="zh-CN"/>
        </w:rPr>
      </w:pPr>
      <w:r>
        <w:rPr>
          <w:rFonts w:ascii="宋体" w:hAnsi="宋体" w:eastAsia="宋体" w:cs="宋体"/>
          <w:color w:val="auto"/>
          <w:spacing w:val="-10"/>
          <w:lang w:eastAsia="zh-CN"/>
        </w:rPr>
        <w:t>成员二名称</w:t>
      </w:r>
      <w:r>
        <w:rPr>
          <w:rFonts w:ascii="宋体" w:hAnsi="宋体" w:eastAsia="宋体" w:cs="宋体"/>
          <w:color w:val="auto"/>
          <w:spacing w:val="-8"/>
          <w:lang w:eastAsia="zh-CN"/>
        </w:rPr>
        <w:t>：（</w:t>
      </w:r>
      <w:r>
        <w:rPr>
          <w:rFonts w:ascii="宋体" w:hAnsi="宋体" w:eastAsia="宋体" w:cs="宋体"/>
          <w:color w:val="auto"/>
          <w:spacing w:val="-10"/>
          <w:lang w:eastAsia="zh-CN"/>
        </w:rPr>
        <w:t>盖单位章）</w:t>
      </w:r>
    </w:p>
    <w:p w14:paraId="573C817E">
      <w:pPr>
        <w:spacing w:before="144" w:line="220" w:lineRule="auto"/>
        <w:ind w:left="3906"/>
        <w:rPr>
          <w:rFonts w:ascii="宋体" w:hAnsi="宋体" w:eastAsia="宋体" w:cs="宋体"/>
          <w:color w:val="auto"/>
          <w:lang w:eastAsia="zh-CN"/>
        </w:rPr>
      </w:pPr>
      <w:r>
        <w:rPr>
          <w:rFonts w:ascii="宋体" w:hAnsi="宋体" w:eastAsia="宋体" w:cs="宋体"/>
          <w:color w:val="auto"/>
          <w:spacing w:val="-8"/>
          <w:lang w:eastAsia="zh-CN"/>
        </w:rPr>
        <w:t>法定代表人或授权委托人</w:t>
      </w:r>
      <w:r>
        <w:rPr>
          <w:rFonts w:ascii="宋体" w:hAnsi="宋体" w:eastAsia="宋体" w:cs="宋体"/>
          <w:color w:val="auto"/>
          <w:spacing w:val="-1"/>
          <w:lang w:eastAsia="zh-CN"/>
        </w:rPr>
        <w:t>：（</w:t>
      </w:r>
      <w:r>
        <w:rPr>
          <w:rFonts w:ascii="宋体" w:hAnsi="宋体" w:eastAsia="宋体" w:cs="宋体"/>
          <w:color w:val="auto"/>
          <w:spacing w:val="-8"/>
          <w:lang w:eastAsia="zh-CN"/>
        </w:rPr>
        <w:t>签章）</w:t>
      </w:r>
    </w:p>
    <w:p w14:paraId="461F8989">
      <w:pPr>
        <w:spacing w:line="220" w:lineRule="auto"/>
        <w:rPr>
          <w:rFonts w:ascii="宋体" w:hAnsi="宋体" w:eastAsia="宋体" w:cs="宋体"/>
          <w:color w:val="auto"/>
          <w:lang w:eastAsia="zh-CN"/>
        </w:rPr>
        <w:sectPr>
          <w:headerReference r:id="rId138" w:type="default"/>
          <w:footerReference r:id="rId139" w:type="default"/>
          <w:pgSz w:w="11906" w:h="16839"/>
          <w:pgMar w:top="400" w:right="0" w:bottom="1147" w:left="105" w:header="0" w:footer="987" w:gutter="0"/>
          <w:cols w:space="720" w:num="1"/>
        </w:sectPr>
      </w:pPr>
    </w:p>
    <w:p w14:paraId="35818785">
      <w:pPr>
        <w:spacing w:before="42"/>
        <w:rPr>
          <w:color w:val="auto"/>
          <w:lang w:eastAsia="zh-CN"/>
        </w:rPr>
      </w:pPr>
    </w:p>
    <w:p w14:paraId="2EFD063B">
      <w:pPr>
        <w:spacing w:before="42"/>
        <w:rPr>
          <w:color w:val="auto"/>
          <w:lang w:eastAsia="zh-CN"/>
        </w:rPr>
      </w:pPr>
    </w:p>
    <w:p w14:paraId="020D2194">
      <w:pPr>
        <w:spacing w:before="41"/>
        <w:rPr>
          <w:color w:val="auto"/>
          <w:lang w:eastAsia="zh-CN"/>
        </w:rPr>
      </w:pPr>
    </w:p>
    <w:p w14:paraId="26A1F6F7">
      <w:pPr>
        <w:spacing w:before="41"/>
        <w:rPr>
          <w:color w:val="auto"/>
          <w:lang w:eastAsia="zh-CN"/>
        </w:rPr>
      </w:pPr>
    </w:p>
    <w:p w14:paraId="0CFEE1E3">
      <w:pPr>
        <w:rPr>
          <w:color w:val="auto"/>
          <w:lang w:eastAsia="zh-CN"/>
        </w:rPr>
        <w:sectPr>
          <w:footerReference r:id="rId140" w:type="default"/>
          <w:pgSz w:w="11906" w:h="16839"/>
          <w:pgMar w:top="400" w:right="0" w:bottom="1147" w:left="105" w:header="0" w:footer="987" w:gutter="0"/>
          <w:cols w:equalWidth="0" w:num="1">
            <w:col w:w="11801"/>
          </w:cols>
        </w:sectPr>
      </w:pPr>
    </w:p>
    <w:p w14:paraId="0195651E">
      <w:pPr>
        <w:spacing w:before="42" w:line="331" w:lineRule="exact"/>
        <w:ind w:left="4235"/>
        <w:rPr>
          <w:rFonts w:ascii="宋体" w:hAnsi="宋体" w:eastAsia="宋体" w:cs="宋体"/>
          <w:color w:val="auto"/>
          <w:lang w:eastAsia="zh-CN"/>
        </w:rPr>
      </w:pPr>
      <w:r>
        <w:rPr>
          <w:rFonts w:ascii="宋体" w:hAnsi="宋体" w:eastAsia="宋体" w:cs="宋体"/>
          <w:color w:val="auto"/>
          <w:spacing w:val="-6"/>
          <w:position w:val="2"/>
          <w:lang w:eastAsia="zh-CN"/>
        </w:rPr>
        <w:t>……</w:t>
      </w:r>
    </w:p>
    <w:p w14:paraId="5B11AFD2">
      <w:pPr>
        <w:spacing w:before="73"/>
        <w:rPr>
          <w:color w:val="auto"/>
          <w:lang w:eastAsia="zh-CN"/>
        </w:rPr>
      </w:pPr>
    </w:p>
    <w:p w14:paraId="117312D2">
      <w:pPr>
        <w:pStyle w:val="8"/>
        <w:spacing w:line="14" w:lineRule="auto"/>
        <w:rPr>
          <w:sz w:val="2"/>
          <w:lang w:eastAsia="zh-CN"/>
        </w:rPr>
      </w:pPr>
      <w:r>
        <w:rPr>
          <w:sz w:val="2"/>
          <w:szCs w:val="2"/>
          <w:lang w:eastAsia="zh-CN"/>
        </w:rPr>
        <w:br w:type="column"/>
      </w:r>
    </w:p>
    <w:p w14:paraId="7CD12905">
      <w:pPr>
        <w:pStyle w:val="8"/>
        <w:spacing w:line="364" w:lineRule="auto"/>
        <w:rPr>
          <w:lang w:eastAsia="zh-CN"/>
        </w:rPr>
      </w:pPr>
    </w:p>
    <w:p w14:paraId="7815BEAA">
      <w:pPr>
        <w:tabs>
          <w:tab w:val="left" w:pos="840"/>
        </w:tabs>
        <w:spacing w:before="68" w:line="220"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5CF85C42">
      <w:pPr>
        <w:spacing w:line="220" w:lineRule="auto"/>
        <w:rPr>
          <w:rFonts w:ascii="宋体" w:hAnsi="宋体" w:eastAsia="宋体" w:cs="宋体"/>
          <w:color w:val="auto"/>
          <w:lang w:eastAsia="zh-CN"/>
        </w:rPr>
        <w:sectPr>
          <w:type w:val="continuous"/>
          <w:pgSz w:w="11906" w:h="16839"/>
          <w:pgMar w:top="400" w:right="0" w:bottom="1147" w:left="105" w:header="0" w:footer="987" w:gutter="0"/>
          <w:cols w:equalWidth="0" w:num="2">
            <w:col w:w="5596" w:space="100"/>
            <w:col w:w="6105"/>
          </w:cols>
        </w:sectPr>
      </w:pPr>
    </w:p>
    <w:p w14:paraId="40F1A99F">
      <w:pPr>
        <w:pStyle w:val="8"/>
        <w:spacing w:line="251" w:lineRule="auto"/>
        <w:rPr>
          <w:lang w:eastAsia="zh-CN"/>
        </w:rPr>
      </w:pPr>
    </w:p>
    <w:p w14:paraId="547EEC34">
      <w:pPr>
        <w:pStyle w:val="8"/>
        <w:spacing w:line="251" w:lineRule="auto"/>
        <w:rPr>
          <w:lang w:eastAsia="zh-CN"/>
        </w:rPr>
      </w:pPr>
    </w:p>
    <w:p w14:paraId="2AAD2FCD">
      <w:pPr>
        <w:pStyle w:val="8"/>
        <w:spacing w:line="251" w:lineRule="auto"/>
        <w:rPr>
          <w:lang w:eastAsia="zh-CN"/>
        </w:rPr>
      </w:pPr>
    </w:p>
    <w:p w14:paraId="29E346DE">
      <w:pPr>
        <w:pStyle w:val="8"/>
        <w:spacing w:line="251" w:lineRule="auto"/>
        <w:rPr>
          <w:lang w:eastAsia="zh-CN"/>
        </w:rPr>
      </w:pPr>
    </w:p>
    <w:p w14:paraId="7A12DEB9">
      <w:pPr>
        <w:pStyle w:val="8"/>
        <w:spacing w:line="251" w:lineRule="auto"/>
        <w:rPr>
          <w:lang w:eastAsia="zh-CN"/>
        </w:rPr>
      </w:pPr>
    </w:p>
    <w:p w14:paraId="53B1118B">
      <w:pPr>
        <w:pStyle w:val="8"/>
        <w:spacing w:line="251" w:lineRule="auto"/>
        <w:rPr>
          <w:lang w:eastAsia="zh-CN"/>
        </w:rPr>
      </w:pPr>
    </w:p>
    <w:p w14:paraId="58B86E3A">
      <w:pPr>
        <w:pStyle w:val="8"/>
        <w:spacing w:line="251" w:lineRule="auto"/>
        <w:rPr>
          <w:lang w:eastAsia="zh-CN"/>
        </w:rPr>
      </w:pPr>
    </w:p>
    <w:p w14:paraId="44519F9E">
      <w:pPr>
        <w:pStyle w:val="8"/>
        <w:spacing w:line="251" w:lineRule="auto"/>
        <w:rPr>
          <w:lang w:eastAsia="zh-CN"/>
        </w:rPr>
      </w:pPr>
    </w:p>
    <w:p w14:paraId="062A3C5E">
      <w:pPr>
        <w:pStyle w:val="8"/>
        <w:spacing w:line="251" w:lineRule="auto"/>
        <w:rPr>
          <w:lang w:eastAsia="zh-CN"/>
        </w:rPr>
      </w:pPr>
    </w:p>
    <w:p w14:paraId="3D475303">
      <w:pPr>
        <w:pStyle w:val="8"/>
        <w:spacing w:line="251" w:lineRule="auto"/>
        <w:rPr>
          <w:lang w:eastAsia="zh-CN"/>
        </w:rPr>
      </w:pPr>
    </w:p>
    <w:p w14:paraId="77434F5F">
      <w:pPr>
        <w:pStyle w:val="8"/>
        <w:spacing w:line="251" w:lineRule="auto"/>
        <w:rPr>
          <w:lang w:eastAsia="zh-CN"/>
        </w:rPr>
      </w:pPr>
    </w:p>
    <w:p w14:paraId="2D3D6789">
      <w:pPr>
        <w:pStyle w:val="8"/>
        <w:spacing w:line="251" w:lineRule="auto"/>
        <w:rPr>
          <w:lang w:eastAsia="zh-CN"/>
        </w:rPr>
      </w:pPr>
    </w:p>
    <w:p w14:paraId="6F42B6B7">
      <w:pPr>
        <w:pStyle w:val="8"/>
        <w:spacing w:line="251" w:lineRule="auto"/>
        <w:rPr>
          <w:lang w:eastAsia="zh-CN"/>
        </w:rPr>
      </w:pPr>
    </w:p>
    <w:p w14:paraId="3D8E971F">
      <w:pPr>
        <w:pStyle w:val="8"/>
        <w:spacing w:line="252" w:lineRule="auto"/>
        <w:rPr>
          <w:lang w:eastAsia="zh-CN"/>
        </w:rPr>
      </w:pPr>
    </w:p>
    <w:p w14:paraId="29DA3C70">
      <w:pPr>
        <w:pStyle w:val="8"/>
        <w:spacing w:line="252" w:lineRule="auto"/>
        <w:rPr>
          <w:lang w:eastAsia="zh-CN"/>
        </w:rPr>
      </w:pPr>
    </w:p>
    <w:p w14:paraId="71FB7743">
      <w:pPr>
        <w:pStyle w:val="8"/>
        <w:spacing w:line="252" w:lineRule="auto"/>
        <w:rPr>
          <w:lang w:eastAsia="zh-CN"/>
        </w:rPr>
      </w:pPr>
    </w:p>
    <w:p w14:paraId="79949FC6">
      <w:pPr>
        <w:pStyle w:val="8"/>
        <w:spacing w:line="252" w:lineRule="auto"/>
        <w:rPr>
          <w:lang w:eastAsia="zh-CN"/>
        </w:rPr>
      </w:pPr>
    </w:p>
    <w:p w14:paraId="06C61033">
      <w:pPr>
        <w:pStyle w:val="8"/>
        <w:spacing w:line="252" w:lineRule="auto"/>
        <w:rPr>
          <w:lang w:eastAsia="zh-CN"/>
        </w:rPr>
      </w:pPr>
    </w:p>
    <w:p w14:paraId="3C402829">
      <w:pPr>
        <w:pStyle w:val="8"/>
        <w:spacing w:line="252" w:lineRule="auto"/>
        <w:rPr>
          <w:lang w:eastAsia="zh-CN"/>
        </w:rPr>
      </w:pPr>
    </w:p>
    <w:p w14:paraId="2910D60A">
      <w:pPr>
        <w:spacing w:before="69" w:line="220" w:lineRule="auto"/>
        <w:ind w:left="1704"/>
        <w:rPr>
          <w:rFonts w:ascii="宋体" w:hAnsi="宋体" w:eastAsia="宋体" w:cs="宋体"/>
          <w:color w:val="auto"/>
          <w:lang w:eastAsia="zh-CN"/>
        </w:rPr>
      </w:pPr>
      <w:r>
        <w:rPr>
          <w:rFonts w:ascii="宋体" w:hAnsi="宋体" w:eastAsia="宋体" w:cs="宋体"/>
          <w:color w:val="auto"/>
          <w:spacing w:val="-1"/>
          <w:lang w:eastAsia="zh-CN"/>
        </w:rPr>
        <w:t>备注：1.本协议书由委托代理人签字的，应附法定代表人签字的</w:t>
      </w:r>
      <w:r>
        <w:rPr>
          <w:rFonts w:ascii="宋体" w:hAnsi="宋体" w:eastAsia="宋体" w:cs="宋体"/>
          <w:color w:val="auto"/>
          <w:spacing w:val="-2"/>
          <w:lang w:eastAsia="zh-CN"/>
        </w:rPr>
        <w:t>授权委托书。</w:t>
      </w:r>
    </w:p>
    <w:p w14:paraId="076D148D">
      <w:pPr>
        <w:spacing w:before="145" w:line="266" w:lineRule="auto"/>
        <w:ind w:left="2542" w:right="1800" w:hanging="208"/>
        <w:rPr>
          <w:rFonts w:ascii="宋体" w:hAnsi="宋体" w:eastAsia="宋体" w:cs="宋体"/>
          <w:color w:val="auto"/>
          <w:lang w:eastAsia="zh-CN"/>
        </w:rPr>
      </w:pPr>
      <w:r>
        <w:rPr>
          <w:rFonts w:ascii="宋体" w:hAnsi="宋体" w:eastAsia="宋体" w:cs="宋体"/>
          <w:color w:val="auto"/>
          <w:spacing w:val="-3"/>
          <w:lang w:eastAsia="zh-CN"/>
        </w:rPr>
        <w:t>2.投标人未采用联合体投标的，投标文件中不需联合体协议书，也无须盖单位章和签</w:t>
      </w:r>
      <w:r>
        <w:rPr>
          <w:rFonts w:ascii="宋体" w:hAnsi="宋体" w:eastAsia="宋体" w:cs="宋体"/>
          <w:color w:val="auto"/>
          <w:spacing w:val="-10"/>
          <w:lang w:eastAsia="zh-CN"/>
        </w:rPr>
        <w:t>字。</w:t>
      </w:r>
    </w:p>
    <w:p w14:paraId="4AF00A06">
      <w:pPr>
        <w:spacing w:line="266" w:lineRule="auto"/>
        <w:rPr>
          <w:rFonts w:ascii="宋体" w:hAnsi="宋体" w:eastAsia="宋体" w:cs="宋体"/>
          <w:color w:val="auto"/>
          <w:lang w:eastAsia="zh-CN"/>
        </w:rPr>
        <w:sectPr>
          <w:type w:val="continuous"/>
          <w:pgSz w:w="11906" w:h="16839"/>
          <w:pgMar w:top="400" w:right="0" w:bottom="1147" w:left="105" w:header="0" w:footer="987" w:gutter="0"/>
          <w:cols w:equalWidth="0" w:num="1">
            <w:col w:w="11801"/>
          </w:cols>
        </w:sectPr>
      </w:pPr>
    </w:p>
    <w:p w14:paraId="081D9C6C">
      <w:pPr>
        <w:pStyle w:val="8"/>
        <w:spacing w:line="266" w:lineRule="auto"/>
        <w:rPr>
          <w:lang w:eastAsia="zh-CN"/>
        </w:rPr>
      </w:pPr>
    </w:p>
    <w:p w14:paraId="6BDFEABE">
      <w:pPr>
        <w:pStyle w:val="8"/>
        <w:spacing w:line="266" w:lineRule="auto"/>
        <w:rPr>
          <w:lang w:eastAsia="zh-CN"/>
        </w:rPr>
      </w:pPr>
    </w:p>
    <w:p w14:paraId="3ABA0903">
      <w:pPr>
        <w:pStyle w:val="8"/>
        <w:spacing w:line="266" w:lineRule="auto"/>
        <w:rPr>
          <w:lang w:eastAsia="zh-CN"/>
        </w:rPr>
      </w:pPr>
    </w:p>
    <w:p w14:paraId="1B334BE8">
      <w:pPr>
        <w:pStyle w:val="8"/>
        <w:spacing w:line="267" w:lineRule="auto"/>
        <w:rPr>
          <w:lang w:eastAsia="zh-CN"/>
        </w:rPr>
      </w:pPr>
    </w:p>
    <w:p w14:paraId="3ACCDA83">
      <w:pPr>
        <w:pStyle w:val="8"/>
        <w:spacing w:line="267" w:lineRule="auto"/>
        <w:rPr>
          <w:lang w:eastAsia="zh-CN"/>
        </w:rPr>
      </w:pPr>
    </w:p>
    <w:p w14:paraId="066139FA">
      <w:pPr>
        <w:spacing w:before="91" w:line="221" w:lineRule="auto"/>
        <w:ind w:left="4465"/>
        <w:outlineLvl w:val="1"/>
        <w:rPr>
          <w:rFonts w:ascii="黑体" w:hAnsi="黑体" w:eastAsia="黑体" w:cs="黑体"/>
          <w:color w:val="auto"/>
          <w:sz w:val="28"/>
          <w:szCs w:val="28"/>
        </w:rPr>
      </w:pPr>
      <w:bookmarkStart w:id="435" w:name="bookmark185"/>
      <w:bookmarkEnd w:id="435"/>
      <w:bookmarkStart w:id="436" w:name="_Toc12348"/>
      <w:bookmarkStart w:id="437" w:name="_Toc14348"/>
      <w:bookmarkStart w:id="438" w:name="_Toc11939"/>
      <w:bookmarkStart w:id="439" w:name="_Toc12364"/>
      <w:bookmarkStart w:id="440" w:name="_Toc5620"/>
      <w:bookmarkStart w:id="441" w:name="_Toc6890"/>
      <w:r>
        <w:rPr>
          <w:rFonts w:ascii="黑体" w:hAnsi="黑体" w:eastAsia="黑体" w:cs="黑体"/>
          <w:color w:val="auto"/>
          <w:spacing w:val="-2"/>
          <w:sz w:val="28"/>
          <w:szCs w:val="28"/>
        </w:rPr>
        <w:t>五、商务和技术偏差表</w:t>
      </w:r>
      <w:bookmarkEnd w:id="436"/>
      <w:bookmarkEnd w:id="437"/>
      <w:bookmarkEnd w:id="438"/>
      <w:bookmarkEnd w:id="439"/>
      <w:bookmarkEnd w:id="440"/>
      <w:bookmarkEnd w:id="441"/>
    </w:p>
    <w:p w14:paraId="59447479">
      <w:pPr>
        <w:spacing w:before="184"/>
        <w:rPr>
          <w:color w:val="auto"/>
        </w:rPr>
      </w:pPr>
    </w:p>
    <w:tbl>
      <w:tblPr>
        <w:tblStyle w:val="20"/>
        <w:tblW w:w="8428" w:type="dxa"/>
        <w:tblInd w:w="15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7"/>
        <w:gridCol w:w="2623"/>
        <w:gridCol w:w="2369"/>
        <w:gridCol w:w="2109"/>
      </w:tblGrid>
      <w:tr w14:paraId="65F84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327" w:type="dxa"/>
          </w:tcPr>
          <w:p w14:paraId="4A131280">
            <w:pPr>
              <w:pStyle w:val="21"/>
              <w:spacing w:before="229" w:line="222" w:lineRule="auto"/>
              <w:ind w:left="453"/>
              <w:rPr>
                <w:color w:val="auto"/>
              </w:rPr>
            </w:pPr>
            <w:r>
              <w:rPr>
                <w:b/>
                <w:bCs/>
                <w:color w:val="auto"/>
                <w:spacing w:val="-6"/>
              </w:rPr>
              <w:t>序号</w:t>
            </w:r>
          </w:p>
        </w:tc>
        <w:tc>
          <w:tcPr>
            <w:tcW w:w="2623" w:type="dxa"/>
          </w:tcPr>
          <w:p w14:paraId="4C20D7FF">
            <w:pPr>
              <w:pStyle w:val="21"/>
              <w:spacing w:before="229" w:line="220" w:lineRule="auto"/>
              <w:ind w:left="259"/>
              <w:rPr>
                <w:color w:val="auto"/>
                <w:lang w:eastAsia="zh-CN"/>
              </w:rPr>
            </w:pPr>
            <w:r>
              <w:rPr>
                <w:b/>
                <w:bCs/>
                <w:color w:val="auto"/>
                <w:spacing w:val="-3"/>
                <w:lang w:eastAsia="zh-CN"/>
              </w:rPr>
              <w:t>招标文件章节及条款号</w:t>
            </w:r>
          </w:p>
        </w:tc>
        <w:tc>
          <w:tcPr>
            <w:tcW w:w="2369" w:type="dxa"/>
          </w:tcPr>
          <w:p w14:paraId="3068D071">
            <w:pPr>
              <w:pStyle w:val="21"/>
              <w:spacing w:before="229" w:line="220" w:lineRule="auto"/>
              <w:ind w:left="137"/>
              <w:rPr>
                <w:color w:val="auto"/>
                <w:lang w:eastAsia="zh-CN"/>
              </w:rPr>
            </w:pPr>
            <w:r>
              <w:rPr>
                <w:b/>
                <w:bCs/>
                <w:color w:val="auto"/>
                <w:spacing w:val="-3"/>
                <w:lang w:eastAsia="zh-CN"/>
              </w:rPr>
              <w:t>投标文件章节及条款号</w:t>
            </w:r>
          </w:p>
        </w:tc>
        <w:tc>
          <w:tcPr>
            <w:tcW w:w="2109" w:type="dxa"/>
          </w:tcPr>
          <w:p w14:paraId="07E9535E">
            <w:pPr>
              <w:pStyle w:val="21"/>
              <w:spacing w:before="230" w:line="220" w:lineRule="auto"/>
              <w:ind w:left="638"/>
              <w:rPr>
                <w:color w:val="auto"/>
              </w:rPr>
            </w:pPr>
            <w:r>
              <w:rPr>
                <w:b/>
                <w:bCs/>
                <w:color w:val="auto"/>
                <w:spacing w:val="-4"/>
              </w:rPr>
              <w:t>偏差说明</w:t>
            </w:r>
          </w:p>
        </w:tc>
      </w:tr>
      <w:tr w14:paraId="57CC1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327" w:type="dxa"/>
          </w:tcPr>
          <w:p w14:paraId="6B9D72D0">
            <w:pPr>
              <w:rPr>
                <w:color w:val="auto"/>
              </w:rPr>
            </w:pPr>
          </w:p>
        </w:tc>
        <w:tc>
          <w:tcPr>
            <w:tcW w:w="2623" w:type="dxa"/>
          </w:tcPr>
          <w:p w14:paraId="4A0B7B1C">
            <w:pPr>
              <w:rPr>
                <w:color w:val="auto"/>
              </w:rPr>
            </w:pPr>
          </w:p>
        </w:tc>
        <w:tc>
          <w:tcPr>
            <w:tcW w:w="2369" w:type="dxa"/>
          </w:tcPr>
          <w:p w14:paraId="71D719BC">
            <w:pPr>
              <w:rPr>
                <w:color w:val="auto"/>
              </w:rPr>
            </w:pPr>
          </w:p>
        </w:tc>
        <w:tc>
          <w:tcPr>
            <w:tcW w:w="2109" w:type="dxa"/>
          </w:tcPr>
          <w:p w14:paraId="01BA6CFE">
            <w:pPr>
              <w:rPr>
                <w:color w:val="auto"/>
              </w:rPr>
            </w:pPr>
          </w:p>
        </w:tc>
      </w:tr>
      <w:tr w14:paraId="40B83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327" w:type="dxa"/>
          </w:tcPr>
          <w:p w14:paraId="24EE140C">
            <w:pPr>
              <w:rPr>
                <w:color w:val="auto"/>
              </w:rPr>
            </w:pPr>
          </w:p>
        </w:tc>
        <w:tc>
          <w:tcPr>
            <w:tcW w:w="2623" w:type="dxa"/>
          </w:tcPr>
          <w:p w14:paraId="7FFF212E">
            <w:pPr>
              <w:rPr>
                <w:color w:val="auto"/>
              </w:rPr>
            </w:pPr>
          </w:p>
        </w:tc>
        <w:tc>
          <w:tcPr>
            <w:tcW w:w="2369" w:type="dxa"/>
          </w:tcPr>
          <w:p w14:paraId="424AADCC">
            <w:pPr>
              <w:rPr>
                <w:color w:val="auto"/>
              </w:rPr>
            </w:pPr>
          </w:p>
        </w:tc>
        <w:tc>
          <w:tcPr>
            <w:tcW w:w="2109" w:type="dxa"/>
          </w:tcPr>
          <w:p w14:paraId="3C8FA44D">
            <w:pPr>
              <w:rPr>
                <w:color w:val="auto"/>
              </w:rPr>
            </w:pPr>
          </w:p>
        </w:tc>
      </w:tr>
      <w:tr w14:paraId="15774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327" w:type="dxa"/>
          </w:tcPr>
          <w:p w14:paraId="22571C3E">
            <w:pPr>
              <w:rPr>
                <w:color w:val="auto"/>
              </w:rPr>
            </w:pPr>
          </w:p>
        </w:tc>
        <w:tc>
          <w:tcPr>
            <w:tcW w:w="2623" w:type="dxa"/>
          </w:tcPr>
          <w:p w14:paraId="570EBBE8">
            <w:pPr>
              <w:rPr>
                <w:color w:val="auto"/>
              </w:rPr>
            </w:pPr>
          </w:p>
        </w:tc>
        <w:tc>
          <w:tcPr>
            <w:tcW w:w="2369" w:type="dxa"/>
          </w:tcPr>
          <w:p w14:paraId="0F5C5671">
            <w:pPr>
              <w:rPr>
                <w:color w:val="auto"/>
              </w:rPr>
            </w:pPr>
          </w:p>
        </w:tc>
        <w:tc>
          <w:tcPr>
            <w:tcW w:w="2109" w:type="dxa"/>
          </w:tcPr>
          <w:p w14:paraId="72C42DEA">
            <w:pPr>
              <w:rPr>
                <w:color w:val="auto"/>
              </w:rPr>
            </w:pPr>
          </w:p>
        </w:tc>
      </w:tr>
      <w:tr w14:paraId="05124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327" w:type="dxa"/>
          </w:tcPr>
          <w:p w14:paraId="74CE0408">
            <w:pPr>
              <w:rPr>
                <w:color w:val="auto"/>
              </w:rPr>
            </w:pPr>
          </w:p>
        </w:tc>
        <w:tc>
          <w:tcPr>
            <w:tcW w:w="2623" w:type="dxa"/>
          </w:tcPr>
          <w:p w14:paraId="5FA64A56">
            <w:pPr>
              <w:rPr>
                <w:color w:val="auto"/>
              </w:rPr>
            </w:pPr>
          </w:p>
        </w:tc>
        <w:tc>
          <w:tcPr>
            <w:tcW w:w="2369" w:type="dxa"/>
          </w:tcPr>
          <w:p w14:paraId="63C368A8">
            <w:pPr>
              <w:rPr>
                <w:color w:val="auto"/>
              </w:rPr>
            </w:pPr>
          </w:p>
        </w:tc>
        <w:tc>
          <w:tcPr>
            <w:tcW w:w="2109" w:type="dxa"/>
          </w:tcPr>
          <w:p w14:paraId="77360A69">
            <w:pPr>
              <w:rPr>
                <w:color w:val="auto"/>
              </w:rPr>
            </w:pPr>
          </w:p>
        </w:tc>
      </w:tr>
      <w:tr w14:paraId="20344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327" w:type="dxa"/>
          </w:tcPr>
          <w:p w14:paraId="66BA3744">
            <w:pPr>
              <w:rPr>
                <w:color w:val="auto"/>
              </w:rPr>
            </w:pPr>
          </w:p>
        </w:tc>
        <w:tc>
          <w:tcPr>
            <w:tcW w:w="2623" w:type="dxa"/>
          </w:tcPr>
          <w:p w14:paraId="76E4CE0E">
            <w:pPr>
              <w:rPr>
                <w:color w:val="auto"/>
              </w:rPr>
            </w:pPr>
          </w:p>
        </w:tc>
        <w:tc>
          <w:tcPr>
            <w:tcW w:w="2369" w:type="dxa"/>
          </w:tcPr>
          <w:p w14:paraId="5AC6105A">
            <w:pPr>
              <w:rPr>
                <w:color w:val="auto"/>
              </w:rPr>
            </w:pPr>
          </w:p>
        </w:tc>
        <w:tc>
          <w:tcPr>
            <w:tcW w:w="2109" w:type="dxa"/>
          </w:tcPr>
          <w:p w14:paraId="64E20B19">
            <w:pPr>
              <w:rPr>
                <w:color w:val="auto"/>
              </w:rPr>
            </w:pPr>
          </w:p>
        </w:tc>
      </w:tr>
    </w:tbl>
    <w:p w14:paraId="2C78B82C">
      <w:pPr>
        <w:spacing w:before="131" w:line="220" w:lineRule="auto"/>
        <w:ind w:left="1704"/>
        <w:rPr>
          <w:rFonts w:ascii="宋体" w:hAnsi="宋体" w:eastAsia="宋体" w:cs="宋体"/>
          <w:color w:val="auto"/>
          <w:lang w:eastAsia="zh-CN"/>
        </w:rPr>
      </w:pPr>
      <w:r>
        <w:rPr>
          <w:rFonts w:ascii="宋体" w:hAnsi="宋体" w:eastAsia="宋体" w:cs="宋体"/>
          <w:color w:val="auto"/>
          <w:spacing w:val="-1"/>
          <w:lang w:eastAsia="zh-CN"/>
        </w:rPr>
        <w:t>投标人保证：除商务和技术偏差表列出的偏差外，投标人响应招标文件的全</w:t>
      </w:r>
      <w:r>
        <w:rPr>
          <w:rFonts w:ascii="宋体" w:hAnsi="宋体" w:eastAsia="宋体" w:cs="宋体"/>
          <w:color w:val="auto"/>
          <w:spacing w:val="-2"/>
          <w:lang w:eastAsia="zh-CN"/>
        </w:rPr>
        <w:t>部要求。</w:t>
      </w:r>
    </w:p>
    <w:p w14:paraId="21365E8D">
      <w:pPr>
        <w:pStyle w:val="8"/>
        <w:spacing w:line="241" w:lineRule="auto"/>
        <w:rPr>
          <w:lang w:eastAsia="zh-CN"/>
        </w:rPr>
      </w:pPr>
    </w:p>
    <w:p w14:paraId="174320B0">
      <w:pPr>
        <w:pStyle w:val="8"/>
        <w:spacing w:line="241" w:lineRule="auto"/>
        <w:rPr>
          <w:lang w:eastAsia="zh-CN"/>
        </w:rPr>
      </w:pPr>
    </w:p>
    <w:p w14:paraId="2DD02939">
      <w:pPr>
        <w:pStyle w:val="8"/>
        <w:spacing w:line="241" w:lineRule="auto"/>
        <w:rPr>
          <w:lang w:eastAsia="zh-CN"/>
        </w:rPr>
      </w:pPr>
    </w:p>
    <w:p w14:paraId="2AEC7651">
      <w:pPr>
        <w:pStyle w:val="8"/>
        <w:spacing w:line="241" w:lineRule="auto"/>
        <w:rPr>
          <w:lang w:eastAsia="zh-CN"/>
        </w:rPr>
      </w:pPr>
    </w:p>
    <w:p w14:paraId="63EB8F83">
      <w:pPr>
        <w:pStyle w:val="8"/>
        <w:spacing w:line="241" w:lineRule="auto"/>
        <w:rPr>
          <w:lang w:eastAsia="zh-CN"/>
        </w:rPr>
      </w:pPr>
    </w:p>
    <w:p w14:paraId="06B4120C">
      <w:pPr>
        <w:pStyle w:val="8"/>
        <w:spacing w:line="241" w:lineRule="auto"/>
        <w:rPr>
          <w:lang w:eastAsia="zh-CN"/>
        </w:rPr>
      </w:pPr>
    </w:p>
    <w:p w14:paraId="0D0FC983">
      <w:pPr>
        <w:pStyle w:val="8"/>
        <w:spacing w:line="241" w:lineRule="auto"/>
        <w:rPr>
          <w:lang w:eastAsia="zh-CN"/>
        </w:rPr>
      </w:pPr>
    </w:p>
    <w:p w14:paraId="4D5261A8">
      <w:pPr>
        <w:pStyle w:val="8"/>
        <w:spacing w:line="242" w:lineRule="auto"/>
        <w:rPr>
          <w:lang w:eastAsia="zh-CN"/>
        </w:rPr>
      </w:pPr>
    </w:p>
    <w:p w14:paraId="6B0A5673">
      <w:pPr>
        <w:spacing w:before="69" w:line="220" w:lineRule="auto"/>
        <w:ind w:left="5829"/>
        <w:rPr>
          <w:rFonts w:ascii="宋体" w:hAnsi="宋体" w:eastAsia="宋体" w:cs="宋体"/>
          <w:color w:val="auto"/>
          <w:lang w:eastAsia="zh-CN"/>
        </w:rPr>
      </w:pPr>
      <w:r>
        <w:rPr>
          <w:rFonts w:ascii="宋体" w:hAnsi="宋体" w:eastAsia="宋体" w:cs="宋体"/>
          <w:color w:val="auto"/>
          <w:spacing w:val="-2"/>
          <w:lang w:eastAsia="zh-CN"/>
        </w:rPr>
        <w:t>投标人</w:t>
      </w:r>
      <w:r>
        <w:rPr>
          <w:rFonts w:ascii="宋体" w:hAnsi="宋体" w:eastAsia="宋体" w:cs="宋体"/>
          <w:color w:val="auto"/>
          <w:spacing w:val="-33"/>
          <w:lang w:eastAsia="zh-CN"/>
        </w:rPr>
        <w:t>：（</w:t>
      </w:r>
      <w:r>
        <w:rPr>
          <w:rFonts w:ascii="宋体" w:hAnsi="宋体" w:eastAsia="宋体" w:cs="宋体"/>
          <w:color w:val="auto"/>
          <w:spacing w:val="-2"/>
          <w:lang w:eastAsia="zh-CN"/>
        </w:rPr>
        <w:t>盖单位章）</w:t>
      </w:r>
    </w:p>
    <w:p w14:paraId="6D725B85">
      <w:pPr>
        <w:spacing w:before="295" w:line="220" w:lineRule="auto"/>
        <w:ind w:left="5798"/>
        <w:rPr>
          <w:rFonts w:ascii="宋体" w:hAnsi="宋体" w:eastAsia="宋体" w:cs="宋体"/>
          <w:color w:val="auto"/>
          <w:lang w:eastAsia="zh-CN"/>
        </w:rPr>
      </w:pPr>
      <w:r>
        <w:rPr>
          <w:rFonts w:ascii="宋体" w:hAnsi="宋体" w:eastAsia="宋体" w:cs="宋体"/>
          <w:color w:val="auto"/>
          <w:spacing w:val="-2"/>
          <w:lang w:eastAsia="zh-CN"/>
        </w:rPr>
        <w:t>法定代表人或授权委托人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79BC4673">
      <w:pPr>
        <w:pStyle w:val="8"/>
        <w:spacing w:line="447" w:lineRule="auto"/>
        <w:rPr>
          <w:lang w:eastAsia="zh-CN"/>
        </w:rPr>
      </w:pPr>
    </w:p>
    <w:p w14:paraId="32B2FF7B">
      <w:pPr>
        <w:tabs>
          <w:tab w:val="left" w:pos="7690"/>
        </w:tabs>
        <w:spacing w:before="68" w:line="220" w:lineRule="auto"/>
        <w:ind w:left="6850"/>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8"/>
          <w:lang w:eastAsia="zh-CN"/>
        </w:rPr>
        <w:t>年月日</w:t>
      </w:r>
    </w:p>
    <w:p w14:paraId="145BDF36">
      <w:pPr>
        <w:spacing w:line="220" w:lineRule="auto"/>
        <w:rPr>
          <w:rFonts w:ascii="宋体" w:hAnsi="宋体" w:eastAsia="宋体" w:cs="宋体"/>
          <w:color w:val="auto"/>
          <w:lang w:eastAsia="zh-CN"/>
        </w:rPr>
        <w:sectPr>
          <w:footerReference r:id="rId141" w:type="default"/>
          <w:pgSz w:w="11906" w:h="16839"/>
          <w:pgMar w:top="400" w:right="0" w:bottom="1147" w:left="105" w:header="0" w:footer="987" w:gutter="0"/>
          <w:cols w:space="720" w:num="1"/>
        </w:sectPr>
      </w:pPr>
    </w:p>
    <w:p w14:paraId="21697887">
      <w:pPr>
        <w:pStyle w:val="8"/>
        <w:spacing w:line="266" w:lineRule="auto"/>
        <w:rPr>
          <w:lang w:eastAsia="zh-CN"/>
        </w:rPr>
      </w:pPr>
    </w:p>
    <w:p w14:paraId="378C0D5E">
      <w:pPr>
        <w:pStyle w:val="8"/>
        <w:spacing w:line="266" w:lineRule="auto"/>
        <w:rPr>
          <w:lang w:eastAsia="zh-CN"/>
        </w:rPr>
      </w:pPr>
    </w:p>
    <w:p w14:paraId="7DD517DB">
      <w:pPr>
        <w:pStyle w:val="8"/>
        <w:spacing w:line="266" w:lineRule="auto"/>
        <w:rPr>
          <w:lang w:eastAsia="zh-CN"/>
        </w:rPr>
      </w:pPr>
    </w:p>
    <w:p w14:paraId="5939B7C7">
      <w:pPr>
        <w:pStyle w:val="8"/>
        <w:spacing w:line="266" w:lineRule="auto"/>
        <w:rPr>
          <w:lang w:eastAsia="zh-CN"/>
        </w:rPr>
      </w:pPr>
    </w:p>
    <w:p w14:paraId="3C8831EC">
      <w:pPr>
        <w:pStyle w:val="8"/>
        <w:spacing w:line="267" w:lineRule="auto"/>
        <w:rPr>
          <w:lang w:eastAsia="zh-CN"/>
        </w:rPr>
      </w:pPr>
    </w:p>
    <w:p w14:paraId="4FE21940">
      <w:pPr>
        <w:spacing w:before="91" w:line="222" w:lineRule="auto"/>
        <w:ind w:left="220"/>
        <w:jc w:val="center"/>
        <w:outlineLvl w:val="1"/>
        <w:rPr>
          <w:rFonts w:ascii="黑体" w:hAnsi="黑体" w:eastAsia="黑体" w:cs="黑体"/>
          <w:color w:val="auto"/>
          <w:sz w:val="28"/>
          <w:szCs w:val="28"/>
          <w:lang w:eastAsia="zh-CN"/>
        </w:rPr>
      </w:pPr>
      <w:bookmarkStart w:id="442" w:name="bookmark186"/>
      <w:bookmarkEnd w:id="442"/>
      <w:bookmarkStart w:id="443" w:name="_Toc30981"/>
      <w:bookmarkStart w:id="444" w:name="_Toc9359"/>
      <w:r>
        <w:rPr>
          <w:rFonts w:ascii="黑体" w:hAnsi="黑体" w:eastAsia="黑体" w:cs="黑体"/>
          <w:color w:val="auto"/>
          <w:spacing w:val="-3"/>
          <w:sz w:val="28"/>
          <w:szCs w:val="28"/>
          <w:lang w:eastAsia="zh-CN"/>
        </w:rPr>
        <w:t>六、分项报价表</w:t>
      </w:r>
      <w:bookmarkEnd w:id="443"/>
      <w:bookmarkEnd w:id="444"/>
    </w:p>
    <w:p w14:paraId="4C6E3EBA">
      <w:pPr>
        <w:pStyle w:val="8"/>
        <w:spacing w:line="241" w:lineRule="auto"/>
        <w:rPr>
          <w:lang w:eastAsia="zh-CN"/>
        </w:rPr>
      </w:pPr>
    </w:p>
    <w:p w14:paraId="06F782CA">
      <w:pPr>
        <w:pStyle w:val="8"/>
        <w:spacing w:line="242" w:lineRule="auto"/>
        <w:rPr>
          <w:lang w:eastAsia="zh-CN"/>
        </w:rPr>
      </w:pPr>
    </w:p>
    <w:p w14:paraId="4AB2F96F">
      <w:pPr>
        <w:spacing w:line="360" w:lineRule="auto"/>
        <w:ind w:firstLine="396" w:firstLineChars="200"/>
        <w:rPr>
          <w:rFonts w:ascii="宋体" w:hAnsi="宋体" w:eastAsia="宋体" w:cs="宋体"/>
          <w:color w:val="auto"/>
          <w:lang w:eastAsia="zh-CN"/>
        </w:rPr>
      </w:pPr>
      <w:r>
        <w:rPr>
          <w:rFonts w:ascii="宋体" w:hAnsi="宋体" w:eastAsia="宋体" w:cs="宋体"/>
          <w:color w:val="auto"/>
          <w:spacing w:val="-6"/>
          <w:lang w:eastAsia="zh-CN"/>
        </w:rPr>
        <w:t>1.分项报价表说明</w:t>
      </w:r>
    </w:p>
    <w:p w14:paraId="041252CD">
      <w:pPr>
        <w:pStyle w:val="8"/>
        <w:spacing w:line="360" w:lineRule="auto"/>
        <w:ind w:firstLine="420" w:firstLineChars="200"/>
        <w:rPr>
          <w:lang w:eastAsia="zh-CN"/>
        </w:rPr>
      </w:pPr>
      <w:r>
        <w:rPr>
          <w:rFonts w:hint="eastAsia"/>
          <w:lang w:eastAsia="zh-CN"/>
        </w:rPr>
        <w:t>此项目为交钥匙项目，请投标单位充分理解本项目所需的相关费用。</w:t>
      </w:r>
    </w:p>
    <w:p w14:paraId="7257F9E8">
      <w:pPr>
        <w:pStyle w:val="10"/>
      </w:pPr>
    </w:p>
    <w:p w14:paraId="760C0934">
      <w:pPr>
        <w:spacing w:line="360" w:lineRule="auto"/>
        <w:ind w:firstLine="400" w:firstLineChars="200"/>
        <w:rPr>
          <w:rFonts w:ascii="宋体" w:hAnsi="宋体" w:eastAsia="宋体" w:cs="宋体"/>
          <w:color w:val="auto"/>
          <w:spacing w:val="-5"/>
          <w:lang w:eastAsia="zh-CN"/>
        </w:rPr>
      </w:pPr>
      <w:r>
        <w:rPr>
          <w:rFonts w:ascii="宋体" w:hAnsi="宋体" w:eastAsia="宋体" w:cs="宋体"/>
          <w:color w:val="auto"/>
          <w:spacing w:val="-5"/>
          <w:lang w:eastAsia="zh-CN"/>
        </w:rPr>
        <w:t>2.分项报价明细表</w:t>
      </w:r>
    </w:p>
    <w:p w14:paraId="1362E0C9">
      <w:pPr>
        <w:pStyle w:val="8"/>
        <w:spacing w:line="360" w:lineRule="auto"/>
        <w:ind w:firstLine="420" w:firstLineChars="200"/>
        <w:rPr>
          <w:lang w:eastAsia="zh-CN"/>
        </w:rPr>
        <w:sectPr>
          <w:footerReference r:id="rId142" w:type="default"/>
          <w:pgSz w:w="11906" w:h="16839"/>
          <w:pgMar w:top="1440" w:right="1803" w:bottom="1440" w:left="1803" w:header="0" w:footer="987" w:gutter="0"/>
          <w:cols w:space="720" w:num="1"/>
        </w:sectPr>
      </w:pPr>
    </w:p>
    <w:p w14:paraId="02687096">
      <w:pPr>
        <w:pStyle w:val="10"/>
        <w:jc w:val="center"/>
        <w:rPr>
          <w:rFonts w:ascii="黑体" w:hAnsi="黑体" w:eastAsia="黑体" w:cs="黑体"/>
          <w:snapToGrid w:val="0"/>
          <w:spacing w:val="-1"/>
          <w:szCs w:val="24"/>
        </w:rPr>
      </w:pPr>
      <w:r>
        <w:rPr>
          <w:rFonts w:hint="eastAsia" w:ascii="黑体" w:hAnsi="黑体" w:eastAsia="黑体" w:cs="黑体"/>
          <w:snapToGrid w:val="0"/>
          <w:spacing w:val="-1"/>
          <w:szCs w:val="24"/>
        </w:rPr>
        <w:t>盖州市东盛城建集团有限公司2026年盖州市住宅小区老旧电梯更新改造工程汇总表</w:t>
      </w:r>
    </w:p>
    <w:tbl>
      <w:tblPr>
        <w:tblStyle w:val="17"/>
        <w:tblW w:w="13696" w:type="dxa"/>
        <w:jc w:val="center"/>
        <w:tblLayout w:type="fixed"/>
        <w:tblCellMar>
          <w:top w:w="0" w:type="dxa"/>
          <w:left w:w="108" w:type="dxa"/>
          <w:bottom w:w="0" w:type="dxa"/>
          <w:right w:w="108" w:type="dxa"/>
        </w:tblCellMar>
      </w:tblPr>
      <w:tblGrid>
        <w:gridCol w:w="799"/>
        <w:gridCol w:w="2444"/>
        <w:gridCol w:w="1096"/>
        <w:gridCol w:w="1110"/>
        <w:gridCol w:w="690"/>
        <w:gridCol w:w="1084"/>
        <w:gridCol w:w="698"/>
        <w:gridCol w:w="824"/>
        <w:gridCol w:w="824"/>
        <w:gridCol w:w="824"/>
        <w:gridCol w:w="824"/>
        <w:gridCol w:w="824"/>
        <w:gridCol w:w="824"/>
        <w:gridCol w:w="831"/>
      </w:tblGrid>
      <w:tr w14:paraId="13926386">
        <w:tblPrEx>
          <w:tblCellMar>
            <w:top w:w="0" w:type="dxa"/>
            <w:left w:w="108" w:type="dxa"/>
            <w:bottom w:w="0" w:type="dxa"/>
            <w:right w:w="108" w:type="dxa"/>
          </w:tblCellMar>
        </w:tblPrEx>
        <w:trPr>
          <w:trHeight w:val="270" w:hRule="atLeast"/>
          <w:tblHeader/>
          <w:jc w:val="center"/>
        </w:trPr>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4DA58">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序号</w:t>
            </w:r>
          </w:p>
        </w:tc>
        <w:tc>
          <w:tcPr>
            <w:tcW w:w="2444" w:type="dxa"/>
            <w:vMerge w:val="restart"/>
            <w:tcBorders>
              <w:top w:val="single" w:color="000000" w:sz="4" w:space="0"/>
              <w:left w:val="single" w:color="000000" w:sz="4" w:space="0"/>
              <w:bottom w:val="single" w:color="000000" w:sz="4" w:space="0"/>
              <w:right w:val="nil"/>
            </w:tcBorders>
            <w:shd w:val="clear" w:color="auto" w:fill="auto"/>
            <w:vAlign w:val="center"/>
          </w:tcPr>
          <w:p w14:paraId="60920A3A">
            <w:pPr>
              <w:jc w:val="center"/>
              <w:textAlignment w:val="center"/>
              <w:rPr>
                <w:rFonts w:ascii="宋体" w:hAnsi="宋体" w:eastAsia="宋体" w:cs="宋体"/>
                <w:b/>
                <w:bCs/>
                <w:color w:val="auto"/>
              </w:rPr>
            </w:pPr>
            <w:r>
              <w:rPr>
                <w:rFonts w:hint="eastAsia" w:ascii="宋体" w:hAnsi="宋体" w:eastAsia="宋体" w:cs="宋体"/>
                <w:b/>
                <w:bCs/>
                <w:color w:val="auto"/>
                <w:lang w:eastAsia="zh-CN"/>
              </w:rPr>
              <w:t>电梯使用地址</w:t>
            </w:r>
          </w:p>
        </w:tc>
        <w:tc>
          <w:tcPr>
            <w:tcW w:w="1096" w:type="dxa"/>
            <w:tcBorders>
              <w:top w:val="single" w:color="000000" w:sz="4" w:space="0"/>
              <w:left w:val="single" w:color="000000" w:sz="4" w:space="0"/>
              <w:bottom w:val="nil"/>
              <w:right w:val="single" w:color="000000" w:sz="4" w:space="0"/>
            </w:tcBorders>
            <w:shd w:val="clear" w:color="auto" w:fill="auto"/>
            <w:vAlign w:val="center"/>
          </w:tcPr>
          <w:p w14:paraId="58B17F12">
            <w:pPr>
              <w:jc w:val="center"/>
              <w:textAlignment w:val="center"/>
              <w:rPr>
                <w:rFonts w:ascii="宋体" w:hAnsi="宋体" w:eastAsia="宋体" w:cs="宋体"/>
                <w:b/>
                <w:bCs/>
                <w:color w:val="auto"/>
              </w:rPr>
            </w:pPr>
            <w:r>
              <w:rPr>
                <w:rFonts w:hint="eastAsia" w:ascii="宋体" w:hAnsi="宋体" w:eastAsia="宋体" w:cs="宋体"/>
                <w:b/>
                <w:bCs/>
                <w:color w:val="auto"/>
                <w:lang w:eastAsia="zh-CN"/>
              </w:rPr>
              <w:t>速度</w:t>
            </w:r>
          </w:p>
        </w:tc>
        <w:tc>
          <w:tcPr>
            <w:tcW w:w="1110" w:type="dxa"/>
            <w:tcBorders>
              <w:top w:val="single" w:color="000000" w:sz="4" w:space="0"/>
              <w:left w:val="single" w:color="000000" w:sz="4" w:space="0"/>
              <w:bottom w:val="nil"/>
              <w:right w:val="single" w:color="000000" w:sz="4" w:space="0"/>
            </w:tcBorders>
            <w:shd w:val="clear" w:color="auto" w:fill="auto"/>
            <w:vAlign w:val="center"/>
          </w:tcPr>
          <w:p w14:paraId="12888FC1">
            <w:pPr>
              <w:jc w:val="center"/>
              <w:textAlignment w:val="center"/>
              <w:rPr>
                <w:rFonts w:ascii="宋体" w:hAnsi="宋体" w:eastAsia="宋体" w:cs="宋体"/>
                <w:b/>
                <w:bCs/>
                <w:color w:val="auto"/>
              </w:rPr>
            </w:pPr>
            <w:r>
              <w:rPr>
                <w:rFonts w:hint="eastAsia" w:ascii="宋体" w:hAnsi="宋体" w:eastAsia="宋体" w:cs="宋体"/>
                <w:b/>
                <w:bCs/>
                <w:color w:val="auto"/>
                <w:lang w:eastAsia="zh-CN"/>
              </w:rPr>
              <w:t>载重</w:t>
            </w:r>
          </w:p>
        </w:tc>
        <w:tc>
          <w:tcPr>
            <w:tcW w:w="690" w:type="dxa"/>
            <w:tcBorders>
              <w:top w:val="single" w:color="000000" w:sz="4" w:space="0"/>
              <w:left w:val="single" w:color="000000" w:sz="4" w:space="0"/>
              <w:bottom w:val="nil"/>
              <w:right w:val="single" w:color="000000" w:sz="4" w:space="0"/>
            </w:tcBorders>
            <w:shd w:val="clear" w:color="auto" w:fill="auto"/>
            <w:vAlign w:val="center"/>
          </w:tcPr>
          <w:p w14:paraId="2267D331">
            <w:pPr>
              <w:jc w:val="center"/>
              <w:textAlignment w:val="center"/>
              <w:rPr>
                <w:rFonts w:ascii="宋体" w:hAnsi="宋体" w:eastAsia="宋体" w:cs="宋体"/>
                <w:b/>
                <w:bCs/>
                <w:color w:val="auto"/>
              </w:rPr>
            </w:pPr>
            <w:r>
              <w:rPr>
                <w:rFonts w:hint="eastAsia" w:ascii="宋体" w:hAnsi="宋体" w:eastAsia="宋体" w:cs="宋体"/>
                <w:b/>
                <w:bCs/>
                <w:color w:val="auto"/>
                <w:lang w:eastAsia="zh-CN"/>
              </w:rPr>
              <w:t>人数</w:t>
            </w:r>
          </w:p>
        </w:tc>
        <w:tc>
          <w:tcPr>
            <w:tcW w:w="1084" w:type="dxa"/>
            <w:tcBorders>
              <w:top w:val="single" w:color="000000" w:sz="4" w:space="0"/>
              <w:left w:val="single" w:color="000000" w:sz="4" w:space="0"/>
              <w:bottom w:val="nil"/>
              <w:right w:val="single" w:color="000000" w:sz="4" w:space="0"/>
            </w:tcBorders>
            <w:shd w:val="clear" w:color="auto" w:fill="auto"/>
            <w:vAlign w:val="center"/>
          </w:tcPr>
          <w:p w14:paraId="6B8791CE">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层数</w:t>
            </w:r>
          </w:p>
        </w:tc>
        <w:tc>
          <w:tcPr>
            <w:tcW w:w="698" w:type="dxa"/>
            <w:vMerge w:val="restart"/>
            <w:tcBorders>
              <w:top w:val="single" w:color="000000" w:sz="4" w:space="0"/>
              <w:left w:val="nil"/>
              <w:bottom w:val="single" w:color="000000" w:sz="4" w:space="0"/>
              <w:right w:val="nil"/>
            </w:tcBorders>
            <w:shd w:val="clear" w:color="auto" w:fill="auto"/>
            <w:vAlign w:val="center"/>
          </w:tcPr>
          <w:p w14:paraId="58221C36">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品牌</w:t>
            </w:r>
          </w:p>
        </w:tc>
        <w:tc>
          <w:tcPr>
            <w:tcW w:w="824" w:type="dxa"/>
            <w:tcBorders>
              <w:top w:val="single" w:color="000000" w:sz="4" w:space="0"/>
              <w:left w:val="single" w:color="000000" w:sz="4" w:space="0"/>
              <w:bottom w:val="nil"/>
              <w:right w:val="single" w:color="000000" w:sz="4" w:space="0"/>
            </w:tcBorders>
            <w:shd w:val="clear" w:color="auto" w:fill="auto"/>
            <w:vAlign w:val="center"/>
          </w:tcPr>
          <w:p w14:paraId="42BF5F56">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型号</w:t>
            </w:r>
          </w:p>
        </w:tc>
        <w:tc>
          <w:tcPr>
            <w:tcW w:w="824" w:type="dxa"/>
            <w:vMerge w:val="restart"/>
            <w:tcBorders>
              <w:top w:val="single" w:color="000000" w:sz="4" w:space="0"/>
              <w:left w:val="nil"/>
              <w:bottom w:val="single" w:color="000000" w:sz="4" w:space="0"/>
              <w:right w:val="single" w:color="000000" w:sz="4" w:space="0"/>
            </w:tcBorders>
            <w:shd w:val="clear" w:color="auto" w:fill="auto"/>
            <w:vAlign w:val="center"/>
          </w:tcPr>
          <w:p w14:paraId="102189CB">
            <w:pPr>
              <w:jc w:val="center"/>
              <w:textAlignment w:val="center"/>
              <w:rPr>
                <w:rFonts w:ascii="宋体" w:hAnsi="宋体" w:eastAsia="宋体" w:cs="宋体"/>
                <w:b/>
                <w:bCs/>
                <w:color w:val="auto"/>
              </w:rPr>
            </w:pPr>
            <w:r>
              <w:rPr>
                <w:rFonts w:hint="eastAsia" w:ascii="宋体" w:hAnsi="宋体" w:eastAsia="宋体" w:cs="宋体"/>
                <w:b/>
                <w:bCs/>
                <w:color w:val="auto"/>
                <w:lang w:eastAsia="zh-CN"/>
              </w:rPr>
              <w:t>数量</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395E5">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原产地</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38ED8">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制造商名称</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E2EB2">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单价（元）</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E6E44">
            <w:pPr>
              <w:jc w:val="center"/>
              <w:textAlignment w:val="center"/>
              <w:rPr>
                <w:rFonts w:ascii="宋体" w:hAnsi="宋体" w:eastAsia="宋体" w:cs="宋体"/>
                <w:b/>
                <w:bCs/>
                <w:color w:val="auto"/>
              </w:rPr>
            </w:pPr>
            <w:r>
              <w:rPr>
                <w:rFonts w:hint="eastAsia" w:ascii="宋体" w:hAnsi="宋体" w:eastAsia="宋体" w:cs="宋体"/>
                <w:b/>
                <w:bCs/>
                <w:color w:val="auto"/>
                <w:lang w:eastAsia="zh-CN"/>
              </w:rPr>
              <w:t>总价（元）</w:t>
            </w:r>
          </w:p>
        </w:tc>
        <w:tc>
          <w:tcPr>
            <w:tcW w:w="8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881FF">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备注</w:t>
            </w:r>
          </w:p>
        </w:tc>
      </w:tr>
      <w:tr w14:paraId="70C62DDA">
        <w:tblPrEx>
          <w:tblCellMar>
            <w:top w:w="0" w:type="dxa"/>
            <w:left w:w="108" w:type="dxa"/>
            <w:bottom w:w="0" w:type="dxa"/>
            <w:right w:w="108" w:type="dxa"/>
          </w:tblCellMar>
        </w:tblPrEx>
        <w:trPr>
          <w:trHeight w:val="270" w:hRule="atLeast"/>
          <w:tblHeader/>
          <w:jc w:val="center"/>
        </w:trPr>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4B93">
            <w:pPr>
              <w:jc w:val="center"/>
              <w:rPr>
                <w:rFonts w:ascii="宋体" w:hAnsi="宋体" w:eastAsia="宋体" w:cs="宋体"/>
                <w:b/>
                <w:bCs/>
                <w:color w:val="auto"/>
              </w:rPr>
            </w:pPr>
          </w:p>
        </w:tc>
        <w:tc>
          <w:tcPr>
            <w:tcW w:w="2444" w:type="dxa"/>
            <w:vMerge w:val="continue"/>
            <w:tcBorders>
              <w:top w:val="single" w:color="000000" w:sz="4" w:space="0"/>
              <w:left w:val="single" w:color="000000" w:sz="4" w:space="0"/>
              <w:bottom w:val="single" w:color="000000" w:sz="4" w:space="0"/>
              <w:right w:val="nil"/>
            </w:tcBorders>
            <w:shd w:val="clear" w:color="auto" w:fill="auto"/>
            <w:vAlign w:val="center"/>
          </w:tcPr>
          <w:p w14:paraId="19C1A8CF">
            <w:pPr>
              <w:jc w:val="center"/>
              <w:rPr>
                <w:rFonts w:ascii="宋体" w:hAnsi="宋体" w:eastAsia="宋体" w:cs="宋体"/>
                <w:b/>
                <w:bCs/>
                <w:color w:val="auto"/>
              </w:rPr>
            </w:pPr>
          </w:p>
        </w:tc>
        <w:tc>
          <w:tcPr>
            <w:tcW w:w="1096" w:type="dxa"/>
            <w:tcBorders>
              <w:top w:val="nil"/>
              <w:left w:val="single" w:color="000000" w:sz="4" w:space="0"/>
              <w:bottom w:val="single" w:color="000000" w:sz="4" w:space="0"/>
              <w:right w:val="single" w:color="000000" w:sz="4" w:space="0"/>
            </w:tcBorders>
            <w:shd w:val="clear" w:color="auto" w:fill="auto"/>
            <w:vAlign w:val="center"/>
          </w:tcPr>
          <w:p w14:paraId="78CFE73B">
            <w:pPr>
              <w:jc w:val="center"/>
              <w:textAlignment w:val="center"/>
              <w:rPr>
                <w:rFonts w:ascii="宋体" w:hAnsi="宋体" w:eastAsia="宋体" w:cs="宋体"/>
                <w:b/>
                <w:bCs/>
                <w:color w:val="auto"/>
              </w:rPr>
            </w:pPr>
            <w:r>
              <w:rPr>
                <w:rFonts w:hint="eastAsia" w:ascii="宋体" w:hAnsi="宋体" w:eastAsia="宋体" w:cs="宋体"/>
                <w:b/>
                <w:bCs/>
                <w:color w:val="auto"/>
                <w:lang w:eastAsia="zh-CN"/>
              </w:rPr>
              <w:t>（m/s）</w:t>
            </w:r>
          </w:p>
        </w:tc>
        <w:tc>
          <w:tcPr>
            <w:tcW w:w="1110" w:type="dxa"/>
            <w:tcBorders>
              <w:top w:val="nil"/>
              <w:left w:val="single" w:color="000000" w:sz="4" w:space="0"/>
              <w:bottom w:val="single" w:color="000000" w:sz="4" w:space="0"/>
              <w:right w:val="single" w:color="000000" w:sz="4" w:space="0"/>
            </w:tcBorders>
            <w:shd w:val="clear" w:color="auto" w:fill="auto"/>
            <w:vAlign w:val="center"/>
          </w:tcPr>
          <w:p w14:paraId="250A05F1">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（公斤）</w:t>
            </w:r>
          </w:p>
        </w:tc>
        <w:tc>
          <w:tcPr>
            <w:tcW w:w="690" w:type="dxa"/>
            <w:tcBorders>
              <w:top w:val="nil"/>
              <w:left w:val="single" w:color="000000" w:sz="4" w:space="0"/>
              <w:bottom w:val="single" w:color="000000" w:sz="4" w:space="0"/>
              <w:right w:val="single" w:color="000000" w:sz="4" w:space="0"/>
            </w:tcBorders>
            <w:shd w:val="clear" w:color="auto" w:fill="auto"/>
            <w:vAlign w:val="center"/>
          </w:tcPr>
          <w:p w14:paraId="2F8F6506">
            <w:pPr>
              <w:jc w:val="center"/>
              <w:textAlignment w:val="center"/>
              <w:rPr>
                <w:rFonts w:ascii="宋体" w:hAnsi="宋体" w:eastAsia="宋体" w:cs="宋体"/>
                <w:b/>
                <w:bCs/>
                <w:color w:val="auto"/>
              </w:rPr>
            </w:pPr>
            <w:r>
              <w:rPr>
                <w:rFonts w:hint="eastAsia" w:ascii="宋体" w:hAnsi="宋体" w:eastAsia="宋体" w:cs="宋体"/>
                <w:b/>
                <w:bCs/>
                <w:color w:val="auto"/>
                <w:lang w:eastAsia="zh-CN"/>
              </w:rPr>
              <w:t>（人）</w:t>
            </w:r>
          </w:p>
        </w:tc>
        <w:tc>
          <w:tcPr>
            <w:tcW w:w="1084" w:type="dxa"/>
            <w:tcBorders>
              <w:top w:val="nil"/>
              <w:left w:val="single" w:color="000000" w:sz="4" w:space="0"/>
              <w:bottom w:val="single" w:color="000000" w:sz="4" w:space="0"/>
              <w:right w:val="single" w:color="000000" w:sz="4" w:space="0"/>
            </w:tcBorders>
            <w:shd w:val="clear" w:color="auto" w:fill="auto"/>
            <w:vAlign w:val="center"/>
          </w:tcPr>
          <w:p w14:paraId="625D2FD2">
            <w:pPr>
              <w:jc w:val="center"/>
              <w:textAlignment w:val="center"/>
              <w:rPr>
                <w:rFonts w:ascii="宋体" w:hAnsi="宋体" w:eastAsia="宋体" w:cs="宋体"/>
                <w:b/>
                <w:bCs/>
                <w:color w:val="auto"/>
              </w:rPr>
            </w:pPr>
            <w:r>
              <w:rPr>
                <w:rFonts w:hint="eastAsia" w:ascii="宋体" w:hAnsi="宋体" w:eastAsia="宋体" w:cs="宋体"/>
                <w:b/>
                <w:bCs/>
                <w:color w:val="auto"/>
                <w:lang w:eastAsia="zh-CN"/>
              </w:rPr>
              <w:t>（层）</w:t>
            </w:r>
          </w:p>
        </w:tc>
        <w:tc>
          <w:tcPr>
            <w:tcW w:w="698" w:type="dxa"/>
            <w:vMerge w:val="continue"/>
            <w:tcBorders>
              <w:top w:val="single" w:color="000000" w:sz="4" w:space="0"/>
              <w:left w:val="nil"/>
              <w:bottom w:val="single" w:color="000000" w:sz="4" w:space="0"/>
              <w:right w:val="nil"/>
            </w:tcBorders>
            <w:shd w:val="clear" w:color="auto" w:fill="auto"/>
            <w:vAlign w:val="center"/>
          </w:tcPr>
          <w:p w14:paraId="3D8692A2">
            <w:pPr>
              <w:jc w:val="center"/>
              <w:rPr>
                <w:rFonts w:ascii="宋体" w:hAnsi="宋体" w:eastAsia="宋体" w:cs="宋体"/>
                <w:b/>
                <w:bCs/>
                <w:color w:val="auto"/>
              </w:rPr>
            </w:pPr>
          </w:p>
        </w:tc>
        <w:tc>
          <w:tcPr>
            <w:tcW w:w="824" w:type="dxa"/>
            <w:tcBorders>
              <w:top w:val="nil"/>
              <w:left w:val="single" w:color="000000" w:sz="4" w:space="0"/>
              <w:bottom w:val="single" w:color="000000" w:sz="4" w:space="0"/>
              <w:right w:val="single" w:color="000000" w:sz="4" w:space="0"/>
            </w:tcBorders>
            <w:shd w:val="clear" w:color="auto" w:fill="auto"/>
            <w:vAlign w:val="center"/>
          </w:tcPr>
          <w:p w14:paraId="2C4425FD">
            <w:pPr>
              <w:jc w:val="center"/>
              <w:textAlignment w:val="center"/>
              <w:rPr>
                <w:rFonts w:ascii="宋体" w:hAnsi="宋体" w:eastAsia="宋体" w:cs="宋体"/>
                <w:b/>
                <w:bCs/>
                <w:color w:val="auto"/>
              </w:rPr>
            </w:pPr>
            <w:r>
              <w:rPr>
                <w:rFonts w:hint="eastAsia" w:ascii="宋体" w:hAnsi="宋体" w:eastAsia="宋体" w:cs="宋体"/>
                <w:b/>
                <w:bCs/>
                <w:color w:val="auto"/>
                <w:lang w:eastAsia="zh-CN"/>
              </w:rPr>
              <w:t>规格</w:t>
            </w:r>
          </w:p>
        </w:tc>
        <w:tc>
          <w:tcPr>
            <w:tcW w:w="824" w:type="dxa"/>
            <w:vMerge w:val="continue"/>
            <w:tcBorders>
              <w:top w:val="single" w:color="000000" w:sz="4" w:space="0"/>
              <w:left w:val="nil"/>
              <w:bottom w:val="single" w:color="000000" w:sz="4" w:space="0"/>
              <w:right w:val="single" w:color="000000" w:sz="4" w:space="0"/>
            </w:tcBorders>
            <w:shd w:val="clear" w:color="auto" w:fill="auto"/>
            <w:vAlign w:val="center"/>
          </w:tcPr>
          <w:p w14:paraId="236099A0">
            <w:pPr>
              <w:jc w:val="center"/>
              <w:rPr>
                <w:rFonts w:ascii="宋体" w:hAnsi="宋体" w:eastAsia="宋体" w:cs="宋体"/>
                <w:b/>
                <w:bCs/>
                <w:color w:val="auto"/>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C0F69">
            <w:pPr>
              <w:jc w:val="center"/>
              <w:rPr>
                <w:rFonts w:ascii="宋体" w:hAnsi="宋体" w:eastAsia="宋体" w:cs="宋体"/>
                <w:b/>
                <w:bCs/>
                <w:color w:val="auto"/>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7DFB6">
            <w:pPr>
              <w:jc w:val="center"/>
              <w:rPr>
                <w:rFonts w:ascii="宋体" w:hAnsi="宋体" w:eastAsia="宋体" w:cs="宋体"/>
                <w:b/>
                <w:bCs/>
                <w:color w:val="auto"/>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BF130">
            <w:pPr>
              <w:jc w:val="center"/>
              <w:rPr>
                <w:rFonts w:ascii="宋体" w:hAnsi="宋体" w:eastAsia="宋体" w:cs="宋体"/>
                <w:b/>
                <w:bCs/>
                <w:color w:val="auto"/>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E5301">
            <w:pPr>
              <w:jc w:val="center"/>
              <w:rPr>
                <w:rFonts w:ascii="宋体" w:hAnsi="宋体" w:eastAsia="宋体" w:cs="宋体"/>
                <w:b/>
                <w:bCs/>
                <w:color w:val="auto"/>
              </w:rPr>
            </w:pPr>
          </w:p>
        </w:tc>
        <w:tc>
          <w:tcPr>
            <w:tcW w:w="8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68CA">
            <w:pPr>
              <w:jc w:val="center"/>
              <w:rPr>
                <w:rFonts w:ascii="宋体" w:hAnsi="宋体" w:eastAsia="宋体" w:cs="宋体"/>
                <w:b/>
                <w:bCs/>
                <w:color w:val="auto"/>
              </w:rPr>
            </w:pPr>
          </w:p>
        </w:tc>
      </w:tr>
      <w:tr w14:paraId="608B9BF3">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808D">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AABD">
            <w:pPr>
              <w:textAlignment w:val="center"/>
              <w:rPr>
                <w:rFonts w:ascii="宋体" w:hAnsi="宋体" w:eastAsia="宋体" w:cs="宋体"/>
                <w:color w:val="auto"/>
              </w:rPr>
            </w:pPr>
            <w:r>
              <w:rPr>
                <w:rFonts w:hint="eastAsia" w:ascii="宋体" w:hAnsi="宋体" w:eastAsia="宋体" w:cs="宋体"/>
                <w:color w:val="auto"/>
                <w:lang w:eastAsia="zh-CN"/>
              </w:rPr>
              <w:t>大景城10号楼1单元</w:t>
            </w:r>
          </w:p>
        </w:tc>
        <w:tc>
          <w:tcPr>
            <w:tcW w:w="1096" w:type="dxa"/>
            <w:tcBorders>
              <w:top w:val="nil"/>
              <w:left w:val="single" w:color="000000" w:sz="4" w:space="0"/>
              <w:bottom w:val="single" w:color="000000" w:sz="4" w:space="0"/>
              <w:right w:val="single" w:color="000000" w:sz="4" w:space="0"/>
            </w:tcBorders>
            <w:shd w:val="clear" w:color="auto" w:fill="auto"/>
            <w:noWrap/>
            <w:vAlign w:val="center"/>
          </w:tcPr>
          <w:p w14:paraId="28252600">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1110" w:type="dxa"/>
            <w:tcBorders>
              <w:top w:val="nil"/>
              <w:left w:val="single" w:color="000000" w:sz="4" w:space="0"/>
              <w:bottom w:val="single" w:color="000000" w:sz="4" w:space="0"/>
              <w:right w:val="single" w:color="000000" w:sz="4" w:space="0"/>
            </w:tcBorders>
            <w:shd w:val="clear" w:color="auto" w:fill="auto"/>
            <w:noWrap/>
            <w:vAlign w:val="center"/>
          </w:tcPr>
          <w:p w14:paraId="65A43092">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nil"/>
              <w:left w:val="single" w:color="000000" w:sz="4" w:space="0"/>
              <w:bottom w:val="single" w:color="000000" w:sz="4" w:space="0"/>
              <w:right w:val="single" w:color="000000" w:sz="4" w:space="0"/>
            </w:tcBorders>
            <w:shd w:val="clear" w:color="auto" w:fill="auto"/>
            <w:noWrap/>
            <w:vAlign w:val="center"/>
          </w:tcPr>
          <w:p w14:paraId="1A395411">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nil"/>
              <w:left w:val="single" w:color="000000" w:sz="4" w:space="0"/>
              <w:bottom w:val="single" w:color="000000" w:sz="4" w:space="0"/>
              <w:right w:val="single" w:color="000000" w:sz="4" w:space="0"/>
            </w:tcBorders>
            <w:shd w:val="clear" w:color="auto" w:fill="auto"/>
            <w:noWrap/>
            <w:vAlign w:val="center"/>
          </w:tcPr>
          <w:p w14:paraId="30FFD05B">
            <w:pPr>
              <w:jc w:val="center"/>
              <w:textAlignment w:val="center"/>
              <w:rPr>
                <w:rFonts w:ascii="宋体" w:hAnsi="宋体" w:eastAsia="宋体" w:cs="宋体"/>
                <w:color w:val="auto"/>
              </w:rPr>
            </w:pPr>
            <w:r>
              <w:rPr>
                <w:rFonts w:hint="eastAsia" w:ascii="宋体" w:hAnsi="宋体" w:eastAsia="宋体" w:cs="宋体"/>
                <w:color w:val="auto"/>
                <w:lang w:eastAsia="zh-CN"/>
              </w:rPr>
              <w:t>10层8站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5A56">
            <w:pPr>
              <w:rPr>
                <w:rFonts w:ascii="宋体" w:hAnsi="宋体" w:eastAsia="宋体" w:cs="宋体"/>
                <w:color w:val="auto"/>
              </w:rPr>
            </w:pPr>
          </w:p>
        </w:tc>
        <w:tc>
          <w:tcPr>
            <w:tcW w:w="824" w:type="dxa"/>
            <w:tcBorders>
              <w:top w:val="nil"/>
              <w:left w:val="single" w:color="000000" w:sz="4" w:space="0"/>
              <w:bottom w:val="single" w:color="000000" w:sz="4" w:space="0"/>
              <w:right w:val="single" w:color="000000" w:sz="4" w:space="0"/>
            </w:tcBorders>
            <w:shd w:val="clear" w:color="auto" w:fill="auto"/>
            <w:noWrap/>
            <w:vAlign w:val="center"/>
          </w:tcPr>
          <w:p w14:paraId="3D788559">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C8AE">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0F5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44D7">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F80E">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BF1B">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4054">
            <w:pPr>
              <w:rPr>
                <w:rFonts w:ascii="宋体" w:hAnsi="宋体" w:eastAsia="宋体" w:cs="宋体"/>
                <w:color w:val="auto"/>
              </w:rPr>
            </w:pPr>
          </w:p>
        </w:tc>
      </w:tr>
      <w:tr w14:paraId="63361C7F">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145E">
            <w:pPr>
              <w:jc w:val="center"/>
              <w:textAlignment w:val="center"/>
              <w:rPr>
                <w:rFonts w:ascii="宋体" w:hAnsi="宋体" w:eastAsia="宋体" w:cs="宋体"/>
                <w:color w:val="auto"/>
              </w:rPr>
            </w:pPr>
            <w:r>
              <w:rPr>
                <w:rFonts w:hint="eastAsia" w:ascii="宋体" w:hAnsi="宋体" w:eastAsia="宋体" w:cs="宋体"/>
                <w:color w:val="auto"/>
                <w:lang w:eastAsia="zh-CN"/>
              </w:rPr>
              <w:t>2</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0749">
            <w:pPr>
              <w:textAlignment w:val="center"/>
              <w:rPr>
                <w:rFonts w:ascii="宋体" w:hAnsi="宋体" w:eastAsia="宋体" w:cs="宋体"/>
                <w:color w:val="auto"/>
              </w:rPr>
            </w:pPr>
            <w:r>
              <w:rPr>
                <w:rFonts w:hint="eastAsia" w:ascii="宋体" w:hAnsi="宋体" w:eastAsia="宋体" w:cs="宋体"/>
                <w:color w:val="auto"/>
                <w:lang w:eastAsia="zh-CN"/>
              </w:rPr>
              <w:t>大景城16号楼1单元</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F674">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C702">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7EE5">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8FD3">
            <w:pPr>
              <w:jc w:val="center"/>
              <w:textAlignment w:val="center"/>
              <w:rPr>
                <w:rFonts w:ascii="宋体" w:hAnsi="宋体" w:eastAsia="宋体" w:cs="宋体"/>
                <w:color w:val="auto"/>
              </w:rPr>
            </w:pPr>
            <w:r>
              <w:rPr>
                <w:rFonts w:hint="eastAsia" w:ascii="宋体" w:hAnsi="宋体" w:eastAsia="宋体" w:cs="宋体"/>
                <w:color w:val="auto"/>
                <w:lang w:eastAsia="zh-CN"/>
              </w:rPr>
              <w:t>10层8站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D5E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C62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B425">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A31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57B9">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320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AE2BD">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F2933">
            <w:pPr>
              <w:rPr>
                <w:rFonts w:ascii="宋体" w:hAnsi="宋体" w:eastAsia="宋体" w:cs="宋体"/>
                <w:color w:val="auto"/>
              </w:rPr>
            </w:pPr>
          </w:p>
        </w:tc>
      </w:tr>
      <w:tr w14:paraId="71DE8499">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9C83">
            <w:pPr>
              <w:jc w:val="center"/>
              <w:textAlignment w:val="center"/>
              <w:rPr>
                <w:rFonts w:ascii="宋体" w:hAnsi="宋体" w:eastAsia="宋体" w:cs="宋体"/>
                <w:color w:val="auto"/>
              </w:rPr>
            </w:pPr>
            <w:r>
              <w:rPr>
                <w:rFonts w:hint="eastAsia" w:ascii="宋体" w:hAnsi="宋体" w:eastAsia="宋体" w:cs="宋体"/>
                <w:color w:val="auto"/>
                <w:lang w:eastAsia="zh-CN"/>
              </w:rPr>
              <w:t>3</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D606">
            <w:pPr>
              <w:textAlignment w:val="center"/>
              <w:rPr>
                <w:rFonts w:ascii="宋体" w:hAnsi="宋体" w:eastAsia="宋体" w:cs="宋体"/>
                <w:color w:val="auto"/>
              </w:rPr>
            </w:pPr>
            <w:r>
              <w:rPr>
                <w:rFonts w:hint="eastAsia" w:ascii="宋体" w:hAnsi="宋体" w:eastAsia="宋体" w:cs="宋体"/>
                <w:color w:val="auto"/>
                <w:lang w:eastAsia="zh-CN"/>
              </w:rPr>
              <w:t>大景城16号楼2单元</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E314">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4C33">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B2E5">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A310">
            <w:pPr>
              <w:jc w:val="center"/>
              <w:textAlignment w:val="center"/>
              <w:rPr>
                <w:rFonts w:ascii="宋体" w:hAnsi="宋体" w:eastAsia="宋体" w:cs="宋体"/>
                <w:color w:val="auto"/>
              </w:rPr>
            </w:pPr>
            <w:r>
              <w:rPr>
                <w:rFonts w:hint="eastAsia" w:ascii="宋体" w:hAnsi="宋体" w:eastAsia="宋体" w:cs="宋体"/>
                <w:color w:val="auto"/>
                <w:lang w:eastAsia="zh-CN"/>
              </w:rPr>
              <w:t>10层8站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A21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37E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AC48F">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6206">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54DC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CAA0">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0C1C">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32A8">
            <w:pPr>
              <w:rPr>
                <w:rFonts w:ascii="宋体" w:hAnsi="宋体" w:eastAsia="宋体" w:cs="宋体"/>
                <w:color w:val="auto"/>
              </w:rPr>
            </w:pPr>
          </w:p>
        </w:tc>
      </w:tr>
      <w:tr w14:paraId="0FFF7BDA">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C73D">
            <w:pPr>
              <w:jc w:val="center"/>
              <w:textAlignment w:val="center"/>
              <w:rPr>
                <w:rFonts w:ascii="宋体" w:hAnsi="宋体" w:eastAsia="宋体" w:cs="宋体"/>
                <w:color w:val="auto"/>
              </w:rPr>
            </w:pPr>
            <w:r>
              <w:rPr>
                <w:rFonts w:hint="eastAsia" w:ascii="宋体" w:hAnsi="宋体" w:eastAsia="宋体" w:cs="宋体"/>
                <w:color w:val="auto"/>
                <w:lang w:eastAsia="zh-CN"/>
              </w:rPr>
              <w:t>4</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D29B">
            <w:pPr>
              <w:textAlignment w:val="center"/>
              <w:rPr>
                <w:rFonts w:ascii="宋体" w:hAnsi="宋体" w:eastAsia="宋体" w:cs="宋体"/>
                <w:color w:val="auto"/>
              </w:rPr>
            </w:pPr>
            <w:r>
              <w:rPr>
                <w:rFonts w:hint="eastAsia" w:ascii="宋体" w:hAnsi="宋体" w:eastAsia="宋体" w:cs="宋体"/>
                <w:color w:val="auto"/>
                <w:lang w:eastAsia="zh-CN"/>
              </w:rPr>
              <w:t>大景城10号楼2单元</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E517">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59F5">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5C17">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6C6C">
            <w:pPr>
              <w:jc w:val="center"/>
              <w:textAlignment w:val="center"/>
              <w:rPr>
                <w:rFonts w:ascii="宋体" w:hAnsi="宋体" w:eastAsia="宋体" w:cs="宋体"/>
                <w:color w:val="auto"/>
              </w:rPr>
            </w:pPr>
            <w:r>
              <w:rPr>
                <w:rFonts w:hint="eastAsia" w:ascii="宋体" w:hAnsi="宋体" w:eastAsia="宋体" w:cs="宋体"/>
                <w:color w:val="auto"/>
                <w:lang w:eastAsia="zh-CN"/>
              </w:rPr>
              <w:t>12层10站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3B92">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A3C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75BC">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1FCD">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FA4A">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030F">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3AE2">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9E4F">
            <w:pPr>
              <w:rPr>
                <w:rFonts w:ascii="宋体" w:hAnsi="宋体" w:eastAsia="宋体" w:cs="宋体"/>
                <w:color w:val="auto"/>
              </w:rPr>
            </w:pPr>
          </w:p>
        </w:tc>
      </w:tr>
      <w:tr w14:paraId="1CE47ADC">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27E1">
            <w:pPr>
              <w:jc w:val="center"/>
              <w:textAlignment w:val="center"/>
              <w:rPr>
                <w:rFonts w:ascii="宋体" w:hAnsi="宋体" w:eastAsia="宋体" w:cs="宋体"/>
                <w:color w:val="auto"/>
              </w:rPr>
            </w:pPr>
            <w:r>
              <w:rPr>
                <w:rFonts w:hint="eastAsia" w:ascii="宋体" w:hAnsi="宋体" w:eastAsia="宋体" w:cs="宋体"/>
                <w:color w:val="auto"/>
                <w:lang w:eastAsia="zh-CN"/>
              </w:rPr>
              <w:t>5</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3901">
            <w:pPr>
              <w:textAlignment w:val="center"/>
              <w:rPr>
                <w:rFonts w:ascii="宋体" w:hAnsi="宋体" w:eastAsia="宋体" w:cs="宋体"/>
                <w:color w:val="auto"/>
              </w:rPr>
            </w:pPr>
            <w:r>
              <w:rPr>
                <w:rFonts w:hint="eastAsia" w:ascii="宋体" w:hAnsi="宋体" w:eastAsia="宋体" w:cs="宋体"/>
                <w:color w:val="auto"/>
                <w:lang w:eastAsia="zh-CN"/>
              </w:rPr>
              <w:t>大景城10号楼3单元</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1018">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7E75">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4389">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485F">
            <w:pPr>
              <w:jc w:val="center"/>
              <w:textAlignment w:val="center"/>
              <w:rPr>
                <w:rFonts w:ascii="宋体" w:hAnsi="宋体" w:eastAsia="宋体" w:cs="宋体"/>
                <w:color w:val="auto"/>
              </w:rPr>
            </w:pPr>
            <w:r>
              <w:rPr>
                <w:rFonts w:hint="eastAsia" w:ascii="宋体" w:hAnsi="宋体" w:eastAsia="宋体" w:cs="宋体"/>
                <w:color w:val="auto"/>
                <w:lang w:eastAsia="zh-CN"/>
              </w:rPr>
              <w:t>12层10站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40C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9BD6">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2FC9">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8C95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71EE">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2D10">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3D3D">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4C04">
            <w:pPr>
              <w:rPr>
                <w:rFonts w:ascii="宋体" w:hAnsi="宋体" w:eastAsia="宋体" w:cs="宋体"/>
                <w:color w:val="auto"/>
              </w:rPr>
            </w:pPr>
          </w:p>
        </w:tc>
      </w:tr>
      <w:tr w14:paraId="50F6F74B">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E290">
            <w:pPr>
              <w:jc w:val="center"/>
              <w:textAlignment w:val="center"/>
              <w:rPr>
                <w:rFonts w:ascii="宋体" w:hAnsi="宋体" w:eastAsia="宋体" w:cs="宋体"/>
                <w:color w:val="auto"/>
              </w:rPr>
            </w:pPr>
            <w:r>
              <w:rPr>
                <w:rFonts w:hint="eastAsia" w:ascii="宋体" w:hAnsi="宋体" w:eastAsia="宋体" w:cs="宋体"/>
                <w:color w:val="auto"/>
                <w:lang w:eastAsia="zh-CN"/>
              </w:rPr>
              <w:t>6</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6068">
            <w:pPr>
              <w:textAlignment w:val="center"/>
              <w:rPr>
                <w:rFonts w:ascii="宋体" w:hAnsi="宋体" w:eastAsia="宋体" w:cs="宋体"/>
                <w:color w:val="auto"/>
              </w:rPr>
            </w:pPr>
            <w:r>
              <w:rPr>
                <w:rFonts w:hint="eastAsia" w:ascii="宋体" w:hAnsi="宋体" w:eastAsia="宋体" w:cs="宋体"/>
                <w:color w:val="auto"/>
                <w:lang w:eastAsia="zh-CN"/>
              </w:rPr>
              <w:t>大景城13号楼1单元1号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646B">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31B4">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49AA">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1CAF">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E85C6">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9E72">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212E">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175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4B70">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0D4B">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16A8">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CE01">
            <w:pPr>
              <w:rPr>
                <w:rFonts w:ascii="宋体" w:hAnsi="宋体" w:eastAsia="宋体" w:cs="宋体"/>
                <w:color w:val="auto"/>
              </w:rPr>
            </w:pPr>
          </w:p>
        </w:tc>
      </w:tr>
      <w:tr w14:paraId="720FD18B">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C8D3">
            <w:pPr>
              <w:jc w:val="center"/>
              <w:textAlignment w:val="center"/>
              <w:rPr>
                <w:rFonts w:ascii="宋体" w:hAnsi="宋体" w:eastAsia="宋体" w:cs="宋体"/>
                <w:color w:val="auto"/>
              </w:rPr>
            </w:pPr>
            <w:r>
              <w:rPr>
                <w:rFonts w:hint="eastAsia" w:ascii="宋体" w:hAnsi="宋体" w:eastAsia="宋体" w:cs="宋体"/>
                <w:color w:val="auto"/>
                <w:lang w:eastAsia="zh-CN"/>
              </w:rPr>
              <w:t>7</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C479">
            <w:pPr>
              <w:textAlignment w:val="center"/>
              <w:rPr>
                <w:rFonts w:ascii="宋体" w:hAnsi="宋体" w:eastAsia="宋体" w:cs="宋体"/>
                <w:color w:val="auto"/>
              </w:rPr>
            </w:pPr>
            <w:r>
              <w:rPr>
                <w:rFonts w:hint="eastAsia" w:ascii="宋体" w:hAnsi="宋体" w:eastAsia="宋体" w:cs="宋体"/>
                <w:color w:val="auto"/>
                <w:lang w:eastAsia="zh-CN"/>
              </w:rPr>
              <w:t>大景城13号楼1单元2号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493B">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2C2A">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8D2E">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50D4">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450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C202">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AA72">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B1E4">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87B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FA9B">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5786">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FA7A">
            <w:pPr>
              <w:rPr>
                <w:rFonts w:ascii="宋体" w:hAnsi="宋体" w:eastAsia="宋体" w:cs="宋体"/>
                <w:color w:val="auto"/>
              </w:rPr>
            </w:pPr>
          </w:p>
        </w:tc>
      </w:tr>
      <w:tr w14:paraId="325D314D">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F6F6">
            <w:pPr>
              <w:jc w:val="center"/>
              <w:textAlignment w:val="center"/>
              <w:rPr>
                <w:rFonts w:ascii="宋体" w:hAnsi="宋体" w:eastAsia="宋体" w:cs="宋体"/>
                <w:color w:val="auto"/>
              </w:rPr>
            </w:pPr>
            <w:r>
              <w:rPr>
                <w:rFonts w:hint="eastAsia" w:ascii="宋体" w:hAnsi="宋体" w:eastAsia="宋体" w:cs="宋体"/>
                <w:color w:val="auto"/>
                <w:lang w:eastAsia="zh-CN"/>
              </w:rPr>
              <w:t>8</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2B3D">
            <w:pPr>
              <w:textAlignment w:val="center"/>
              <w:rPr>
                <w:rFonts w:ascii="宋体" w:hAnsi="宋体" w:eastAsia="宋体" w:cs="宋体"/>
                <w:color w:val="auto"/>
              </w:rPr>
            </w:pPr>
            <w:r>
              <w:rPr>
                <w:rFonts w:hint="eastAsia" w:ascii="宋体" w:hAnsi="宋体" w:eastAsia="宋体" w:cs="宋体"/>
                <w:color w:val="auto"/>
                <w:lang w:eastAsia="zh-CN"/>
              </w:rPr>
              <w:t>大景城14号楼1单元1号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04312">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F2F1">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6A13">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598E">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86D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1A57">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A670">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F4AF">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B6C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0D9D">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6DC9">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49B39">
            <w:pPr>
              <w:rPr>
                <w:rFonts w:ascii="宋体" w:hAnsi="宋体" w:eastAsia="宋体" w:cs="宋体"/>
                <w:color w:val="auto"/>
              </w:rPr>
            </w:pPr>
          </w:p>
        </w:tc>
      </w:tr>
      <w:tr w14:paraId="3B9B2820">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7FC2">
            <w:pPr>
              <w:jc w:val="center"/>
              <w:textAlignment w:val="center"/>
              <w:rPr>
                <w:rFonts w:ascii="宋体" w:hAnsi="宋体" w:eastAsia="宋体" w:cs="宋体"/>
                <w:color w:val="auto"/>
              </w:rPr>
            </w:pPr>
            <w:r>
              <w:rPr>
                <w:rFonts w:hint="eastAsia" w:ascii="宋体" w:hAnsi="宋体" w:eastAsia="宋体" w:cs="宋体"/>
                <w:color w:val="auto"/>
                <w:lang w:eastAsia="zh-CN"/>
              </w:rPr>
              <w:t>9</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9B10">
            <w:pPr>
              <w:textAlignment w:val="center"/>
              <w:rPr>
                <w:rFonts w:ascii="宋体" w:hAnsi="宋体" w:eastAsia="宋体" w:cs="宋体"/>
                <w:color w:val="auto"/>
              </w:rPr>
            </w:pPr>
            <w:r>
              <w:rPr>
                <w:rFonts w:hint="eastAsia" w:ascii="宋体" w:hAnsi="宋体" w:eastAsia="宋体" w:cs="宋体"/>
                <w:color w:val="auto"/>
                <w:lang w:eastAsia="zh-CN"/>
              </w:rPr>
              <w:t>大景城14号楼1单元2号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90583">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05D7">
            <w:pPr>
              <w:jc w:val="center"/>
              <w:textAlignment w:val="center"/>
              <w:rPr>
                <w:rFonts w:ascii="宋体" w:hAnsi="宋体" w:eastAsia="宋体" w:cs="宋体"/>
                <w:color w:val="auto"/>
              </w:rPr>
            </w:pPr>
            <w:r>
              <w:rPr>
                <w:rFonts w:hint="eastAsia" w:ascii="宋体" w:hAnsi="宋体" w:eastAsia="宋体" w:cs="宋体"/>
                <w:color w:val="auto"/>
                <w:lang w:eastAsia="zh-CN"/>
              </w:rPr>
              <w:t>800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6EFB">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5496">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AAC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39C7">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7C52">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27B0">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774E">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411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559F">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B7BC">
            <w:pPr>
              <w:rPr>
                <w:rFonts w:ascii="宋体" w:hAnsi="宋体" w:eastAsia="宋体" w:cs="宋体"/>
                <w:color w:val="auto"/>
              </w:rPr>
            </w:pPr>
          </w:p>
        </w:tc>
      </w:tr>
      <w:tr w14:paraId="07C25845">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0AE9">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D9C8">
            <w:pPr>
              <w:textAlignment w:val="center"/>
              <w:rPr>
                <w:rFonts w:ascii="宋体" w:hAnsi="宋体" w:eastAsia="宋体" w:cs="宋体"/>
                <w:color w:val="auto"/>
              </w:rPr>
            </w:pPr>
            <w:r>
              <w:rPr>
                <w:rFonts w:hint="eastAsia" w:ascii="宋体" w:hAnsi="宋体" w:eastAsia="宋体" w:cs="宋体"/>
                <w:color w:val="auto"/>
                <w:lang w:eastAsia="zh-CN"/>
              </w:rPr>
              <w:t>大景城15号楼1单元1号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8466">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384D">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825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77F1">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5136">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8E5F">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1376">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88E8">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D37F">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8752">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E0AE">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43BA">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B1DCA">
            <w:pPr>
              <w:rPr>
                <w:rFonts w:ascii="宋体" w:hAnsi="宋体" w:eastAsia="宋体" w:cs="宋体"/>
                <w:color w:val="auto"/>
              </w:rPr>
            </w:pPr>
          </w:p>
        </w:tc>
      </w:tr>
      <w:tr w14:paraId="2FF009B7">
        <w:tblPrEx>
          <w:tblCellMar>
            <w:top w:w="0" w:type="dxa"/>
            <w:left w:w="108" w:type="dxa"/>
            <w:bottom w:w="0" w:type="dxa"/>
            <w:right w:w="108" w:type="dxa"/>
          </w:tblCellMar>
        </w:tblPrEx>
        <w:trPr>
          <w:trHeight w:val="27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FAD6">
            <w:pPr>
              <w:jc w:val="center"/>
              <w:textAlignment w:val="center"/>
              <w:rPr>
                <w:rFonts w:ascii="宋体" w:hAnsi="宋体" w:eastAsia="宋体" w:cs="宋体"/>
                <w:color w:val="auto"/>
              </w:rPr>
            </w:pPr>
            <w:r>
              <w:rPr>
                <w:rFonts w:hint="eastAsia" w:ascii="宋体" w:hAnsi="宋体" w:eastAsia="宋体" w:cs="宋体"/>
                <w:color w:val="auto"/>
                <w:lang w:eastAsia="zh-CN"/>
              </w:rPr>
              <w:t>11</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B1DC">
            <w:pPr>
              <w:textAlignment w:val="center"/>
              <w:rPr>
                <w:rFonts w:ascii="宋体" w:hAnsi="宋体" w:eastAsia="宋体" w:cs="宋体"/>
                <w:color w:val="auto"/>
              </w:rPr>
            </w:pPr>
            <w:r>
              <w:rPr>
                <w:rFonts w:hint="eastAsia" w:ascii="宋体" w:hAnsi="宋体" w:eastAsia="宋体" w:cs="宋体"/>
                <w:color w:val="auto"/>
                <w:lang w:eastAsia="zh-CN"/>
              </w:rPr>
              <w:t>大景城15号楼1单元2号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67D41">
            <w:pPr>
              <w:jc w:val="center"/>
              <w:textAlignment w:val="center"/>
              <w:rPr>
                <w:rFonts w:ascii="宋体" w:hAnsi="宋体" w:eastAsia="宋体" w:cs="宋体"/>
                <w:color w:val="auto"/>
              </w:rPr>
            </w:pPr>
            <w:r>
              <w:rPr>
                <w:rFonts w:hint="eastAsia" w:ascii="宋体" w:hAnsi="宋体" w:eastAsia="宋体" w:cs="宋体"/>
                <w:color w:val="auto"/>
                <w:lang w:eastAsia="zh-CN"/>
              </w:rPr>
              <w:t>1.75</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16D5">
            <w:pPr>
              <w:jc w:val="center"/>
              <w:textAlignment w:val="center"/>
              <w:rPr>
                <w:rFonts w:ascii="宋体" w:hAnsi="宋体" w:eastAsia="宋体" w:cs="宋体"/>
                <w:color w:val="auto"/>
              </w:rPr>
            </w:pPr>
            <w:r>
              <w:rPr>
                <w:rFonts w:hint="eastAsia" w:ascii="宋体" w:hAnsi="宋体" w:eastAsia="宋体" w:cs="宋体"/>
                <w:color w:val="auto"/>
                <w:lang w:eastAsia="zh-CN"/>
              </w:rPr>
              <w:t>825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082D">
            <w:pPr>
              <w:jc w:val="center"/>
              <w:textAlignment w:val="center"/>
              <w:rPr>
                <w:rFonts w:ascii="宋体" w:hAnsi="宋体" w:eastAsia="宋体" w:cs="宋体"/>
                <w:color w:val="auto"/>
              </w:rPr>
            </w:pPr>
            <w:r>
              <w:rPr>
                <w:rFonts w:hint="eastAsia" w:ascii="宋体" w:hAnsi="宋体" w:eastAsia="宋体" w:cs="宋体"/>
                <w:color w:val="auto"/>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28E9">
            <w:pPr>
              <w:jc w:val="center"/>
              <w:textAlignment w:val="center"/>
              <w:rPr>
                <w:rFonts w:ascii="宋体" w:hAnsi="宋体" w:eastAsia="宋体" w:cs="宋体"/>
                <w:color w:val="auto"/>
              </w:rPr>
            </w:pPr>
            <w:r>
              <w:rPr>
                <w:rFonts w:hint="eastAsia" w:ascii="宋体" w:hAnsi="宋体" w:eastAsia="宋体" w:cs="宋体"/>
                <w:color w:val="auto"/>
                <w:lang w:eastAsia="zh-CN"/>
              </w:rPr>
              <w:t>17层16站</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96F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3B0D5">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2DD7">
            <w:pPr>
              <w:jc w:val="center"/>
              <w:textAlignment w:val="center"/>
              <w:rPr>
                <w:rFonts w:ascii="宋体" w:hAnsi="宋体" w:eastAsia="宋体" w:cs="宋体"/>
                <w:color w:val="auto"/>
              </w:rPr>
            </w:pPr>
            <w:r>
              <w:rPr>
                <w:rFonts w:hint="eastAsia" w:ascii="宋体" w:hAnsi="宋体" w:eastAsia="宋体" w:cs="宋体"/>
                <w:color w:val="auto"/>
                <w:lang w:eastAsia="zh-CN"/>
              </w:rPr>
              <w:t>1</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142E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B291">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9144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0C1F">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3337">
            <w:pPr>
              <w:rPr>
                <w:rFonts w:ascii="宋体" w:hAnsi="宋体" w:eastAsia="宋体" w:cs="宋体"/>
                <w:color w:val="auto"/>
              </w:rPr>
            </w:pPr>
          </w:p>
        </w:tc>
      </w:tr>
      <w:tr w14:paraId="29BBF46E">
        <w:tblPrEx>
          <w:tblCellMar>
            <w:top w:w="0" w:type="dxa"/>
            <w:left w:w="108" w:type="dxa"/>
            <w:bottom w:w="0" w:type="dxa"/>
            <w:right w:w="108" w:type="dxa"/>
          </w:tblCellMar>
        </w:tblPrEx>
        <w:trPr>
          <w:trHeight w:val="555"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09E6">
            <w:pPr>
              <w:jc w:val="center"/>
              <w:textAlignment w:val="center"/>
              <w:rPr>
                <w:rFonts w:ascii="宋体" w:hAnsi="宋体" w:eastAsia="宋体" w:cs="宋体"/>
                <w:color w:val="auto"/>
                <w:lang w:eastAsia="zh-CN"/>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0B4F">
            <w:pPr>
              <w:jc w:val="center"/>
              <w:textAlignment w:val="center"/>
              <w:rPr>
                <w:rFonts w:ascii="宋体" w:hAnsi="宋体" w:eastAsia="宋体" w:cs="宋体"/>
                <w:color w:val="auto"/>
                <w:lang w:eastAsia="zh-CN"/>
              </w:rPr>
            </w:pPr>
            <w:r>
              <w:rPr>
                <w:rFonts w:hint="eastAsia" w:ascii="宋体" w:hAnsi="宋体" w:eastAsia="宋体" w:cs="宋体"/>
                <w:color w:val="auto"/>
                <w:lang w:eastAsia="zh-CN"/>
              </w:rPr>
              <w:t>合计（元）</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5703">
            <w:pPr>
              <w:jc w:val="center"/>
              <w:textAlignment w:val="center"/>
              <w:rPr>
                <w:rFonts w:ascii="宋体" w:hAnsi="宋体" w:eastAsia="宋体" w:cs="宋体"/>
                <w:color w:val="auto"/>
                <w:lang w:eastAsia="zh-CN"/>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306F">
            <w:pPr>
              <w:jc w:val="center"/>
              <w:textAlignment w:val="center"/>
              <w:rPr>
                <w:rFonts w:ascii="宋体" w:hAnsi="宋体" w:eastAsia="宋体" w:cs="宋体"/>
                <w:color w:val="auto"/>
                <w:lang w:eastAsia="zh-CN"/>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F5CA">
            <w:pPr>
              <w:jc w:val="center"/>
              <w:textAlignment w:val="center"/>
              <w:rPr>
                <w:rFonts w:ascii="宋体" w:hAnsi="宋体" w:eastAsia="宋体" w:cs="宋体"/>
                <w:color w:val="auto"/>
                <w:lang w:eastAsia="zh-CN"/>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4BB6">
            <w:pPr>
              <w:jc w:val="center"/>
              <w:textAlignment w:val="center"/>
              <w:rPr>
                <w:rFonts w:ascii="宋体" w:hAnsi="宋体" w:eastAsia="宋体" w:cs="宋体"/>
                <w:color w:val="auto"/>
                <w:lang w:eastAsia="zh-CN"/>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583C">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1853">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0758">
            <w:pPr>
              <w:jc w:val="center"/>
              <w:textAlignment w:val="center"/>
              <w:rPr>
                <w:rFonts w:ascii="宋体" w:hAnsi="宋体" w:eastAsia="宋体" w:cs="宋体"/>
                <w:color w:val="auto"/>
                <w:lang w:eastAsia="zh-CN"/>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99B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1228">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A569">
            <w:pPr>
              <w:rPr>
                <w:rFonts w:ascii="宋体" w:hAnsi="宋体" w:eastAsia="宋体" w:cs="宋体"/>
                <w:color w:val="auto"/>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205C">
            <w:pPr>
              <w:rPr>
                <w:rFonts w:ascii="宋体" w:hAnsi="宋体" w:eastAsia="宋体" w:cs="宋体"/>
                <w:color w:val="auto"/>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2AF2">
            <w:pPr>
              <w:rPr>
                <w:rFonts w:ascii="宋体" w:hAnsi="宋体" w:eastAsia="宋体" w:cs="宋体"/>
                <w:color w:val="auto"/>
              </w:rPr>
            </w:pPr>
          </w:p>
        </w:tc>
      </w:tr>
    </w:tbl>
    <w:p w14:paraId="4A65FC19">
      <w:pPr>
        <w:pStyle w:val="8"/>
        <w:spacing w:line="242" w:lineRule="auto"/>
      </w:pPr>
    </w:p>
    <w:p w14:paraId="13E843F3">
      <w:pPr>
        <w:pStyle w:val="8"/>
        <w:spacing w:line="242" w:lineRule="auto"/>
      </w:pPr>
    </w:p>
    <w:p w14:paraId="254FC7AA">
      <w:pPr>
        <w:pStyle w:val="8"/>
        <w:spacing w:line="242" w:lineRule="auto"/>
      </w:pPr>
    </w:p>
    <w:p w14:paraId="07FC708F">
      <w:pPr>
        <w:pStyle w:val="8"/>
        <w:spacing w:line="242" w:lineRule="auto"/>
      </w:pPr>
    </w:p>
    <w:p w14:paraId="267A5986">
      <w:pPr>
        <w:pStyle w:val="8"/>
        <w:spacing w:line="243" w:lineRule="auto"/>
      </w:pPr>
    </w:p>
    <w:p w14:paraId="09ACAA34">
      <w:pPr>
        <w:pStyle w:val="8"/>
        <w:spacing w:line="243" w:lineRule="auto"/>
      </w:pPr>
    </w:p>
    <w:p w14:paraId="3AF15302">
      <w:pPr>
        <w:spacing w:before="68" w:line="220" w:lineRule="auto"/>
        <w:ind w:left="5829"/>
        <w:rPr>
          <w:rFonts w:ascii="宋体" w:hAnsi="宋体" w:eastAsia="宋体" w:cs="宋体"/>
          <w:color w:val="auto"/>
        </w:rPr>
      </w:pPr>
      <w:r>
        <w:rPr>
          <w:rFonts w:ascii="宋体" w:hAnsi="宋体" w:eastAsia="宋体" w:cs="宋体"/>
          <w:color w:val="auto"/>
          <w:spacing w:val="-2"/>
        </w:rPr>
        <w:t>投标人</w:t>
      </w:r>
      <w:r>
        <w:rPr>
          <w:rFonts w:ascii="宋体" w:hAnsi="宋体" w:eastAsia="宋体" w:cs="宋体"/>
          <w:color w:val="auto"/>
          <w:spacing w:val="-33"/>
        </w:rPr>
        <w:t>：（</w:t>
      </w:r>
      <w:r>
        <w:rPr>
          <w:rFonts w:ascii="宋体" w:hAnsi="宋体" w:eastAsia="宋体" w:cs="宋体"/>
          <w:color w:val="auto"/>
          <w:spacing w:val="-2"/>
        </w:rPr>
        <w:t>盖单位章）</w:t>
      </w:r>
    </w:p>
    <w:p w14:paraId="3F4F25A3">
      <w:pPr>
        <w:spacing w:before="296" w:line="220" w:lineRule="auto"/>
        <w:ind w:left="5798"/>
        <w:rPr>
          <w:rFonts w:ascii="宋体" w:hAnsi="宋体" w:eastAsia="宋体" w:cs="宋体"/>
          <w:color w:val="auto"/>
          <w:lang w:eastAsia="zh-CN"/>
        </w:rPr>
      </w:pPr>
      <w:r>
        <w:rPr>
          <w:rFonts w:ascii="宋体" w:hAnsi="宋体" w:eastAsia="宋体" w:cs="宋体"/>
          <w:color w:val="auto"/>
          <w:spacing w:val="-2"/>
          <w:lang w:eastAsia="zh-CN"/>
        </w:rPr>
        <w:t>法定代表人或授权委托人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7210E636">
      <w:pPr>
        <w:pStyle w:val="8"/>
        <w:spacing w:line="447" w:lineRule="auto"/>
        <w:rPr>
          <w:lang w:eastAsia="zh-CN"/>
        </w:rPr>
      </w:pPr>
    </w:p>
    <w:p w14:paraId="3DADEF72">
      <w:pPr>
        <w:tabs>
          <w:tab w:val="left" w:pos="7690"/>
        </w:tabs>
        <w:spacing w:before="69" w:line="220" w:lineRule="auto"/>
        <w:ind w:left="6850"/>
        <w:rPr>
          <w:rFonts w:ascii="宋体" w:hAnsi="宋体" w:eastAsia="宋体" w:cs="宋体"/>
          <w:color w:val="auto"/>
          <w:lang w:eastAsia="zh-CN"/>
        </w:rPr>
        <w:sectPr>
          <w:pgSz w:w="16839" w:h="11906" w:orient="landscape"/>
          <w:pgMar w:top="1803" w:right="1440" w:bottom="1803" w:left="1440" w:header="0" w:footer="987" w:gutter="0"/>
          <w:cols w:space="720" w:num="1"/>
        </w:sectPr>
      </w:pPr>
      <w:r>
        <w:rPr>
          <w:rFonts w:ascii="宋体" w:hAnsi="宋体" w:eastAsia="宋体" w:cs="宋体"/>
          <w:color w:val="auto"/>
          <w:u w:val="single"/>
          <w:lang w:eastAsia="zh-CN"/>
        </w:rPr>
        <w:tab/>
      </w:r>
      <w:r>
        <w:rPr>
          <w:rFonts w:ascii="宋体" w:hAnsi="宋体" w:eastAsia="宋体" w:cs="宋体"/>
          <w:color w:val="auto"/>
          <w:spacing w:val="-8"/>
          <w:lang w:eastAsia="zh-CN"/>
        </w:rPr>
        <w:t>年月</w:t>
      </w:r>
      <w:r>
        <w:rPr>
          <w:rFonts w:hint="eastAsia" w:ascii="宋体" w:hAnsi="宋体" w:eastAsia="宋体" w:cs="宋体"/>
          <w:color w:val="auto"/>
          <w:u w:val="single"/>
          <w:lang w:eastAsia="zh-CN"/>
        </w:rPr>
        <w:t>日</w:t>
      </w:r>
    </w:p>
    <w:p w14:paraId="5C561DE4">
      <w:pPr>
        <w:pStyle w:val="8"/>
        <w:spacing w:line="245" w:lineRule="auto"/>
        <w:rPr>
          <w:lang w:eastAsia="zh-CN"/>
        </w:rPr>
      </w:pPr>
    </w:p>
    <w:p w14:paraId="5A4F8737">
      <w:pPr>
        <w:pStyle w:val="8"/>
        <w:spacing w:line="245" w:lineRule="auto"/>
        <w:rPr>
          <w:lang w:eastAsia="zh-CN"/>
        </w:rPr>
      </w:pPr>
    </w:p>
    <w:p w14:paraId="383A60C1">
      <w:pPr>
        <w:pStyle w:val="8"/>
        <w:spacing w:line="245" w:lineRule="auto"/>
        <w:rPr>
          <w:lang w:eastAsia="zh-CN"/>
        </w:rPr>
      </w:pPr>
    </w:p>
    <w:p w14:paraId="0138DE73">
      <w:pPr>
        <w:pStyle w:val="8"/>
        <w:spacing w:line="245" w:lineRule="auto"/>
        <w:rPr>
          <w:lang w:eastAsia="zh-CN"/>
        </w:rPr>
      </w:pPr>
    </w:p>
    <w:p w14:paraId="7D5D0F17">
      <w:pPr>
        <w:pStyle w:val="8"/>
        <w:spacing w:line="245" w:lineRule="auto"/>
        <w:rPr>
          <w:lang w:eastAsia="zh-CN"/>
        </w:rPr>
      </w:pPr>
    </w:p>
    <w:p w14:paraId="3FCD0500">
      <w:pPr>
        <w:pStyle w:val="8"/>
        <w:spacing w:line="246" w:lineRule="auto"/>
        <w:rPr>
          <w:lang w:eastAsia="zh-CN"/>
        </w:rPr>
      </w:pPr>
    </w:p>
    <w:p w14:paraId="7478DC32">
      <w:pPr>
        <w:pStyle w:val="8"/>
        <w:spacing w:line="246" w:lineRule="auto"/>
        <w:rPr>
          <w:lang w:eastAsia="zh-CN"/>
        </w:rPr>
      </w:pPr>
    </w:p>
    <w:p w14:paraId="3B08DEA6">
      <w:pPr>
        <w:pStyle w:val="8"/>
        <w:spacing w:line="246" w:lineRule="auto"/>
        <w:rPr>
          <w:lang w:eastAsia="zh-CN"/>
        </w:rPr>
      </w:pPr>
    </w:p>
    <w:p w14:paraId="25CB176A">
      <w:pPr>
        <w:pStyle w:val="8"/>
        <w:spacing w:line="246" w:lineRule="auto"/>
        <w:rPr>
          <w:lang w:eastAsia="zh-CN"/>
        </w:rPr>
      </w:pPr>
    </w:p>
    <w:p w14:paraId="385A0EA3">
      <w:pPr>
        <w:pStyle w:val="8"/>
        <w:spacing w:line="246" w:lineRule="auto"/>
        <w:rPr>
          <w:lang w:eastAsia="zh-CN"/>
        </w:rPr>
      </w:pPr>
    </w:p>
    <w:p w14:paraId="45F6A769">
      <w:pPr>
        <w:pStyle w:val="8"/>
        <w:spacing w:line="246" w:lineRule="auto"/>
        <w:rPr>
          <w:lang w:eastAsia="zh-CN"/>
        </w:rPr>
      </w:pPr>
    </w:p>
    <w:p w14:paraId="2B400ADE">
      <w:pPr>
        <w:pStyle w:val="8"/>
        <w:spacing w:line="246" w:lineRule="auto"/>
        <w:rPr>
          <w:lang w:eastAsia="zh-CN"/>
        </w:rPr>
      </w:pPr>
    </w:p>
    <w:p w14:paraId="4F4D76D8">
      <w:pPr>
        <w:spacing w:before="91" w:line="222" w:lineRule="auto"/>
        <w:ind w:left="4736"/>
        <w:rPr>
          <w:rFonts w:ascii="黑体" w:hAnsi="黑体" w:eastAsia="黑体" w:cs="黑体"/>
          <w:color w:val="auto"/>
          <w:spacing w:val="-2"/>
          <w:sz w:val="28"/>
          <w:szCs w:val="28"/>
          <w:lang w:eastAsia="zh-CN"/>
        </w:rPr>
      </w:pPr>
      <w:bookmarkStart w:id="445" w:name="bookmark187"/>
      <w:bookmarkEnd w:id="445"/>
      <w:bookmarkStart w:id="446" w:name="_Toc15627"/>
      <w:bookmarkStart w:id="447" w:name="_Toc24841"/>
      <w:bookmarkStart w:id="448" w:name="_Toc9125"/>
      <w:bookmarkStart w:id="449" w:name="_Toc27272"/>
    </w:p>
    <w:p w14:paraId="36FF31DF">
      <w:pPr>
        <w:spacing w:before="91" w:line="222" w:lineRule="auto"/>
        <w:ind w:left="4736"/>
        <w:rPr>
          <w:rFonts w:ascii="黑体" w:hAnsi="黑体" w:eastAsia="黑体" w:cs="黑体"/>
          <w:color w:val="auto"/>
          <w:spacing w:val="-2"/>
          <w:sz w:val="28"/>
          <w:szCs w:val="28"/>
          <w:lang w:eastAsia="zh-CN"/>
        </w:rPr>
      </w:pPr>
    </w:p>
    <w:p w14:paraId="62233F78">
      <w:pPr>
        <w:spacing w:before="91" w:line="222" w:lineRule="auto"/>
        <w:ind w:left="4736"/>
        <w:rPr>
          <w:rFonts w:ascii="黑体" w:hAnsi="黑体" w:eastAsia="黑体" w:cs="黑体"/>
          <w:color w:val="auto"/>
          <w:spacing w:val="-2"/>
          <w:sz w:val="28"/>
          <w:szCs w:val="28"/>
          <w:lang w:eastAsia="zh-CN"/>
        </w:rPr>
      </w:pPr>
    </w:p>
    <w:p w14:paraId="65D10CCA">
      <w:pPr>
        <w:spacing w:before="91" w:line="222" w:lineRule="auto"/>
        <w:ind w:left="4736"/>
        <w:rPr>
          <w:rFonts w:ascii="黑体" w:hAnsi="黑体" w:eastAsia="黑体" w:cs="黑体"/>
          <w:color w:val="auto"/>
          <w:spacing w:val="-2"/>
          <w:sz w:val="28"/>
          <w:szCs w:val="28"/>
          <w:lang w:eastAsia="zh-CN"/>
        </w:rPr>
      </w:pPr>
    </w:p>
    <w:p w14:paraId="6EE1F5D6">
      <w:pPr>
        <w:spacing w:before="91" w:line="222" w:lineRule="auto"/>
        <w:ind w:left="4736"/>
        <w:rPr>
          <w:rFonts w:ascii="黑体" w:hAnsi="黑体" w:eastAsia="黑体" w:cs="黑体"/>
          <w:color w:val="auto"/>
          <w:spacing w:val="-2"/>
          <w:sz w:val="28"/>
          <w:szCs w:val="28"/>
          <w:lang w:eastAsia="zh-CN"/>
        </w:rPr>
      </w:pPr>
    </w:p>
    <w:p w14:paraId="218A8349">
      <w:pPr>
        <w:spacing w:before="91" w:line="222" w:lineRule="auto"/>
        <w:ind w:left="4736"/>
        <w:rPr>
          <w:rFonts w:ascii="黑体" w:hAnsi="黑体" w:eastAsia="黑体" w:cs="黑体"/>
          <w:color w:val="auto"/>
          <w:spacing w:val="-2"/>
          <w:sz w:val="28"/>
          <w:szCs w:val="28"/>
          <w:lang w:eastAsia="zh-CN"/>
        </w:rPr>
      </w:pPr>
    </w:p>
    <w:p w14:paraId="3E342B41">
      <w:pPr>
        <w:spacing w:before="91" w:line="222" w:lineRule="auto"/>
        <w:ind w:left="4736"/>
        <w:rPr>
          <w:rFonts w:ascii="黑体" w:hAnsi="黑体" w:eastAsia="黑体" w:cs="黑体"/>
          <w:color w:val="auto"/>
          <w:spacing w:val="-2"/>
          <w:sz w:val="28"/>
          <w:szCs w:val="28"/>
          <w:lang w:eastAsia="zh-CN"/>
        </w:rPr>
      </w:pPr>
    </w:p>
    <w:p w14:paraId="44C981AC">
      <w:pPr>
        <w:spacing w:before="91" w:line="222" w:lineRule="auto"/>
        <w:ind w:left="4736"/>
        <w:rPr>
          <w:rFonts w:ascii="黑体" w:hAnsi="黑体" w:eastAsia="黑体" w:cs="黑体"/>
          <w:color w:val="auto"/>
          <w:spacing w:val="-2"/>
          <w:sz w:val="28"/>
          <w:szCs w:val="28"/>
          <w:lang w:eastAsia="zh-CN"/>
        </w:rPr>
      </w:pPr>
    </w:p>
    <w:p w14:paraId="45CBD77B">
      <w:pPr>
        <w:spacing w:before="91" w:line="222" w:lineRule="auto"/>
        <w:ind w:left="4736"/>
        <w:rPr>
          <w:rFonts w:ascii="黑体" w:hAnsi="黑体" w:eastAsia="黑体" w:cs="黑体"/>
          <w:color w:val="auto"/>
          <w:spacing w:val="-2"/>
          <w:sz w:val="28"/>
          <w:szCs w:val="28"/>
          <w:lang w:eastAsia="zh-CN"/>
        </w:rPr>
      </w:pPr>
    </w:p>
    <w:p w14:paraId="3BD4B724">
      <w:pPr>
        <w:spacing w:before="91" w:line="222" w:lineRule="auto"/>
        <w:ind w:left="4736"/>
        <w:outlineLvl w:val="1"/>
        <w:rPr>
          <w:rFonts w:ascii="黑体" w:hAnsi="黑体" w:eastAsia="黑体" w:cs="黑体"/>
          <w:color w:val="auto"/>
          <w:sz w:val="28"/>
          <w:szCs w:val="28"/>
          <w:lang w:eastAsia="zh-CN"/>
        </w:rPr>
      </w:pPr>
      <w:bookmarkStart w:id="450" w:name="_Toc17657"/>
      <w:bookmarkStart w:id="451" w:name="_Toc963"/>
      <w:r>
        <w:rPr>
          <w:rFonts w:ascii="黑体" w:hAnsi="黑体" w:eastAsia="黑体" w:cs="黑体"/>
          <w:color w:val="auto"/>
          <w:spacing w:val="-2"/>
          <w:sz w:val="28"/>
          <w:szCs w:val="28"/>
          <w:lang w:eastAsia="zh-CN"/>
        </w:rPr>
        <w:t>七、资格审查资料</w:t>
      </w:r>
      <w:bookmarkEnd w:id="446"/>
      <w:bookmarkEnd w:id="447"/>
      <w:bookmarkEnd w:id="448"/>
      <w:bookmarkEnd w:id="449"/>
      <w:bookmarkEnd w:id="450"/>
      <w:bookmarkEnd w:id="451"/>
    </w:p>
    <w:p w14:paraId="0B3B9A9A">
      <w:pPr>
        <w:spacing w:line="222" w:lineRule="auto"/>
        <w:rPr>
          <w:rFonts w:ascii="黑体" w:hAnsi="黑体" w:eastAsia="黑体" w:cs="黑体"/>
          <w:color w:val="auto"/>
          <w:sz w:val="28"/>
          <w:szCs w:val="28"/>
          <w:lang w:eastAsia="zh-CN"/>
        </w:rPr>
        <w:sectPr>
          <w:headerReference r:id="rId143" w:type="default"/>
          <w:footerReference r:id="rId144" w:type="default"/>
          <w:pgSz w:w="11906" w:h="16839"/>
          <w:pgMar w:top="400" w:right="0" w:bottom="1147" w:left="105" w:header="0" w:footer="987" w:gutter="0"/>
          <w:cols w:space="720" w:num="1"/>
        </w:sectPr>
      </w:pPr>
    </w:p>
    <w:p w14:paraId="2F5256E3">
      <w:pPr>
        <w:pStyle w:val="8"/>
        <w:spacing w:line="248" w:lineRule="auto"/>
        <w:rPr>
          <w:lang w:eastAsia="zh-CN"/>
        </w:rPr>
      </w:pPr>
    </w:p>
    <w:p w14:paraId="0C6E02C5">
      <w:pPr>
        <w:pStyle w:val="8"/>
        <w:spacing w:line="248" w:lineRule="auto"/>
        <w:rPr>
          <w:lang w:eastAsia="zh-CN"/>
        </w:rPr>
      </w:pPr>
    </w:p>
    <w:p w14:paraId="48CA9314">
      <w:pPr>
        <w:pStyle w:val="8"/>
        <w:spacing w:line="248" w:lineRule="auto"/>
        <w:rPr>
          <w:lang w:eastAsia="zh-CN"/>
        </w:rPr>
      </w:pPr>
    </w:p>
    <w:p w14:paraId="3A964AAE">
      <w:pPr>
        <w:pStyle w:val="8"/>
        <w:spacing w:line="248" w:lineRule="auto"/>
        <w:rPr>
          <w:lang w:eastAsia="zh-CN"/>
        </w:rPr>
      </w:pPr>
    </w:p>
    <w:p w14:paraId="1CBCCE7A">
      <w:pPr>
        <w:pStyle w:val="8"/>
        <w:spacing w:line="248" w:lineRule="auto"/>
        <w:rPr>
          <w:lang w:eastAsia="zh-CN"/>
        </w:rPr>
      </w:pPr>
    </w:p>
    <w:p w14:paraId="4A128C72">
      <w:pPr>
        <w:pStyle w:val="8"/>
        <w:spacing w:line="248" w:lineRule="auto"/>
        <w:rPr>
          <w:lang w:eastAsia="zh-CN"/>
        </w:rPr>
      </w:pPr>
    </w:p>
    <w:p w14:paraId="41F24569">
      <w:pPr>
        <w:pStyle w:val="8"/>
        <w:spacing w:line="248" w:lineRule="auto"/>
        <w:rPr>
          <w:lang w:eastAsia="zh-CN"/>
        </w:rPr>
      </w:pPr>
    </w:p>
    <w:p w14:paraId="09D7F71E">
      <w:pPr>
        <w:pStyle w:val="8"/>
        <w:spacing w:line="249" w:lineRule="auto"/>
        <w:rPr>
          <w:lang w:eastAsia="zh-CN"/>
        </w:rPr>
      </w:pPr>
    </w:p>
    <w:p w14:paraId="33D806C8">
      <w:pPr>
        <w:pStyle w:val="8"/>
        <w:spacing w:line="249" w:lineRule="auto"/>
        <w:rPr>
          <w:lang w:eastAsia="zh-CN"/>
        </w:rPr>
      </w:pPr>
    </w:p>
    <w:p w14:paraId="6FDF80CC">
      <w:pPr>
        <w:pStyle w:val="8"/>
        <w:spacing w:line="249" w:lineRule="auto"/>
        <w:rPr>
          <w:lang w:eastAsia="zh-CN"/>
        </w:rPr>
      </w:pPr>
    </w:p>
    <w:p w14:paraId="6842CD98">
      <w:pPr>
        <w:pStyle w:val="8"/>
        <w:spacing w:line="249" w:lineRule="auto"/>
        <w:rPr>
          <w:lang w:eastAsia="zh-CN"/>
        </w:rPr>
      </w:pPr>
    </w:p>
    <w:p w14:paraId="2AECCC22">
      <w:pPr>
        <w:pStyle w:val="8"/>
        <w:spacing w:line="249" w:lineRule="auto"/>
        <w:rPr>
          <w:lang w:eastAsia="zh-CN"/>
        </w:rPr>
      </w:pPr>
    </w:p>
    <w:p w14:paraId="56B353AE">
      <w:pPr>
        <w:pStyle w:val="8"/>
        <w:spacing w:line="249" w:lineRule="auto"/>
        <w:rPr>
          <w:lang w:eastAsia="zh-CN"/>
        </w:rPr>
      </w:pPr>
    </w:p>
    <w:p w14:paraId="3046976C">
      <w:pPr>
        <w:pStyle w:val="8"/>
        <w:spacing w:line="249" w:lineRule="auto"/>
        <w:rPr>
          <w:lang w:eastAsia="zh-CN"/>
        </w:rPr>
      </w:pPr>
    </w:p>
    <w:p w14:paraId="6E62B741">
      <w:pPr>
        <w:pStyle w:val="8"/>
        <w:spacing w:line="249" w:lineRule="auto"/>
        <w:rPr>
          <w:lang w:eastAsia="zh-CN"/>
        </w:rPr>
      </w:pPr>
    </w:p>
    <w:p w14:paraId="4C9C6E22">
      <w:pPr>
        <w:pStyle w:val="8"/>
        <w:spacing w:line="249" w:lineRule="auto"/>
        <w:rPr>
          <w:lang w:eastAsia="zh-CN"/>
        </w:rPr>
      </w:pPr>
    </w:p>
    <w:p w14:paraId="0CAC9156">
      <w:pPr>
        <w:pStyle w:val="8"/>
        <w:spacing w:line="249" w:lineRule="auto"/>
        <w:rPr>
          <w:lang w:eastAsia="zh-CN"/>
        </w:rPr>
      </w:pPr>
    </w:p>
    <w:p w14:paraId="785DCC62">
      <w:pPr>
        <w:pStyle w:val="8"/>
        <w:spacing w:line="249" w:lineRule="auto"/>
        <w:rPr>
          <w:lang w:eastAsia="zh-CN"/>
        </w:rPr>
      </w:pPr>
    </w:p>
    <w:p w14:paraId="0ADD2400">
      <w:pPr>
        <w:pStyle w:val="8"/>
        <w:spacing w:line="249" w:lineRule="auto"/>
        <w:rPr>
          <w:lang w:eastAsia="zh-CN"/>
        </w:rPr>
      </w:pPr>
    </w:p>
    <w:p w14:paraId="49B89C5E">
      <w:pPr>
        <w:pStyle w:val="8"/>
        <w:spacing w:line="249" w:lineRule="auto"/>
        <w:rPr>
          <w:lang w:eastAsia="zh-CN"/>
        </w:rPr>
      </w:pPr>
    </w:p>
    <w:p w14:paraId="5908F782">
      <w:pPr>
        <w:pStyle w:val="8"/>
        <w:spacing w:line="249" w:lineRule="auto"/>
        <w:rPr>
          <w:lang w:eastAsia="zh-CN"/>
        </w:rPr>
      </w:pPr>
    </w:p>
    <w:p w14:paraId="4822F99A">
      <w:pPr>
        <w:pStyle w:val="8"/>
        <w:spacing w:line="249" w:lineRule="auto"/>
        <w:rPr>
          <w:lang w:eastAsia="zh-CN"/>
        </w:rPr>
      </w:pPr>
    </w:p>
    <w:p w14:paraId="1AD750D0">
      <w:pPr>
        <w:pStyle w:val="8"/>
        <w:spacing w:line="249" w:lineRule="auto"/>
        <w:rPr>
          <w:lang w:eastAsia="zh-CN"/>
        </w:rPr>
      </w:pPr>
    </w:p>
    <w:p w14:paraId="7321BBF0">
      <w:pPr>
        <w:spacing w:before="78" w:line="222" w:lineRule="auto"/>
        <w:ind w:left="4672"/>
        <w:outlineLvl w:val="2"/>
        <w:rPr>
          <w:rFonts w:ascii="黑体" w:hAnsi="黑体" w:eastAsia="黑体" w:cs="黑体"/>
          <w:color w:val="auto"/>
          <w:sz w:val="24"/>
          <w:szCs w:val="24"/>
          <w:lang w:eastAsia="zh-CN"/>
        </w:rPr>
      </w:pPr>
      <w:bookmarkStart w:id="452" w:name="bookmark188"/>
      <w:bookmarkEnd w:id="452"/>
      <w:r>
        <w:rPr>
          <w:rFonts w:ascii="黑体" w:hAnsi="黑体" w:eastAsia="黑体" w:cs="黑体"/>
          <w:color w:val="auto"/>
          <w:spacing w:val="-4"/>
          <w:sz w:val="24"/>
          <w:szCs w:val="24"/>
          <w:lang w:eastAsia="zh-CN"/>
        </w:rPr>
        <w:t>（一）投标人基本情况</w:t>
      </w:r>
    </w:p>
    <w:p w14:paraId="5FF3A138">
      <w:pPr>
        <w:spacing w:line="222" w:lineRule="auto"/>
        <w:rPr>
          <w:rFonts w:ascii="黑体" w:hAnsi="黑体" w:eastAsia="黑体" w:cs="黑体"/>
          <w:color w:val="auto"/>
          <w:sz w:val="24"/>
          <w:szCs w:val="24"/>
          <w:lang w:eastAsia="zh-CN"/>
        </w:rPr>
        <w:sectPr>
          <w:footerReference r:id="rId145" w:type="default"/>
          <w:pgSz w:w="11906" w:h="16839"/>
          <w:pgMar w:top="400" w:right="0" w:bottom="1147" w:left="105" w:header="0" w:footer="987" w:gutter="0"/>
          <w:cols w:space="720" w:num="1"/>
        </w:sectPr>
      </w:pPr>
    </w:p>
    <w:p w14:paraId="43BC9C1C">
      <w:pPr>
        <w:pStyle w:val="8"/>
        <w:spacing w:line="275" w:lineRule="auto"/>
        <w:rPr>
          <w:lang w:eastAsia="zh-CN"/>
        </w:rPr>
      </w:pPr>
    </w:p>
    <w:p w14:paraId="079E5E61">
      <w:pPr>
        <w:pStyle w:val="8"/>
        <w:spacing w:line="276" w:lineRule="auto"/>
        <w:rPr>
          <w:lang w:eastAsia="zh-CN"/>
        </w:rPr>
      </w:pPr>
    </w:p>
    <w:p w14:paraId="2AC3B736">
      <w:pPr>
        <w:pStyle w:val="8"/>
        <w:spacing w:line="276" w:lineRule="auto"/>
        <w:rPr>
          <w:lang w:eastAsia="zh-CN"/>
        </w:rPr>
      </w:pPr>
    </w:p>
    <w:p w14:paraId="3F5FB6F3">
      <w:pPr>
        <w:pStyle w:val="8"/>
        <w:spacing w:line="276" w:lineRule="auto"/>
        <w:rPr>
          <w:lang w:eastAsia="zh-CN"/>
        </w:rPr>
      </w:pPr>
    </w:p>
    <w:p w14:paraId="480D790F">
      <w:pPr>
        <w:pStyle w:val="8"/>
        <w:spacing w:line="276" w:lineRule="auto"/>
        <w:rPr>
          <w:lang w:eastAsia="zh-CN"/>
        </w:rPr>
      </w:pPr>
    </w:p>
    <w:p w14:paraId="292BE938">
      <w:pPr>
        <w:spacing w:before="78" w:line="222" w:lineRule="auto"/>
        <w:ind w:left="4695"/>
        <w:rPr>
          <w:rFonts w:ascii="黑体" w:hAnsi="黑体" w:eastAsia="黑体" w:cs="黑体"/>
          <w:color w:val="auto"/>
          <w:sz w:val="24"/>
          <w:szCs w:val="24"/>
          <w:lang w:eastAsia="zh-CN"/>
        </w:rPr>
      </w:pPr>
      <w:bookmarkStart w:id="453" w:name="bookmark189"/>
      <w:bookmarkEnd w:id="453"/>
      <w:r>
        <w:rPr>
          <w:rFonts w:ascii="Times New Roman" w:hAnsi="Times New Roman" w:eastAsia="Times New Roman" w:cs="Times New Roman"/>
          <w:color w:val="auto"/>
          <w:spacing w:val="-3"/>
          <w:sz w:val="24"/>
          <w:szCs w:val="24"/>
          <w:lang w:eastAsia="zh-CN"/>
        </w:rPr>
        <w:t xml:space="preserve">1-1  </w:t>
      </w:r>
      <w:r>
        <w:rPr>
          <w:rFonts w:ascii="黑体" w:hAnsi="黑体" w:eastAsia="黑体" w:cs="黑体"/>
          <w:color w:val="auto"/>
          <w:spacing w:val="-3"/>
          <w:sz w:val="24"/>
          <w:szCs w:val="24"/>
          <w:lang w:eastAsia="zh-CN"/>
        </w:rPr>
        <w:t>投标人基本情况表</w:t>
      </w:r>
    </w:p>
    <w:p w14:paraId="03497ED6">
      <w:pPr>
        <w:spacing w:before="67"/>
        <w:rPr>
          <w:color w:val="auto"/>
          <w:lang w:eastAsia="zh-CN"/>
        </w:rPr>
      </w:pPr>
    </w:p>
    <w:tbl>
      <w:tblPr>
        <w:tblStyle w:val="20"/>
        <w:tblW w:w="8944" w:type="dxa"/>
        <w:tblInd w:w="13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9"/>
        <w:gridCol w:w="944"/>
        <w:gridCol w:w="2411"/>
        <w:gridCol w:w="1135"/>
        <w:gridCol w:w="2275"/>
      </w:tblGrid>
      <w:tr w14:paraId="1DAF6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2179" w:type="dxa"/>
          </w:tcPr>
          <w:p w14:paraId="55AC3F3A">
            <w:pPr>
              <w:pStyle w:val="21"/>
              <w:spacing w:before="181" w:line="221" w:lineRule="auto"/>
              <w:ind w:left="572"/>
              <w:rPr>
                <w:color w:val="auto"/>
              </w:rPr>
            </w:pPr>
            <w:r>
              <w:rPr>
                <w:color w:val="auto"/>
                <w:spacing w:val="-3"/>
              </w:rPr>
              <w:t>投标人名称</w:t>
            </w:r>
          </w:p>
        </w:tc>
        <w:tc>
          <w:tcPr>
            <w:tcW w:w="6765" w:type="dxa"/>
            <w:gridSpan w:val="4"/>
          </w:tcPr>
          <w:p w14:paraId="7370AA85">
            <w:pPr>
              <w:rPr>
                <w:color w:val="auto"/>
              </w:rPr>
            </w:pPr>
          </w:p>
        </w:tc>
      </w:tr>
      <w:tr w14:paraId="76F01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2179" w:type="dxa"/>
          </w:tcPr>
          <w:p w14:paraId="1801C1E9">
            <w:pPr>
              <w:pStyle w:val="21"/>
              <w:spacing w:before="175" w:line="222" w:lineRule="auto"/>
              <w:ind w:left="677"/>
              <w:rPr>
                <w:color w:val="auto"/>
              </w:rPr>
            </w:pPr>
            <w:r>
              <w:rPr>
                <w:color w:val="auto"/>
                <w:spacing w:val="-3"/>
              </w:rPr>
              <w:t>注册资金</w:t>
            </w:r>
          </w:p>
        </w:tc>
        <w:tc>
          <w:tcPr>
            <w:tcW w:w="3355" w:type="dxa"/>
            <w:gridSpan w:val="2"/>
          </w:tcPr>
          <w:p w14:paraId="3F9AF569">
            <w:pPr>
              <w:rPr>
                <w:color w:val="auto"/>
              </w:rPr>
            </w:pPr>
          </w:p>
        </w:tc>
        <w:tc>
          <w:tcPr>
            <w:tcW w:w="1135" w:type="dxa"/>
          </w:tcPr>
          <w:p w14:paraId="761CEE9B">
            <w:pPr>
              <w:pStyle w:val="21"/>
              <w:spacing w:before="150" w:line="222" w:lineRule="auto"/>
              <w:ind w:left="157"/>
              <w:rPr>
                <w:color w:val="auto"/>
              </w:rPr>
            </w:pPr>
            <w:r>
              <w:rPr>
                <w:color w:val="auto"/>
                <w:spacing w:val="-3"/>
              </w:rPr>
              <w:t>成立时间</w:t>
            </w:r>
          </w:p>
        </w:tc>
        <w:tc>
          <w:tcPr>
            <w:tcW w:w="2275" w:type="dxa"/>
          </w:tcPr>
          <w:p w14:paraId="351009DE">
            <w:pPr>
              <w:rPr>
                <w:color w:val="auto"/>
              </w:rPr>
            </w:pPr>
          </w:p>
        </w:tc>
      </w:tr>
      <w:tr w14:paraId="3BAD8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2179" w:type="dxa"/>
          </w:tcPr>
          <w:p w14:paraId="556D8D01">
            <w:pPr>
              <w:pStyle w:val="21"/>
              <w:spacing w:before="177" w:line="222" w:lineRule="auto"/>
              <w:ind w:left="674"/>
              <w:rPr>
                <w:color w:val="auto"/>
              </w:rPr>
            </w:pPr>
            <w:r>
              <w:rPr>
                <w:color w:val="auto"/>
                <w:spacing w:val="-3"/>
              </w:rPr>
              <w:t>注册地址</w:t>
            </w:r>
          </w:p>
        </w:tc>
        <w:tc>
          <w:tcPr>
            <w:tcW w:w="6765" w:type="dxa"/>
            <w:gridSpan w:val="4"/>
          </w:tcPr>
          <w:p w14:paraId="4F0F4463">
            <w:pPr>
              <w:rPr>
                <w:color w:val="auto"/>
              </w:rPr>
            </w:pPr>
          </w:p>
        </w:tc>
      </w:tr>
      <w:tr w14:paraId="267E3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2179" w:type="dxa"/>
          </w:tcPr>
          <w:p w14:paraId="79CC701B">
            <w:pPr>
              <w:pStyle w:val="21"/>
              <w:spacing w:before="177" w:line="220" w:lineRule="auto"/>
              <w:ind w:left="690"/>
              <w:rPr>
                <w:color w:val="auto"/>
              </w:rPr>
            </w:pPr>
            <w:r>
              <w:rPr>
                <w:color w:val="auto"/>
                <w:spacing w:val="-6"/>
              </w:rPr>
              <w:t>邮政编码</w:t>
            </w:r>
          </w:p>
        </w:tc>
        <w:tc>
          <w:tcPr>
            <w:tcW w:w="3355" w:type="dxa"/>
            <w:gridSpan w:val="2"/>
          </w:tcPr>
          <w:p w14:paraId="679864A0">
            <w:pPr>
              <w:rPr>
                <w:color w:val="auto"/>
              </w:rPr>
            </w:pPr>
          </w:p>
        </w:tc>
        <w:tc>
          <w:tcPr>
            <w:tcW w:w="1135" w:type="dxa"/>
          </w:tcPr>
          <w:p w14:paraId="3D952704">
            <w:pPr>
              <w:pStyle w:val="21"/>
              <w:spacing w:before="152" w:line="220" w:lineRule="auto"/>
              <w:ind w:left="164"/>
              <w:rPr>
                <w:color w:val="auto"/>
              </w:rPr>
            </w:pPr>
            <w:r>
              <w:rPr>
                <w:color w:val="auto"/>
                <w:spacing w:val="-5"/>
              </w:rPr>
              <w:t>员工总数</w:t>
            </w:r>
          </w:p>
        </w:tc>
        <w:tc>
          <w:tcPr>
            <w:tcW w:w="2275" w:type="dxa"/>
          </w:tcPr>
          <w:p w14:paraId="456592DF">
            <w:pPr>
              <w:rPr>
                <w:color w:val="auto"/>
              </w:rPr>
            </w:pPr>
          </w:p>
        </w:tc>
      </w:tr>
      <w:tr w14:paraId="1AF6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2179" w:type="dxa"/>
            <w:vMerge w:val="restart"/>
            <w:tcBorders>
              <w:bottom w:val="nil"/>
            </w:tcBorders>
          </w:tcPr>
          <w:p w14:paraId="4FD5FEC1">
            <w:pPr>
              <w:spacing w:line="345" w:lineRule="auto"/>
              <w:rPr>
                <w:color w:val="auto"/>
              </w:rPr>
            </w:pPr>
          </w:p>
          <w:p w14:paraId="6174D061">
            <w:pPr>
              <w:pStyle w:val="21"/>
              <w:spacing w:before="69" w:line="222" w:lineRule="auto"/>
              <w:ind w:left="675"/>
              <w:rPr>
                <w:color w:val="auto"/>
              </w:rPr>
            </w:pPr>
            <w:r>
              <w:rPr>
                <w:color w:val="auto"/>
                <w:spacing w:val="-3"/>
              </w:rPr>
              <w:t>联系方式</w:t>
            </w:r>
          </w:p>
        </w:tc>
        <w:tc>
          <w:tcPr>
            <w:tcW w:w="944" w:type="dxa"/>
          </w:tcPr>
          <w:p w14:paraId="703B2B5C">
            <w:pPr>
              <w:pStyle w:val="21"/>
              <w:spacing w:before="153" w:line="222" w:lineRule="auto"/>
              <w:ind w:left="159"/>
              <w:rPr>
                <w:color w:val="auto"/>
              </w:rPr>
            </w:pPr>
            <w:r>
              <w:rPr>
                <w:color w:val="auto"/>
                <w:spacing w:val="-3"/>
              </w:rPr>
              <w:t>联系人</w:t>
            </w:r>
          </w:p>
        </w:tc>
        <w:tc>
          <w:tcPr>
            <w:tcW w:w="2411" w:type="dxa"/>
          </w:tcPr>
          <w:p w14:paraId="1E737655">
            <w:pPr>
              <w:rPr>
                <w:color w:val="auto"/>
              </w:rPr>
            </w:pPr>
          </w:p>
        </w:tc>
        <w:tc>
          <w:tcPr>
            <w:tcW w:w="1135" w:type="dxa"/>
          </w:tcPr>
          <w:p w14:paraId="0D06819F">
            <w:pPr>
              <w:pStyle w:val="21"/>
              <w:spacing w:before="153" w:line="222" w:lineRule="auto"/>
              <w:ind w:left="387"/>
              <w:rPr>
                <w:color w:val="auto"/>
              </w:rPr>
            </w:pPr>
            <w:r>
              <w:rPr>
                <w:color w:val="auto"/>
                <w:spacing w:val="-9"/>
              </w:rPr>
              <w:t>电话</w:t>
            </w:r>
          </w:p>
        </w:tc>
        <w:tc>
          <w:tcPr>
            <w:tcW w:w="2275" w:type="dxa"/>
          </w:tcPr>
          <w:p w14:paraId="3F4C94E4">
            <w:pPr>
              <w:rPr>
                <w:color w:val="auto"/>
              </w:rPr>
            </w:pPr>
          </w:p>
        </w:tc>
      </w:tr>
      <w:tr w14:paraId="3E41A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2179" w:type="dxa"/>
            <w:vMerge w:val="continue"/>
            <w:tcBorders>
              <w:top w:val="nil"/>
            </w:tcBorders>
          </w:tcPr>
          <w:p w14:paraId="42B47D3F">
            <w:pPr>
              <w:rPr>
                <w:color w:val="auto"/>
              </w:rPr>
            </w:pPr>
          </w:p>
        </w:tc>
        <w:tc>
          <w:tcPr>
            <w:tcW w:w="944" w:type="dxa"/>
          </w:tcPr>
          <w:p w14:paraId="36383CD5">
            <w:pPr>
              <w:pStyle w:val="21"/>
              <w:spacing w:before="153" w:line="225" w:lineRule="auto"/>
              <w:ind w:left="280"/>
              <w:rPr>
                <w:color w:val="auto"/>
              </w:rPr>
            </w:pPr>
            <w:r>
              <w:rPr>
                <w:color w:val="auto"/>
                <w:spacing w:val="-7"/>
              </w:rPr>
              <w:t>网址</w:t>
            </w:r>
          </w:p>
        </w:tc>
        <w:tc>
          <w:tcPr>
            <w:tcW w:w="2411" w:type="dxa"/>
          </w:tcPr>
          <w:p w14:paraId="17AFA8B3">
            <w:pPr>
              <w:rPr>
                <w:color w:val="auto"/>
              </w:rPr>
            </w:pPr>
          </w:p>
        </w:tc>
        <w:tc>
          <w:tcPr>
            <w:tcW w:w="1135" w:type="dxa"/>
          </w:tcPr>
          <w:p w14:paraId="290E7925">
            <w:pPr>
              <w:pStyle w:val="21"/>
              <w:spacing w:before="152" w:line="220" w:lineRule="auto"/>
              <w:ind w:left="361"/>
              <w:rPr>
                <w:color w:val="auto"/>
              </w:rPr>
            </w:pPr>
            <w:r>
              <w:rPr>
                <w:color w:val="auto"/>
                <w:spacing w:val="-2"/>
              </w:rPr>
              <w:t>传真</w:t>
            </w:r>
          </w:p>
        </w:tc>
        <w:tc>
          <w:tcPr>
            <w:tcW w:w="2275" w:type="dxa"/>
          </w:tcPr>
          <w:p w14:paraId="07146E9D">
            <w:pPr>
              <w:rPr>
                <w:color w:val="auto"/>
              </w:rPr>
            </w:pPr>
          </w:p>
        </w:tc>
      </w:tr>
      <w:tr w14:paraId="2BECA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2179" w:type="dxa"/>
          </w:tcPr>
          <w:p w14:paraId="3DD9E823">
            <w:pPr>
              <w:pStyle w:val="21"/>
              <w:spacing w:before="256" w:line="276" w:lineRule="auto"/>
              <w:ind w:left="368" w:right="370" w:firstLine="202"/>
              <w:rPr>
                <w:color w:val="auto"/>
                <w:lang w:eastAsia="zh-CN"/>
              </w:rPr>
            </w:pPr>
            <w:r>
              <w:rPr>
                <w:color w:val="auto"/>
                <w:spacing w:val="-4"/>
                <w:lang w:eastAsia="zh-CN"/>
              </w:rPr>
              <w:t>法定代表人</w:t>
            </w:r>
            <w:r>
              <w:rPr>
                <w:color w:val="auto"/>
                <w:spacing w:val="-6"/>
                <w:lang w:eastAsia="zh-CN"/>
              </w:rPr>
              <w:t>（单位负责人）</w:t>
            </w:r>
          </w:p>
        </w:tc>
        <w:tc>
          <w:tcPr>
            <w:tcW w:w="944" w:type="dxa"/>
          </w:tcPr>
          <w:p w14:paraId="1773F559">
            <w:pPr>
              <w:spacing w:line="342" w:lineRule="auto"/>
              <w:rPr>
                <w:color w:val="auto"/>
                <w:lang w:eastAsia="zh-CN"/>
              </w:rPr>
            </w:pPr>
          </w:p>
          <w:p w14:paraId="7C28C19F">
            <w:pPr>
              <w:pStyle w:val="21"/>
              <w:spacing w:before="68" w:line="220" w:lineRule="auto"/>
              <w:ind w:left="263"/>
              <w:rPr>
                <w:color w:val="auto"/>
              </w:rPr>
            </w:pPr>
            <w:r>
              <w:rPr>
                <w:color w:val="auto"/>
                <w:spacing w:val="-3"/>
              </w:rPr>
              <w:t>姓名</w:t>
            </w:r>
          </w:p>
        </w:tc>
        <w:tc>
          <w:tcPr>
            <w:tcW w:w="2411" w:type="dxa"/>
          </w:tcPr>
          <w:p w14:paraId="41C5F44A">
            <w:pPr>
              <w:rPr>
                <w:color w:val="auto"/>
              </w:rPr>
            </w:pPr>
          </w:p>
        </w:tc>
        <w:tc>
          <w:tcPr>
            <w:tcW w:w="1135" w:type="dxa"/>
          </w:tcPr>
          <w:p w14:paraId="13D08B43">
            <w:pPr>
              <w:spacing w:line="342" w:lineRule="auto"/>
              <w:rPr>
                <w:color w:val="auto"/>
              </w:rPr>
            </w:pPr>
          </w:p>
          <w:p w14:paraId="629CFB02">
            <w:pPr>
              <w:pStyle w:val="21"/>
              <w:spacing w:before="68" w:line="222" w:lineRule="auto"/>
              <w:ind w:left="387"/>
              <w:rPr>
                <w:color w:val="auto"/>
              </w:rPr>
            </w:pPr>
            <w:r>
              <w:rPr>
                <w:color w:val="auto"/>
                <w:spacing w:val="-9"/>
              </w:rPr>
              <w:t>电话</w:t>
            </w:r>
          </w:p>
        </w:tc>
        <w:tc>
          <w:tcPr>
            <w:tcW w:w="2275" w:type="dxa"/>
          </w:tcPr>
          <w:p w14:paraId="7F9BF1F4">
            <w:pPr>
              <w:rPr>
                <w:color w:val="auto"/>
              </w:rPr>
            </w:pPr>
          </w:p>
        </w:tc>
      </w:tr>
      <w:tr w14:paraId="1D44F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4" w:hRule="atLeast"/>
        </w:trPr>
        <w:tc>
          <w:tcPr>
            <w:tcW w:w="2179" w:type="dxa"/>
          </w:tcPr>
          <w:p w14:paraId="268597F9">
            <w:pPr>
              <w:spacing w:line="241" w:lineRule="auto"/>
              <w:rPr>
                <w:color w:val="auto"/>
                <w:lang w:eastAsia="zh-CN"/>
              </w:rPr>
            </w:pPr>
          </w:p>
          <w:p w14:paraId="013424C5">
            <w:pPr>
              <w:pStyle w:val="21"/>
              <w:spacing w:before="69" w:line="221" w:lineRule="auto"/>
              <w:ind w:left="158"/>
              <w:rPr>
                <w:color w:val="auto"/>
                <w:lang w:eastAsia="zh-CN"/>
              </w:rPr>
            </w:pPr>
            <w:r>
              <w:rPr>
                <w:color w:val="auto"/>
                <w:spacing w:val="-3"/>
                <w:lang w:eastAsia="zh-CN"/>
              </w:rPr>
              <w:t>投标人须知要求投标</w:t>
            </w:r>
          </w:p>
          <w:p w14:paraId="63FCB9C3">
            <w:pPr>
              <w:pStyle w:val="21"/>
              <w:spacing w:before="60" w:line="220" w:lineRule="auto"/>
              <w:ind w:left="157"/>
              <w:rPr>
                <w:color w:val="auto"/>
                <w:lang w:eastAsia="zh-CN"/>
              </w:rPr>
            </w:pPr>
            <w:r>
              <w:rPr>
                <w:color w:val="auto"/>
                <w:spacing w:val="-3"/>
                <w:lang w:eastAsia="zh-CN"/>
              </w:rPr>
              <w:t>人需具有的各类资质</w:t>
            </w:r>
          </w:p>
          <w:p w14:paraId="74244B37">
            <w:pPr>
              <w:pStyle w:val="21"/>
              <w:spacing w:before="60" w:line="220" w:lineRule="auto"/>
              <w:ind w:left="881"/>
              <w:rPr>
                <w:color w:val="auto"/>
              </w:rPr>
            </w:pPr>
            <w:r>
              <w:rPr>
                <w:color w:val="auto"/>
                <w:spacing w:val="-3"/>
              </w:rPr>
              <w:t>证书</w:t>
            </w:r>
          </w:p>
        </w:tc>
        <w:tc>
          <w:tcPr>
            <w:tcW w:w="6765" w:type="dxa"/>
            <w:gridSpan w:val="4"/>
          </w:tcPr>
          <w:p w14:paraId="37FC4B2F">
            <w:pPr>
              <w:spacing w:line="262" w:lineRule="auto"/>
              <w:rPr>
                <w:color w:val="auto"/>
                <w:lang w:eastAsia="zh-CN"/>
              </w:rPr>
            </w:pPr>
          </w:p>
          <w:p w14:paraId="699455C0">
            <w:pPr>
              <w:spacing w:line="263" w:lineRule="auto"/>
              <w:rPr>
                <w:color w:val="auto"/>
                <w:lang w:eastAsia="zh-CN"/>
              </w:rPr>
            </w:pPr>
          </w:p>
          <w:p w14:paraId="3BC8D736">
            <w:pPr>
              <w:pStyle w:val="21"/>
              <w:spacing w:before="68" w:line="220" w:lineRule="auto"/>
              <w:ind w:left="1075"/>
              <w:rPr>
                <w:color w:val="auto"/>
                <w:lang w:eastAsia="zh-CN"/>
              </w:rPr>
            </w:pPr>
            <w:r>
              <w:rPr>
                <w:color w:val="auto"/>
                <w:spacing w:val="-7"/>
                <w:lang w:eastAsia="zh-CN"/>
              </w:rPr>
              <w:t>类型：等级：证书号：</w:t>
            </w:r>
          </w:p>
        </w:tc>
      </w:tr>
      <w:tr w14:paraId="28127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2179" w:type="dxa"/>
          </w:tcPr>
          <w:p w14:paraId="00EB5FBE">
            <w:pPr>
              <w:pStyle w:val="21"/>
              <w:spacing w:before="156" w:line="220" w:lineRule="auto"/>
              <w:ind w:left="260"/>
              <w:rPr>
                <w:color w:val="auto"/>
              </w:rPr>
            </w:pPr>
            <w:r>
              <w:rPr>
                <w:color w:val="auto"/>
                <w:spacing w:val="-3"/>
              </w:rPr>
              <w:t>基本账户开户银行</w:t>
            </w:r>
          </w:p>
        </w:tc>
        <w:tc>
          <w:tcPr>
            <w:tcW w:w="6765" w:type="dxa"/>
            <w:gridSpan w:val="4"/>
          </w:tcPr>
          <w:p w14:paraId="22D6C1A8">
            <w:pPr>
              <w:rPr>
                <w:color w:val="auto"/>
              </w:rPr>
            </w:pPr>
          </w:p>
        </w:tc>
      </w:tr>
      <w:tr w14:paraId="67250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2179" w:type="dxa"/>
          </w:tcPr>
          <w:p w14:paraId="55822FE7">
            <w:pPr>
              <w:pStyle w:val="21"/>
              <w:spacing w:before="156" w:line="220" w:lineRule="auto"/>
              <w:ind w:left="260"/>
              <w:rPr>
                <w:color w:val="auto"/>
              </w:rPr>
            </w:pPr>
            <w:r>
              <w:rPr>
                <w:color w:val="auto"/>
                <w:spacing w:val="-3"/>
              </w:rPr>
              <w:t>基本账户银行账号</w:t>
            </w:r>
          </w:p>
        </w:tc>
        <w:tc>
          <w:tcPr>
            <w:tcW w:w="6765" w:type="dxa"/>
            <w:gridSpan w:val="4"/>
          </w:tcPr>
          <w:p w14:paraId="4C0F2B3B">
            <w:pPr>
              <w:rPr>
                <w:color w:val="auto"/>
              </w:rPr>
            </w:pPr>
          </w:p>
        </w:tc>
      </w:tr>
      <w:tr w14:paraId="2072E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2179" w:type="dxa"/>
          </w:tcPr>
          <w:p w14:paraId="15F7209B">
            <w:pPr>
              <w:pStyle w:val="21"/>
              <w:spacing w:before="157" w:line="221" w:lineRule="auto"/>
              <w:ind w:left="155"/>
              <w:rPr>
                <w:color w:val="auto"/>
              </w:rPr>
            </w:pPr>
            <w:r>
              <w:rPr>
                <w:color w:val="auto"/>
                <w:spacing w:val="-3"/>
              </w:rPr>
              <w:t>投标设备制造商名称</w:t>
            </w:r>
          </w:p>
        </w:tc>
        <w:tc>
          <w:tcPr>
            <w:tcW w:w="6765" w:type="dxa"/>
            <w:gridSpan w:val="4"/>
          </w:tcPr>
          <w:p w14:paraId="746BC026">
            <w:pPr>
              <w:rPr>
                <w:color w:val="auto"/>
              </w:rPr>
            </w:pPr>
          </w:p>
        </w:tc>
      </w:tr>
      <w:tr w14:paraId="0F3E9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8" w:hRule="atLeast"/>
        </w:trPr>
        <w:tc>
          <w:tcPr>
            <w:tcW w:w="2179" w:type="dxa"/>
          </w:tcPr>
          <w:p w14:paraId="1F7A8DA4">
            <w:pPr>
              <w:spacing w:line="281" w:lineRule="auto"/>
              <w:rPr>
                <w:color w:val="auto"/>
                <w:lang w:eastAsia="zh-CN"/>
              </w:rPr>
            </w:pPr>
          </w:p>
          <w:p w14:paraId="5A65CED8">
            <w:pPr>
              <w:pStyle w:val="21"/>
              <w:spacing w:before="68" w:line="221" w:lineRule="auto"/>
              <w:ind w:left="365"/>
              <w:rPr>
                <w:color w:val="auto"/>
                <w:lang w:eastAsia="zh-CN"/>
              </w:rPr>
            </w:pPr>
            <w:r>
              <w:rPr>
                <w:color w:val="auto"/>
                <w:spacing w:val="-3"/>
                <w:lang w:eastAsia="zh-CN"/>
              </w:rPr>
              <w:t>投标人须知要求</w:t>
            </w:r>
          </w:p>
          <w:p w14:paraId="3A0F90D6">
            <w:pPr>
              <w:pStyle w:val="21"/>
              <w:spacing w:before="60" w:line="221" w:lineRule="auto"/>
              <w:ind w:left="155"/>
              <w:rPr>
                <w:color w:val="auto"/>
                <w:lang w:eastAsia="zh-CN"/>
              </w:rPr>
            </w:pPr>
            <w:r>
              <w:rPr>
                <w:color w:val="auto"/>
                <w:spacing w:val="-3"/>
                <w:lang w:eastAsia="zh-CN"/>
              </w:rPr>
              <w:t>投标设备制造商需具</w:t>
            </w:r>
          </w:p>
          <w:p w14:paraId="58882B0B">
            <w:pPr>
              <w:pStyle w:val="21"/>
              <w:spacing w:before="60" w:line="220" w:lineRule="auto"/>
              <w:ind w:left="468"/>
              <w:rPr>
                <w:color w:val="auto"/>
              </w:rPr>
            </w:pPr>
            <w:r>
              <w:rPr>
                <w:color w:val="auto"/>
                <w:spacing w:val="-3"/>
              </w:rPr>
              <w:t>有的资质证书</w:t>
            </w:r>
          </w:p>
        </w:tc>
        <w:tc>
          <w:tcPr>
            <w:tcW w:w="6765" w:type="dxa"/>
            <w:gridSpan w:val="4"/>
          </w:tcPr>
          <w:p w14:paraId="7C84C071">
            <w:pPr>
              <w:rPr>
                <w:color w:val="auto"/>
              </w:rPr>
            </w:pPr>
          </w:p>
        </w:tc>
      </w:tr>
      <w:tr w14:paraId="6A98D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2179" w:type="dxa"/>
          </w:tcPr>
          <w:p w14:paraId="4E3BA2F0">
            <w:pPr>
              <w:pStyle w:val="21"/>
              <w:spacing w:before="134" w:line="222" w:lineRule="auto"/>
              <w:ind w:left="884"/>
              <w:rPr>
                <w:color w:val="auto"/>
              </w:rPr>
            </w:pPr>
            <w:r>
              <w:rPr>
                <w:color w:val="auto"/>
                <w:spacing w:val="-3"/>
              </w:rPr>
              <w:t>备注</w:t>
            </w:r>
          </w:p>
        </w:tc>
        <w:tc>
          <w:tcPr>
            <w:tcW w:w="6765" w:type="dxa"/>
            <w:gridSpan w:val="4"/>
          </w:tcPr>
          <w:p w14:paraId="5B415FEB">
            <w:pPr>
              <w:rPr>
                <w:color w:val="auto"/>
              </w:rPr>
            </w:pPr>
          </w:p>
        </w:tc>
      </w:tr>
    </w:tbl>
    <w:p w14:paraId="758C9B11">
      <w:pPr>
        <w:spacing w:before="130" w:line="220" w:lineRule="auto"/>
        <w:ind w:left="1704"/>
        <w:rPr>
          <w:rFonts w:ascii="宋体" w:hAnsi="宋体" w:eastAsia="宋体" w:cs="宋体"/>
          <w:color w:val="auto"/>
          <w:lang w:eastAsia="zh-CN"/>
        </w:rPr>
      </w:pPr>
      <w:r>
        <w:rPr>
          <w:rFonts w:ascii="宋体" w:hAnsi="宋体" w:eastAsia="宋体" w:cs="宋体"/>
          <w:color w:val="auto"/>
          <w:spacing w:val="-3"/>
          <w:lang w:eastAsia="zh-CN"/>
        </w:rPr>
        <w:t>备注：</w:t>
      </w:r>
      <w:r>
        <w:rPr>
          <w:rFonts w:ascii="Times New Roman" w:hAnsi="Times New Roman" w:eastAsia="Times New Roman" w:cs="Times New Roman"/>
          <w:color w:val="auto"/>
          <w:spacing w:val="-3"/>
          <w:lang w:eastAsia="zh-CN"/>
        </w:rPr>
        <w:t>1.</w:t>
      </w:r>
      <w:r>
        <w:rPr>
          <w:rFonts w:ascii="宋体" w:hAnsi="宋体" w:eastAsia="宋体" w:cs="宋体"/>
          <w:color w:val="auto"/>
          <w:spacing w:val="-3"/>
          <w:lang w:eastAsia="zh-CN"/>
        </w:rPr>
        <w:t>投标人应根据投标人须知第</w:t>
      </w:r>
      <w:r>
        <w:rPr>
          <w:rFonts w:ascii="Times New Roman" w:hAnsi="Times New Roman" w:eastAsia="Times New Roman" w:cs="Times New Roman"/>
          <w:color w:val="auto"/>
          <w:spacing w:val="-3"/>
          <w:lang w:eastAsia="zh-CN"/>
        </w:rPr>
        <w:t xml:space="preserve">3.5.1 </w:t>
      </w:r>
      <w:r>
        <w:rPr>
          <w:rFonts w:ascii="宋体" w:hAnsi="宋体" w:eastAsia="宋体" w:cs="宋体"/>
          <w:color w:val="auto"/>
          <w:spacing w:val="-3"/>
          <w:lang w:eastAsia="zh-CN"/>
        </w:rPr>
        <w:t>项的要求在本表后附相关证明材料扫描件。</w:t>
      </w:r>
    </w:p>
    <w:p w14:paraId="425A49CD">
      <w:pPr>
        <w:spacing w:before="248" w:line="353" w:lineRule="auto"/>
        <w:ind w:left="1703" w:right="1800" w:firstLine="631"/>
        <w:rPr>
          <w:rFonts w:ascii="宋体" w:hAnsi="宋体" w:eastAsia="宋体" w:cs="宋体"/>
          <w:color w:val="auto"/>
          <w:lang w:eastAsia="zh-CN"/>
        </w:rPr>
      </w:pPr>
      <w:r>
        <w:rPr>
          <w:rFonts w:ascii="宋体" w:hAnsi="宋体" w:eastAsia="宋体" w:cs="宋体"/>
          <w:color w:val="auto"/>
          <w:spacing w:val="-4"/>
          <w:lang w:eastAsia="zh-CN"/>
        </w:rPr>
        <w:t>2.如果投标人须知第1.4.1项对投标设备制造商的资质提出了要求，投标人应根据投标人须知第3.5.1项的要求在本表后附相关资质证书扫描</w:t>
      </w:r>
      <w:r>
        <w:rPr>
          <w:rFonts w:ascii="宋体" w:hAnsi="宋体" w:eastAsia="宋体" w:cs="宋体"/>
          <w:color w:val="auto"/>
          <w:spacing w:val="-5"/>
          <w:lang w:eastAsia="zh-CN"/>
        </w:rPr>
        <w:t>件。</w:t>
      </w:r>
    </w:p>
    <w:p w14:paraId="0313313F">
      <w:pPr>
        <w:spacing w:line="353" w:lineRule="auto"/>
        <w:rPr>
          <w:rFonts w:ascii="宋体" w:hAnsi="宋体" w:eastAsia="宋体" w:cs="宋体"/>
          <w:color w:val="auto"/>
          <w:lang w:eastAsia="zh-CN"/>
        </w:rPr>
        <w:sectPr>
          <w:headerReference r:id="rId146" w:type="default"/>
          <w:footerReference r:id="rId147" w:type="default"/>
          <w:pgSz w:w="11906" w:h="16839"/>
          <w:pgMar w:top="400" w:right="0" w:bottom="1147" w:left="105" w:header="0" w:footer="987" w:gutter="0"/>
          <w:cols w:space="720" w:num="1"/>
        </w:sectPr>
      </w:pPr>
    </w:p>
    <w:p w14:paraId="2941A768">
      <w:pPr>
        <w:pStyle w:val="8"/>
        <w:spacing w:line="275" w:lineRule="auto"/>
        <w:rPr>
          <w:lang w:eastAsia="zh-CN"/>
        </w:rPr>
      </w:pPr>
    </w:p>
    <w:p w14:paraId="2B266348">
      <w:pPr>
        <w:pStyle w:val="8"/>
        <w:spacing w:line="276" w:lineRule="auto"/>
        <w:rPr>
          <w:lang w:eastAsia="zh-CN"/>
        </w:rPr>
      </w:pPr>
    </w:p>
    <w:p w14:paraId="1560921E">
      <w:pPr>
        <w:pStyle w:val="8"/>
        <w:spacing w:line="276" w:lineRule="auto"/>
        <w:rPr>
          <w:lang w:eastAsia="zh-CN"/>
        </w:rPr>
      </w:pPr>
    </w:p>
    <w:p w14:paraId="61EAEF99">
      <w:pPr>
        <w:pStyle w:val="8"/>
        <w:spacing w:line="276" w:lineRule="auto"/>
        <w:rPr>
          <w:lang w:eastAsia="zh-CN"/>
        </w:rPr>
      </w:pPr>
    </w:p>
    <w:p w14:paraId="79AD15E0">
      <w:pPr>
        <w:pStyle w:val="8"/>
        <w:spacing w:line="276" w:lineRule="auto"/>
        <w:rPr>
          <w:lang w:eastAsia="zh-CN"/>
        </w:rPr>
      </w:pPr>
    </w:p>
    <w:p w14:paraId="61323EB0">
      <w:pPr>
        <w:spacing w:before="78" w:line="221" w:lineRule="auto"/>
        <w:ind w:left="4695"/>
        <w:rPr>
          <w:rFonts w:ascii="黑体" w:hAnsi="黑体" w:eastAsia="黑体" w:cs="黑体"/>
          <w:color w:val="auto"/>
          <w:sz w:val="24"/>
          <w:szCs w:val="24"/>
        </w:rPr>
      </w:pPr>
      <w:bookmarkStart w:id="454" w:name="bookmark190"/>
      <w:bookmarkEnd w:id="454"/>
      <w:r>
        <w:rPr>
          <w:rFonts w:ascii="Times New Roman" w:hAnsi="Times New Roman" w:eastAsia="Times New Roman" w:cs="Times New Roman"/>
          <w:color w:val="auto"/>
          <w:spacing w:val="-2"/>
          <w:sz w:val="24"/>
          <w:szCs w:val="24"/>
        </w:rPr>
        <w:t xml:space="preserve">1-2  </w:t>
      </w:r>
      <w:r>
        <w:rPr>
          <w:rFonts w:ascii="黑体" w:hAnsi="黑体" w:eastAsia="黑体" w:cs="黑体"/>
          <w:color w:val="auto"/>
          <w:spacing w:val="-2"/>
          <w:sz w:val="24"/>
          <w:szCs w:val="24"/>
        </w:rPr>
        <w:t>关联单位情况说明</w:t>
      </w:r>
    </w:p>
    <w:p w14:paraId="56232A9C">
      <w:pPr>
        <w:spacing w:before="69"/>
        <w:rPr>
          <w:color w:val="auto"/>
        </w:rPr>
      </w:pPr>
    </w:p>
    <w:tbl>
      <w:tblPr>
        <w:tblStyle w:val="20"/>
        <w:tblW w:w="8682" w:type="dxa"/>
        <w:tblInd w:w="150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682"/>
      </w:tblGrid>
      <w:tr w14:paraId="1C0E9E2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8400" w:hRule="atLeast"/>
        </w:trPr>
        <w:tc>
          <w:tcPr>
            <w:tcW w:w="8682" w:type="dxa"/>
          </w:tcPr>
          <w:p w14:paraId="4F5BCDC6">
            <w:pPr>
              <w:spacing w:line="341" w:lineRule="auto"/>
              <w:rPr>
                <w:color w:val="auto"/>
                <w:lang w:eastAsia="zh-CN"/>
              </w:rPr>
            </w:pPr>
          </w:p>
          <w:p w14:paraId="1315C5A4">
            <w:pPr>
              <w:pStyle w:val="21"/>
              <w:spacing w:before="69" w:line="220" w:lineRule="auto"/>
              <w:ind w:left="9"/>
              <w:rPr>
                <w:color w:val="auto"/>
                <w:lang w:eastAsia="zh-CN"/>
              </w:rPr>
            </w:pPr>
            <w:r>
              <w:rPr>
                <w:color w:val="auto"/>
                <w:spacing w:val="-3"/>
                <w:lang w:eastAsia="zh-CN"/>
              </w:rPr>
              <w:t>单位负责人与本单位负责人为同一人的单位：</w:t>
            </w:r>
          </w:p>
          <w:p w14:paraId="79232561">
            <w:pPr>
              <w:spacing w:line="264" w:lineRule="auto"/>
              <w:rPr>
                <w:color w:val="auto"/>
                <w:lang w:eastAsia="zh-CN"/>
              </w:rPr>
            </w:pPr>
          </w:p>
          <w:p w14:paraId="560EABD2">
            <w:pPr>
              <w:spacing w:line="265" w:lineRule="auto"/>
              <w:rPr>
                <w:color w:val="auto"/>
                <w:lang w:eastAsia="zh-CN"/>
              </w:rPr>
            </w:pPr>
          </w:p>
          <w:p w14:paraId="2C90F201">
            <w:pPr>
              <w:spacing w:line="265" w:lineRule="auto"/>
              <w:rPr>
                <w:color w:val="auto"/>
                <w:lang w:eastAsia="zh-CN"/>
              </w:rPr>
            </w:pPr>
          </w:p>
          <w:p w14:paraId="65FEF888">
            <w:pPr>
              <w:spacing w:line="265" w:lineRule="auto"/>
              <w:rPr>
                <w:color w:val="auto"/>
                <w:lang w:eastAsia="zh-CN"/>
              </w:rPr>
            </w:pPr>
          </w:p>
          <w:p w14:paraId="7C9FD76D">
            <w:pPr>
              <w:spacing w:line="265" w:lineRule="auto"/>
              <w:rPr>
                <w:color w:val="auto"/>
                <w:lang w:eastAsia="zh-CN"/>
              </w:rPr>
            </w:pPr>
          </w:p>
          <w:p w14:paraId="1D461BD6">
            <w:pPr>
              <w:spacing w:line="265" w:lineRule="auto"/>
              <w:rPr>
                <w:color w:val="auto"/>
                <w:lang w:eastAsia="zh-CN"/>
              </w:rPr>
            </w:pPr>
          </w:p>
          <w:p w14:paraId="075EE7DB">
            <w:pPr>
              <w:spacing w:line="265" w:lineRule="auto"/>
              <w:rPr>
                <w:color w:val="auto"/>
                <w:lang w:eastAsia="zh-CN"/>
              </w:rPr>
            </w:pPr>
          </w:p>
          <w:p w14:paraId="07FDDE18">
            <w:pPr>
              <w:pStyle w:val="21"/>
              <w:spacing w:before="68" w:line="220" w:lineRule="auto"/>
              <w:ind w:left="12"/>
              <w:rPr>
                <w:color w:val="auto"/>
                <w:lang w:eastAsia="zh-CN"/>
              </w:rPr>
            </w:pPr>
            <w:r>
              <w:rPr>
                <w:color w:val="auto"/>
                <w:spacing w:val="-4"/>
                <w:lang w:eastAsia="zh-CN"/>
              </w:rPr>
              <w:t>与本单位存在控股与被控股关系的单位：</w:t>
            </w:r>
          </w:p>
          <w:p w14:paraId="18BE481C">
            <w:pPr>
              <w:spacing w:line="253" w:lineRule="auto"/>
              <w:rPr>
                <w:color w:val="auto"/>
                <w:lang w:eastAsia="zh-CN"/>
              </w:rPr>
            </w:pPr>
          </w:p>
          <w:p w14:paraId="6EF39FAF">
            <w:pPr>
              <w:spacing w:line="253" w:lineRule="auto"/>
              <w:rPr>
                <w:color w:val="auto"/>
                <w:lang w:eastAsia="zh-CN"/>
              </w:rPr>
            </w:pPr>
          </w:p>
          <w:p w14:paraId="10382C78">
            <w:pPr>
              <w:spacing w:line="253" w:lineRule="auto"/>
              <w:rPr>
                <w:color w:val="auto"/>
                <w:lang w:eastAsia="zh-CN"/>
              </w:rPr>
            </w:pPr>
          </w:p>
          <w:p w14:paraId="617CB84E">
            <w:pPr>
              <w:spacing w:line="253" w:lineRule="auto"/>
              <w:rPr>
                <w:color w:val="auto"/>
                <w:lang w:eastAsia="zh-CN"/>
              </w:rPr>
            </w:pPr>
          </w:p>
          <w:p w14:paraId="4CE9BB05">
            <w:pPr>
              <w:spacing w:line="253" w:lineRule="auto"/>
              <w:rPr>
                <w:color w:val="auto"/>
                <w:lang w:eastAsia="zh-CN"/>
              </w:rPr>
            </w:pPr>
          </w:p>
          <w:p w14:paraId="552915A1">
            <w:pPr>
              <w:spacing w:line="253" w:lineRule="auto"/>
              <w:rPr>
                <w:color w:val="auto"/>
                <w:lang w:eastAsia="zh-CN"/>
              </w:rPr>
            </w:pPr>
          </w:p>
          <w:p w14:paraId="53F1A5D5">
            <w:pPr>
              <w:spacing w:line="253" w:lineRule="auto"/>
              <w:rPr>
                <w:color w:val="auto"/>
                <w:lang w:eastAsia="zh-CN"/>
              </w:rPr>
            </w:pPr>
          </w:p>
          <w:p w14:paraId="79EF6E41">
            <w:pPr>
              <w:spacing w:line="253" w:lineRule="auto"/>
              <w:rPr>
                <w:color w:val="auto"/>
                <w:lang w:eastAsia="zh-CN"/>
              </w:rPr>
            </w:pPr>
          </w:p>
          <w:p w14:paraId="64DF72CA">
            <w:pPr>
              <w:spacing w:line="253" w:lineRule="auto"/>
              <w:rPr>
                <w:color w:val="auto"/>
                <w:lang w:eastAsia="zh-CN"/>
              </w:rPr>
            </w:pPr>
          </w:p>
          <w:p w14:paraId="306CF6B6">
            <w:pPr>
              <w:spacing w:line="253" w:lineRule="auto"/>
              <w:rPr>
                <w:color w:val="auto"/>
                <w:lang w:eastAsia="zh-CN"/>
              </w:rPr>
            </w:pPr>
          </w:p>
          <w:p w14:paraId="2D3152AA">
            <w:pPr>
              <w:spacing w:line="254" w:lineRule="auto"/>
              <w:rPr>
                <w:color w:val="auto"/>
                <w:lang w:eastAsia="zh-CN"/>
              </w:rPr>
            </w:pPr>
          </w:p>
          <w:p w14:paraId="18F19AB7">
            <w:pPr>
              <w:pStyle w:val="21"/>
              <w:spacing w:before="68" w:line="220" w:lineRule="auto"/>
              <w:ind w:left="12"/>
              <w:rPr>
                <w:color w:val="auto"/>
                <w:lang w:eastAsia="zh-CN"/>
              </w:rPr>
            </w:pPr>
            <w:r>
              <w:rPr>
                <w:color w:val="auto"/>
                <w:spacing w:val="-4"/>
                <w:lang w:eastAsia="zh-CN"/>
              </w:rPr>
              <w:t>与本单位存在管理与被管理关系的单位：</w:t>
            </w:r>
          </w:p>
        </w:tc>
      </w:tr>
    </w:tbl>
    <w:p w14:paraId="7EE11143">
      <w:pPr>
        <w:spacing w:before="53" w:line="220" w:lineRule="auto"/>
        <w:ind w:left="1704"/>
        <w:rPr>
          <w:rFonts w:ascii="宋体" w:hAnsi="宋体" w:eastAsia="宋体" w:cs="宋体"/>
          <w:color w:val="auto"/>
          <w:lang w:eastAsia="zh-CN"/>
        </w:rPr>
      </w:pPr>
      <w:r>
        <w:rPr>
          <w:rFonts w:ascii="宋体" w:hAnsi="宋体" w:eastAsia="宋体" w:cs="宋体"/>
          <w:color w:val="auto"/>
          <w:spacing w:val="-1"/>
          <w:lang w:eastAsia="zh-CN"/>
        </w:rPr>
        <w:t>备注：1.投标人应当如实披露相关关联单位的情况。没有相关关联单位的明确填“无”。</w:t>
      </w:r>
    </w:p>
    <w:p w14:paraId="5895A485">
      <w:pPr>
        <w:spacing w:before="61" w:line="221" w:lineRule="auto"/>
        <w:ind w:left="2334"/>
        <w:rPr>
          <w:rFonts w:ascii="宋体" w:hAnsi="宋体" w:eastAsia="宋体" w:cs="宋体"/>
          <w:color w:val="auto"/>
          <w:lang w:eastAsia="zh-CN"/>
        </w:rPr>
      </w:pPr>
      <w:r>
        <w:rPr>
          <w:rFonts w:ascii="宋体" w:hAnsi="宋体" w:eastAsia="宋体" w:cs="宋体"/>
          <w:color w:val="auto"/>
          <w:spacing w:val="-2"/>
          <w:lang w:eastAsia="zh-CN"/>
        </w:rPr>
        <w:t>2.联合体投标的，联合体各成员应分别填写。</w:t>
      </w:r>
    </w:p>
    <w:p w14:paraId="52A1AF44">
      <w:pPr>
        <w:spacing w:line="221" w:lineRule="auto"/>
        <w:rPr>
          <w:rFonts w:ascii="宋体" w:hAnsi="宋体" w:eastAsia="宋体" w:cs="宋体"/>
          <w:color w:val="auto"/>
          <w:lang w:eastAsia="zh-CN"/>
        </w:rPr>
        <w:sectPr>
          <w:headerReference r:id="rId148" w:type="default"/>
          <w:footerReference r:id="rId149" w:type="default"/>
          <w:pgSz w:w="11906" w:h="16839"/>
          <w:pgMar w:top="400" w:right="0" w:bottom="1147" w:left="105" w:header="0" w:footer="987" w:gutter="0"/>
          <w:cols w:space="720" w:num="1"/>
        </w:sectPr>
      </w:pPr>
    </w:p>
    <w:p w14:paraId="26FC1B8D">
      <w:pPr>
        <w:pStyle w:val="8"/>
        <w:spacing w:line="248" w:lineRule="auto"/>
        <w:rPr>
          <w:lang w:eastAsia="zh-CN"/>
        </w:rPr>
      </w:pPr>
    </w:p>
    <w:p w14:paraId="7DC8FE4F">
      <w:pPr>
        <w:pStyle w:val="8"/>
        <w:spacing w:line="248" w:lineRule="auto"/>
        <w:rPr>
          <w:lang w:eastAsia="zh-CN"/>
        </w:rPr>
      </w:pPr>
    </w:p>
    <w:p w14:paraId="654ED4E7">
      <w:pPr>
        <w:pStyle w:val="8"/>
        <w:spacing w:line="248" w:lineRule="auto"/>
        <w:rPr>
          <w:lang w:eastAsia="zh-CN"/>
        </w:rPr>
      </w:pPr>
    </w:p>
    <w:p w14:paraId="3A967CEC">
      <w:pPr>
        <w:pStyle w:val="8"/>
        <w:spacing w:line="248" w:lineRule="auto"/>
        <w:rPr>
          <w:lang w:eastAsia="zh-CN"/>
        </w:rPr>
      </w:pPr>
    </w:p>
    <w:p w14:paraId="7CEC3433">
      <w:pPr>
        <w:pStyle w:val="8"/>
        <w:spacing w:line="248" w:lineRule="auto"/>
        <w:rPr>
          <w:lang w:eastAsia="zh-CN"/>
        </w:rPr>
      </w:pPr>
    </w:p>
    <w:p w14:paraId="5D114592">
      <w:pPr>
        <w:pStyle w:val="8"/>
        <w:spacing w:line="248" w:lineRule="auto"/>
        <w:rPr>
          <w:lang w:eastAsia="zh-CN"/>
        </w:rPr>
      </w:pPr>
    </w:p>
    <w:p w14:paraId="35847017">
      <w:pPr>
        <w:pStyle w:val="8"/>
        <w:spacing w:line="248" w:lineRule="auto"/>
        <w:rPr>
          <w:lang w:eastAsia="zh-CN"/>
        </w:rPr>
      </w:pPr>
    </w:p>
    <w:p w14:paraId="33A43863">
      <w:pPr>
        <w:spacing w:before="78" w:line="221" w:lineRule="auto"/>
        <w:ind w:left="6801"/>
        <w:rPr>
          <w:rFonts w:ascii="黑体" w:hAnsi="黑体" w:eastAsia="黑体" w:cs="黑体"/>
          <w:color w:val="auto"/>
          <w:sz w:val="24"/>
          <w:szCs w:val="24"/>
          <w:lang w:eastAsia="zh-CN"/>
        </w:rPr>
      </w:pPr>
      <w:bookmarkStart w:id="455" w:name="bookmark191"/>
      <w:bookmarkEnd w:id="455"/>
      <w:r>
        <w:rPr>
          <w:rFonts w:ascii="Times New Roman" w:hAnsi="Times New Roman" w:eastAsia="Times New Roman" w:cs="Times New Roman"/>
          <w:color w:val="auto"/>
          <w:spacing w:val="-2"/>
          <w:sz w:val="24"/>
          <w:szCs w:val="24"/>
          <w:lang w:eastAsia="zh-CN"/>
        </w:rPr>
        <w:t xml:space="preserve">1-3  </w:t>
      </w:r>
      <w:r>
        <w:rPr>
          <w:rFonts w:ascii="黑体" w:hAnsi="黑体" w:eastAsia="黑体" w:cs="黑体"/>
          <w:color w:val="auto"/>
          <w:spacing w:val="-2"/>
          <w:sz w:val="24"/>
          <w:szCs w:val="24"/>
          <w:lang w:eastAsia="zh-CN"/>
        </w:rPr>
        <w:t>项目管理机构主要人员表</w:t>
      </w:r>
    </w:p>
    <w:p w14:paraId="5A55BF52">
      <w:pPr>
        <w:spacing w:before="69"/>
        <w:rPr>
          <w:color w:val="auto"/>
          <w:lang w:eastAsia="zh-CN"/>
        </w:rPr>
      </w:pPr>
    </w:p>
    <w:tbl>
      <w:tblPr>
        <w:tblStyle w:val="20"/>
        <w:tblW w:w="13834" w:type="dxa"/>
        <w:tblInd w:w="1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
        <w:gridCol w:w="1219"/>
        <w:gridCol w:w="789"/>
        <w:gridCol w:w="510"/>
        <w:gridCol w:w="719"/>
        <w:gridCol w:w="720"/>
        <w:gridCol w:w="924"/>
        <w:gridCol w:w="991"/>
        <w:gridCol w:w="465"/>
        <w:gridCol w:w="571"/>
        <w:gridCol w:w="584"/>
        <w:gridCol w:w="1122"/>
        <w:gridCol w:w="956"/>
        <w:gridCol w:w="956"/>
        <w:gridCol w:w="960"/>
        <w:gridCol w:w="1079"/>
        <w:gridCol w:w="904"/>
      </w:tblGrid>
      <w:tr w14:paraId="423EF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365" w:type="dxa"/>
            <w:vMerge w:val="restart"/>
            <w:tcBorders>
              <w:bottom w:val="nil"/>
            </w:tcBorders>
            <w:textDirection w:val="tbRlV"/>
          </w:tcPr>
          <w:p w14:paraId="20BC38DF">
            <w:pPr>
              <w:pStyle w:val="21"/>
              <w:spacing w:before="74" w:line="210" w:lineRule="auto"/>
              <w:ind w:left="423"/>
              <w:rPr>
                <w:color w:val="auto"/>
              </w:rPr>
            </w:pPr>
            <w:r>
              <w:rPr>
                <w:color w:val="auto"/>
                <w:spacing w:val="-1"/>
              </w:rPr>
              <w:t>序 号</w:t>
            </w:r>
          </w:p>
        </w:tc>
        <w:tc>
          <w:tcPr>
            <w:tcW w:w="1219" w:type="dxa"/>
            <w:vMerge w:val="restart"/>
            <w:tcBorders>
              <w:bottom w:val="nil"/>
            </w:tcBorders>
          </w:tcPr>
          <w:p w14:paraId="2B1EA028">
            <w:pPr>
              <w:spacing w:line="353" w:lineRule="auto"/>
              <w:rPr>
                <w:color w:val="auto"/>
              </w:rPr>
            </w:pPr>
          </w:p>
          <w:p w14:paraId="05177521">
            <w:pPr>
              <w:pStyle w:val="21"/>
              <w:spacing w:before="69" w:line="276" w:lineRule="auto"/>
              <w:ind w:left="193" w:right="202" w:firstLine="227"/>
              <w:rPr>
                <w:color w:val="auto"/>
              </w:rPr>
            </w:pPr>
            <w:r>
              <w:rPr>
                <w:color w:val="auto"/>
                <w:spacing w:val="-16"/>
              </w:rPr>
              <w:t>岗位</w:t>
            </w:r>
            <w:r>
              <w:rPr>
                <w:color w:val="auto"/>
                <w:spacing w:val="-7"/>
              </w:rPr>
              <w:t>（职务）</w:t>
            </w:r>
          </w:p>
        </w:tc>
        <w:tc>
          <w:tcPr>
            <w:tcW w:w="789" w:type="dxa"/>
            <w:vMerge w:val="restart"/>
            <w:tcBorders>
              <w:bottom w:val="nil"/>
            </w:tcBorders>
          </w:tcPr>
          <w:p w14:paraId="2F19F38C">
            <w:pPr>
              <w:spacing w:line="251" w:lineRule="auto"/>
              <w:rPr>
                <w:color w:val="auto"/>
              </w:rPr>
            </w:pPr>
          </w:p>
          <w:p w14:paraId="3D159C9F">
            <w:pPr>
              <w:spacing w:line="252" w:lineRule="auto"/>
              <w:rPr>
                <w:color w:val="auto"/>
              </w:rPr>
            </w:pPr>
          </w:p>
          <w:p w14:paraId="19E8B5D6">
            <w:pPr>
              <w:pStyle w:val="21"/>
              <w:spacing w:before="68" w:line="220" w:lineRule="auto"/>
              <w:ind w:left="184"/>
              <w:rPr>
                <w:color w:val="auto"/>
              </w:rPr>
            </w:pPr>
            <w:r>
              <w:rPr>
                <w:color w:val="auto"/>
                <w:spacing w:val="-3"/>
              </w:rPr>
              <w:t>姓名</w:t>
            </w:r>
          </w:p>
        </w:tc>
        <w:tc>
          <w:tcPr>
            <w:tcW w:w="510" w:type="dxa"/>
            <w:vMerge w:val="restart"/>
            <w:tcBorders>
              <w:bottom w:val="nil"/>
            </w:tcBorders>
          </w:tcPr>
          <w:p w14:paraId="7DF251DB">
            <w:pPr>
              <w:spacing w:line="251" w:lineRule="auto"/>
              <w:rPr>
                <w:color w:val="auto"/>
              </w:rPr>
            </w:pPr>
          </w:p>
          <w:p w14:paraId="49F6DBE3">
            <w:pPr>
              <w:spacing w:line="252" w:lineRule="auto"/>
              <w:rPr>
                <w:color w:val="auto"/>
              </w:rPr>
            </w:pPr>
          </w:p>
          <w:p w14:paraId="687E2247">
            <w:pPr>
              <w:pStyle w:val="21"/>
              <w:spacing w:before="68" w:line="221" w:lineRule="auto"/>
              <w:ind w:left="45"/>
              <w:rPr>
                <w:color w:val="auto"/>
              </w:rPr>
            </w:pPr>
            <w:r>
              <w:rPr>
                <w:color w:val="auto"/>
                <w:spacing w:val="-3"/>
              </w:rPr>
              <w:t>性别</w:t>
            </w:r>
          </w:p>
        </w:tc>
        <w:tc>
          <w:tcPr>
            <w:tcW w:w="719" w:type="dxa"/>
            <w:vMerge w:val="restart"/>
            <w:tcBorders>
              <w:bottom w:val="nil"/>
            </w:tcBorders>
          </w:tcPr>
          <w:p w14:paraId="7DA80231">
            <w:pPr>
              <w:spacing w:line="251" w:lineRule="auto"/>
              <w:rPr>
                <w:color w:val="auto"/>
              </w:rPr>
            </w:pPr>
          </w:p>
          <w:p w14:paraId="654AAD81">
            <w:pPr>
              <w:spacing w:line="252" w:lineRule="auto"/>
              <w:rPr>
                <w:color w:val="auto"/>
              </w:rPr>
            </w:pPr>
          </w:p>
          <w:p w14:paraId="23DDE1DC">
            <w:pPr>
              <w:pStyle w:val="21"/>
              <w:spacing w:before="68" w:line="220" w:lineRule="auto"/>
              <w:ind w:left="151"/>
              <w:rPr>
                <w:color w:val="auto"/>
              </w:rPr>
            </w:pPr>
            <w:r>
              <w:rPr>
                <w:color w:val="auto"/>
                <w:spacing w:val="-3"/>
              </w:rPr>
              <w:t>年龄</w:t>
            </w:r>
          </w:p>
        </w:tc>
        <w:tc>
          <w:tcPr>
            <w:tcW w:w="720" w:type="dxa"/>
            <w:vMerge w:val="restart"/>
            <w:tcBorders>
              <w:bottom w:val="nil"/>
            </w:tcBorders>
          </w:tcPr>
          <w:p w14:paraId="22443CD2">
            <w:pPr>
              <w:spacing w:line="251" w:lineRule="auto"/>
              <w:rPr>
                <w:color w:val="auto"/>
              </w:rPr>
            </w:pPr>
          </w:p>
          <w:p w14:paraId="36137197">
            <w:pPr>
              <w:spacing w:line="251" w:lineRule="auto"/>
              <w:rPr>
                <w:color w:val="auto"/>
              </w:rPr>
            </w:pPr>
          </w:p>
          <w:p w14:paraId="0FCE4BC9">
            <w:pPr>
              <w:pStyle w:val="21"/>
              <w:spacing w:before="69" w:line="222" w:lineRule="auto"/>
              <w:ind w:left="155"/>
              <w:rPr>
                <w:color w:val="auto"/>
              </w:rPr>
            </w:pPr>
            <w:r>
              <w:rPr>
                <w:color w:val="auto"/>
                <w:spacing w:val="-4"/>
              </w:rPr>
              <w:t>学历</w:t>
            </w:r>
          </w:p>
        </w:tc>
        <w:tc>
          <w:tcPr>
            <w:tcW w:w="924" w:type="dxa"/>
            <w:vMerge w:val="restart"/>
            <w:tcBorders>
              <w:bottom w:val="nil"/>
            </w:tcBorders>
          </w:tcPr>
          <w:p w14:paraId="38947E43">
            <w:pPr>
              <w:spacing w:line="251" w:lineRule="auto"/>
              <w:rPr>
                <w:color w:val="auto"/>
              </w:rPr>
            </w:pPr>
          </w:p>
          <w:p w14:paraId="1B340C4B">
            <w:pPr>
              <w:spacing w:line="252" w:lineRule="auto"/>
              <w:rPr>
                <w:color w:val="auto"/>
              </w:rPr>
            </w:pPr>
          </w:p>
          <w:p w14:paraId="269097F4">
            <w:pPr>
              <w:pStyle w:val="21"/>
              <w:spacing w:before="68" w:line="221" w:lineRule="auto"/>
              <w:ind w:left="43"/>
              <w:rPr>
                <w:color w:val="auto"/>
              </w:rPr>
            </w:pPr>
            <w:r>
              <w:rPr>
                <w:color w:val="auto"/>
                <w:spacing w:val="-2"/>
              </w:rPr>
              <w:t>所学专业</w:t>
            </w:r>
          </w:p>
        </w:tc>
        <w:tc>
          <w:tcPr>
            <w:tcW w:w="991" w:type="dxa"/>
            <w:vMerge w:val="restart"/>
            <w:tcBorders>
              <w:bottom w:val="nil"/>
            </w:tcBorders>
          </w:tcPr>
          <w:p w14:paraId="3C08B41C">
            <w:pPr>
              <w:spacing w:line="353" w:lineRule="auto"/>
              <w:rPr>
                <w:color w:val="auto"/>
              </w:rPr>
            </w:pPr>
          </w:p>
          <w:p w14:paraId="5F48E488">
            <w:pPr>
              <w:pStyle w:val="21"/>
              <w:spacing w:before="69" w:line="276" w:lineRule="auto"/>
              <w:ind w:left="289" w:right="70" w:hanging="210"/>
              <w:rPr>
                <w:color w:val="auto"/>
              </w:rPr>
            </w:pPr>
            <w:r>
              <w:rPr>
                <w:color w:val="auto"/>
                <w:spacing w:val="-3"/>
              </w:rPr>
              <w:t>专业工作年限</w:t>
            </w:r>
          </w:p>
        </w:tc>
        <w:tc>
          <w:tcPr>
            <w:tcW w:w="1620" w:type="dxa"/>
            <w:gridSpan w:val="3"/>
          </w:tcPr>
          <w:p w14:paraId="240AE9EF">
            <w:pPr>
              <w:pStyle w:val="21"/>
              <w:spacing w:before="107" w:line="220" w:lineRule="auto"/>
              <w:ind w:left="184"/>
              <w:rPr>
                <w:color w:val="auto"/>
              </w:rPr>
            </w:pPr>
            <w:r>
              <w:rPr>
                <w:color w:val="auto"/>
                <w:spacing w:val="-2"/>
              </w:rPr>
              <w:t>专业技术职称</w:t>
            </w:r>
          </w:p>
        </w:tc>
        <w:tc>
          <w:tcPr>
            <w:tcW w:w="3994" w:type="dxa"/>
            <w:gridSpan w:val="4"/>
          </w:tcPr>
          <w:p w14:paraId="6657F18B">
            <w:pPr>
              <w:pStyle w:val="21"/>
              <w:spacing w:before="155" w:line="220" w:lineRule="auto"/>
              <w:ind w:left="1057"/>
              <w:rPr>
                <w:color w:val="auto"/>
              </w:rPr>
            </w:pPr>
            <w:r>
              <w:rPr>
                <w:color w:val="auto"/>
                <w:spacing w:val="-1"/>
              </w:rPr>
              <w:t>执业或职业资格证明</w:t>
            </w:r>
          </w:p>
        </w:tc>
        <w:tc>
          <w:tcPr>
            <w:tcW w:w="1079" w:type="dxa"/>
            <w:vMerge w:val="restart"/>
            <w:tcBorders>
              <w:bottom w:val="nil"/>
            </w:tcBorders>
          </w:tcPr>
          <w:p w14:paraId="337FA8AC">
            <w:pPr>
              <w:spacing w:line="278" w:lineRule="auto"/>
              <w:rPr>
                <w:color w:val="auto"/>
              </w:rPr>
            </w:pPr>
          </w:p>
          <w:p w14:paraId="442B6BB5">
            <w:pPr>
              <w:spacing w:line="278" w:lineRule="auto"/>
              <w:rPr>
                <w:color w:val="auto"/>
              </w:rPr>
            </w:pPr>
          </w:p>
          <w:p w14:paraId="3425B488">
            <w:pPr>
              <w:pStyle w:val="21"/>
              <w:spacing w:before="68" w:line="220" w:lineRule="auto"/>
              <w:ind w:left="128"/>
              <w:rPr>
                <w:color w:val="auto"/>
              </w:rPr>
            </w:pPr>
            <w:r>
              <w:rPr>
                <w:color w:val="auto"/>
                <w:spacing w:val="-2"/>
              </w:rPr>
              <w:t>社会保险</w:t>
            </w:r>
          </w:p>
        </w:tc>
        <w:tc>
          <w:tcPr>
            <w:tcW w:w="904" w:type="dxa"/>
            <w:vMerge w:val="restart"/>
            <w:tcBorders>
              <w:bottom w:val="nil"/>
            </w:tcBorders>
          </w:tcPr>
          <w:p w14:paraId="0C43B58C">
            <w:pPr>
              <w:spacing w:line="347" w:lineRule="auto"/>
              <w:rPr>
                <w:color w:val="auto"/>
              </w:rPr>
            </w:pPr>
          </w:p>
          <w:p w14:paraId="1D002F1C">
            <w:pPr>
              <w:pStyle w:val="21"/>
              <w:spacing w:before="68" w:line="372" w:lineRule="auto"/>
              <w:ind w:left="39" w:right="23" w:firstLine="104"/>
              <w:rPr>
                <w:color w:val="auto"/>
              </w:rPr>
            </w:pPr>
            <w:r>
              <w:rPr>
                <w:color w:val="auto"/>
                <w:spacing w:val="-3"/>
              </w:rPr>
              <w:t>执业或职业单位</w:t>
            </w:r>
          </w:p>
        </w:tc>
      </w:tr>
      <w:tr w14:paraId="4519B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365" w:type="dxa"/>
            <w:vMerge w:val="continue"/>
            <w:tcBorders>
              <w:top w:val="nil"/>
            </w:tcBorders>
            <w:textDirection w:val="tbRlV"/>
          </w:tcPr>
          <w:p w14:paraId="3DEF2CCA">
            <w:pPr>
              <w:rPr>
                <w:color w:val="auto"/>
              </w:rPr>
            </w:pPr>
          </w:p>
        </w:tc>
        <w:tc>
          <w:tcPr>
            <w:tcW w:w="1219" w:type="dxa"/>
            <w:vMerge w:val="continue"/>
            <w:tcBorders>
              <w:top w:val="nil"/>
            </w:tcBorders>
          </w:tcPr>
          <w:p w14:paraId="303CFA23">
            <w:pPr>
              <w:rPr>
                <w:color w:val="auto"/>
              </w:rPr>
            </w:pPr>
          </w:p>
        </w:tc>
        <w:tc>
          <w:tcPr>
            <w:tcW w:w="789" w:type="dxa"/>
            <w:vMerge w:val="continue"/>
            <w:tcBorders>
              <w:top w:val="nil"/>
            </w:tcBorders>
          </w:tcPr>
          <w:p w14:paraId="60E7D4EB">
            <w:pPr>
              <w:rPr>
                <w:color w:val="auto"/>
              </w:rPr>
            </w:pPr>
          </w:p>
        </w:tc>
        <w:tc>
          <w:tcPr>
            <w:tcW w:w="510" w:type="dxa"/>
            <w:vMerge w:val="continue"/>
            <w:tcBorders>
              <w:top w:val="nil"/>
            </w:tcBorders>
          </w:tcPr>
          <w:p w14:paraId="02F0BD5E">
            <w:pPr>
              <w:rPr>
                <w:color w:val="auto"/>
              </w:rPr>
            </w:pPr>
          </w:p>
        </w:tc>
        <w:tc>
          <w:tcPr>
            <w:tcW w:w="719" w:type="dxa"/>
            <w:vMerge w:val="continue"/>
            <w:tcBorders>
              <w:top w:val="nil"/>
            </w:tcBorders>
          </w:tcPr>
          <w:p w14:paraId="3B4E8B54">
            <w:pPr>
              <w:rPr>
                <w:color w:val="auto"/>
              </w:rPr>
            </w:pPr>
          </w:p>
        </w:tc>
        <w:tc>
          <w:tcPr>
            <w:tcW w:w="720" w:type="dxa"/>
            <w:vMerge w:val="continue"/>
            <w:tcBorders>
              <w:top w:val="nil"/>
            </w:tcBorders>
          </w:tcPr>
          <w:p w14:paraId="30DC4FCF">
            <w:pPr>
              <w:rPr>
                <w:color w:val="auto"/>
              </w:rPr>
            </w:pPr>
          </w:p>
        </w:tc>
        <w:tc>
          <w:tcPr>
            <w:tcW w:w="924" w:type="dxa"/>
            <w:vMerge w:val="continue"/>
            <w:tcBorders>
              <w:top w:val="nil"/>
            </w:tcBorders>
          </w:tcPr>
          <w:p w14:paraId="631120E8">
            <w:pPr>
              <w:rPr>
                <w:color w:val="auto"/>
              </w:rPr>
            </w:pPr>
          </w:p>
        </w:tc>
        <w:tc>
          <w:tcPr>
            <w:tcW w:w="991" w:type="dxa"/>
            <w:vMerge w:val="continue"/>
            <w:tcBorders>
              <w:top w:val="nil"/>
            </w:tcBorders>
          </w:tcPr>
          <w:p w14:paraId="03DD852A">
            <w:pPr>
              <w:rPr>
                <w:color w:val="auto"/>
              </w:rPr>
            </w:pPr>
          </w:p>
        </w:tc>
        <w:tc>
          <w:tcPr>
            <w:tcW w:w="465" w:type="dxa"/>
          </w:tcPr>
          <w:p w14:paraId="1AF62C4D">
            <w:pPr>
              <w:spacing w:line="289" w:lineRule="auto"/>
              <w:rPr>
                <w:color w:val="auto"/>
              </w:rPr>
            </w:pPr>
          </w:p>
          <w:p w14:paraId="5A96BDDC">
            <w:pPr>
              <w:pStyle w:val="21"/>
              <w:spacing w:before="68" w:line="221" w:lineRule="auto"/>
              <w:ind w:left="29"/>
              <w:rPr>
                <w:color w:val="auto"/>
              </w:rPr>
            </w:pPr>
            <w:r>
              <w:rPr>
                <w:color w:val="auto"/>
                <w:spacing w:val="-3"/>
              </w:rPr>
              <w:t>级别</w:t>
            </w:r>
          </w:p>
        </w:tc>
        <w:tc>
          <w:tcPr>
            <w:tcW w:w="571" w:type="dxa"/>
          </w:tcPr>
          <w:p w14:paraId="14CDFC6A">
            <w:pPr>
              <w:pStyle w:val="21"/>
              <w:spacing w:before="204" w:line="222" w:lineRule="auto"/>
              <w:ind w:left="79"/>
              <w:rPr>
                <w:color w:val="auto"/>
              </w:rPr>
            </w:pPr>
            <w:r>
              <w:rPr>
                <w:color w:val="auto"/>
                <w:spacing w:val="-3"/>
              </w:rPr>
              <w:t>职称</w:t>
            </w:r>
          </w:p>
          <w:p w14:paraId="415FFA01">
            <w:pPr>
              <w:pStyle w:val="21"/>
              <w:spacing w:before="58" w:line="221" w:lineRule="auto"/>
              <w:ind w:left="79"/>
              <w:rPr>
                <w:color w:val="auto"/>
              </w:rPr>
            </w:pPr>
            <w:r>
              <w:rPr>
                <w:color w:val="auto"/>
                <w:spacing w:val="-3"/>
              </w:rPr>
              <w:t>专业</w:t>
            </w:r>
          </w:p>
        </w:tc>
        <w:tc>
          <w:tcPr>
            <w:tcW w:w="584" w:type="dxa"/>
          </w:tcPr>
          <w:p w14:paraId="2307F76C">
            <w:pPr>
              <w:pStyle w:val="21"/>
              <w:spacing w:before="48" w:line="222" w:lineRule="auto"/>
              <w:ind w:left="86"/>
              <w:rPr>
                <w:color w:val="auto"/>
              </w:rPr>
            </w:pPr>
            <w:r>
              <w:rPr>
                <w:color w:val="auto"/>
                <w:spacing w:val="-3"/>
              </w:rPr>
              <w:t>职称</w:t>
            </w:r>
          </w:p>
          <w:p w14:paraId="385797FA">
            <w:pPr>
              <w:pStyle w:val="21"/>
              <w:spacing w:before="58" w:line="221" w:lineRule="auto"/>
              <w:ind w:left="86"/>
              <w:rPr>
                <w:color w:val="auto"/>
              </w:rPr>
            </w:pPr>
            <w:r>
              <w:rPr>
                <w:color w:val="auto"/>
                <w:spacing w:val="-3"/>
              </w:rPr>
              <w:t>专业</w:t>
            </w:r>
          </w:p>
          <w:p w14:paraId="2F2E6B2A">
            <w:pPr>
              <w:pStyle w:val="21"/>
              <w:spacing w:before="60" w:line="220" w:lineRule="auto"/>
              <w:ind w:left="85"/>
              <w:rPr>
                <w:color w:val="auto"/>
              </w:rPr>
            </w:pPr>
            <w:r>
              <w:rPr>
                <w:color w:val="auto"/>
                <w:spacing w:val="-3"/>
              </w:rPr>
              <w:t>类别</w:t>
            </w:r>
          </w:p>
        </w:tc>
        <w:tc>
          <w:tcPr>
            <w:tcW w:w="1122" w:type="dxa"/>
          </w:tcPr>
          <w:p w14:paraId="54EBF174">
            <w:pPr>
              <w:spacing w:line="289" w:lineRule="auto"/>
              <w:rPr>
                <w:color w:val="auto"/>
              </w:rPr>
            </w:pPr>
          </w:p>
          <w:p w14:paraId="3EE3DC1B">
            <w:pPr>
              <w:pStyle w:val="21"/>
              <w:spacing w:before="68" w:line="220" w:lineRule="auto"/>
              <w:ind w:left="144"/>
              <w:rPr>
                <w:color w:val="auto"/>
              </w:rPr>
            </w:pPr>
            <w:r>
              <w:rPr>
                <w:color w:val="auto"/>
                <w:spacing w:val="-2"/>
              </w:rPr>
              <w:t>证书名称</w:t>
            </w:r>
          </w:p>
        </w:tc>
        <w:tc>
          <w:tcPr>
            <w:tcW w:w="956" w:type="dxa"/>
          </w:tcPr>
          <w:p w14:paraId="0A6CF86C">
            <w:pPr>
              <w:spacing w:line="289" w:lineRule="auto"/>
              <w:rPr>
                <w:color w:val="auto"/>
              </w:rPr>
            </w:pPr>
          </w:p>
          <w:p w14:paraId="7B24CC64">
            <w:pPr>
              <w:pStyle w:val="21"/>
              <w:spacing w:before="68" w:line="221" w:lineRule="auto"/>
              <w:ind w:left="276"/>
              <w:rPr>
                <w:color w:val="auto"/>
              </w:rPr>
            </w:pPr>
            <w:r>
              <w:rPr>
                <w:color w:val="auto"/>
                <w:spacing w:val="-3"/>
              </w:rPr>
              <w:t>级别</w:t>
            </w:r>
          </w:p>
        </w:tc>
        <w:tc>
          <w:tcPr>
            <w:tcW w:w="956" w:type="dxa"/>
          </w:tcPr>
          <w:p w14:paraId="70A82CE0">
            <w:pPr>
              <w:spacing w:line="289" w:lineRule="auto"/>
              <w:rPr>
                <w:color w:val="auto"/>
              </w:rPr>
            </w:pPr>
          </w:p>
          <w:p w14:paraId="26C7436A">
            <w:pPr>
              <w:pStyle w:val="21"/>
              <w:spacing w:before="68" w:line="222" w:lineRule="auto"/>
              <w:ind w:left="273"/>
              <w:rPr>
                <w:color w:val="auto"/>
              </w:rPr>
            </w:pPr>
            <w:r>
              <w:rPr>
                <w:color w:val="auto"/>
                <w:spacing w:val="-3"/>
              </w:rPr>
              <w:t>证号</w:t>
            </w:r>
          </w:p>
        </w:tc>
        <w:tc>
          <w:tcPr>
            <w:tcW w:w="960" w:type="dxa"/>
          </w:tcPr>
          <w:p w14:paraId="253BF653">
            <w:pPr>
              <w:spacing w:line="289" w:lineRule="auto"/>
              <w:rPr>
                <w:color w:val="auto"/>
              </w:rPr>
            </w:pPr>
          </w:p>
          <w:p w14:paraId="6A83DC33">
            <w:pPr>
              <w:pStyle w:val="21"/>
              <w:spacing w:before="68" w:line="221" w:lineRule="auto"/>
              <w:ind w:left="277"/>
              <w:rPr>
                <w:color w:val="auto"/>
              </w:rPr>
            </w:pPr>
            <w:r>
              <w:rPr>
                <w:color w:val="auto"/>
                <w:spacing w:val="-3"/>
              </w:rPr>
              <w:t>专业</w:t>
            </w:r>
          </w:p>
        </w:tc>
        <w:tc>
          <w:tcPr>
            <w:tcW w:w="1079" w:type="dxa"/>
            <w:vMerge w:val="continue"/>
            <w:tcBorders>
              <w:top w:val="nil"/>
            </w:tcBorders>
          </w:tcPr>
          <w:p w14:paraId="5B3F1C8D">
            <w:pPr>
              <w:rPr>
                <w:color w:val="auto"/>
              </w:rPr>
            </w:pPr>
          </w:p>
        </w:tc>
        <w:tc>
          <w:tcPr>
            <w:tcW w:w="904" w:type="dxa"/>
            <w:vMerge w:val="continue"/>
            <w:tcBorders>
              <w:top w:val="nil"/>
            </w:tcBorders>
          </w:tcPr>
          <w:p w14:paraId="6D931213">
            <w:pPr>
              <w:rPr>
                <w:color w:val="auto"/>
              </w:rPr>
            </w:pPr>
          </w:p>
        </w:tc>
      </w:tr>
      <w:tr w14:paraId="241AF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5393331B">
            <w:pPr>
              <w:spacing w:before="151" w:line="186" w:lineRule="auto"/>
              <w:ind w:left="147"/>
              <w:rPr>
                <w:rFonts w:ascii="Times New Roman" w:hAnsi="Times New Roman" w:eastAsia="Times New Roman" w:cs="Times New Roman"/>
                <w:color w:val="auto"/>
              </w:rPr>
            </w:pPr>
            <w:r>
              <w:rPr>
                <w:rFonts w:ascii="Times New Roman" w:hAnsi="Times New Roman" w:eastAsia="Times New Roman" w:cs="Times New Roman"/>
                <w:color w:val="auto"/>
              </w:rPr>
              <w:t>1</w:t>
            </w:r>
          </w:p>
        </w:tc>
        <w:tc>
          <w:tcPr>
            <w:tcW w:w="1219" w:type="dxa"/>
          </w:tcPr>
          <w:p w14:paraId="2CB1D994">
            <w:pPr>
              <w:rPr>
                <w:color w:val="auto"/>
              </w:rPr>
            </w:pPr>
          </w:p>
        </w:tc>
        <w:tc>
          <w:tcPr>
            <w:tcW w:w="789" w:type="dxa"/>
          </w:tcPr>
          <w:p w14:paraId="14D47632">
            <w:pPr>
              <w:rPr>
                <w:color w:val="auto"/>
              </w:rPr>
            </w:pPr>
          </w:p>
        </w:tc>
        <w:tc>
          <w:tcPr>
            <w:tcW w:w="510" w:type="dxa"/>
          </w:tcPr>
          <w:p w14:paraId="3014996E">
            <w:pPr>
              <w:rPr>
                <w:color w:val="auto"/>
              </w:rPr>
            </w:pPr>
          </w:p>
        </w:tc>
        <w:tc>
          <w:tcPr>
            <w:tcW w:w="719" w:type="dxa"/>
          </w:tcPr>
          <w:p w14:paraId="3DCDD7DF">
            <w:pPr>
              <w:rPr>
                <w:color w:val="auto"/>
              </w:rPr>
            </w:pPr>
          </w:p>
        </w:tc>
        <w:tc>
          <w:tcPr>
            <w:tcW w:w="720" w:type="dxa"/>
          </w:tcPr>
          <w:p w14:paraId="76BDBFEB">
            <w:pPr>
              <w:rPr>
                <w:color w:val="auto"/>
              </w:rPr>
            </w:pPr>
          </w:p>
        </w:tc>
        <w:tc>
          <w:tcPr>
            <w:tcW w:w="924" w:type="dxa"/>
          </w:tcPr>
          <w:p w14:paraId="13E89FB9">
            <w:pPr>
              <w:rPr>
                <w:color w:val="auto"/>
              </w:rPr>
            </w:pPr>
          </w:p>
        </w:tc>
        <w:tc>
          <w:tcPr>
            <w:tcW w:w="991" w:type="dxa"/>
          </w:tcPr>
          <w:p w14:paraId="79709254">
            <w:pPr>
              <w:rPr>
                <w:color w:val="auto"/>
              </w:rPr>
            </w:pPr>
          </w:p>
        </w:tc>
        <w:tc>
          <w:tcPr>
            <w:tcW w:w="465" w:type="dxa"/>
          </w:tcPr>
          <w:p w14:paraId="38E6A408">
            <w:pPr>
              <w:rPr>
                <w:color w:val="auto"/>
              </w:rPr>
            </w:pPr>
          </w:p>
        </w:tc>
        <w:tc>
          <w:tcPr>
            <w:tcW w:w="571" w:type="dxa"/>
          </w:tcPr>
          <w:p w14:paraId="68C52E4B">
            <w:pPr>
              <w:rPr>
                <w:color w:val="auto"/>
              </w:rPr>
            </w:pPr>
          </w:p>
        </w:tc>
        <w:tc>
          <w:tcPr>
            <w:tcW w:w="584" w:type="dxa"/>
          </w:tcPr>
          <w:p w14:paraId="2164B2D4">
            <w:pPr>
              <w:rPr>
                <w:color w:val="auto"/>
              </w:rPr>
            </w:pPr>
          </w:p>
        </w:tc>
        <w:tc>
          <w:tcPr>
            <w:tcW w:w="1122" w:type="dxa"/>
          </w:tcPr>
          <w:p w14:paraId="72452502">
            <w:pPr>
              <w:rPr>
                <w:color w:val="auto"/>
              </w:rPr>
            </w:pPr>
          </w:p>
        </w:tc>
        <w:tc>
          <w:tcPr>
            <w:tcW w:w="956" w:type="dxa"/>
          </w:tcPr>
          <w:p w14:paraId="147B7602">
            <w:pPr>
              <w:rPr>
                <w:color w:val="auto"/>
              </w:rPr>
            </w:pPr>
          </w:p>
        </w:tc>
        <w:tc>
          <w:tcPr>
            <w:tcW w:w="956" w:type="dxa"/>
          </w:tcPr>
          <w:p w14:paraId="370184A6">
            <w:pPr>
              <w:rPr>
                <w:color w:val="auto"/>
              </w:rPr>
            </w:pPr>
          </w:p>
        </w:tc>
        <w:tc>
          <w:tcPr>
            <w:tcW w:w="960" w:type="dxa"/>
          </w:tcPr>
          <w:p w14:paraId="4EAF6769">
            <w:pPr>
              <w:rPr>
                <w:color w:val="auto"/>
              </w:rPr>
            </w:pPr>
          </w:p>
        </w:tc>
        <w:tc>
          <w:tcPr>
            <w:tcW w:w="1079" w:type="dxa"/>
          </w:tcPr>
          <w:p w14:paraId="0B414875">
            <w:pPr>
              <w:rPr>
                <w:color w:val="auto"/>
              </w:rPr>
            </w:pPr>
          </w:p>
        </w:tc>
        <w:tc>
          <w:tcPr>
            <w:tcW w:w="904" w:type="dxa"/>
          </w:tcPr>
          <w:p w14:paraId="321FFF3A">
            <w:pPr>
              <w:rPr>
                <w:color w:val="auto"/>
              </w:rPr>
            </w:pPr>
          </w:p>
        </w:tc>
      </w:tr>
      <w:tr w14:paraId="118F8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4F708AA5">
            <w:pPr>
              <w:spacing w:before="152" w:line="186" w:lineRule="auto"/>
              <w:ind w:left="126"/>
              <w:rPr>
                <w:rFonts w:ascii="Times New Roman" w:hAnsi="Times New Roman" w:eastAsia="Times New Roman" w:cs="Times New Roman"/>
                <w:color w:val="auto"/>
              </w:rPr>
            </w:pPr>
            <w:r>
              <w:rPr>
                <w:rFonts w:ascii="Times New Roman" w:hAnsi="Times New Roman" w:eastAsia="Times New Roman" w:cs="Times New Roman"/>
                <w:color w:val="auto"/>
              </w:rPr>
              <w:t>2</w:t>
            </w:r>
          </w:p>
        </w:tc>
        <w:tc>
          <w:tcPr>
            <w:tcW w:w="1219" w:type="dxa"/>
          </w:tcPr>
          <w:p w14:paraId="25950869">
            <w:pPr>
              <w:rPr>
                <w:color w:val="auto"/>
              </w:rPr>
            </w:pPr>
          </w:p>
        </w:tc>
        <w:tc>
          <w:tcPr>
            <w:tcW w:w="789" w:type="dxa"/>
          </w:tcPr>
          <w:p w14:paraId="2B124420">
            <w:pPr>
              <w:rPr>
                <w:color w:val="auto"/>
              </w:rPr>
            </w:pPr>
          </w:p>
        </w:tc>
        <w:tc>
          <w:tcPr>
            <w:tcW w:w="510" w:type="dxa"/>
          </w:tcPr>
          <w:p w14:paraId="15E70245">
            <w:pPr>
              <w:rPr>
                <w:color w:val="auto"/>
              </w:rPr>
            </w:pPr>
          </w:p>
        </w:tc>
        <w:tc>
          <w:tcPr>
            <w:tcW w:w="719" w:type="dxa"/>
          </w:tcPr>
          <w:p w14:paraId="516A93BE">
            <w:pPr>
              <w:rPr>
                <w:color w:val="auto"/>
              </w:rPr>
            </w:pPr>
          </w:p>
        </w:tc>
        <w:tc>
          <w:tcPr>
            <w:tcW w:w="720" w:type="dxa"/>
          </w:tcPr>
          <w:p w14:paraId="69DAE9B4">
            <w:pPr>
              <w:rPr>
                <w:color w:val="auto"/>
              </w:rPr>
            </w:pPr>
          </w:p>
        </w:tc>
        <w:tc>
          <w:tcPr>
            <w:tcW w:w="924" w:type="dxa"/>
          </w:tcPr>
          <w:p w14:paraId="6C03F215">
            <w:pPr>
              <w:rPr>
                <w:color w:val="auto"/>
              </w:rPr>
            </w:pPr>
          </w:p>
        </w:tc>
        <w:tc>
          <w:tcPr>
            <w:tcW w:w="991" w:type="dxa"/>
          </w:tcPr>
          <w:p w14:paraId="54B9241E">
            <w:pPr>
              <w:rPr>
                <w:color w:val="auto"/>
              </w:rPr>
            </w:pPr>
          </w:p>
        </w:tc>
        <w:tc>
          <w:tcPr>
            <w:tcW w:w="465" w:type="dxa"/>
          </w:tcPr>
          <w:p w14:paraId="2E473B89">
            <w:pPr>
              <w:rPr>
                <w:color w:val="auto"/>
              </w:rPr>
            </w:pPr>
          </w:p>
        </w:tc>
        <w:tc>
          <w:tcPr>
            <w:tcW w:w="571" w:type="dxa"/>
          </w:tcPr>
          <w:p w14:paraId="7EF86EE6">
            <w:pPr>
              <w:rPr>
                <w:color w:val="auto"/>
              </w:rPr>
            </w:pPr>
          </w:p>
        </w:tc>
        <w:tc>
          <w:tcPr>
            <w:tcW w:w="584" w:type="dxa"/>
          </w:tcPr>
          <w:p w14:paraId="7B6F127B">
            <w:pPr>
              <w:rPr>
                <w:color w:val="auto"/>
              </w:rPr>
            </w:pPr>
          </w:p>
        </w:tc>
        <w:tc>
          <w:tcPr>
            <w:tcW w:w="1122" w:type="dxa"/>
          </w:tcPr>
          <w:p w14:paraId="67294774">
            <w:pPr>
              <w:rPr>
                <w:color w:val="auto"/>
              </w:rPr>
            </w:pPr>
          </w:p>
        </w:tc>
        <w:tc>
          <w:tcPr>
            <w:tcW w:w="956" w:type="dxa"/>
          </w:tcPr>
          <w:p w14:paraId="27C0AAE2">
            <w:pPr>
              <w:rPr>
                <w:color w:val="auto"/>
              </w:rPr>
            </w:pPr>
          </w:p>
        </w:tc>
        <w:tc>
          <w:tcPr>
            <w:tcW w:w="956" w:type="dxa"/>
          </w:tcPr>
          <w:p w14:paraId="2EAA6608">
            <w:pPr>
              <w:rPr>
                <w:color w:val="auto"/>
              </w:rPr>
            </w:pPr>
          </w:p>
        </w:tc>
        <w:tc>
          <w:tcPr>
            <w:tcW w:w="960" w:type="dxa"/>
          </w:tcPr>
          <w:p w14:paraId="5410D77B">
            <w:pPr>
              <w:rPr>
                <w:color w:val="auto"/>
              </w:rPr>
            </w:pPr>
          </w:p>
        </w:tc>
        <w:tc>
          <w:tcPr>
            <w:tcW w:w="1079" w:type="dxa"/>
          </w:tcPr>
          <w:p w14:paraId="3FAC98D7">
            <w:pPr>
              <w:rPr>
                <w:color w:val="auto"/>
              </w:rPr>
            </w:pPr>
          </w:p>
        </w:tc>
        <w:tc>
          <w:tcPr>
            <w:tcW w:w="904" w:type="dxa"/>
          </w:tcPr>
          <w:p w14:paraId="391788A1">
            <w:pPr>
              <w:rPr>
                <w:color w:val="auto"/>
              </w:rPr>
            </w:pPr>
          </w:p>
        </w:tc>
      </w:tr>
      <w:tr w14:paraId="7C405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723CD99E">
            <w:pPr>
              <w:spacing w:before="153" w:line="186" w:lineRule="auto"/>
              <w:ind w:left="131"/>
              <w:rPr>
                <w:rFonts w:ascii="Times New Roman" w:hAnsi="Times New Roman" w:eastAsia="Times New Roman" w:cs="Times New Roman"/>
                <w:color w:val="auto"/>
              </w:rPr>
            </w:pPr>
            <w:r>
              <w:rPr>
                <w:rFonts w:ascii="Times New Roman" w:hAnsi="Times New Roman" w:eastAsia="Times New Roman" w:cs="Times New Roman"/>
                <w:color w:val="auto"/>
              </w:rPr>
              <w:t>3</w:t>
            </w:r>
          </w:p>
        </w:tc>
        <w:tc>
          <w:tcPr>
            <w:tcW w:w="1219" w:type="dxa"/>
          </w:tcPr>
          <w:p w14:paraId="5DF6917E">
            <w:pPr>
              <w:rPr>
                <w:color w:val="auto"/>
              </w:rPr>
            </w:pPr>
          </w:p>
        </w:tc>
        <w:tc>
          <w:tcPr>
            <w:tcW w:w="789" w:type="dxa"/>
          </w:tcPr>
          <w:p w14:paraId="53BF285A">
            <w:pPr>
              <w:rPr>
                <w:color w:val="auto"/>
              </w:rPr>
            </w:pPr>
          </w:p>
        </w:tc>
        <w:tc>
          <w:tcPr>
            <w:tcW w:w="510" w:type="dxa"/>
          </w:tcPr>
          <w:p w14:paraId="62217D99">
            <w:pPr>
              <w:rPr>
                <w:color w:val="auto"/>
              </w:rPr>
            </w:pPr>
          </w:p>
        </w:tc>
        <w:tc>
          <w:tcPr>
            <w:tcW w:w="719" w:type="dxa"/>
          </w:tcPr>
          <w:p w14:paraId="1119F607">
            <w:pPr>
              <w:rPr>
                <w:color w:val="auto"/>
              </w:rPr>
            </w:pPr>
          </w:p>
        </w:tc>
        <w:tc>
          <w:tcPr>
            <w:tcW w:w="720" w:type="dxa"/>
          </w:tcPr>
          <w:p w14:paraId="3641BF30">
            <w:pPr>
              <w:rPr>
                <w:color w:val="auto"/>
              </w:rPr>
            </w:pPr>
          </w:p>
        </w:tc>
        <w:tc>
          <w:tcPr>
            <w:tcW w:w="924" w:type="dxa"/>
          </w:tcPr>
          <w:p w14:paraId="7EEEC3B1">
            <w:pPr>
              <w:rPr>
                <w:color w:val="auto"/>
              </w:rPr>
            </w:pPr>
          </w:p>
        </w:tc>
        <w:tc>
          <w:tcPr>
            <w:tcW w:w="991" w:type="dxa"/>
          </w:tcPr>
          <w:p w14:paraId="361812CD">
            <w:pPr>
              <w:rPr>
                <w:color w:val="auto"/>
              </w:rPr>
            </w:pPr>
          </w:p>
        </w:tc>
        <w:tc>
          <w:tcPr>
            <w:tcW w:w="465" w:type="dxa"/>
          </w:tcPr>
          <w:p w14:paraId="0FDFEFD4">
            <w:pPr>
              <w:rPr>
                <w:color w:val="auto"/>
              </w:rPr>
            </w:pPr>
          </w:p>
        </w:tc>
        <w:tc>
          <w:tcPr>
            <w:tcW w:w="571" w:type="dxa"/>
          </w:tcPr>
          <w:p w14:paraId="7AA3EE1B">
            <w:pPr>
              <w:rPr>
                <w:color w:val="auto"/>
              </w:rPr>
            </w:pPr>
          </w:p>
        </w:tc>
        <w:tc>
          <w:tcPr>
            <w:tcW w:w="584" w:type="dxa"/>
          </w:tcPr>
          <w:p w14:paraId="378884BF">
            <w:pPr>
              <w:rPr>
                <w:color w:val="auto"/>
              </w:rPr>
            </w:pPr>
          </w:p>
        </w:tc>
        <w:tc>
          <w:tcPr>
            <w:tcW w:w="1122" w:type="dxa"/>
          </w:tcPr>
          <w:p w14:paraId="34D3F040">
            <w:pPr>
              <w:rPr>
                <w:color w:val="auto"/>
              </w:rPr>
            </w:pPr>
          </w:p>
        </w:tc>
        <w:tc>
          <w:tcPr>
            <w:tcW w:w="956" w:type="dxa"/>
          </w:tcPr>
          <w:p w14:paraId="29520499">
            <w:pPr>
              <w:rPr>
                <w:color w:val="auto"/>
              </w:rPr>
            </w:pPr>
          </w:p>
        </w:tc>
        <w:tc>
          <w:tcPr>
            <w:tcW w:w="956" w:type="dxa"/>
          </w:tcPr>
          <w:p w14:paraId="084E2D01">
            <w:pPr>
              <w:rPr>
                <w:color w:val="auto"/>
              </w:rPr>
            </w:pPr>
          </w:p>
        </w:tc>
        <w:tc>
          <w:tcPr>
            <w:tcW w:w="960" w:type="dxa"/>
          </w:tcPr>
          <w:p w14:paraId="0F307756">
            <w:pPr>
              <w:rPr>
                <w:color w:val="auto"/>
              </w:rPr>
            </w:pPr>
          </w:p>
        </w:tc>
        <w:tc>
          <w:tcPr>
            <w:tcW w:w="1079" w:type="dxa"/>
          </w:tcPr>
          <w:p w14:paraId="710BFFCC">
            <w:pPr>
              <w:rPr>
                <w:color w:val="auto"/>
              </w:rPr>
            </w:pPr>
          </w:p>
        </w:tc>
        <w:tc>
          <w:tcPr>
            <w:tcW w:w="904" w:type="dxa"/>
          </w:tcPr>
          <w:p w14:paraId="078C9289">
            <w:pPr>
              <w:rPr>
                <w:color w:val="auto"/>
              </w:rPr>
            </w:pPr>
          </w:p>
        </w:tc>
      </w:tr>
      <w:tr w14:paraId="7D7AD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73A7FF53">
            <w:pPr>
              <w:spacing w:before="154" w:line="186" w:lineRule="auto"/>
              <w:ind w:left="125"/>
              <w:rPr>
                <w:rFonts w:ascii="Times New Roman" w:hAnsi="Times New Roman" w:eastAsia="Times New Roman" w:cs="Times New Roman"/>
                <w:color w:val="auto"/>
              </w:rPr>
            </w:pPr>
            <w:r>
              <w:rPr>
                <w:rFonts w:ascii="Times New Roman" w:hAnsi="Times New Roman" w:eastAsia="Times New Roman" w:cs="Times New Roman"/>
                <w:color w:val="auto"/>
              </w:rPr>
              <w:t>4</w:t>
            </w:r>
          </w:p>
        </w:tc>
        <w:tc>
          <w:tcPr>
            <w:tcW w:w="1219" w:type="dxa"/>
          </w:tcPr>
          <w:p w14:paraId="06693D17">
            <w:pPr>
              <w:rPr>
                <w:color w:val="auto"/>
              </w:rPr>
            </w:pPr>
          </w:p>
        </w:tc>
        <w:tc>
          <w:tcPr>
            <w:tcW w:w="789" w:type="dxa"/>
          </w:tcPr>
          <w:p w14:paraId="6DF03D47">
            <w:pPr>
              <w:rPr>
                <w:color w:val="auto"/>
              </w:rPr>
            </w:pPr>
          </w:p>
        </w:tc>
        <w:tc>
          <w:tcPr>
            <w:tcW w:w="510" w:type="dxa"/>
          </w:tcPr>
          <w:p w14:paraId="589AE2ED">
            <w:pPr>
              <w:rPr>
                <w:color w:val="auto"/>
              </w:rPr>
            </w:pPr>
          </w:p>
        </w:tc>
        <w:tc>
          <w:tcPr>
            <w:tcW w:w="719" w:type="dxa"/>
          </w:tcPr>
          <w:p w14:paraId="377F16DC">
            <w:pPr>
              <w:rPr>
                <w:color w:val="auto"/>
              </w:rPr>
            </w:pPr>
          </w:p>
        </w:tc>
        <w:tc>
          <w:tcPr>
            <w:tcW w:w="720" w:type="dxa"/>
          </w:tcPr>
          <w:p w14:paraId="6FC4EB36">
            <w:pPr>
              <w:rPr>
                <w:color w:val="auto"/>
              </w:rPr>
            </w:pPr>
          </w:p>
        </w:tc>
        <w:tc>
          <w:tcPr>
            <w:tcW w:w="924" w:type="dxa"/>
          </w:tcPr>
          <w:p w14:paraId="51DFABC4">
            <w:pPr>
              <w:rPr>
                <w:color w:val="auto"/>
              </w:rPr>
            </w:pPr>
          </w:p>
        </w:tc>
        <w:tc>
          <w:tcPr>
            <w:tcW w:w="991" w:type="dxa"/>
          </w:tcPr>
          <w:p w14:paraId="370362D7">
            <w:pPr>
              <w:rPr>
                <w:color w:val="auto"/>
              </w:rPr>
            </w:pPr>
          </w:p>
        </w:tc>
        <w:tc>
          <w:tcPr>
            <w:tcW w:w="465" w:type="dxa"/>
          </w:tcPr>
          <w:p w14:paraId="16C352AD">
            <w:pPr>
              <w:rPr>
                <w:color w:val="auto"/>
              </w:rPr>
            </w:pPr>
          </w:p>
        </w:tc>
        <w:tc>
          <w:tcPr>
            <w:tcW w:w="571" w:type="dxa"/>
          </w:tcPr>
          <w:p w14:paraId="08551CD9">
            <w:pPr>
              <w:rPr>
                <w:color w:val="auto"/>
              </w:rPr>
            </w:pPr>
          </w:p>
        </w:tc>
        <w:tc>
          <w:tcPr>
            <w:tcW w:w="584" w:type="dxa"/>
          </w:tcPr>
          <w:p w14:paraId="339D90B7">
            <w:pPr>
              <w:rPr>
                <w:color w:val="auto"/>
              </w:rPr>
            </w:pPr>
          </w:p>
        </w:tc>
        <w:tc>
          <w:tcPr>
            <w:tcW w:w="1122" w:type="dxa"/>
          </w:tcPr>
          <w:p w14:paraId="28DA6A93">
            <w:pPr>
              <w:rPr>
                <w:color w:val="auto"/>
              </w:rPr>
            </w:pPr>
          </w:p>
        </w:tc>
        <w:tc>
          <w:tcPr>
            <w:tcW w:w="956" w:type="dxa"/>
          </w:tcPr>
          <w:p w14:paraId="090B12D1">
            <w:pPr>
              <w:rPr>
                <w:color w:val="auto"/>
              </w:rPr>
            </w:pPr>
          </w:p>
        </w:tc>
        <w:tc>
          <w:tcPr>
            <w:tcW w:w="956" w:type="dxa"/>
          </w:tcPr>
          <w:p w14:paraId="465D123C">
            <w:pPr>
              <w:rPr>
                <w:color w:val="auto"/>
              </w:rPr>
            </w:pPr>
          </w:p>
        </w:tc>
        <w:tc>
          <w:tcPr>
            <w:tcW w:w="960" w:type="dxa"/>
          </w:tcPr>
          <w:p w14:paraId="3951BEDA">
            <w:pPr>
              <w:rPr>
                <w:color w:val="auto"/>
              </w:rPr>
            </w:pPr>
          </w:p>
        </w:tc>
        <w:tc>
          <w:tcPr>
            <w:tcW w:w="1079" w:type="dxa"/>
          </w:tcPr>
          <w:p w14:paraId="33700F89">
            <w:pPr>
              <w:rPr>
                <w:color w:val="auto"/>
              </w:rPr>
            </w:pPr>
          </w:p>
        </w:tc>
        <w:tc>
          <w:tcPr>
            <w:tcW w:w="904" w:type="dxa"/>
          </w:tcPr>
          <w:p w14:paraId="5C818048">
            <w:pPr>
              <w:rPr>
                <w:color w:val="auto"/>
              </w:rPr>
            </w:pPr>
          </w:p>
        </w:tc>
      </w:tr>
      <w:tr w14:paraId="7DABA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78DECC9F">
            <w:pPr>
              <w:spacing w:before="158" w:line="183" w:lineRule="auto"/>
              <w:ind w:left="132"/>
              <w:rPr>
                <w:rFonts w:ascii="Times New Roman" w:hAnsi="Times New Roman" w:eastAsia="Times New Roman" w:cs="Times New Roman"/>
                <w:color w:val="auto"/>
              </w:rPr>
            </w:pPr>
            <w:r>
              <w:rPr>
                <w:rFonts w:ascii="Times New Roman" w:hAnsi="Times New Roman" w:eastAsia="Times New Roman" w:cs="Times New Roman"/>
                <w:color w:val="auto"/>
              </w:rPr>
              <w:t>5</w:t>
            </w:r>
          </w:p>
        </w:tc>
        <w:tc>
          <w:tcPr>
            <w:tcW w:w="1219" w:type="dxa"/>
          </w:tcPr>
          <w:p w14:paraId="78A9C923">
            <w:pPr>
              <w:rPr>
                <w:color w:val="auto"/>
              </w:rPr>
            </w:pPr>
          </w:p>
        </w:tc>
        <w:tc>
          <w:tcPr>
            <w:tcW w:w="789" w:type="dxa"/>
          </w:tcPr>
          <w:p w14:paraId="0CD5C7B9">
            <w:pPr>
              <w:rPr>
                <w:color w:val="auto"/>
              </w:rPr>
            </w:pPr>
          </w:p>
        </w:tc>
        <w:tc>
          <w:tcPr>
            <w:tcW w:w="510" w:type="dxa"/>
          </w:tcPr>
          <w:p w14:paraId="0642E223">
            <w:pPr>
              <w:rPr>
                <w:color w:val="auto"/>
              </w:rPr>
            </w:pPr>
          </w:p>
        </w:tc>
        <w:tc>
          <w:tcPr>
            <w:tcW w:w="719" w:type="dxa"/>
          </w:tcPr>
          <w:p w14:paraId="303E9998">
            <w:pPr>
              <w:rPr>
                <w:color w:val="auto"/>
              </w:rPr>
            </w:pPr>
          </w:p>
        </w:tc>
        <w:tc>
          <w:tcPr>
            <w:tcW w:w="720" w:type="dxa"/>
          </w:tcPr>
          <w:p w14:paraId="330DF593">
            <w:pPr>
              <w:rPr>
                <w:color w:val="auto"/>
              </w:rPr>
            </w:pPr>
          </w:p>
        </w:tc>
        <w:tc>
          <w:tcPr>
            <w:tcW w:w="924" w:type="dxa"/>
          </w:tcPr>
          <w:p w14:paraId="26468A77">
            <w:pPr>
              <w:rPr>
                <w:color w:val="auto"/>
              </w:rPr>
            </w:pPr>
          </w:p>
        </w:tc>
        <w:tc>
          <w:tcPr>
            <w:tcW w:w="991" w:type="dxa"/>
          </w:tcPr>
          <w:p w14:paraId="4D0B2FBB">
            <w:pPr>
              <w:rPr>
                <w:color w:val="auto"/>
              </w:rPr>
            </w:pPr>
          </w:p>
        </w:tc>
        <w:tc>
          <w:tcPr>
            <w:tcW w:w="465" w:type="dxa"/>
          </w:tcPr>
          <w:p w14:paraId="3F71696D">
            <w:pPr>
              <w:rPr>
                <w:color w:val="auto"/>
              </w:rPr>
            </w:pPr>
          </w:p>
        </w:tc>
        <w:tc>
          <w:tcPr>
            <w:tcW w:w="571" w:type="dxa"/>
          </w:tcPr>
          <w:p w14:paraId="6E406B4E">
            <w:pPr>
              <w:rPr>
                <w:color w:val="auto"/>
              </w:rPr>
            </w:pPr>
          </w:p>
        </w:tc>
        <w:tc>
          <w:tcPr>
            <w:tcW w:w="584" w:type="dxa"/>
          </w:tcPr>
          <w:p w14:paraId="562394C0">
            <w:pPr>
              <w:rPr>
                <w:color w:val="auto"/>
              </w:rPr>
            </w:pPr>
          </w:p>
        </w:tc>
        <w:tc>
          <w:tcPr>
            <w:tcW w:w="1122" w:type="dxa"/>
          </w:tcPr>
          <w:p w14:paraId="24C8CB86">
            <w:pPr>
              <w:rPr>
                <w:color w:val="auto"/>
              </w:rPr>
            </w:pPr>
          </w:p>
        </w:tc>
        <w:tc>
          <w:tcPr>
            <w:tcW w:w="956" w:type="dxa"/>
          </w:tcPr>
          <w:p w14:paraId="7BFCE550">
            <w:pPr>
              <w:rPr>
                <w:color w:val="auto"/>
              </w:rPr>
            </w:pPr>
          </w:p>
        </w:tc>
        <w:tc>
          <w:tcPr>
            <w:tcW w:w="956" w:type="dxa"/>
          </w:tcPr>
          <w:p w14:paraId="40D5DBC7">
            <w:pPr>
              <w:rPr>
                <w:color w:val="auto"/>
              </w:rPr>
            </w:pPr>
          </w:p>
        </w:tc>
        <w:tc>
          <w:tcPr>
            <w:tcW w:w="960" w:type="dxa"/>
          </w:tcPr>
          <w:p w14:paraId="2D0EAFC4">
            <w:pPr>
              <w:rPr>
                <w:color w:val="auto"/>
              </w:rPr>
            </w:pPr>
          </w:p>
        </w:tc>
        <w:tc>
          <w:tcPr>
            <w:tcW w:w="1079" w:type="dxa"/>
          </w:tcPr>
          <w:p w14:paraId="7B246F61">
            <w:pPr>
              <w:rPr>
                <w:color w:val="auto"/>
              </w:rPr>
            </w:pPr>
          </w:p>
        </w:tc>
        <w:tc>
          <w:tcPr>
            <w:tcW w:w="904" w:type="dxa"/>
          </w:tcPr>
          <w:p w14:paraId="0706E4EE">
            <w:pPr>
              <w:rPr>
                <w:color w:val="auto"/>
              </w:rPr>
            </w:pPr>
          </w:p>
        </w:tc>
      </w:tr>
      <w:tr w14:paraId="18A1D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1B5D1D1E">
            <w:pPr>
              <w:spacing w:before="156" w:line="186" w:lineRule="auto"/>
              <w:ind w:left="131"/>
              <w:rPr>
                <w:rFonts w:ascii="Times New Roman" w:hAnsi="Times New Roman" w:eastAsia="Times New Roman" w:cs="Times New Roman"/>
                <w:color w:val="auto"/>
              </w:rPr>
            </w:pPr>
            <w:r>
              <w:rPr>
                <w:rFonts w:ascii="Times New Roman" w:hAnsi="Times New Roman" w:eastAsia="Times New Roman" w:cs="Times New Roman"/>
                <w:color w:val="auto"/>
              </w:rPr>
              <w:t>6</w:t>
            </w:r>
          </w:p>
        </w:tc>
        <w:tc>
          <w:tcPr>
            <w:tcW w:w="1219" w:type="dxa"/>
          </w:tcPr>
          <w:p w14:paraId="0B4A2415">
            <w:pPr>
              <w:rPr>
                <w:color w:val="auto"/>
              </w:rPr>
            </w:pPr>
          </w:p>
        </w:tc>
        <w:tc>
          <w:tcPr>
            <w:tcW w:w="789" w:type="dxa"/>
          </w:tcPr>
          <w:p w14:paraId="6D6C626A">
            <w:pPr>
              <w:rPr>
                <w:color w:val="auto"/>
              </w:rPr>
            </w:pPr>
          </w:p>
        </w:tc>
        <w:tc>
          <w:tcPr>
            <w:tcW w:w="510" w:type="dxa"/>
          </w:tcPr>
          <w:p w14:paraId="7E58A23D">
            <w:pPr>
              <w:rPr>
                <w:color w:val="auto"/>
              </w:rPr>
            </w:pPr>
          </w:p>
        </w:tc>
        <w:tc>
          <w:tcPr>
            <w:tcW w:w="719" w:type="dxa"/>
          </w:tcPr>
          <w:p w14:paraId="08C8FE7A">
            <w:pPr>
              <w:rPr>
                <w:color w:val="auto"/>
              </w:rPr>
            </w:pPr>
          </w:p>
        </w:tc>
        <w:tc>
          <w:tcPr>
            <w:tcW w:w="720" w:type="dxa"/>
          </w:tcPr>
          <w:p w14:paraId="688DA001">
            <w:pPr>
              <w:rPr>
                <w:color w:val="auto"/>
              </w:rPr>
            </w:pPr>
          </w:p>
        </w:tc>
        <w:tc>
          <w:tcPr>
            <w:tcW w:w="924" w:type="dxa"/>
          </w:tcPr>
          <w:p w14:paraId="38AE29C0">
            <w:pPr>
              <w:rPr>
                <w:color w:val="auto"/>
              </w:rPr>
            </w:pPr>
          </w:p>
        </w:tc>
        <w:tc>
          <w:tcPr>
            <w:tcW w:w="991" w:type="dxa"/>
          </w:tcPr>
          <w:p w14:paraId="54022212">
            <w:pPr>
              <w:rPr>
                <w:color w:val="auto"/>
              </w:rPr>
            </w:pPr>
          </w:p>
        </w:tc>
        <w:tc>
          <w:tcPr>
            <w:tcW w:w="465" w:type="dxa"/>
          </w:tcPr>
          <w:p w14:paraId="622FA205">
            <w:pPr>
              <w:rPr>
                <w:color w:val="auto"/>
              </w:rPr>
            </w:pPr>
          </w:p>
        </w:tc>
        <w:tc>
          <w:tcPr>
            <w:tcW w:w="571" w:type="dxa"/>
          </w:tcPr>
          <w:p w14:paraId="18C43CE7">
            <w:pPr>
              <w:rPr>
                <w:color w:val="auto"/>
              </w:rPr>
            </w:pPr>
          </w:p>
        </w:tc>
        <w:tc>
          <w:tcPr>
            <w:tcW w:w="584" w:type="dxa"/>
          </w:tcPr>
          <w:p w14:paraId="151A2BD0">
            <w:pPr>
              <w:rPr>
                <w:color w:val="auto"/>
              </w:rPr>
            </w:pPr>
          </w:p>
        </w:tc>
        <w:tc>
          <w:tcPr>
            <w:tcW w:w="1122" w:type="dxa"/>
          </w:tcPr>
          <w:p w14:paraId="5AC741B3">
            <w:pPr>
              <w:rPr>
                <w:color w:val="auto"/>
              </w:rPr>
            </w:pPr>
          </w:p>
        </w:tc>
        <w:tc>
          <w:tcPr>
            <w:tcW w:w="956" w:type="dxa"/>
          </w:tcPr>
          <w:p w14:paraId="0BC6A4A1">
            <w:pPr>
              <w:rPr>
                <w:color w:val="auto"/>
              </w:rPr>
            </w:pPr>
          </w:p>
        </w:tc>
        <w:tc>
          <w:tcPr>
            <w:tcW w:w="956" w:type="dxa"/>
          </w:tcPr>
          <w:p w14:paraId="2128BBD5">
            <w:pPr>
              <w:rPr>
                <w:color w:val="auto"/>
              </w:rPr>
            </w:pPr>
          </w:p>
        </w:tc>
        <w:tc>
          <w:tcPr>
            <w:tcW w:w="960" w:type="dxa"/>
          </w:tcPr>
          <w:p w14:paraId="31F89361">
            <w:pPr>
              <w:rPr>
                <w:color w:val="auto"/>
              </w:rPr>
            </w:pPr>
          </w:p>
        </w:tc>
        <w:tc>
          <w:tcPr>
            <w:tcW w:w="1079" w:type="dxa"/>
          </w:tcPr>
          <w:p w14:paraId="2DCABA25">
            <w:pPr>
              <w:rPr>
                <w:color w:val="auto"/>
              </w:rPr>
            </w:pPr>
          </w:p>
        </w:tc>
        <w:tc>
          <w:tcPr>
            <w:tcW w:w="904" w:type="dxa"/>
          </w:tcPr>
          <w:p w14:paraId="030C2542">
            <w:pPr>
              <w:rPr>
                <w:color w:val="auto"/>
              </w:rPr>
            </w:pPr>
          </w:p>
        </w:tc>
      </w:tr>
      <w:tr w14:paraId="55BE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72101C68">
            <w:pPr>
              <w:spacing w:before="160" w:line="183" w:lineRule="auto"/>
              <w:ind w:left="130"/>
              <w:rPr>
                <w:rFonts w:ascii="Times New Roman" w:hAnsi="Times New Roman" w:eastAsia="Times New Roman" w:cs="Times New Roman"/>
                <w:color w:val="auto"/>
              </w:rPr>
            </w:pPr>
            <w:r>
              <w:rPr>
                <w:rFonts w:ascii="Times New Roman" w:hAnsi="Times New Roman" w:eastAsia="Times New Roman" w:cs="Times New Roman"/>
                <w:color w:val="auto"/>
              </w:rPr>
              <w:t>7</w:t>
            </w:r>
          </w:p>
        </w:tc>
        <w:tc>
          <w:tcPr>
            <w:tcW w:w="1219" w:type="dxa"/>
          </w:tcPr>
          <w:p w14:paraId="79B4848B">
            <w:pPr>
              <w:rPr>
                <w:color w:val="auto"/>
              </w:rPr>
            </w:pPr>
          </w:p>
        </w:tc>
        <w:tc>
          <w:tcPr>
            <w:tcW w:w="789" w:type="dxa"/>
          </w:tcPr>
          <w:p w14:paraId="25040E6E">
            <w:pPr>
              <w:rPr>
                <w:color w:val="auto"/>
              </w:rPr>
            </w:pPr>
          </w:p>
        </w:tc>
        <w:tc>
          <w:tcPr>
            <w:tcW w:w="510" w:type="dxa"/>
          </w:tcPr>
          <w:p w14:paraId="2BE99E54">
            <w:pPr>
              <w:rPr>
                <w:color w:val="auto"/>
              </w:rPr>
            </w:pPr>
          </w:p>
        </w:tc>
        <w:tc>
          <w:tcPr>
            <w:tcW w:w="719" w:type="dxa"/>
          </w:tcPr>
          <w:p w14:paraId="436E8FAB">
            <w:pPr>
              <w:rPr>
                <w:color w:val="auto"/>
              </w:rPr>
            </w:pPr>
          </w:p>
        </w:tc>
        <w:tc>
          <w:tcPr>
            <w:tcW w:w="720" w:type="dxa"/>
          </w:tcPr>
          <w:p w14:paraId="0AA65792">
            <w:pPr>
              <w:rPr>
                <w:color w:val="auto"/>
              </w:rPr>
            </w:pPr>
          </w:p>
        </w:tc>
        <w:tc>
          <w:tcPr>
            <w:tcW w:w="924" w:type="dxa"/>
          </w:tcPr>
          <w:p w14:paraId="5B470EF2">
            <w:pPr>
              <w:rPr>
                <w:color w:val="auto"/>
              </w:rPr>
            </w:pPr>
          </w:p>
        </w:tc>
        <w:tc>
          <w:tcPr>
            <w:tcW w:w="991" w:type="dxa"/>
          </w:tcPr>
          <w:p w14:paraId="29ACEF74">
            <w:pPr>
              <w:rPr>
                <w:color w:val="auto"/>
              </w:rPr>
            </w:pPr>
          </w:p>
        </w:tc>
        <w:tc>
          <w:tcPr>
            <w:tcW w:w="465" w:type="dxa"/>
          </w:tcPr>
          <w:p w14:paraId="26A24F73">
            <w:pPr>
              <w:rPr>
                <w:color w:val="auto"/>
              </w:rPr>
            </w:pPr>
          </w:p>
        </w:tc>
        <w:tc>
          <w:tcPr>
            <w:tcW w:w="571" w:type="dxa"/>
          </w:tcPr>
          <w:p w14:paraId="224A2F31">
            <w:pPr>
              <w:rPr>
                <w:color w:val="auto"/>
              </w:rPr>
            </w:pPr>
          </w:p>
        </w:tc>
        <w:tc>
          <w:tcPr>
            <w:tcW w:w="584" w:type="dxa"/>
          </w:tcPr>
          <w:p w14:paraId="1BB9F4D7">
            <w:pPr>
              <w:rPr>
                <w:color w:val="auto"/>
              </w:rPr>
            </w:pPr>
          </w:p>
        </w:tc>
        <w:tc>
          <w:tcPr>
            <w:tcW w:w="1122" w:type="dxa"/>
          </w:tcPr>
          <w:p w14:paraId="6B69484A">
            <w:pPr>
              <w:rPr>
                <w:color w:val="auto"/>
              </w:rPr>
            </w:pPr>
          </w:p>
        </w:tc>
        <w:tc>
          <w:tcPr>
            <w:tcW w:w="956" w:type="dxa"/>
          </w:tcPr>
          <w:p w14:paraId="3E5BE7EA">
            <w:pPr>
              <w:rPr>
                <w:color w:val="auto"/>
              </w:rPr>
            </w:pPr>
          </w:p>
        </w:tc>
        <w:tc>
          <w:tcPr>
            <w:tcW w:w="956" w:type="dxa"/>
          </w:tcPr>
          <w:p w14:paraId="64C39F3B">
            <w:pPr>
              <w:rPr>
                <w:color w:val="auto"/>
              </w:rPr>
            </w:pPr>
          </w:p>
        </w:tc>
        <w:tc>
          <w:tcPr>
            <w:tcW w:w="960" w:type="dxa"/>
          </w:tcPr>
          <w:p w14:paraId="21D8C8C5">
            <w:pPr>
              <w:rPr>
                <w:color w:val="auto"/>
              </w:rPr>
            </w:pPr>
          </w:p>
        </w:tc>
        <w:tc>
          <w:tcPr>
            <w:tcW w:w="1079" w:type="dxa"/>
          </w:tcPr>
          <w:p w14:paraId="24C6D5C2">
            <w:pPr>
              <w:rPr>
                <w:color w:val="auto"/>
              </w:rPr>
            </w:pPr>
          </w:p>
        </w:tc>
        <w:tc>
          <w:tcPr>
            <w:tcW w:w="904" w:type="dxa"/>
          </w:tcPr>
          <w:p w14:paraId="54146B49">
            <w:pPr>
              <w:rPr>
                <w:color w:val="auto"/>
              </w:rPr>
            </w:pPr>
          </w:p>
        </w:tc>
      </w:tr>
      <w:tr w14:paraId="63AB7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365" w:type="dxa"/>
          </w:tcPr>
          <w:p w14:paraId="0DA0BF23">
            <w:pPr>
              <w:spacing w:before="158" w:line="186" w:lineRule="auto"/>
              <w:ind w:left="135"/>
              <w:rPr>
                <w:rFonts w:ascii="Times New Roman" w:hAnsi="Times New Roman" w:eastAsia="Times New Roman" w:cs="Times New Roman"/>
                <w:color w:val="auto"/>
              </w:rPr>
            </w:pPr>
            <w:r>
              <w:rPr>
                <w:rFonts w:ascii="Times New Roman" w:hAnsi="Times New Roman" w:eastAsia="Times New Roman" w:cs="Times New Roman"/>
                <w:color w:val="auto"/>
              </w:rPr>
              <w:t>8</w:t>
            </w:r>
          </w:p>
        </w:tc>
        <w:tc>
          <w:tcPr>
            <w:tcW w:w="1219" w:type="dxa"/>
          </w:tcPr>
          <w:p w14:paraId="3ABE86D7">
            <w:pPr>
              <w:rPr>
                <w:color w:val="auto"/>
              </w:rPr>
            </w:pPr>
          </w:p>
        </w:tc>
        <w:tc>
          <w:tcPr>
            <w:tcW w:w="789" w:type="dxa"/>
          </w:tcPr>
          <w:p w14:paraId="2C326CDC">
            <w:pPr>
              <w:rPr>
                <w:color w:val="auto"/>
              </w:rPr>
            </w:pPr>
          </w:p>
        </w:tc>
        <w:tc>
          <w:tcPr>
            <w:tcW w:w="510" w:type="dxa"/>
          </w:tcPr>
          <w:p w14:paraId="684954F1">
            <w:pPr>
              <w:rPr>
                <w:color w:val="auto"/>
              </w:rPr>
            </w:pPr>
          </w:p>
        </w:tc>
        <w:tc>
          <w:tcPr>
            <w:tcW w:w="719" w:type="dxa"/>
          </w:tcPr>
          <w:p w14:paraId="330CA312">
            <w:pPr>
              <w:rPr>
                <w:color w:val="auto"/>
              </w:rPr>
            </w:pPr>
          </w:p>
        </w:tc>
        <w:tc>
          <w:tcPr>
            <w:tcW w:w="720" w:type="dxa"/>
          </w:tcPr>
          <w:p w14:paraId="0362D08B">
            <w:pPr>
              <w:rPr>
                <w:color w:val="auto"/>
              </w:rPr>
            </w:pPr>
          </w:p>
        </w:tc>
        <w:tc>
          <w:tcPr>
            <w:tcW w:w="924" w:type="dxa"/>
          </w:tcPr>
          <w:p w14:paraId="07AAA324">
            <w:pPr>
              <w:rPr>
                <w:color w:val="auto"/>
              </w:rPr>
            </w:pPr>
          </w:p>
        </w:tc>
        <w:tc>
          <w:tcPr>
            <w:tcW w:w="991" w:type="dxa"/>
          </w:tcPr>
          <w:p w14:paraId="797AFB98">
            <w:pPr>
              <w:rPr>
                <w:color w:val="auto"/>
              </w:rPr>
            </w:pPr>
          </w:p>
        </w:tc>
        <w:tc>
          <w:tcPr>
            <w:tcW w:w="465" w:type="dxa"/>
          </w:tcPr>
          <w:p w14:paraId="75A6B743">
            <w:pPr>
              <w:rPr>
                <w:color w:val="auto"/>
              </w:rPr>
            </w:pPr>
          </w:p>
        </w:tc>
        <w:tc>
          <w:tcPr>
            <w:tcW w:w="571" w:type="dxa"/>
          </w:tcPr>
          <w:p w14:paraId="768E5AFE">
            <w:pPr>
              <w:rPr>
                <w:color w:val="auto"/>
              </w:rPr>
            </w:pPr>
          </w:p>
        </w:tc>
        <w:tc>
          <w:tcPr>
            <w:tcW w:w="584" w:type="dxa"/>
          </w:tcPr>
          <w:p w14:paraId="7C4A6E00">
            <w:pPr>
              <w:rPr>
                <w:color w:val="auto"/>
              </w:rPr>
            </w:pPr>
          </w:p>
        </w:tc>
        <w:tc>
          <w:tcPr>
            <w:tcW w:w="1122" w:type="dxa"/>
          </w:tcPr>
          <w:p w14:paraId="109A6F5E">
            <w:pPr>
              <w:rPr>
                <w:color w:val="auto"/>
              </w:rPr>
            </w:pPr>
          </w:p>
        </w:tc>
        <w:tc>
          <w:tcPr>
            <w:tcW w:w="956" w:type="dxa"/>
          </w:tcPr>
          <w:p w14:paraId="166E2319">
            <w:pPr>
              <w:rPr>
                <w:color w:val="auto"/>
              </w:rPr>
            </w:pPr>
          </w:p>
        </w:tc>
        <w:tc>
          <w:tcPr>
            <w:tcW w:w="956" w:type="dxa"/>
          </w:tcPr>
          <w:p w14:paraId="25C8955E">
            <w:pPr>
              <w:rPr>
                <w:color w:val="auto"/>
              </w:rPr>
            </w:pPr>
          </w:p>
        </w:tc>
        <w:tc>
          <w:tcPr>
            <w:tcW w:w="960" w:type="dxa"/>
          </w:tcPr>
          <w:p w14:paraId="2A5EB448">
            <w:pPr>
              <w:rPr>
                <w:color w:val="auto"/>
              </w:rPr>
            </w:pPr>
          </w:p>
        </w:tc>
        <w:tc>
          <w:tcPr>
            <w:tcW w:w="1079" w:type="dxa"/>
          </w:tcPr>
          <w:p w14:paraId="0DF4A2F3">
            <w:pPr>
              <w:rPr>
                <w:color w:val="auto"/>
              </w:rPr>
            </w:pPr>
          </w:p>
        </w:tc>
        <w:tc>
          <w:tcPr>
            <w:tcW w:w="904" w:type="dxa"/>
          </w:tcPr>
          <w:p w14:paraId="339AB2FD">
            <w:pPr>
              <w:rPr>
                <w:color w:val="auto"/>
              </w:rPr>
            </w:pPr>
          </w:p>
        </w:tc>
      </w:tr>
      <w:tr w14:paraId="483E5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365" w:type="dxa"/>
          </w:tcPr>
          <w:p w14:paraId="1D53E7B2">
            <w:pPr>
              <w:spacing w:before="158" w:line="186" w:lineRule="auto"/>
              <w:ind w:left="130"/>
              <w:rPr>
                <w:rFonts w:ascii="Times New Roman" w:hAnsi="Times New Roman" w:eastAsia="Times New Roman" w:cs="Times New Roman"/>
                <w:color w:val="auto"/>
              </w:rPr>
            </w:pPr>
            <w:r>
              <w:rPr>
                <w:rFonts w:ascii="Times New Roman" w:hAnsi="Times New Roman" w:eastAsia="Times New Roman" w:cs="Times New Roman"/>
                <w:color w:val="auto"/>
              </w:rPr>
              <w:t>9</w:t>
            </w:r>
          </w:p>
        </w:tc>
        <w:tc>
          <w:tcPr>
            <w:tcW w:w="1219" w:type="dxa"/>
          </w:tcPr>
          <w:p w14:paraId="05C74CBE">
            <w:pPr>
              <w:rPr>
                <w:color w:val="auto"/>
              </w:rPr>
            </w:pPr>
          </w:p>
        </w:tc>
        <w:tc>
          <w:tcPr>
            <w:tcW w:w="789" w:type="dxa"/>
          </w:tcPr>
          <w:p w14:paraId="0474A3C8">
            <w:pPr>
              <w:rPr>
                <w:color w:val="auto"/>
              </w:rPr>
            </w:pPr>
          </w:p>
        </w:tc>
        <w:tc>
          <w:tcPr>
            <w:tcW w:w="510" w:type="dxa"/>
          </w:tcPr>
          <w:p w14:paraId="2074C957">
            <w:pPr>
              <w:rPr>
                <w:color w:val="auto"/>
              </w:rPr>
            </w:pPr>
          </w:p>
        </w:tc>
        <w:tc>
          <w:tcPr>
            <w:tcW w:w="719" w:type="dxa"/>
          </w:tcPr>
          <w:p w14:paraId="7BB7BAE5">
            <w:pPr>
              <w:rPr>
                <w:color w:val="auto"/>
              </w:rPr>
            </w:pPr>
          </w:p>
        </w:tc>
        <w:tc>
          <w:tcPr>
            <w:tcW w:w="720" w:type="dxa"/>
          </w:tcPr>
          <w:p w14:paraId="7A1499DB">
            <w:pPr>
              <w:rPr>
                <w:color w:val="auto"/>
              </w:rPr>
            </w:pPr>
          </w:p>
        </w:tc>
        <w:tc>
          <w:tcPr>
            <w:tcW w:w="924" w:type="dxa"/>
          </w:tcPr>
          <w:p w14:paraId="5F48CEB7">
            <w:pPr>
              <w:rPr>
                <w:color w:val="auto"/>
              </w:rPr>
            </w:pPr>
          </w:p>
        </w:tc>
        <w:tc>
          <w:tcPr>
            <w:tcW w:w="991" w:type="dxa"/>
          </w:tcPr>
          <w:p w14:paraId="4491ADE4">
            <w:pPr>
              <w:rPr>
                <w:color w:val="auto"/>
              </w:rPr>
            </w:pPr>
          </w:p>
        </w:tc>
        <w:tc>
          <w:tcPr>
            <w:tcW w:w="465" w:type="dxa"/>
          </w:tcPr>
          <w:p w14:paraId="0AF9C642">
            <w:pPr>
              <w:rPr>
                <w:color w:val="auto"/>
              </w:rPr>
            </w:pPr>
          </w:p>
        </w:tc>
        <w:tc>
          <w:tcPr>
            <w:tcW w:w="571" w:type="dxa"/>
          </w:tcPr>
          <w:p w14:paraId="3123EBD6">
            <w:pPr>
              <w:rPr>
                <w:color w:val="auto"/>
              </w:rPr>
            </w:pPr>
          </w:p>
        </w:tc>
        <w:tc>
          <w:tcPr>
            <w:tcW w:w="584" w:type="dxa"/>
          </w:tcPr>
          <w:p w14:paraId="269A876E">
            <w:pPr>
              <w:rPr>
                <w:color w:val="auto"/>
              </w:rPr>
            </w:pPr>
          </w:p>
        </w:tc>
        <w:tc>
          <w:tcPr>
            <w:tcW w:w="1122" w:type="dxa"/>
          </w:tcPr>
          <w:p w14:paraId="47CD4EF3">
            <w:pPr>
              <w:rPr>
                <w:color w:val="auto"/>
              </w:rPr>
            </w:pPr>
          </w:p>
        </w:tc>
        <w:tc>
          <w:tcPr>
            <w:tcW w:w="956" w:type="dxa"/>
          </w:tcPr>
          <w:p w14:paraId="447519AA">
            <w:pPr>
              <w:rPr>
                <w:color w:val="auto"/>
              </w:rPr>
            </w:pPr>
          </w:p>
        </w:tc>
        <w:tc>
          <w:tcPr>
            <w:tcW w:w="956" w:type="dxa"/>
          </w:tcPr>
          <w:p w14:paraId="739576F9">
            <w:pPr>
              <w:rPr>
                <w:color w:val="auto"/>
              </w:rPr>
            </w:pPr>
          </w:p>
        </w:tc>
        <w:tc>
          <w:tcPr>
            <w:tcW w:w="960" w:type="dxa"/>
          </w:tcPr>
          <w:p w14:paraId="5CF8EE17">
            <w:pPr>
              <w:rPr>
                <w:color w:val="auto"/>
              </w:rPr>
            </w:pPr>
          </w:p>
        </w:tc>
        <w:tc>
          <w:tcPr>
            <w:tcW w:w="1079" w:type="dxa"/>
          </w:tcPr>
          <w:p w14:paraId="4EB1956F">
            <w:pPr>
              <w:rPr>
                <w:color w:val="auto"/>
              </w:rPr>
            </w:pPr>
          </w:p>
        </w:tc>
        <w:tc>
          <w:tcPr>
            <w:tcW w:w="904" w:type="dxa"/>
          </w:tcPr>
          <w:p w14:paraId="13D7A38C">
            <w:pPr>
              <w:rPr>
                <w:color w:val="auto"/>
              </w:rPr>
            </w:pPr>
          </w:p>
        </w:tc>
      </w:tr>
      <w:tr w14:paraId="1550E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365" w:type="dxa"/>
          </w:tcPr>
          <w:p w14:paraId="71029B3D">
            <w:pPr>
              <w:pStyle w:val="21"/>
              <w:spacing w:before="122" w:line="315" w:lineRule="exact"/>
              <w:ind w:left="91"/>
              <w:rPr>
                <w:color w:val="auto"/>
              </w:rPr>
            </w:pPr>
            <w:r>
              <w:rPr>
                <w:color w:val="auto"/>
                <w:position w:val="2"/>
              </w:rPr>
              <w:t>…</w:t>
            </w:r>
          </w:p>
        </w:tc>
        <w:tc>
          <w:tcPr>
            <w:tcW w:w="1219" w:type="dxa"/>
          </w:tcPr>
          <w:p w14:paraId="7F41D422">
            <w:pPr>
              <w:rPr>
                <w:color w:val="auto"/>
              </w:rPr>
            </w:pPr>
          </w:p>
        </w:tc>
        <w:tc>
          <w:tcPr>
            <w:tcW w:w="789" w:type="dxa"/>
          </w:tcPr>
          <w:p w14:paraId="2C3893B5">
            <w:pPr>
              <w:rPr>
                <w:color w:val="auto"/>
              </w:rPr>
            </w:pPr>
          </w:p>
        </w:tc>
        <w:tc>
          <w:tcPr>
            <w:tcW w:w="510" w:type="dxa"/>
          </w:tcPr>
          <w:p w14:paraId="6AAE0C8C">
            <w:pPr>
              <w:rPr>
                <w:color w:val="auto"/>
              </w:rPr>
            </w:pPr>
          </w:p>
        </w:tc>
        <w:tc>
          <w:tcPr>
            <w:tcW w:w="719" w:type="dxa"/>
          </w:tcPr>
          <w:p w14:paraId="102256FB">
            <w:pPr>
              <w:rPr>
                <w:color w:val="auto"/>
              </w:rPr>
            </w:pPr>
          </w:p>
        </w:tc>
        <w:tc>
          <w:tcPr>
            <w:tcW w:w="720" w:type="dxa"/>
          </w:tcPr>
          <w:p w14:paraId="494085D8">
            <w:pPr>
              <w:rPr>
                <w:color w:val="auto"/>
              </w:rPr>
            </w:pPr>
          </w:p>
        </w:tc>
        <w:tc>
          <w:tcPr>
            <w:tcW w:w="924" w:type="dxa"/>
          </w:tcPr>
          <w:p w14:paraId="35FDC8E2">
            <w:pPr>
              <w:rPr>
                <w:color w:val="auto"/>
              </w:rPr>
            </w:pPr>
          </w:p>
        </w:tc>
        <w:tc>
          <w:tcPr>
            <w:tcW w:w="991" w:type="dxa"/>
          </w:tcPr>
          <w:p w14:paraId="59DE4116">
            <w:pPr>
              <w:rPr>
                <w:color w:val="auto"/>
              </w:rPr>
            </w:pPr>
          </w:p>
        </w:tc>
        <w:tc>
          <w:tcPr>
            <w:tcW w:w="465" w:type="dxa"/>
          </w:tcPr>
          <w:p w14:paraId="07CDE641">
            <w:pPr>
              <w:rPr>
                <w:color w:val="auto"/>
              </w:rPr>
            </w:pPr>
          </w:p>
        </w:tc>
        <w:tc>
          <w:tcPr>
            <w:tcW w:w="571" w:type="dxa"/>
          </w:tcPr>
          <w:p w14:paraId="4EB1A30E">
            <w:pPr>
              <w:rPr>
                <w:color w:val="auto"/>
              </w:rPr>
            </w:pPr>
          </w:p>
        </w:tc>
        <w:tc>
          <w:tcPr>
            <w:tcW w:w="584" w:type="dxa"/>
          </w:tcPr>
          <w:p w14:paraId="5309304E">
            <w:pPr>
              <w:rPr>
                <w:color w:val="auto"/>
              </w:rPr>
            </w:pPr>
          </w:p>
        </w:tc>
        <w:tc>
          <w:tcPr>
            <w:tcW w:w="1122" w:type="dxa"/>
          </w:tcPr>
          <w:p w14:paraId="58BF185E">
            <w:pPr>
              <w:rPr>
                <w:color w:val="auto"/>
              </w:rPr>
            </w:pPr>
          </w:p>
        </w:tc>
        <w:tc>
          <w:tcPr>
            <w:tcW w:w="956" w:type="dxa"/>
          </w:tcPr>
          <w:p w14:paraId="53E8D101">
            <w:pPr>
              <w:rPr>
                <w:color w:val="auto"/>
              </w:rPr>
            </w:pPr>
          </w:p>
        </w:tc>
        <w:tc>
          <w:tcPr>
            <w:tcW w:w="956" w:type="dxa"/>
          </w:tcPr>
          <w:p w14:paraId="22F048B9">
            <w:pPr>
              <w:rPr>
                <w:color w:val="auto"/>
              </w:rPr>
            </w:pPr>
          </w:p>
        </w:tc>
        <w:tc>
          <w:tcPr>
            <w:tcW w:w="960" w:type="dxa"/>
          </w:tcPr>
          <w:p w14:paraId="0FC79EBE">
            <w:pPr>
              <w:rPr>
                <w:color w:val="auto"/>
              </w:rPr>
            </w:pPr>
          </w:p>
        </w:tc>
        <w:tc>
          <w:tcPr>
            <w:tcW w:w="1079" w:type="dxa"/>
          </w:tcPr>
          <w:p w14:paraId="016C2D32">
            <w:pPr>
              <w:rPr>
                <w:color w:val="auto"/>
              </w:rPr>
            </w:pPr>
          </w:p>
        </w:tc>
        <w:tc>
          <w:tcPr>
            <w:tcW w:w="904" w:type="dxa"/>
          </w:tcPr>
          <w:p w14:paraId="3D8092DA">
            <w:pPr>
              <w:rPr>
                <w:color w:val="auto"/>
              </w:rPr>
            </w:pPr>
          </w:p>
        </w:tc>
      </w:tr>
    </w:tbl>
    <w:p w14:paraId="412622B9">
      <w:pPr>
        <w:spacing w:before="160" w:line="220" w:lineRule="auto"/>
        <w:ind w:left="1342"/>
        <w:rPr>
          <w:rFonts w:ascii="宋体" w:hAnsi="宋体" w:eastAsia="宋体" w:cs="宋体"/>
          <w:color w:val="auto"/>
          <w:lang w:eastAsia="zh-CN"/>
        </w:rPr>
      </w:pPr>
      <w:r>
        <w:rPr>
          <w:rFonts w:ascii="宋体" w:hAnsi="宋体" w:eastAsia="宋体" w:cs="宋体"/>
          <w:color w:val="auto"/>
          <w:spacing w:val="-1"/>
          <w:lang w:eastAsia="zh-CN"/>
        </w:rPr>
        <w:t>注：1.执业、职业单位是指拟投入的项目管理机构人员目前是否在投标人处注册执业或岗位登记。</w:t>
      </w:r>
    </w:p>
    <w:p w14:paraId="694C25DD">
      <w:pPr>
        <w:spacing w:before="144" w:line="220" w:lineRule="auto"/>
        <w:ind w:left="1764"/>
        <w:rPr>
          <w:rFonts w:ascii="宋体" w:hAnsi="宋体" w:eastAsia="宋体" w:cs="宋体"/>
          <w:color w:val="auto"/>
          <w:lang w:eastAsia="zh-CN"/>
        </w:rPr>
      </w:pPr>
      <w:r>
        <w:rPr>
          <w:rFonts w:ascii="宋体" w:hAnsi="宋体" w:eastAsia="宋体" w:cs="宋体"/>
          <w:color w:val="auto"/>
          <w:lang w:eastAsia="zh-CN"/>
        </w:rPr>
        <w:t>2.附项目管理机构主要人员社会保险证明。</w:t>
      </w:r>
      <w:r>
        <w:rPr>
          <w:rFonts w:ascii="宋体" w:hAnsi="宋体" w:eastAsia="宋体" w:cs="宋体"/>
          <w:color w:val="auto"/>
          <w:spacing w:val="-1"/>
          <w:lang w:eastAsia="zh-CN"/>
        </w:rPr>
        <w:t>社会保险证明中缴费单位应与投标单位（或其分公司）一致。</w:t>
      </w:r>
    </w:p>
    <w:p w14:paraId="3C5EF090">
      <w:pPr>
        <w:spacing w:line="220" w:lineRule="auto"/>
        <w:rPr>
          <w:rFonts w:ascii="宋体" w:hAnsi="宋体" w:eastAsia="宋体" w:cs="宋体"/>
          <w:color w:val="auto"/>
          <w:lang w:eastAsia="zh-CN"/>
        </w:rPr>
        <w:sectPr>
          <w:headerReference r:id="rId150" w:type="default"/>
          <w:footerReference r:id="rId151" w:type="default"/>
          <w:pgSz w:w="16839" w:h="11906"/>
          <w:pgMar w:top="400" w:right="535" w:bottom="1147" w:left="105" w:header="0" w:footer="987" w:gutter="0"/>
          <w:cols w:space="720" w:num="1"/>
        </w:sectPr>
      </w:pPr>
    </w:p>
    <w:p w14:paraId="6FB282AB">
      <w:pPr>
        <w:pStyle w:val="8"/>
        <w:spacing w:line="275" w:lineRule="auto"/>
        <w:rPr>
          <w:lang w:eastAsia="zh-CN"/>
        </w:rPr>
      </w:pPr>
    </w:p>
    <w:p w14:paraId="3E49B43A">
      <w:pPr>
        <w:pStyle w:val="8"/>
        <w:spacing w:line="276" w:lineRule="auto"/>
        <w:rPr>
          <w:lang w:eastAsia="zh-CN"/>
        </w:rPr>
      </w:pPr>
    </w:p>
    <w:p w14:paraId="3A2E9301">
      <w:pPr>
        <w:pStyle w:val="8"/>
        <w:spacing w:line="276" w:lineRule="auto"/>
        <w:rPr>
          <w:lang w:eastAsia="zh-CN"/>
        </w:rPr>
      </w:pPr>
    </w:p>
    <w:p w14:paraId="1B91ACBE">
      <w:pPr>
        <w:pStyle w:val="8"/>
        <w:spacing w:line="276" w:lineRule="auto"/>
        <w:rPr>
          <w:lang w:eastAsia="zh-CN"/>
        </w:rPr>
      </w:pPr>
    </w:p>
    <w:p w14:paraId="008D81F6">
      <w:pPr>
        <w:pStyle w:val="8"/>
        <w:spacing w:line="276" w:lineRule="auto"/>
        <w:rPr>
          <w:lang w:eastAsia="zh-CN"/>
        </w:rPr>
      </w:pPr>
    </w:p>
    <w:p w14:paraId="7E57BA54">
      <w:pPr>
        <w:spacing w:before="78" w:line="221" w:lineRule="auto"/>
        <w:ind w:left="4695"/>
        <w:rPr>
          <w:rFonts w:ascii="黑体" w:hAnsi="黑体" w:eastAsia="黑体" w:cs="黑体"/>
          <w:color w:val="auto"/>
          <w:sz w:val="24"/>
          <w:szCs w:val="24"/>
        </w:rPr>
      </w:pPr>
      <w:bookmarkStart w:id="456" w:name="bookmark192"/>
      <w:bookmarkEnd w:id="456"/>
      <w:r>
        <w:rPr>
          <w:rFonts w:ascii="Times New Roman" w:hAnsi="Times New Roman" w:eastAsia="Times New Roman" w:cs="Times New Roman"/>
          <w:color w:val="auto"/>
          <w:spacing w:val="-3"/>
          <w:sz w:val="24"/>
          <w:szCs w:val="24"/>
        </w:rPr>
        <w:t xml:space="preserve">1-4  </w:t>
      </w:r>
      <w:r>
        <w:rPr>
          <w:rFonts w:ascii="黑体" w:hAnsi="黑体" w:eastAsia="黑体" w:cs="黑体"/>
          <w:color w:val="auto"/>
          <w:spacing w:val="-3"/>
          <w:sz w:val="24"/>
          <w:szCs w:val="24"/>
        </w:rPr>
        <w:t>项目负责人简历表</w:t>
      </w:r>
    </w:p>
    <w:p w14:paraId="7C05DC52">
      <w:pPr>
        <w:spacing w:before="69"/>
        <w:rPr>
          <w:color w:val="auto"/>
        </w:rPr>
      </w:pPr>
    </w:p>
    <w:tbl>
      <w:tblPr>
        <w:tblStyle w:val="20"/>
        <w:tblW w:w="8414" w:type="dxa"/>
        <w:tblInd w:w="16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5"/>
        <w:gridCol w:w="984"/>
        <w:gridCol w:w="1091"/>
        <w:gridCol w:w="1209"/>
        <w:gridCol w:w="2018"/>
        <w:gridCol w:w="2057"/>
      </w:tblGrid>
      <w:tr w14:paraId="6B051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055" w:type="dxa"/>
          </w:tcPr>
          <w:p w14:paraId="113DC3B9">
            <w:pPr>
              <w:pStyle w:val="21"/>
              <w:spacing w:before="124" w:line="220" w:lineRule="auto"/>
              <w:ind w:left="213"/>
              <w:rPr>
                <w:color w:val="auto"/>
              </w:rPr>
            </w:pPr>
            <w:r>
              <w:rPr>
                <w:color w:val="auto"/>
                <w:spacing w:val="-5"/>
              </w:rPr>
              <w:t>姓名</w:t>
            </w:r>
          </w:p>
        </w:tc>
        <w:tc>
          <w:tcPr>
            <w:tcW w:w="984" w:type="dxa"/>
          </w:tcPr>
          <w:p w14:paraId="1D0A4217">
            <w:pPr>
              <w:rPr>
                <w:color w:val="auto"/>
              </w:rPr>
            </w:pPr>
          </w:p>
        </w:tc>
        <w:tc>
          <w:tcPr>
            <w:tcW w:w="1091" w:type="dxa"/>
          </w:tcPr>
          <w:p w14:paraId="5DD5D2E9">
            <w:pPr>
              <w:pStyle w:val="21"/>
              <w:spacing w:before="124" w:line="220" w:lineRule="auto"/>
              <w:ind w:left="232"/>
              <w:rPr>
                <w:color w:val="auto"/>
              </w:rPr>
            </w:pPr>
            <w:r>
              <w:rPr>
                <w:color w:val="auto"/>
                <w:spacing w:val="-5"/>
              </w:rPr>
              <w:t>年龄</w:t>
            </w:r>
          </w:p>
        </w:tc>
        <w:tc>
          <w:tcPr>
            <w:tcW w:w="1209" w:type="dxa"/>
          </w:tcPr>
          <w:p w14:paraId="4C3D8EE3">
            <w:pPr>
              <w:rPr>
                <w:color w:val="auto"/>
              </w:rPr>
            </w:pPr>
          </w:p>
        </w:tc>
        <w:tc>
          <w:tcPr>
            <w:tcW w:w="2018" w:type="dxa"/>
          </w:tcPr>
          <w:p w14:paraId="564790F1">
            <w:pPr>
              <w:pStyle w:val="21"/>
              <w:spacing w:before="123" w:line="222" w:lineRule="auto"/>
              <w:ind w:left="807"/>
              <w:rPr>
                <w:color w:val="auto"/>
              </w:rPr>
            </w:pPr>
            <w:r>
              <w:rPr>
                <w:color w:val="auto"/>
                <w:spacing w:val="-4"/>
              </w:rPr>
              <w:t>学历</w:t>
            </w:r>
          </w:p>
        </w:tc>
        <w:tc>
          <w:tcPr>
            <w:tcW w:w="2057" w:type="dxa"/>
          </w:tcPr>
          <w:p w14:paraId="7E760BCE">
            <w:pPr>
              <w:rPr>
                <w:color w:val="auto"/>
              </w:rPr>
            </w:pPr>
          </w:p>
        </w:tc>
      </w:tr>
      <w:tr w14:paraId="01A0D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55" w:type="dxa"/>
          </w:tcPr>
          <w:p w14:paraId="1C87CE9A">
            <w:pPr>
              <w:pStyle w:val="21"/>
              <w:spacing w:before="120" w:line="222" w:lineRule="auto"/>
              <w:ind w:left="214"/>
              <w:rPr>
                <w:color w:val="auto"/>
              </w:rPr>
            </w:pPr>
            <w:r>
              <w:rPr>
                <w:color w:val="auto"/>
                <w:spacing w:val="-5"/>
              </w:rPr>
              <w:t>职称</w:t>
            </w:r>
          </w:p>
        </w:tc>
        <w:tc>
          <w:tcPr>
            <w:tcW w:w="984" w:type="dxa"/>
          </w:tcPr>
          <w:p w14:paraId="284A3D2A">
            <w:pPr>
              <w:rPr>
                <w:color w:val="auto"/>
              </w:rPr>
            </w:pPr>
          </w:p>
        </w:tc>
        <w:tc>
          <w:tcPr>
            <w:tcW w:w="1091" w:type="dxa"/>
          </w:tcPr>
          <w:p w14:paraId="15CE544E">
            <w:pPr>
              <w:pStyle w:val="21"/>
              <w:spacing w:before="120" w:line="220" w:lineRule="auto"/>
              <w:ind w:left="232"/>
              <w:rPr>
                <w:color w:val="auto"/>
              </w:rPr>
            </w:pPr>
            <w:r>
              <w:rPr>
                <w:color w:val="auto"/>
                <w:spacing w:val="-5"/>
              </w:rPr>
              <w:t>职务</w:t>
            </w:r>
          </w:p>
        </w:tc>
        <w:tc>
          <w:tcPr>
            <w:tcW w:w="1209" w:type="dxa"/>
          </w:tcPr>
          <w:p w14:paraId="78101C6D">
            <w:pPr>
              <w:rPr>
                <w:color w:val="auto"/>
              </w:rPr>
            </w:pPr>
          </w:p>
        </w:tc>
        <w:tc>
          <w:tcPr>
            <w:tcW w:w="2018" w:type="dxa"/>
          </w:tcPr>
          <w:p w14:paraId="58EA598D">
            <w:pPr>
              <w:pStyle w:val="21"/>
              <w:spacing w:before="119" w:line="220" w:lineRule="auto"/>
              <w:ind w:left="278"/>
              <w:rPr>
                <w:color w:val="auto"/>
              </w:rPr>
            </w:pPr>
            <w:r>
              <w:rPr>
                <w:color w:val="auto"/>
                <w:spacing w:val="-2"/>
              </w:rPr>
              <w:t>拟在本工程任职</w:t>
            </w:r>
          </w:p>
        </w:tc>
        <w:tc>
          <w:tcPr>
            <w:tcW w:w="2057" w:type="dxa"/>
          </w:tcPr>
          <w:p w14:paraId="686273A7">
            <w:pPr>
              <w:pStyle w:val="21"/>
              <w:spacing w:before="120" w:line="220" w:lineRule="auto"/>
              <w:ind w:left="511"/>
              <w:rPr>
                <w:color w:val="auto"/>
              </w:rPr>
            </w:pPr>
            <w:r>
              <w:rPr>
                <w:color w:val="auto"/>
                <w:spacing w:val="-2"/>
              </w:rPr>
              <w:t>项目负责人</w:t>
            </w:r>
          </w:p>
        </w:tc>
      </w:tr>
      <w:tr w14:paraId="56CD4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130" w:type="dxa"/>
            <w:gridSpan w:val="3"/>
          </w:tcPr>
          <w:p w14:paraId="6A9792DB">
            <w:pPr>
              <w:pStyle w:val="21"/>
              <w:spacing w:before="119" w:line="220" w:lineRule="auto"/>
              <w:ind w:left="624"/>
              <w:rPr>
                <w:color w:val="auto"/>
              </w:rPr>
            </w:pPr>
            <w:r>
              <w:rPr>
                <w:color w:val="auto"/>
                <w:spacing w:val="-2"/>
              </w:rPr>
              <w:t>工程类执业注册证书</w:t>
            </w:r>
          </w:p>
        </w:tc>
        <w:tc>
          <w:tcPr>
            <w:tcW w:w="5284" w:type="dxa"/>
            <w:gridSpan w:val="3"/>
          </w:tcPr>
          <w:p w14:paraId="47A756F6">
            <w:pPr>
              <w:rPr>
                <w:color w:val="auto"/>
              </w:rPr>
            </w:pPr>
          </w:p>
        </w:tc>
      </w:tr>
      <w:tr w14:paraId="001FB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55" w:type="dxa"/>
          </w:tcPr>
          <w:p w14:paraId="5651290A">
            <w:pPr>
              <w:pStyle w:val="21"/>
              <w:spacing w:before="48" w:line="248" w:lineRule="auto"/>
              <w:ind w:left="423" w:right="209" w:hanging="206"/>
              <w:rPr>
                <w:color w:val="auto"/>
              </w:rPr>
            </w:pPr>
            <w:r>
              <w:rPr>
                <w:color w:val="auto"/>
                <w:spacing w:val="-5"/>
              </w:rPr>
              <w:t>毕业学</w:t>
            </w:r>
            <w:r>
              <w:rPr>
                <w:color w:val="auto"/>
              </w:rPr>
              <w:t>校</w:t>
            </w:r>
          </w:p>
        </w:tc>
        <w:tc>
          <w:tcPr>
            <w:tcW w:w="7359" w:type="dxa"/>
            <w:gridSpan w:val="5"/>
          </w:tcPr>
          <w:p w14:paraId="530AE0C2">
            <w:pPr>
              <w:pStyle w:val="21"/>
              <w:spacing w:before="205" w:line="220" w:lineRule="auto"/>
              <w:ind w:left="948"/>
              <w:rPr>
                <w:color w:val="auto"/>
              </w:rPr>
            </w:pPr>
            <w:r>
              <w:rPr>
                <w:color w:val="auto"/>
                <w:spacing w:val="-4"/>
              </w:rPr>
              <w:t>年毕业于学校专业</w:t>
            </w:r>
          </w:p>
        </w:tc>
      </w:tr>
      <w:tr w14:paraId="10F0A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414" w:type="dxa"/>
            <w:gridSpan w:val="6"/>
          </w:tcPr>
          <w:p w14:paraId="2DE43E1F">
            <w:pPr>
              <w:pStyle w:val="21"/>
              <w:spacing w:before="120" w:line="221" w:lineRule="auto"/>
              <w:ind w:left="3581"/>
              <w:rPr>
                <w:color w:val="auto"/>
              </w:rPr>
            </w:pPr>
            <w:r>
              <w:rPr>
                <w:color w:val="auto"/>
                <w:spacing w:val="-2"/>
              </w:rPr>
              <w:t>主要工作经历</w:t>
            </w:r>
          </w:p>
        </w:tc>
      </w:tr>
      <w:tr w14:paraId="79D2D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55" w:type="dxa"/>
          </w:tcPr>
          <w:p w14:paraId="5A9DC060">
            <w:pPr>
              <w:pStyle w:val="21"/>
              <w:spacing w:before="121" w:line="222" w:lineRule="auto"/>
              <w:ind w:left="223"/>
              <w:rPr>
                <w:color w:val="auto"/>
              </w:rPr>
            </w:pPr>
            <w:r>
              <w:rPr>
                <w:color w:val="auto"/>
                <w:spacing w:val="-10"/>
              </w:rPr>
              <w:t>时间</w:t>
            </w:r>
          </w:p>
        </w:tc>
        <w:tc>
          <w:tcPr>
            <w:tcW w:w="3284" w:type="dxa"/>
            <w:gridSpan w:val="3"/>
          </w:tcPr>
          <w:p w14:paraId="7082833A">
            <w:pPr>
              <w:pStyle w:val="21"/>
              <w:spacing w:before="121" w:line="220" w:lineRule="auto"/>
              <w:ind w:left="594"/>
              <w:rPr>
                <w:color w:val="auto"/>
                <w:lang w:eastAsia="zh-CN"/>
              </w:rPr>
            </w:pPr>
            <w:r>
              <w:rPr>
                <w:color w:val="auto"/>
                <w:spacing w:val="-1"/>
                <w:lang w:eastAsia="zh-CN"/>
              </w:rPr>
              <w:t>参加过的类似项目名称</w:t>
            </w:r>
          </w:p>
        </w:tc>
        <w:tc>
          <w:tcPr>
            <w:tcW w:w="2018" w:type="dxa"/>
          </w:tcPr>
          <w:p w14:paraId="782CB9C0">
            <w:pPr>
              <w:pStyle w:val="21"/>
              <w:spacing w:before="121" w:line="220" w:lineRule="auto"/>
              <w:ind w:left="385"/>
              <w:rPr>
                <w:color w:val="auto"/>
              </w:rPr>
            </w:pPr>
            <w:r>
              <w:rPr>
                <w:color w:val="auto"/>
                <w:spacing w:val="-2"/>
              </w:rPr>
              <w:t>工程概况说明</w:t>
            </w:r>
          </w:p>
        </w:tc>
        <w:tc>
          <w:tcPr>
            <w:tcW w:w="2057" w:type="dxa"/>
          </w:tcPr>
          <w:p w14:paraId="001DE5E1">
            <w:pPr>
              <w:pStyle w:val="21"/>
              <w:spacing w:before="120" w:line="222" w:lineRule="auto"/>
              <w:ind w:left="191"/>
              <w:rPr>
                <w:color w:val="auto"/>
              </w:rPr>
            </w:pPr>
            <w:r>
              <w:rPr>
                <w:color w:val="auto"/>
                <w:spacing w:val="-1"/>
              </w:rPr>
              <w:t>委托人及联系电话</w:t>
            </w:r>
          </w:p>
        </w:tc>
      </w:tr>
      <w:tr w14:paraId="65CE0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1A39F4F1">
            <w:pPr>
              <w:rPr>
                <w:color w:val="auto"/>
              </w:rPr>
            </w:pPr>
          </w:p>
        </w:tc>
        <w:tc>
          <w:tcPr>
            <w:tcW w:w="3284" w:type="dxa"/>
            <w:gridSpan w:val="3"/>
          </w:tcPr>
          <w:p w14:paraId="3B1EFE75">
            <w:pPr>
              <w:rPr>
                <w:color w:val="auto"/>
              </w:rPr>
            </w:pPr>
          </w:p>
        </w:tc>
        <w:tc>
          <w:tcPr>
            <w:tcW w:w="2018" w:type="dxa"/>
          </w:tcPr>
          <w:p w14:paraId="5A010172">
            <w:pPr>
              <w:rPr>
                <w:color w:val="auto"/>
              </w:rPr>
            </w:pPr>
          </w:p>
        </w:tc>
        <w:tc>
          <w:tcPr>
            <w:tcW w:w="2057" w:type="dxa"/>
          </w:tcPr>
          <w:p w14:paraId="050BC12E">
            <w:pPr>
              <w:rPr>
                <w:color w:val="auto"/>
              </w:rPr>
            </w:pPr>
          </w:p>
        </w:tc>
      </w:tr>
      <w:tr w14:paraId="003C3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16E02465">
            <w:pPr>
              <w:rPr>
                <w:color w:val="auto"/>
              </w:rPr>
            </w:pPr>
          </w:p>
        </w:tc>
        <w:tc>
          <w:tcPr>
            <w:tcW w:w="3284" w:type="dxa"/>
            <w:gridSpan w:val="3"/>
          </w:tcPr>
          <w:p w14:paraId="1C3B224E">
            <w:pPr>
              <w:rPr>
                <w:color w:val="auto"/>
              </w:rPr>
            </w:pPr>
          </w:p>
        </w:tc>
        <w:tc>
          <w:tcPr>
            <w:tcW w:w="2018" w:type="dxa"/>
          </w:tcPr>
          <w:p w14:paraId="261A6E27">
            <w:pPr>
              <w:rPr>
                <w:color w:val="auto"/>
              </w:rPr>
            </w:pPr>
          </w:p>
        </w:tc>
        <w:tc>
          <w:tcPr>
            <w:tcW w:w="2057" w:type="dxa"/>
          </w:tcPr>
          <w:p w14:paraId="3364438C">
            <w:pPr>
              <w:rPr>
                <w:color w:val="auto"/>
              </w:rPr>
            </w:pPr>
          </w:p>
        </w:tc>
      </w:tr>
      <w:tr w14:paraId="7C55F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30818383">
            <w:pPr>
              <w:rPr>
                <w:color w:val="auto"/>
              </w:rPr>
            </w:pPr>
          </w:p>
        </w:tc>
        <w:tc>
          <w:tcPr>
            <w:tcW w:w="3284" w:type="dxa"/>
            <w:gridSpan w:val="3"/>
          </w:tcPr>
          <w:p w14:paraId="50633799">
            <w:pPr>
              <w:rPr>
                <w:color w:val="auto"/>
              </w:rPr>
            </w:pPr>
          </w:p>
        </w:tc>
        <w:tc>
          <w:tcPr>
            <w:tcW w:w="2018" w:type="dxa"/>
          </w:tcPr>
          <w:p w14:paraId="48C60F77">
            <w:pPr>
              <w:rPr>
                <w:color w:val="auto"/>
              </w:rPr>
            </w:pPr>
          </w:p>
        </w:tc>
        <w:tc>
          <w:tcPr>
            <w:tcW w:w="2057" w:type="dxa"/>
          </w:tcPr>
          <w:p w14:paraId="6C2AC526">
            <w:pPr>
              <w:rPr>
                <w:color w:val="auto"/>
              </w:rPr>
            </w:pPr>
          </w:p>
        </w:tc>
      </w:tr>
      <w:tr w14:paraId="26CD4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4C92E09B">
            <w:pPr>
              <w:rPr>
                <w:color w:val="auto"/>
              </w:rPr>
            </w:pPr>
          </w:p>
        </w:tc>
        <w:tc>
          <w:tcPr>
            <w:tcW w:w="3284" w:type="dxa"/>
            <w:gridSpan w:val="3"/>
          </w:tcPr>
          <w:p w14:paraId="5B9B996E">
            <w:pPr>
              <w:rPr>
                <w:color w:val="auto"/>
              </w:rPr>
            </w:pPr>
          </w:p>
        </w:tc>
        <w:tc>
          <w:tcPr>
            <w:tcW w:w="2018" w:type="dxa"/>
          </w:tcPr>
          <w:p w14:paraId="7D887DA2">
            <w:pPr>
              <w:rPr>
                <w:color w:val="auto"/>
              </w:rPr>
            </w:pPr>
          </w:p>
        </w:tc>
        <w:tc>
          <w:tcPr>
            <w:tcW w:w="2057" w:type="dxa"/>
          </w:tcPr>
          <w:p w14:paraId="1186292A">
            <w:pPr>
              <w:rPr>
                <w:color w:val="auto"/>
              </w:rPr>
            </w:pPr>
          </w:p>
        </w:tc>
      </w:tr>
      <w:tr w14:paraId="520E2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25866A0D">
            <w:pPr>
              <w:rPr>
                <w:color w:val="auto"/>
              </w:rPr>
            </w:pPr>
          </w:p>
        </w:tc>
        <w:tc>
          <w:tcPr>
            <w:tcW w:w="3284" w:type="dxa"/>
            <w:gridSpan w:val="3"/>
          </w:tcPr>
          <w:p w14:paraId="56DF5800">
            <w:pPr>
              <w:rPr>
                <w:color w:val="auto"/>
              </w:rPr>
            </w:pPr>
          </w:p>
        </w:tc>
        <w:tc>
          <w:tcPr>
            <w:tcW w:w="2018" w:type="dxa"/>
          </w:tcPr>
          <w:p w14:paraId="3C7779F6">
            <w:pPr>
              <w:rPr>
                <w:color w:val="auto"/>
              </w:rPr>
            </w:pPr>
          </w:p>
        </w:tc>
        <w:tc>
          <w:tcPr>
            <w:tcW w:w="2057" w:type="dxa"/>
          </w:tcPr>
          <w:p w14:paraId="70F27CBB">
            <w:pPr>
              <w:rPr>
                <w:color w:val="auto"/>
              </w:rPr>
            </w:pPr>
          </w:p>
        </w:tc>
      </w:tr>
      <w:tr w14:paraId="0BC4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5A31EF69">
            <w:pPr>
              <w:rPr>
                <w:color w:val="auto"/>
              </w:rPr>
            </w:pPr>
          </w:p>
        </w:tc>
        <w:tc>
          <w:tcPr>
            <w:tcW w:w="3284" w:type="dxa"/>
            <w:gridSpan w:val="3"/>
          </w:tcPr>
          <w:p w14:paraId="0DD8C6D9">
            <w:pPr>
              <w:rPr>
                <w:color w:val="auto"/>
              </w:rPr>
            </w:pPr>
          </w:p>
        </w:tc>
        <w:tc>
          <w:tcPr>
            <w:tcW w:w="2018" w:type="dxa"/>
          </w:tcPr>
          <w:p w14:paraId="54B5E1F2">
            <w:pPr>
              <w:rPr>
                <w:color w:val="auto"/>
              </w:rPr>
            </w:pPr>
          </w:p>
        </w:tc>
        <w:tc>
          <w:tcPr>
            <w:tcW w:w="2057" w:type="dxa"/>
          </w:tcPr>
          <w:p w14:paraId="79F94B74">
            <w:pPr>
              <w:rPr>
                <w:color w:val="auto"/>
              </w:rPr>
            </w:pPr>
          </w:p>
        </w:tc>
      </w:tr>
      <w:tr w14:paraId="34EA8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7DAE015B">
            <w:pPr>
              <w:rPr>
                <w:color w:val="auto"/>
              </w:rPr>
            </w:pPr>
          </w:p>
        </w:tc>
        <w:tc>
          <w:tcPr>
            <w:tcW w:w="3284" w:type="dxa"/>
            <w:gridSpan w:val="3"/>
          </w:tcPr>
          <w:p w14:paraId="77FB569B">
            <w:pPr>
              <w:rPr>
                <w:color w:val="auto"/>
              </w:rPr>
            </w:pPr>
          </w:p>
        </w:tc>
        <w:tc>
          <w:tcPr>
            <w:tcW w:w="2018" w:type="dxa"/>
          </w:tcPr>
          <w:p w14:paraId="0A536E03">
            <w:pPr>
              <w:rPr>
                <w:color w:val="auto"/>
              </w:rPr>
            </w:pPr>
          </w:p>
        </w:tc>
        <w:tc>
          <w:tcPr>
            <w:tcW w:w="2057" w:type="dxa"/>
          </w:tcPr>
          <w:p w14:paraId="1E004263">
            <w:pPr>
              <w:rPr>
                <w:color w:val="auto"/>
              </w:rPr>
            </w:pPr>
          </w:p>
        </w:tc>
      </w:tr>
      <w:tr w14:paraId="456BB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55" w:type="dxa"/>
          </w:tcPr>
          <w:p w14:paraId="6AF776AD">
            <w:pPr>
              <w:rPr>
                <w:color w:val="auto"/>
              </w:rPr>
            </w:pPr>
          </w:p>
        </w:tc>
        <w:tc>
          <w:tcPr>
            <w:tcW w:w="3284" w:type="dxa"/>
            <w:gridSpan w:val="3"/>
          </w:tcPr>
          <w:p w14:paraId="1F464F32">
            <w:pPr>
              <w:rPr>
                <w:color w:val="auto"/>
              </w:rPr>
            </w:pPr>
          </w:p>
        </w:tc>
        <w:tc>
          <w:tcPr>
            <w:tcW w:w="2018" w:type="dxa"/>
          </w:tcPr>
          <w:p w14:paraId="20987118">
            <w:pPr>
              <w:rPr>
                <w:color w:val="auto"/>
              </w:rPr>
            </w:pPr>
          </w:p>
        </w:tc>
        <w:tc>
          <w:tcPr>
            <w:tcW w:w="2057" w:type="dxa"/>
          </w:tcPr>
          <w:p w14:paraId="6F16C464">
            <w:pPr>
              <w:rPr>
                <w:color w:val="auto"/>
              </w:rPr>
            </w:pPr>
          </w:p>
        </w:tc>
      </w:tr>
      <w:tr w14:paraId="68406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055" w:type="dxa"/>
          </w:tcPr>
          <w:p w14:paraId="2CEE4F76">
            <w:pPr>
              <w:rPr>
                <w:color w:val="auto"/>
              </w:rPr>
            </w:pPr>
          </w:p>
        </w:tc>
        <w:tc>
          <w:tcPr>
            <w:tcW w:w="3284" w:type="dxa"/>
            <w:gridSpan w:val="3"/>
          </w:tcPr>
          <w:p w14:paraId="607D5221">
            <w:pPr>
              <w:rPr>
                <w:color w:val="auto"/>
              </w:rPr>
            </w:pPr>
          </w:p>
        </w:tc>
        <w:tc>
          <w:tcPr>
            <w:tcW w:w="2018" w:type="dxa"/>
          </w:tcPr>
          <w:p w14:paraId="25250AC8">
            <w:pPr>
              <w:rPr>
                <w:color w:val="auto"/>
              </w:rPr>
            </w:pPr>
          </w:p>
        </w:tc>
        <w:tc>
          <w:tcPr>
            <w:tcW w:w="2057" w:type="dxa"/>
          </w:tcPr>
          <w:p w14:paraId="2C7072B6">
            <w:pPr>
              <w:rPr>
                <w:color w:val="auto"/>
              </w:rPr>
            </w:pPr>
          </w:p>
        </w:tc>
      </w:tr>
    </w:tbl>
    <w:p w14:paraId="5A4BD2B2">
      <w:pPr>
        <w:spacing w:before="79" w:line="220" w:lineRule="auto"/>
        <w:ind w:left="1702"/>
        <w:rPr>
          <w:rFonts w:ascii="宋体" w:hAnsi="宋体" w:eastAsia="宋体" w:cs="宋体"/>
          <w:color w:val="auto"/>
          <w:lang w:eastAsia="zh-CN"/>
        </w:rPr>
      </w:pPr>
      <w:r>
        <w:rPr>
          <w:rFonts w:ascii="宋体" w:hAnsi="宋体" w:eastAsia="宋体" w:cs="宋体"/>
          <w:color w:val="auto"/>
          <w:spacing w:val="-2"/>
          <w:lang w:eastAsia="zh-CN"/>
        </w:rPr>
        <w:t>注：</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项目负责人应附注册证书、职称证书、学历证书。</w:t>
      </w:r>
    </w:p>
    <w:p w14:paraId="17230189">
      <w:pPr>
        <w:spacing w:before="74" w:line="220" w:lineRule="auto"/>
        <w:ind w:left="2118"/>
        <w:rPr>
          <w:rFonts w:ascii="宋体" w:hAnsi="宋体" w:eastAsia="宋体" w:cs="宋体"/>
          <w:color w:val="auto"/>
          <w:lang w:eastAsia="zh-CN"/>
        </w:rPr>
      </w:pP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类似项目限于以项目负责人身份参与的项目。须附业绩证</w:t>
      </w:r>
      <w:r>
        <w:rPr>
          <w:rFonts w:ascii="宋体" w:hAnsi="宋体" w:eastAsia="宋体" w:cs="宋体"/>
          <w:color w:val="auto"/>
          <w:spacing w:val="-2"/>
          <w:lang w:eastAsia="zh-CN"/>
        </w:rPr>
        <w:t>明材料。</w:t>
      </w:r>
    </w:p>
    <w:p w14:paraId="59270897">
      <w:pPr>
        <w:spacing w:line="220" w:lineRule="auto"/>
        <w:rPr>
          <w:rFonts w:ascii="宋体" w:hAnsi="宋体" w:eastAsia="宋体" w:cs="宋体"/>
          <w:color w:val="auto"/>
          <w:lang w:eastAsia="zh-CN"/>
        </w:rPr>
        <w:sectPr>
          <w:headerReference r:id="rId152" w:type="default"/>
          <w:footerReference r:id="rId153" w:type="default"/>
          <w:pgSz w:w="11906" w:h="16839"/>
          <w:pgMar w:top="400" w:right="0" w:bottom="1147" w:left="105" w:header="0" w:footer="987" w:gutter="0"/>
          <w:cols w:space="720" w:num="1"/>
        </w:sectPr>
      </w:pPr>
    </w:p>
    <w:p w14:paraId="174FE463">
      <w:pPr>
        <w:pStyle w:val="8"/>
        <w:spacing w:line="275" w:lineRule="auto"/>
        <w:rPr>
          <w:lang w:eastAsia="zh-CN"/>
        </w:rPr>
      </w:pPr>
    </w:p>
    <w:p w14:paraId="0EFBE8D9">
      <w:pPr>
        <w:pStyle w:val="8"/>
        <w:spacing w:line="276" w:lineRule="auto"/>
        <w:rPr>
          <w:lang w:eastAsia="zh-CN"/>
        </w:rPr>
      </w:pPr>
    </w:p>
    <w:p w14:paraId="5B006A59">
      <w:pPr>
        <w:pStyle w:val="8"/>
        <w:spacing w:line="276" w:lineRule="auto"/>
        <w:rPr>
          <w:lang w:eastAsia="zh-CN"/>
        </w:rPr>
      </w:pPr>
    </w:p>
    <w:p w14:paraId="6005FFD4">
      <w:pPr>
        <w:pStyle w:val="8"/>
        <w:spacing w:line="276" w:lineRule="auto"/>
        <w:rPr>
          <w:lang w:eastAsia="zh-CN"/>
        </w:rPr>
      </w:pPr>
    </w:p>
    <w:p w14:paraId="7C279834">
      <w:pPr>
        <w:pStyle w:val="8"/>
        <w:spacing w:line="276" w:lineRule="auto"/>
        <w:rPr>
          <w:lang w:eastAsia="zh-CN"/>
        </w:rPr>
      </w:pPr>
    </w:p>
    <w:p w14:paraId="5159D50A">
      <w:pPr>
        <w:spacing w:before="78" w:line="221" w:lineRule="auto"/>
        <w:ind w:left="4095"/>
        <w:rPr>
          <w:rFonts w:ascii="黑体" w:hAnsi="黑体" w:eastAsia="黑体" w:cs="黑体"/>
          <w:color w:val="auto"/>
          <w:sz w:val="24"/>
          <w:szCs w:val="24"/>
          <w:lang w:eastAsia="zh-CN"/>
        </w:rPr>
      </w:pPr>
      <w:bookmarkStart w:id="457" w:name="bookmark193"/>
      <w:bookmarkEnd w:id="457"/>
      <w:r>
        <w:rPr>
          <w:rFonts w:ascii="Times New Roman" w:hAnsi="Times New Roman" w:eastAsia="Times New Roman" w:cs="Times New Roman"/>
          <w:color w:val="auto"/>
          <w:spacing w:val="-2"/>
          <w:sz w:val="24"/>
          <w:szCs w:val="24"/>
          <w:lang w:eastAsia="zh-CN"/>
        </w:rPr>
        <w:t xml:space="preserve">1-5  </w:t>
      </w:r>
      <w:r>
        <w:rPr>
          <w:rFonts w:ascii="黑体" w:hAnsi="黑体" w:eastAsia="黑体" w:cs="黑体"/>
          <w:color w:val="auto"/>
          <w:spacing w:val="-2"/>
          <w:sz w:val="24"/>
          <w:szCs w:val="24"/>
          <w:lang w:eastAsia="zh-CN"/>
        </w:rPr>
        <w:t>其他主要项目管理人员简历表</w:t>
      </w:r>
    </w:p>
    <w:p w14:paraId="49AD7B2F">
      <w:pPr>
        <w:spacing w:before="69"/>
        <w:rPr>
          <w:color w:val="auto"/>
          <w:lang w:eastAsia="zh-CN"/>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0"/>
        <w:gridCol w:w="2732"/>
        <w:gridCol w:w="1723"/>
        <w:gridCol w:w="2736"/>
      </w:tblGrid>
      <w:tr w14:paraId="59D39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1330" w:type="dxa"/>
          </w:tcPr>
          <w:p w14:paraId="69E4F244">
            <w:pPr>
              <w:pStyle w:val="21"/>
              <w:spacing w:before="70" w:line="221" w:lineRule="auto"/>
              <w:ind w:left="269"/>
              <w:rPr>
                <w:color w:val="auto"/>
              </w:rPr>
            </w:pPr>
            <w:r>
              <w:rPr>
                <w:color w:val="auto"/>
                <w:spacing w:val="-6"/>
              </w:rPr>
              <w:t>岗位名称</w:t>
            </w:r>
          </w:p>
          <w:p w14:paraId="2A66E898">
            <w:pPr>
              <w:pStyle w:val="21"/>
              <w:spacing w:before="60" w:line="220" w:lineRule="auto"/>
              <w:ind w:left="252"/>
              <w:rPr>
                <w:color w:val="auto"/>
              </w:rPr>
            </w:pPr>
            <w:r>
              <w:rPr>
                <w:color w:val="auto"/>
                <w:spacing w:val="-6"/>
              </w:rPr>
              <w:t>（职务）</w:t>
            </w:r>
          </w:p>
        </w:tc>
        <w:tc>
          <w:tcPr>
            <w:tcW w:w="7191" w:type="dxa"/>
            <w:gridSpan w:val="3"/>
          </w:tcPr>
          <w:p w14:paraId="5357B451">
            <w:pPr>
              <w:rPr>
                <w:color w:val="auto"/>
              </w:rPr>
            </w:pPr>
          </w:p>
        </w:tc>
      </w:tr>
      <w:tr w14:paraId="31268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330" w:type="dxa"/>
          </w:tcPr>
          <w:p w14:paraId="6CCC825E">
            <w:pPr>
              <w:pStyle w:val="21"/>
              <w:spacing w:before="223" w:line="220" w:lineRule="auto"/>
              <w:ind w:left="246"/>
              <w:rPr>
                <w:color w:val="auto"/>
              </w:rPr>
            </w:pPr>
            <w:r>
              <w:rPr>
                <w:color w:val="auto"/>
                <w:spacing w:val="-5"/>
              </w:rPr>
              <w:t>姓名</w:t>
            </w:r>
          </w:p>
        </w:tc>
        <w:tc>
          <w:tcPr>
            <w:tcW w:w="2732" w:type="dxa"/>
          </w:tcPr>
          <w:p w14:paraId="2080D2B4">
            <w:pPr>
              <w:rPr>
                <w:color w:val="auto"/>
              </w:rPr>
            </w:pPr>
          </w:p>
        </w:tc>
        <w:tc>
          <w:tcPr>
            <w:tcW w:w="1723" w:type="dxa"/>
          </w:tcPr>
          <w:p w14:paraId="62B5C278">
            <w:pPr>
              <w:pStyle w:val="21"/>
              <w:spacing w:before="223" w:line="220" w:lineRule="auto"/>
              <w:ind w:left="446"/>
              <w:rPr>
                <w:color w:val="auto"/>
              </w:rPr>
            </w:pPr>
            <w:r>
              <w:rPr>
                <w:color w:val="auto"/>
                <w:spacing w:val="-5"/>
              </w:rPr>
              <w:t>年龄</w:t>
            </w:r>
          </w:p>
        </w:tc>
        <w:tc>
          <w:tcPr>
            <w:tcW w:w="2736" w:type="dxa"/>
          </w:tcPr>
          <w:p w14:paraId="1472F135">
            <w:pPr>
              <w:rPr>
                <w:color w:val="auto"/>
              </w:rPr>
            </w:pPr>
          </w:p>
        </w:tc>
      </w:tr>
      <w:tr w14:paraId="76C4B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330" w:type="dxa"/>
          </w:tcPr>
          <w:p w14:paraId="33227942">
            <w:pPr>
              <w:pStyle w:val="21"/>
              <w:spacing w:before="223" w:line="221" w:lineRule="auto"/>
              <w:ind w:left="246"/>
              <w:rPr>
                <w:color w:val="auto"/>
              </w:rPr>
            </w:pPr>
            <w:r>
              <w:rPr>
                <w:color w:val="auto"/>
                <w:spacing w:val="-5"/>
              </w:rPr>
              <w:t>性别</w:t>
            </w:r>
          </w:p>
        </w:tc>
        <w:tc>
          <w:tcPr>
            <w:tcW w:w="2732" w:type="dxa"/>
          </w:tcPr>
          <w:p w14:paraId="6AC0DE98">
            <w:pPr>
              <w:rPr>
                <w:color w:val="auto"/>
              </w:rPr>
            </w:pPr>
          </w:p>
        </w:tc>
        <w:tc>
          <w:tcPr>
            <w:tcW w:w="1723" w:type="dxa"/>
          </w:tcPr>
          <w:p w14:paraId="01363D7B">
            <w:pPr>
              <w:pStyle w:val="21"/>
              <w:spacing w:before="224" w:line="220" w:lineRule="auto"/>
              <w:ind w:left="449"/>
              <w:rPr>
                <w:color w:val="auto"/>
              </w:rPr>
            </w:pPr>
            <w:r>
              <w:rPr>
                <w:color w:val="auto"/>
                <w:spacing w:val="-3"/>
              </w:rPr>
              <w:t>毕业学校</w:t>
            </w:r>
          </w:p>
        </w:tc>
        <w:tc>
          <w:tcPr>
            <w:tcW w:w="2736" w:type="dxa"/>
          </w:tcPr>
          <w:p w14:paraId="2B74F454">
            <w:pPr>
              <w:rPr>
                <w:color w:val="auto"/>
              </w:rPr>
            </w:pPr>
          </w:p>
        </w:tc>
      </w:tr>
      <w:tr w14:paraId="74199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330" w:type="dxa"/>
          </w:tcPr>
          <w:p w14:paraId="137AC85A">
            <w:pPr>
              <w:pStyle w:val="21"/>
              <w:spacing w:before="224" w:line="221" w:lineRule="auto"/>
              <w:ind w:left="145"/>
              <w:rPr>
                <w:color w:val="auto"/>
              </w:rPr>
            </w:pPr>
            <w:r>
              <w:rPr>
                <w:color w:val="auto"/>
                <w:spacing w:val="-2"/>
              </w:rPr>
              <w:t>学历和专业</w:t>
            </w:r>
          </w:p>
        </w:tc>
        <w:tc>
          <w:tcPr>
            <w:tcW w:w="2732" w:type="dxa"/>
          </w:tcPr>
          <w:p w14:paraId="27356E3B">
            <w:pPr>
              <w:rPr>
                <w:color w:val="auto"/>
              </w:rPr>
            </w:pPr>
          </w:p>
        </w:tc>
        <w:tc>
          <w:tcPr>
            <w:tcW w:w="1723" w:type="dxa"/>
          </w:tcPr>
          <w:p w14:paraId="0B1DC765">
            <w:pPr>
              <w:pStyle w:val="21"/>
              <w:spacing w:before="225" w:line="220" w:lineRule="auto"/>
              <w:ind w:left="449"/>
              <w:rPr>
                <w:color w:val="auto"/>
              </w:rPr>
            </w:pPr>
            <w:r>
              <w:rPr>
                <w:color w:val="auto"/>
                <w:spacing w:val="-3"/>
              </w:rPr>
              <w:t>毕业时间</w:t>
            </w:r>
          </w:p>
        </w:tc>
        <w:tc>
          <w:tcPr>
            <w:tcW w:w="2736" w:type="dxa"/>
          </w:tcPr>
          <w:p w14:paraId="3F84387C">
            <w:pPr>
              <w:rPr>
                <w:color w:val="auto"/>
              </w:rPr>
            </w:pPr>
          </w:p>
        </w:tc>
      </w:tr>
      <w:tr w14:paraId="14BAA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330" w:type="dxa"/>
          </w:tcPr>
          <w:p w14:paraId="5E610CC2">
            <w:pPr>
              <w:pStyle w:val="21"/>
              <w:spacing w:before="39" w:line="268" w:lineRule="auto"/>
              <w:ind w:left="561" w:right="107" w:hanging="449"/>
              <w:rPr>
                <w:color w:val="auto"/>
              </w:rPr>
            </w:pPr>
            <w:r>
              <w:rPr>
                <w:color w:val="auto"/>
                <w:spacing w:val="-2"/>
              </w:rPr>
              <w:t>执业</w:t>
            </w:r>
            <w:r>
              <w:rPr>
                <w:rFonts w:ascii="Times New Roman" w:hAnsi="Times New Roman" w:eastAsia="Times New Roman" w:cs="Times New Roman"/>
                <w:color w:val="auto"/>
                <w:spacing w:val="-2"/>
              </w:rPr>
              <w:t>/</w:t>
            </w:r>
            <w:r>
              <w:rPr>
                <w:color w:val="auto"/>
                <w:spacing w:val="-2"/>
              </w:rPr>
              <w:t>岗位资</w:t>
            </w:r>
            <w:r>
              <w:rPr>
                <w:color w:val="auto"/>
              </w:rPr>
              <w:t>格</w:t>
            </w:r>
          </w:p>
        </w:tc>
        <w:tc>
          <w:tcPr>
            <w:tcW w:w="2732" w:type="dxa"/>
          </w:tcPr>
          <w:p w14:paraId="1B6E9318">
            <w:pPr>
              <w:rPr>
                <w:color w:val="auto"/>
              </w:rPr>
            </w:pPr>
          </w:p>
        </w:tc>
        <w:tc>
          <w:tcPr>
            <w:tcW w:w="1723" w:type="dxa"/>
          </w:tcPr>
          <w:p w14:paraId="2CB74B2D">
            <w:pPr>
              <w:pStyle w:val="21"/>
              <w:spacing w:before="225" w:line="221" w:lineRule="auto"/>
              <w:ind w:left="446"/>
              <w:rPr>
                <w:color w:val="auto"/>
              </w:rPr>
            </w:pPr>
            <w:r>
              <w:rPr>
                <w:color w:val="auto"/>
                <w:spacing w:val="-2"/>
              </w:rPr>
              <w:t>专业职称</w:t>
            </w:r>
          </w:p>
        </w:tc>
        <w:tc>
          <w:tcPr>
            <w:tcW w:w="2736" w:type="dxa"/>
          </w:tcPr>
          <w:p w14:paraId="6207B2EC">
            <w:pPr>
              <w:rPr>
                <w:color w:val="auto"/>
              </w:rPr>
            </w:pPr>
          </w:p>
        </w:tc>
      </w:tr>
      <w:tr w14:paraId="43A22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330" w:type="dxa"/>
          </w:tcPr>
          <w:p w14:paraId="0C3C421D">
            <w:pPr>
              <w:pStyle w:val="21"/>
              <w:spacing w:before="40" w:line="268" w:lineRule="auto"/>
              <w:ind w:left="246" w:right="212" w:hanging="29"/>
              <w:rPr>
                <w:color w:val="auto"/>
              </w:rPr>
            </w:pPr>
            <w:r>
              <w:rPr>
                <w:color w:val="auto"/>
                <w:spacing w:val="-2"/>
              </w:rPr>
              <w:t>执业</w:t>
            </w:r>
            <w:r>
              <w:rPr>
                <w:rFonts w:ascii="Times New Roman" w:hAnsi="Times New Roman" w:eastAsia="Times New Roman" w:cs="Times New Roman"/>
                <w:color w:val="auto"/>
                <w:spacing w:val="-2"/>
              </w:rPr>
              <w:t>/</w:t>
            </w:r>
            <w:r>
              <w:rPr>
                <w:color w:val="auto"/>
                <w:spacing w:val="-2"/>
              </w:rPr>
              <w:t>岗位证书编号</w:t>
            </w:r>
          </w:p>
        </w:tc>
        <w:tc>
          <w:tcPr>
            <w:tcW w:w="2732" w:type="dxa"/>
          </w:tcPr>
          <w:p w14:paraId="122A4E1C">
            <w:pPr>
              <w:rPr>
                <w:color w:val="auto"/>
              </w:rPr>
            </w:pPr>
          </w:p>
        </w:tc>
        <w:tc>
          <w:tcPr>
            <w:tcW w:w="1723" w:type="dxa"/>
          </w:tcPr>
          <w:p w14:paraId="0715DA4E">
            <w:pPr>
              <w:pStyle w:val="21"/>
              <w:spacing w:before="227" w:line="220" w:lineRule="auto"/>
              <w:ind w:left="236"/>
              <w:rPr>
                <w:color w:val="auto"/>
              </w:rPr>
            </w:pPr>
            <w:r>
              <w:rPr>
                <w:color w:val="auto"/>
                <w:spacing w:val="-2"/>
              </w:rPr>
              <w:t>专业工作年限</w:t>
            </w:r>
          </w:p>
        </w:tc>
        <w:tc>
          <w:tcPr>
            <w:tcW w:w="2736" w:type="dxa"/>
          </w:tcPr>
          <w:p w14:paraId="3581F2D7">
            <w:pPr>
              <w:rPr>
                <w:color w:val="auto"/>
              </w:rPr>
            </w:pPr>
          </w:p>
        </w:tc>
      </w:tr>
      <w:tr w14:paraId="51D4F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2" w:hRule="atLeast"/>
        </w:trPr>
        <w:tc>
          <w:tcPr>
            <w:tcW w:w="1330" w:type="dxa"/>
            <w:textDirection w:val="tbRlV"/>
          </w:tcPr>
          <w:p w14:paraId="4D48697C">
            <w:pPr>
              <w:spacing w:line="369" w:lineRule="auto"/>
              <w:rPr>
                <w:color w:val="auto"/>
                <w:lang w:eastAsia="zh-CN"/>
              </w:rPr>
            </w:pPr>
          </w:p>
          <w:p w14:paraId="0C165099">
            <w:pPr>
              <w:pStyle w:val="21"/>
              <w:spacing w:before="70" w:line="209" w:lineRule="auto"/>
              <w:ind w:left="870"/>
              <w:rPr>
                <w:color w:val="auto"/>
                <w:lang w:eastAsia="zh-CN"/>
              </w:rPr>
            </w:pPr>
            <w:r>
              <w:rPr>
                <w:color w:val="auto"/>
                <w:spacing w:val="-1"/>
                <w:lang w:eastAsia="zh-CN"/>
              </w:rPr>
              <w:t>主 要 工 作 业 绩 及 担任的主要工作</w:t>
            </w:r>
          </w:p>
        </w:tc>
        <w:tc>
          <w:tcPr>
            <w:tcW w:w="7191" w:type="dxa"/>
            <w:gridSpan w:val="3"/>
          </w:tcPr>
          <w:p w14:paraId="56429283">
            <w:pPr>
              <w:rPr>
                <w:color w:val="auto"/>
                <w:lang w:eastAsia="zh-CN"/>
              </w:rPr>
            </w:pPr>
          </w:p>
        </w:tc>
      </w:tr>
    </w:tbl>
    <w:p w14:paraId="67202888">
      <w:pPr>
        <w:spacing w:before="52" w:line="220" w:lineRule="auto"/>
        <w:ind w:left="1912"/>
        <w:rPr>
          <w:rFonts w:ascii="宋体" w:hAnsi="宋体" w:eastAsia="宋体" w:cs="宋体"/>
          <w:color w:val="auto"/>
          <w:lang w:eastAsia="zh-CN"/>
        </w:rPr>
      </w:pPr>
      <w:r>
        <w:rPr>
          <w:rFonts w:ascii="宋体" w:hAnsi="宋体" w:eastAsia="宋体" w:cs="宋体"/>
          <w:color w:val="auto"/>
          <w:spacing w:val="-6"/>
          <w:lang w:eastAsia="zh-CN"/>
        </w:rPr>
        <w:t>注：提供其他主要项目管理人员的相关证书、职称证书（如有）、学历证</w:t>
      </w:r>
      <w:r>
        <w:rPr>
          <w:rFonts w:ascii="宋体" w:hAnsi="宋体" w:eastAsia="宋体" w:cs="宋体"/>
          <w:color w:val="auto"/>
          <w:spacing w:val="-7"/>
          <w:lang w:eastAsia="zh-CN"/>
        </w:rPr>
        <w:t>书（如有）。</w:t>
      </w:r>
    </w:p>
    <w:p w14:paraId="32537B48">
      <w:pPr>
        <w:spacing w:line="220" w:lineRule="auto"/>
        <w:rPr>
          <w:rFonts w:ascii="宋体" w:hAnsi="宋体" w:eastAsia="宋体" w:cs="宋体"/>
          <w:color w:val="auto"/>
          <w:lang w:eastAsia="zh-CN"/>
        </w:rPr>
        <w:sectPr>
          <w:headerReference r:id="rId154" w:type="default"/>
          <w:footerReference r:id="rId155" w:type="default"/>
          <w:pgSz w:w="11906" w:h="16839"/>
          <w:pgMar w:top="400" w:right="0" w:bottom="1147" w:left="105" w:header="0" w:footer="987" w:gutter="0"/>
          <w:cols w:space="720" w:num="1"/>
        </w:sectPr>
      </w:pPr>
    </w:p>
    <w:p w14:paraId="3BCD95A2">
      <w:pPr>
        <w:pStyle w:val="8"/>
        <w:spacing w:line="275" w:lineRule="auto"/>
        <w:rPr>
          <w:lang w:eastAsia="zh-CN"/>
        </w:rPr>
      </w:pPr>
    </w:p>
    <w:p w14:paraId="779F2D3F">
      <w:pPr>
        <w:pStyle w:val="8"/>
        <w:spacing w:line="276" w:lineRule="auto"/>
        <w:rPr>
          <w:lang w:eastAsia="zh-CN"/>
        </w:rPr>
      </w:pPr>
    </w:p>
    <w:p w14:paraId="429DF42F">
      <w:pPr>
        <w:pStyle w:val="8"/>
        <w:spacing w:line="276" w:lineRule="auto"/>
        <w:rPr>
          <w:lang w:eastAsia="zh-CN"/>
        </w:rPr>
      </w:pPr>
    </w:p>
    <w:p w14:paraId="2EA440F3">
      <w:pPr>
        <w:pStyle w:val="8"/>
        <w:spacing w:line="276" w:lineRule="auto"/>
        <w:rPr>
          <w:lang w:eastAsia="zh-CN"/>
        </w:rPr>
      </w:pPr>
    </w:p>
    <w:p w14:paraId="0F112FBF">
      <w:pPr>
        <w:pStyle w:val="8"/>
        <w:spacing w:line="276" w:lineRule="auto"/>
        <w:rPr>
          <w:lang w:eastAsia="zh-CN"/>
        </w:rPr>
      </w:pPr>
    </w:p>
    <w:p w14:paraId="662C8A7D">
      <w:pPr>
        <w:spacing w:before="78" w:line="221" w:lineRule="auto"/>
        <w:ind w:left="4672"/>
        <w:outlineLvl w:val="2"/>
        <w:rPr>
          <w:rFonts w:ascii="黑体" w:hAnsi="黑体" w:eastAsia="黑体" w:cs="黑体"/>
          <w:color w:val="auto"/>
          <w:sz w:val="24"/>
          <w:szCs w:val="24"/>
        </w:rPr>
      </w:pPr>
      <w:bookmarkStart w:id="458" w:name="bookmark194"/>
      <w:bookmarkEnd w:id="458"/>
      <w:r>
        <w:rPr>
          <w:rFonts w:ascii="黑体" w:hAnsi="黑体" w:eastAsia="黑体" w:cs="黑体"/>
          <w:color w:val="auto"/>
          <w:spacing w:val="-4"/>
          <w:sz w:val="24"/>
          <w:szCs w:val="24"/>
        </w:rPr>
        <w:t>（二）近年财务状况表</w:t>
      </w:r>
    </w:p>
    <w:p w14:paraId="2D3DF2BF">
      <w:pPr>
        <w:spacing w:before="69"/>
        <w:rPr>
          <w:color w:val="auto"/>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790"/>
        <w:gridCol w:w="1467"/>
        <w:gridCol w:w="1467"/>
        <w:gridCol w:w="1467"/>
        <w:gridCol w:w="1472"/>
      </w:tblGrid>
      <w:tr w14:paraId="271DB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858" w:type="dxa"/>
          </w:tcPr>
          <w:p w14:paraId="33ED2AD0">
            <w:pPr>
              <w:pStyle w:val="21"/>
              <w:spacing w:before="152" w:line="222" w:lineRule="auto"/>
              <w:ind w:left="722"/>
              <w:rPr>
                <w:color w:val="auto"/>
              </w:rPr>
            </w:pPr>
            <w:r>
              <w:rPr>
                <w:b/>
                <w:bCs/>
                <w:color w:val="auto"/>
                <w:spacing w:val="-8"/>
              </w:rPr>
              <w:t>名称</w:t>
            </w:r>
          </w:p>
        </w:tc>
        <w:tc>
          <w:tcPr>
            <w:tcW w:w="790" w:type="dxa"/>
          </w:tcPr>
          <w:p w14:paraId="5CFAF77B">
            <w:pPr>
              <w:pStyle w:val="21"/>
              <w:spacing w:before="151" w:line="221" w:lineRule="auto"/>
              <w:ind w:left="186"/>
              <w:rPr>
                <w:color w:val="auto"/>
              </w:rPr>
            </w:pPr>
            <w:r>
              <w:rPr>
                <w:b/>
                <w:bCs/>
                <w:color w:val="auto"/>
                <w:spacing w:val="-7"/>
              </w:rPr>
              <w:t>单位</w:t>
            </w:r>
          </w:p>
        </w:tc>
        <w:tc>
          <w:tcPr>
            <w:tcW w:w="1467" w:type="dxa"/>
          </w:tcPr>
          <w:p w14:paraId="7E2B8FE7">
            <w:pPr>
              <w:pStyle w:val="21"/>
              <w:tabs>
                <w:tab w:val="left" w:pos="1043"/>
              </w:tabs>
              <w:spacing w:before="152" w:line="220" w:lineRule="auto"/>
              <w:ind w:left="411"/>
              <w:rPr>
                <w:color w:val="auto"/>
              </w:rPr>
            </w:pPr>
            <w:r>
              <w:rPr>
                <w:color w:val="auto"/>
                <w:u w:val="single"/>
              </w:rPr>
              <w:tab/>
            </w:r>
            <w:r>
              <w:rPr>
                <w:b/>
                <w:bCs/>
                <w:color w:val="auto"/>
                <w:spacing w:val="-3"/>
              </w:rPr>
              <w:t>年</w:t>
            </w:r>
          </w:p>
        </w:tc>
        <w:tc>
          <w:tcPr>
            <w:tcW w:w="1467" w:type="dxa"/>
          </w:tcPr>
          <w:p w14:paraId="62807F4D">
            <w:pPr>
              <w:pStyle w:val="21"/>
              <w:tabs>
                <w:tab w:val="left" w:pos="1045"/>
              </w:tabs>
              <w:spacing w:before="152" w:line="220" w:lineRule="auto"/>
              <w:ind w:left="413"/>
              <w:rPr>
                <w:color w:val="auto"/>
              </w:rPr>
            </w:pPr>
            <w:r>
              <w:rPr>
                <w:color w:val="auto"/>
                <w:u w:val="single"/>
              </w:rPr>
              <w:tab/>
            </w:r>
            <w:r>
              <w:rPr>
                <w:b/>
                <w:bCs/>
                <w:color w:val="auto"/>
                <w:spacing w:val="-3"/>
              </w:rPr>
              <w:t>年</w:t>
            </w:r>
          </w:p>
        </w:tc>
        <w:tc>
          <w:tcPr>
            <w:tcW w:w="1467" w:type="dxa"/>
          </w:tcPr>
          <w:p w14:paraId="724AE9DE">
            <w:pPr>
              <w:pStyle w:val="21"/>
              <w:tabs>
                <w:tab w:val="left" w:pos="941"/>
              </w:tabs>
              <w:spacing w:before="152" w:line="220" w:lineRule="auto"/>
              <w:ind w:left="309"/>
              <w:rPr>
                <w:color w:val="auto"/>
              </w:rPr>
            </w:pPr>
            <w:r>
              <w:rPr>
                <w:color w:val="auto"/>
                <w:u w:val="single"/>
              </w:rPr>
              <w:tab/>
            </w:r>
            <w:r>
              <w:rPr>
                <w:b/>
                <w:bCs/>
                <w:color w:val="auto"/>
                <w:spacing w:val="-3"/>
              </w:rPr>
              <w:t>年</w:t>
            </w:r>
          </w:p>
        </w:tc>
        <w:tc>
          <w:tcPr>
            <w:tcW w:w="1472" w:type="dxa"/>
          </w:tcPr>
          <w:p w14:paraId="10AA94A5">
            <w:pPr>
              <w:pStyle w:val="21"/>
              <w:spacing w:before="152" w:line="220" w:lineRule="auto"/>
              <w:ind w:left="213"/>
              <w:rPr>
                <w:color w:val="auto"/>
              </w:rPr>
            </w:pPr>
            <w:r>
              <w:rPr>
                <w:b/>
                <w:bCs/>
                <w:color w:val="auto"/>
                <w:spacing w:val="-4"/>
              </w:rPr>
              <w:t>近年平均值</w:t>
            </w:r>
          </w:p>
        </w:tc>
      </w:tr>
      <w:tr w14:paraId="5895D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0A55B138">
            <w:pPr>
              <w:pStyle w:val="21"/>
              <w:spacing w:before="147" w:line="222" w:lineRule="auto"/>
              <w:ind w:left="114"/>
              <w:rPr>
                <w:color w:val="auto"/>
              </w:rPr>
            </w:pPr>
            <w:r>
              <w:rPr>
                <w:color w:val="auto"/>
                <w:spacing w:val="-2"/>
              </w:rPr>
              <w:t>一．注册资金</w:t>
            </w:r>
          </w:p>
        </w:tc>
        <w:tc>
          <w:tcPr>
            <w:tcW w:w="790" w:type="dxa"/>
          </w:tcPr>
          <w:p w14:paraId="44D22E19">
            <w:pPr>
              <w:pStyle w:val="21"/>
              <w:spacing w:before="147" w:line="221" w:lineRule="auto"/>
              <w:ind w:left="292"/>
              <w:rPr>
                <w:color w:val="auto"/>
              </w:rPr>
            </w:pPr>
            <w:r>
              <w:rPr>
                <w:color w:val="auto"/>
              </w:rPr>
              <w:t>元</w:t>
            </w:r>
          </w:p>
        </w:tc>
        <w:tc>
          <w:tcPr>
            <w:tcW w:w="1467" w:type="dxa"/>
          </w:tcPr>
          <w:p w14:paraId="62B35583">
            <w:pPr>
              <w:rPr>
                <w:color w:val="auto"/>
              </w:rPr>
            </w:pPr>
          </w:p>
        </w:tc>
        <w:tc>
          <w:tcPr>
            <w:tcW w:w="1467" w:type="dxa"/>
          </w:tcPr>
          <w:p w14:paraId="439135EA">
            <w:pPr>
              <w:rPr>
                <w:color w:val="auto"/>
              </w:rPr>
            </w:pPr>
          </w:p>
        </w:tc>
        <w:tc>
          <w:tcPr>
            <w:tcW w:w="1467" w:type="dxa"/>
          </w:tcPr>
          <w:p w14:paraId="7244465B">
            <w:pPr>
              <w:rPr>
                <w:color w:val="auto"/>
              </w:rPr>
            </w:pPr>
          </w:p>
        </w:tc>
        <w:tc>
          <w:tcPr>
            <w:tcW w:w="1472" w:type="dxa"/>
          </w:tcPr>
          <w:p w14:paraId="46C93A81">
            <w:pPr>
              <w:pStyle w:val="21"/>
              <w:spacing w:before="247" w:line="142" w:lineRule="exact"/>
              <w:ind w:left="687"/>
              <w:rPr>
                <w:color w:val="auto"/>
              </w:rPr>
            </w:pPr>
            <w:r>
              <w:rPr>
                <w:color w:val="auto"/>
                <w:position w:val="-10"/>
              </w:rPr>
              <w:t>-</w:t>
            </w:r>
          </w:p>
        </w:tc>
      </w:tr>
      <w:tr w14:paraId="6D1E5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022AE980">
            <w:pPr>
              <w:pStyle w:val="21"/>
              <w:spacing w:before="149" w:line="220" w:lineRule="auto"/>
              <w:ind w:left="114"/>
              <w:rPr>
                <w:color w:val="auto"/>
              </w:rPr>
            </w:pPr>
            <w:r>
              <w:rPr>
                <w:color w:val="auto"/>
                <w:spacing w:val="-2"/>
              </w:rPr>
              <w:t>二．净资产</w:t>
            </w:r>
          </w:p>
        </w:tc>
        <w:tc>
          <w:tcPr>
            <w:tcW w:w="790" w:type="dxa"/>
          </w:tcPr>
          <w:p w14:paraId="21AD0E98">
            <w:pPr>
              <w:pStyle w:val="21"/>
              <w:spacing w:before="148" w:line="221" w:lineRule="auto"/>
              <w:ind w:left="292"/>
              <w:rPr>
                <w:color w:val="auto"/>
              </w:rPr>
            </w:pPr>
            <w:r>
              <w:rPr>
                <w:color w:val="auto"/>
              </w:rPr>
              <w:t>元</w:t>
            </w:r>
          </w:p>
        </w:tc>
        <w:tc>
          <w:tcPr>
            <w:tcW w:w="1467" w:type="dxa"/>
          </w:tcPr>
          <w:p w14:paraId="2D102EFE">
            <w:pPr>
              <w:rPr>
                <w:color w:val="auto"/>
              </w:rPr>
            </w:pPr>
          </w:p>
        </w:tc>
        <w:tc>
          <w:tcPr>
            <w:tcW w:w="1467" w:type="dxa"/>
          </w:tcPr>
          <w:p w14:paraId="655A755F">
            <w:pPr>
              <w:rPr>
                <w:color w:val="auto"/>
              </w:rPr>
            </w:pPr>
          </w:p>
        </w:tc>
        <w:tc>
          <w:tcPr>
            <w:tcW w:w="1467" w:type="dxa"/>
          </w:tcPr>
          <w:p w14:paraId="45F89868">
            <w:pPr>
              <w:rPr>
                <w:color w:val="auto"/>
              </w:rPr>
            </w:pPr>
          </w:p>
        </w:tc>
        <w:tc>
          <w:tcPr>
            <w:tcW w:w="1472" w:type="dxa"/>
          </w:tcPr>
          <w:p w14:paraId="3BA4F09D">
            <w:pPr>
              <w:pStyle w:val="21"/>
              <w:spacing w:before="248" w:line="142" w:lineRule="exact"/>
              <w:ind w:left="687"/>
              <w:rPr>
                <w:color w:val="auto"/>
              </w:rPr>
            </w:pPr>
            <w:r>
              <w:rPr>
                <w:color w:val="auto"/>
                <w:position w:val="-10"/>
              </w:rPr>
              <w:t>-</w:t>
            </w:r>
          </w:p>
        </w:tc>
      </w:tr>
      <w:tr w14:paraId="065FC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31A0E39F">
            <w:pPr>
              <w:pStyle w:val="21"/>
              <w:spacing w:before="150" w:line="220" w:lineRule="auto"/>
              <w:ind w:left="111"/>
              <w:rPr>
                <w:color w:val="auto"/>
              </w:rPr>
            </w:pPr>
            <w:r>
              <w:rPr>
                <w:color w:val="auto"/>
                <w:spacing w:val="-1"/>
              </w:rPr>
              <w:t>三．总资产</w:t>
            </w:r>
          </w:p>
        </w:tc>
        <w:tc>
          <w:tcPr>
            <w:tcW w:w="790" w:type="dxa"/>
          </w:tcPr>
          <w:p w14:paraId="212E4144">
            <w:pPr>
              <w:pStyle w:val="21"/>
              <w:spacing w:before="149" w:line="221" w:lineRule="auto"/>
              <w:ind w:left="292"/>
              <w:rPr>
                <w:color w:val="auto"/>
              </w:rPr>
            </w:pPr>
            <w:r>
              <w:rPr>
                <w:color w:val="auto"/>
              </w:rPr>
              <w:t>元</w:t>
            </w:r>
          </w:p>
        </w:tc>
        <w:tc>
          <w:tcPr>
            <w:tcW w:w="1467" w:type="dxa"/>
          </w:tcPr>
          <w:p w14:paraId="6E8B9F2F">
            <w:pPr>
              <w:rPr>
                <w:color w:val="auto"/>
              </w:rPr>
            </w:pPr>
          </w:p>
        </w:tc>
        <w:tc>
          <w:tcPr>
            <w:tcW w:w="1467" w:type="dxa"/>
          </w:tcPr>
          <w:p w14:paraId="36F677F4">
            <w:pPr>
              <w:rPr>
                <w:color w:val="auto"/>
              </w:rPr>
            </w:pPr>
          </w:p>
        </w:tc>
        <w:tc>
          <w:tcPr>
            <w:tcW w:w="1467" w:type="dxa"/>
          </w:tcPr>
          <w:p w14:paraId="23C6AD99">
            <w:pPr>
              <w:rPr>
                <w:color w:val="auto"/>
              </w:rPr>
            </w:pPr>
          </w:p>
        </w:tc>
        <w:tc>
          <w:tcPr>
            <w:tcW w:w="1472" w:type="dxa"/>
          </w:tcPr>
          <w:p w14:paraId="6E92A5C2">
            <w:pPr>
              <w:rPr>
                <w:color w:val="auto"/>
              </w:rPr>
            </w:pPr>
          </w:p>
        </w:tc>
      </w:tr>
      <w:tr w14:paraId="7F62E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255DA992">
            <w:pPr>
              <w:pStyle w:val="21"/>
              <w:spacing w:before="151" w:line="220" w:lineRule="auto"/>
              <w:ind w:left="130"/>
              <w:rPr>
                <w:color w:val="auto"/>
              </w:rPr>
            </w:pPr>
            <w:r>
              <w:rPr>
                <w:color w:val="auto"/>
                <w:spacing w:val="-4"/>
              </w:rPr>
              <w:t>四．固定资产</w:t>
            </w:r>
          </w:p>
        </w:tc>
        <w:tc>
          <w:tcPr>
            <w:tcW w:w="790" w:type="dxa"/>
          </w:tcPr>
          <w:p w14:paraId="4488D0ED">
            <w:pPr>
              <w:pStyle w:val="21"/>
              <w:spacing w:before="150" w:line="221" w:lineRule="auto"/>
              <w:ind w:left="292"/>
              <w:rPr>
                <w:color w:val="auto"/>
              </w:rPr>
            </w:pPr>
            <w:r>
              <w:rPr>
                <w:color w:val="auto"/>
              </w:rPr>
              <w:t>元</w:t>
            </w:r>
          </w:p>
        </w:tc>
        <w:tc>
          <w:tcPr>
            <w:tcW w:w="1467" w:type="dxa"/>
          </w:tcPr>
          <w:p w14:paraId="7A73AE65">
            <w:pPr>
              <w:rPr>
                <w:color w:val="auto"/>
              </w:rPr>
            </w:pPr>
          </w:p>
        </w:tc>
        <w:tc>
          <w:tcPr>
            <w:tcW w:w="1467" w:type="dxa"/>
          </w:tcPr>
          <w:p w14:paraId="156471DF">
            <w:pPr>
              <w:rPr>
                <w:color w:val="auto"/>
              </w:rPr>
            </w:pPr>
          </w:p>
        </w:tc>
        <w:tc>
          <w:tcPr>
            <w:tcW w:w="1467" w:type="dxa"/>
          </w:tcPr>
          <w:p w14:paraId="677C83D5">
            <w:pPr>
              <w:rPr>
                <w:color w:val="auto"/>
              </w:rPr>
            </w:pPr>
          </w:p>
        </w:tc>
        <w:tc>
          <w:tcPr>
            <w:tcW w:w="1472" w:type="dxa"/>
          </w:tcPr>
          <w:p w14:paraId="7B1DCB21">
            <w:pPr>
              <w:pStyle w:val="21"/>
              <w:spacing w:before="250" w:line="142" w:lineRule="exact"/>
              <w:ind w:left="687"/>
              <w:rPr>
                <w:color w:val="auto"/>
              </w:rPr>
            </w:pPr>
            <w:r>
              <w:rPr>
                <w:color w:val="auto"/>
                <w:position w:val="-10"/>
              </w:rPr>
              <w:t>-</w:t>
            </w:r>
          </w:p>
        </w:tc>
      </w:tr>
      <w:tr w14:paraId="7E862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17D8EA73">
            <w:pPr>
              <w:pStyle w:val="21"/>
              <w:spacing w:before="152" w:line="220" w:lineRule="auto"/>
              <w:ind w:left="114"/>
              <w:rPr>
                <w:color w:val="auto"/>
              </w:rPr>
            </w:pPr>
            <w:r>
              <w:rPr>
                <w:color w:val="auto"/>
                <w:spacing w:val="-2"/>
              </w:rPr>
              <w:t>五．流动资产</w:t>
            </w:r>
          </w:p>
        </w:tc>
        <w:tc>
          <w:tcPr>
            <w:tcW w:w="790" w:type="dxa"/>
          </w:tcPr>
          <w:p w14:paraId="2B626F11">
            <w:pPr>
              <w:pStyle w:val="21"/>
              <w:spacing w:before="151" w:line="221" w:lineRule="auto"/>
              <w:ind w:left="292"/>
              <w:rPr>
                <w:color w:val="auto"/>
              </w:rPr>
            </w:pPr>
            <w:r>
              <w:rPr>
                <w:color w:val="auto"/>
              </w:rPr>
              <w:t>元</w:t>
            </w:r>
          </w:p>
        </w:tc>
        <w:tc>
          <w:tcPr>
            <w:tcW w:w="1467" w:type="dxa"/>
          </w:tcPr>
          <w:p w14:paraId="7EA0C6F4">
            <w:pPr>
              <w:rPr>
                <w:color w:val="auto"/>
              </w:rPr>
            </w:pPr>
          </w:p>
        </w:tc>
        <w:tc>
          <w:tcPr>
            <w:tcW w:w="1467" w:type="dxa"/>
          </w:tcPr>
          <w:p w14:paraId="31CB5A66">
            <w:pPr>
              <w:rPr>
                <w:color w:val="auto"/>
              </w:rPr>
            </w:pPr>
          </w:p>
        </w:tc>
        <w:tc>
          <w:tcPr>
            <w:tcW w:w="1467" w:type="dxa"/>
          </w:tcPr>
          <w:p w14:paraId="21E64A6B">
            <w:pPr>
              <w:rPr>
                <w:color w:val="auto"/>
              </w:rPr>
            </w:pPr>
          </w:p>
        </w:tc>
        <w:tc>
          <w:tcPr>
            <w:tcW w:w="1472" w:type="dxa"/>
          </w:tcPr>
          <w:p w14:paraId="4A778931">
            <w:pPr>
              <w:rPr>
                <w:color w:val="auto"/>
              </w:rPr>
            </w:pPr>
          </w:p>
        </w:tc>
      </w:tr>
      <w:tr w14:paraId="51B2D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64E40284">
            <w:pPr>
              <w:pStyle w:val="21"/>
              <w:spacing w:before="153" w:line="220" w:lineRule="auto"/>
              <w:ind w:left="112"/>
              <w:rPr>
                <w:color w:val="auto"/>
              </w:rPr>
            </w:pPr>
            <w:r>
              <w:rPr>
                <w:color w:val="auto"/>
                <w:spacing w:val="-2"/>
              </w:rPr>
              <w:t>六．流动负债</w:t>
            </w:r>
          </w:p>
        </w:tc>
        <w:tc>
          <w:tcPr>
            <w:tcW w:w="790" w:type="dxa"/>
          </w:tcPr>
          <w:p w14:paraId="758A09D7">
            <w:pPr>
              <w:pStyle w:val="21"/>
              <w:spacing w:before="152" w:line="221" w:lineRule="auto"/>
              <w:ind w:left="292"/>
              <w:rPr>
                <w:color w:val="auto"/>
              </w:rPr>
            </w:pPr>
            <w:r>
              <w:rPr>
                <w:color w:val="auto"/>
              </w:rPr>
              <w:t>元</w:t>
            </w:r>
          </w:p>
        </w:tc>
        <w:tc>
          <w:tcPr>
            <w:tcW w:w="1467" w:type="dxa"/>
          </w:tcPr>
          <w:p w14:paraId="37CB9374">
            <w:pPr>
              <w:rPr>
                <w:color w:val="auto"/>
              </w:rPr>
            </w:pPr>
          </w:p>
        </w:tc>
        <w:tc>
          <w:tcPr>
            <w:tcW w:w="1467" w:type="dxa"/>
          </w:tcPr>
          <w:p w14:paraId="1D95AEDA">
            <w:pPr>
              <w:rPr>
                <w:color w:val="auto"/>
              </w:rPr>
            </w:pPr>
          </w:p>
        </w:tc>
        <w:tc>
          <w:tcPr>
            <w:tcW w:w="1467" w:type="dxa"/>
          </w:tcPr>
          <w:p w14:paraId="50F6024A">
            <w:pPr>
              <w:rPr>
                <w:color w:val="auto"/>
              </w:rPr>
            </w:pPr>
          </w:p>
        </w:tc>
        <w:tc>
          <w:tcPr>
            <w:tcW w:w="1472" w:type="dxa"/>
          </w:tcPr>
          <w:p w14:paraId="6A1653A9">
            <w:pPr>
              <w:rPr>
                <w:color w:val="auto"/>
              </w:rPr>
            </w:pPr>
          </w:p>
        </w:tc>
      </w:tr>
      <w:tr w14:paraId="15228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58" w:type="dxa"/>
          </w:tcPr>
          <w:p w14:paraId="6439E8F3">
            <w:pPr>
              <w:pStyle w:val="21"/>
              <w:spacing w:before="154" w:line="220" w:lineRule="auto"/>
              <w:ind w:left="110"/>
              <w:rPr>
                <w:color w:val="auto"/>
              </w:rPr>
            </w:pPr>
            <w:r>
              <w:rPr>
                <w:color w:val="auto"/>
                <w:spacing w:val="-1"/>
              </w:rPr>
              <w:t>七．负债合计</w:t>
            </w:r>
          </w:p>
        </w:tc>
        <w:tc>
          <w:tcPr>
            <w:tcW w:w="790" w:type="dxa"/>
          </w:tcPr>
          <w:p w14:paraId="33B3E489">
            <w:pPr>
              <w:pStyle w:val="21"/>
              <w:spacing w:before="153" w:line="221" w:lineRule="auto"/>
              <w:ind w:left="292"/>
              <w:rPr>
                <w:color w:val="auto"/>
              </w:rPr>
            </w:pPr>
            <w:r>
              <w:rPr>
                <w:color w:val="auto"/>
              </w:rPr>
              <w:t>元</w:t>
            </w:r>
          </w:p>
        </w:tc>
        <w:tc>
          <w:tcPr>
            <w:tcW w:w="1467" w:type="dxa"/>
          </w:tcPr>
          <w:p w14:paraId="6427BC89">
            <w:pPr>
              <w:rPr>
                <w:color w:val="auto"/>
              </w:rPr>
            </w:pPr>
          </w:p>
        </w:tc>
        <w:tc>
          <w:tcPr>
            <w:tcW w:w="1467" w:type="dxa"/>
          </w:tcPr>
          <w:p w14:paraId="3E7BF20B">
            <w:pPr>
              <w:rPr>
                <w:color w:val="auto"/>
              </w:rPr>
            </w:pPr>
          </w:p>
        </w:tc>
        <w:tc>
          <w:tcPr>
            <w:tcW w:w="1467" w:type="dxa"/>
          </w:tcPr>
          <w:p w14:paraId="7A645F9E">
            <w:pPr>
              <w:rPr>
                <w:color w:val="auto"/>
              </w:rPr>
            </w:pPr>
          </w:p>
        </w:tc>
        <w:tc>
          <w:tcPr>
            <w:tcW w:w="1472" w:type="dxa"/>
          </w:tcPr>
          <w:p w14:paraId="452BBE28">
            <w:pPr>
              <w:rPr>
                <w:color w:val="auto"/>
              </w:rPr>
            </w:pPr>
          </w:p>
        </w:tc>
      </w:tr>
      <w:tr w14:paraId="6FABE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25DE9FD0">
            <w:pPr>
              <w:pStyle w:val="21"/>
              <w:spacing w:before="155" w:line="220" w:lineRule="auto"/>
              <w:ind w:left="114"/>
              <w:rPr>
                <w:color w:val="auto"/>
              </w:rPr>
            </w:pPr>
            <w:r>
              <w:rPr>
                <w:color w:val="auto"/>
                <w:spacing w:val="-2"/>
              </w:rPr>
              <w:t>八．营业收入</w:t>
            </w:r>
          </w:p>
        </w:tc>
        <w:tc>
          <w:tcPr>
            <w:tcW w:w="790" w:type="dxa"/>
          </w:tcPr>
          <w:p w14:paraId="332E3013">
            <w:pPr>
              <w:pStyle w:val="21"/>
              <w:spacing w:before="154" w:line="221" w:lineRule="auto"/>
              <w:ind w:left="292"/>
              <w:rPr>
                <w:color w:val="auto"/>
              </w:rPr>
            </w:pPr>
            <w:r>
              <w:rPr>
                <w:color w:val="auto"/>
              </w:rPr>
              <w:t>元</w:t>
            </w:r>
          </w:p>
        </w:tc>
        <w:tc>
          <w:tcPr>
            <w:tcW w:w="1467" w:type="dxa"/>
          </w:tcPr>
          <w:p w14:paraId="5F44535D">
            <w:pPr>
              <w:rPr>
                <w:color w:val="auto"/>
              </w:rPr>
            </w:pPr>
          </w:p>
        </w:tc>
        <w:tc>
          <w:tcPr>
            <w:tcW w:w="1467" w:type="dxa"/>
          </w:tcPr>
          <w:p w14:paraId="0DA2184A">
            <w:pPr>
              <w:rPr>
                <w:color w:val="auto"/>
              </w:rPr>
            </w:pPr>
          </w:p>
        </w:tc>
        <w:tc>
          <w:tcPr>
            <w:tcW w:w="1467" w:type="dxa"/>
          </w:tcPr>
          <w:p w14:paraId="769ED692">
            <w:pPr>
              <w:rPr>
                <w:color w:val="auto"/>
              </w:rPr>
            </w:pPr>
          </w:p>
        </w:tc>
        <w:tc>
          <w:tcPr>
            <w:tcW w:w="1472" w:type="dxa"/>
          </w:tcPr>
          <w:p w14:paraId="3EC7507C">
            <w:pPr>
              <w:rPr>
                <w:color w:val="auto"/>
              </w:rPr>
            </w:pPr>
          </w:p>
        </w:tc>
      </w:tr>
      <w:tr w14:paraId="1353E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5A1CA624">
            <w:pPr>
              <w:pStyle w:val="21"/>
              <w:spacing w:before="154" w:line="221" w:lineRule="auto"/>
              <w:ind w:left="116"/>
              <w:rPr>
                <w:color w:val="auto"/>
              </w:rPr>
            </w:pPr>
            <w:r>
              <w:rPr>
                <w:color w:val="auto"/>
                <w:spacing w:val="-2"/>
              </w:rPr>
              <w:t>九．净利润</w:t>
            </w:r>
          </w:p>
        </w:tc>
        <w:tc>
          <w:tcPr>
            <w:tcW w:w="790" w:type="dxa"/>
          </w:tcPr>
          <w:p w14:paraId="22212824">
            <w:pPr>
              <w:pStyle w:val="21"/>
              <w:spacing w:before="154" w:line="221" w:lineRule="auto"/>
              <w:ind w:left="292"/>
              <w:rPr>
                <w:color w:val="auto"/>
              </w:rPr>
            </w:pPr>
            <w:r>
              <w:rPr>
                <w:color w:val="auto"/>
              </w:rPr>
              <w:t>元</w:t>
            </w:r>
          </w:p>
        </w:tc>
        <w:tc>
          <w:tcPr>
            <w:tcW w:w="1467" w:type="dxa"/>
          </w:tcPr>
          <w:p w14:paraId="7FF340D5">
            <w:pPr>
              <w:rPr>
                <w:color w:val="auto"/>
              </w:rPr>
            </w:pPr>
          </w:p>
        </w:tc>
        <w:tc>
          <w:tcPr>
            <w:tcW w:w="1467" w:type="dxa"/>
          </w:tcPr>
          <w:p w14:paraId="38F984B8">
            <w:pPr>
              <w:rPr>
                <w:color w:val="auto"/>
              </w:rPr>
            </w:pPr>
          </w:p>
        </w:tc>
        <w:tc>
          <w:tcPr>
            <w:tcW w:w="1467" w:type="dxa"/>
          </w:tcPr>
          <w:p w14:paraId="0102966B">
            <w:pPr>
              <w:rPr>
                <w:color w:val="auto"/>
              </w:rPr>
            </w:pPr>
          </w:p>
        </w:tc>
        <w:tc>
          <w:tcPr>
            <w:tcW w:w="1472" w:type="dxa"/>
          </w:tcPr>
          <w:p w14:paraId="151A9661">
            <w:pPr>
              <w:pStyle w:val="21"/>
              <w:spacing w:before="254" w:line="142" w:lineRule="exact"/>
              <w:ind w:left="687"/>
              <w:rPr>
                <w:color w:val="auto"/>
              </w:rPr>
            </w:pPr>
            <w:r>
              <w:rPr>
                <w:color w:val="auto"/>
                <w:position w:val="-10"/>
              </w:rPr>
              <w:t>-</w:t>
            </w:r>
          </w:p>
        </w:tc>
      </w:tr>
      <w:tr w14:paraId="4C4BB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6E7606E9">
            <w:pPr>
              <w:pStyle w:val="21"/>
              <w:spacing w:before="155" w:line="220" w:lineRule="auto"/>
              <w:ind w:left="112"/>
              <w:rPr>
                <w:color w:val="auto"/>
              </w:rPr>
            </w:pPr>
            <w:r>
              <w:rPr>
                <w:color w:val="auto"/>
                <w:spacing w:val="-7"/>
              </w:rPr>
              <w:t>十．现金流量净额</w:t>
            </w:r>
          </w:p>
        </w:tc>
        <w:tc>
          <w:tcPr>
            <w:tcW w:w="790" w:type="dxa"/>
          </w:tcPr>
          <w:p w14:paraId="2E184306">
            <w:pPr>
              <w:pStyle w:val="21"/>
              <w:spacing w:before="154" w:line="221" w:lineRule="auto"/>
              <w:ind w:left="292"/>
              <w:rPr>
                <w:color w:val="auto"/>
              </w:rPr>
            </w:pPr>
            <w:r>
              <w:rPr>
                <w:color w:val="auto"/>
              </w:rPr>
              <w:t>元</w:t>
            </w:r>
          </w:p>
        </w:tc>
        <w:tc>
          <w:tcPr>
            <w:tcW w:w="1467" w:type="dxa"/>
          </w:tcPr>
          <w:p w14:paraId="5C438780">
            <w:pPr>
              <w:rPr>
                <w:color w:val="auto"/>
              </w:rPr>
            </w:pPr>
          </w:p>
        </w:tc>
        <w:tc>
          <w:tcPr>
            <w:tcW w:w="1467" w:type="dxa"/>
          </w:tcPr>
          <w:p w14:paraId="1EAA7A68">
            <w:pPr>
              <w:rPr>
                <w:color w:val="auto"/>
              </w:rPr>
            </w:pPr>
          </w:p>
        </w:tc>
        <w:tc>
          <w:tcPr>
            <w:tcW w:w="1467" w:type="dxa"/>
          </w:tcPr>
          <w:p w14:paraId="19C8E62B">
            <w:pPr>
              <w:rPr>
                <w:color w:val="auto"/>
              </w:rPr>
            </w:pPr>
          </w:p>
        </w:tc>
        <w:tc>
          <w:tcPr>
            <w:tcW w:w="1472" w:type="dxa"/>
          </w:tcPr>
          <w:p w14:paraId="4647B586">
            <w:pPr>
              <w:pStyle w:val="21"/>
              <w:spacing w:before="254" w:line="142" w:lineRule="exact"/>
              <w:ind w:left="687"/>
              <w:rPr>
                <w:color w:val="auto"/>
              </w:rPr>
            </w:pPr>
            <w:r>
              <w:rPr>
                <w:color w:val="auto"/>
                <w:position w:val="-10"/>
              </w:rPr>
              <w:t>-</w:t>
            </w:r>
          </w:p>
        </w:tc>
      </w:tr>
      <w:tr w14:paraId="01E35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858" w:type="dxa"/>
          </w:tcPr>
          <w:p w14:paraId="0C37D6A0">
            <w:pPr>
              <w:pStyle w:val="21"/>
              <w:spacing w:before="55" w:line="245" w:lineRule="auto"/>
              <w:ind w:left="112" w:right="105"/>
              <w:rPr>
                <w:color w:val="auto"/>
              </w:rPr>
            </w:pPr>
            <w:r>
              <w:rPr>
                <w:color w:val="auto"/>
                <w:spacing w:val="-7"/>
              </w:rPr>
              <w:t>十一．主要财务指</w:t>
            </w:r>
            <w:r>
              <w:rPr>
                <w:color w:val="auto"/>
              </w:rPr>
              <w:t>标</w:t>
            </w:r>
          </w:p>
        </w:tc>
        <w:tc>
          <w:tcPr>
            <w:tcW w:w="790" w:type="dxa"/>
          </w:tcPr>
          <w:p w14:paraId="33797BB2">
            <w:pPr>
              <w:rPr>
                <w:color w:val="auto"/>
              </w:rPr>
            </w:pPr>
          </w:p>
        </w:tc>
        <w:tc>
          <w:tcPr>
            <w:tcW w:w="1467" w:type="dxa"/>
          </w:tcPr>
          <w:p w14:paraId="689AD2D4">
            <w:pPr>
              <w:rPr>
                <w:color w:val="auto"/>
              </w:rPr>
            </w:pPr>
          </w:p>
        </w:tc>
        <w:tc>
          <w:tcPr>
            <w:tcW w:w="1467" w:type="dxa"/>
          </w:tcPr>
          <w:p w14:paraId="5E45ED74">
            <w:pPr>
              <w:rPr>
                <w:color w:val="auto"/>
              </w:rPr>
            </w:pPr>
          </w:p>
        </w:tc>
        <w:tc>
          <w:tcPr>
            <w:tcW w:w="1467" w:type="dxa"/>
          </w:tcPr>
          <w:p w14:paraId="1E2957F9">
            <w:pPr>
              <w:rPr>
                <w:color w:val="auto"/>
              </w:rPr>
            </w:pPr>
          </w:p>
        </w:tc>
        <w:tc>
          <w:tcPr>
            <w:tcW w:w="1472" w:type="dxa"/>
          </w:tcPr>
          <w:p w14:paraId="3E432E69">
            <w:pPr>
              <w:spacing w:line="241" w:lineRule="auto"/>
              <w:rPr>
                <w:color w:val="auto"/>
              </w:rPr>
            </w:pPr>
          </w:p>
          <w:p w14:paraId="2A483F32">
            <w:pPr>
              <w:pStyle w:val="21"/>
              <w:spacing w:before="69" w:line="141" w:lineRule="exact"/>
              <w:ind w:left="687"/>
              <w:rPr>
                <w:color w:val="auto"/>
              </w:rPr>
            </w:pPr>
            <w:r>
              <w:rPr>
                <w:color w:val="auto"/>
                <w:position w:val="-10"/>
              </w:rPr>
              <w:t>-</w:t>
            </w:r>
          </w:p>
        </w:tc>
      </w:tr>
      <w:tr w14:paraId="44274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778EE710">
            <w:pPr>
              <w:pStyle w:val="21"/>
              <w:spacing w:before="156" w:line="220" w:lineRule="auto"/>
              <w:ind w:left="126"/>
              <w:rPr>
                <w:color w:val="auto"/>
              </w:rPr>
            </w:pPr>
            <w:r>
              <w:rPr>
                <w:color w:val="auto"/>
                <w:spacing w:val="-3"/>
              </w:rPr>
              <w:t>1．净资产收益率</w:t>
            </w:r>
          </w:p>
        </w:tc>
        <w:tc>
          <w:tcPr>
            <w:tcW w:w="790" w:type="dxa"/>
          </w:tcPr>
          <w:p w14:paraId="6494E25A">
            <w:pPr>
              <w:spacing w:before="216"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05405EB8">
            <w:pPr>
              <w:rPr>
                <w:color w:val="auto"/>
              </w:rPr>
            </w:pPr>
          </w:p>
        </w:tc>
        <w:tc>
          <w:tcPr>
            <w:tcW w:w="1467" w:type="dxa"/>
          </w:tcPr>
          <w:p w14:paraId="2592ADCE">
            <w:pPr>
              <w:rPr>
                <w:color w:val="auto"/>
              </w:rPr>
            </w:pPr>
          </w:p>
        </w:tc>
        <w:tc>
          <w:tcPr>
            <w:tcW w:w="1467" w:type="dxa"/>
          </w:tcPr>
          <w:p w14:paraId="6B10E0AB">
            <w:pPr>
              <w:rPr>
                <w:color w:val="auto"/>
              </w:rPr>
            </w:pPr>
          </w:p>
        </w:tc>
        <w:tc>
          <w:tcPr>
            <w:tcW w:w="1472" w:type="dxa"/>
          </w:tcPr>
          <w:p w14:paraId="41CCCFED">
            <w:pPr>
              <w:rPr>
                <w:color w:val="auto"/>
              </w:rPr>
            </w:pPr>
          </w:p>
        </w:tc>
      </w:tr>
      <w:tr w14:paraId="7556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746CB684">
            <w:pPr>
              <w:pStyle w:val="21"/>
              <w:spacing w:before="156" w:line="220" w:lineRule="auto"/>
              <w:ind w:left="113"/>
              <w:rPr>
                <w:color w:val="auto"/>
              </w:rPr>
            </w:pPr>
            <w:r>
              <w:rPr>
                <w:color w:val="auto"/>
                <w:spacing w:val="-2"/>
              </w:rPr>
              <w:t>2．总资产报酬率</w:t>
            </w:r>
          </w:p>
        </w:tc>
        <w:tc>
          <w:tcPr>
            <w:tcW w:w="790" w:type="dxa"/>
          </w:tcPr>
          <w:p w14:paraId="29043DAD">
            <w:pPr>
              <w:spacing w:before="216"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6F7DDA32">
            <w:pPr>
              <w:rPr>
                <w:color w:val="auto"/>
              </w:rPr>
            </w:pPr>
          </w:p>
        </w:tc>
        <w:tc>
          <w:tcPr>
            <w:tcW w:w="1467" w:type="dxa"/>
          </w:tcPr>
          <w:p w14:paraId="33835DD4">
            <w:pPr>
              <w:rPr>
                <w:color w:val="auto"/>
              </w:rPr>
            </w:pPr>
          </w:p>
        </w:tc>
        <w:tc>
          <w:tcPr>
            <w:tcW w:w="1467" w:type="dxa"/>
          </w:tcPr>
          <w:p w14:paraId="5622943A">
            <w:pPr>
              <w:rPr>
                <w:color w:val="auto"/>
              </w:rPr>
            </w:pPr>
          </w:p>
        </w:tc>
        <w:tc>
          <w:tcPr>
            <w:tcW w:w="1472" w:type="dxa"/>
          </w:tcPr>
          <w:p w14:paraId="046540BC">
            <w:pPr>
              <w:rPr>
                <w:color w:val="auto"/>
              </w:rPr>
            </w:pPr>
          </w:p>
        </w:tc>
      </w:tr>
      <w:tr w14:paraId="10B6D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858" w:type="dxa"/>
          </w:tcPr>
          <w:p w14:paraId="60679AAA">
            <w:pPr>
              <w:pStyle w:val="21"/>
              <w:spacing w:before="55" w:line="245" w:lineRule="auto"/>
              <w:ind w:left="112" w:right="105" w:firstLine="2"/>
              <w:rPr>
                <w:color w:val="auto"/>
              </w:rPr>
            </w:pPr>
            <w:r>
              <w:rPr>
                <w:color w:val="auto"/>
                <w:spacing w:val="6"/>
              </w:rPr>
              <w:t>3．主营业务利润</w:t>
            </w:r>
            <w:r>
              <w:rPr>
                <w:color w:val="auto"/>
              </w:rPr>
              <w:t>率</w:t>
            </w:r>
          </w:p>
        </w:tc>
        <w:tc>
          <w:tcPr>
            <w:tcW w:w="790" w:type="dxa"/>
          </w:tcPr>
          <w:p w14:paraId="4D01ED16">
            <w:pPr>
              <w:spacing w:before="216"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63E172F6">
            <w:pPr>
              <w:rPr>
                <w:color w:val="auto"/>
              </w:rPr>
            </w:pPr>
          </w:p>
        </w:tc>
        <w:tc>
          <w:tcPr>
            <w:tcW w:w="1467" w:type="dxa"/>
          </w:tcPr>
          <w:p w14:paraId="4EBAD4DF">
            <w:pPr>
              <w:rPr>
                <w:color w:val="auto"/>
              </w:rPr>
            </w:pPr>
          </w:p>
        </w:tc>
        <w:tc>
          <w:tcPr>
            <w:tcW w:w="1467" w:type="dxa"/>
          </w:tcPr>
          <w:p w14:paraId="0D5EF3C3">
            <w:pPr>
              <w:rPr>
                <w:color w:val="auto"/>
              </w:rPr>
            </w:pPr>
          </w:p>
        </w:tc>
        <w:tc>
          <w:tcPr>
            <w:tcW w:w="1472" w:type="dxa"/>
          </w:tcPr>
          <w:p w14:paraId="55EB3211">
            <w:pPr>
              <w:spacing w:line="242" w:lineRule="auto"/>
              <w:rPr>
                <w:color w:val="auto"/>
              </w:rPr>
            </w:pPr>
          </w:p>
          <w:p w14:paraId="767E4B1C">
            <w:pPr>
              <w:pStyle w:val="21"/>
              <w:spacing w:before="69" w:line="141" w:lineRule="exact"/>
              <w:ind w:left="687"/>
              <w:rPr>
                <w:color w:val="auto"/>
              </w:rPr>
            </w:pPr>
            <w:r>
              <w:rPr>
                <w:color w:val="auto"/>
                <w:position w:val="-10"/>
              </w:rPr>
              <w:t>-</w:t>
            </w:r>
          </w:p>
        </w:tc>
      </w:tr>
      <w:tr w14:paraId="54060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3C2E9B6A">
            <w:pPr>
              <w:pStyle w:val="21"/>
              <w:spacing w:before="157" w:line="220" w:lineRule="auto"/>
              <w:ind w:left="110"/>
              <w:rPr>
                <w:color w:val="auto"/>
              </w:rPr>
            </w:pPr>
            <w:r>
              <w:rPr>
                <w:color w:val="auto"/>
                <w:spacing w:val="-1"/>
              </w:rPr>
              <w:t>4．资产负债率</w:t>
            </w:r>
          </w:p>
        </w:tc>
        <w:tc>
          <w:tcPr>
            <w:tcW w:w="790" w:type="dxa"/>
          </w:tcPr>
          <w:p w14:paraId="7DA17DF2">
            <w:pPr>
              <w:spacing w:before="217"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39463F51">
            <w:pPr>
              <w:rPr>
                <w:color w:val="auto"/>
              </w:rPr>
            </w:pPr>
          </w:p>
        </w:tc>
        <w:tc>
          <w:tcPr>
            <w:tcW w:w="1467" w:type="dxa"/>
          </w:tcPr>
          <w:p w14:paraId="76D18583">
            <w:pPr>
              <w:rPr>
                <w:color w:val="auto"/>
              </w:rPr>
            </w:pPr>
          </w:p>
        </w:tc>
        <w:tc>
          <w:tcPr>
            <w:tcW w:w="1467" w:type="dxa"/>
          </w:tcPr>
          <w:p w14:paraId="26F2EA9D">
            <w:pPr>
              <w:rPr>
                <w:color w:val="auto"/>
              </w:rPr>
            </w:pPr>
          </w:p>
        </w:tc>
        <w:tc>
          <w:tcPr>
            <w:tcW w:w="1472" w:type="dxa"/>
          </w:tcPr>
          <w:p w14:paraId="38B267F0">
            <w:pPr>
              <w:rPr>
                <w:color w:val="auto"/>
              </w:rPr>
            </w:pPr>
          </w:p>
        </w:tc>
      </w:tr>
      <w:tr w14:paraId="31670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858" w:type="dxa"/>
          </w:tcPr>
          <w:p w14:paraId="313FA47E">
            <w:pPr>
              <w:pStyle w:val="21"/>
              <w:spacing w:before="157" w:line="220" w:lineRule="auto"/>
              <w:ind w:left="115"/>
              <w:rPr>
                <w:color w:val="auto"/>
              </w:rPr>
            </w:pPr>
            <w:r>
              <w:rPr>
                <w:color w:val="auto"/>
                <w:spacing w:val="-2"/>
              </w:rPr>
              <w:t>5．流动比率</w:t>
            </w:r>
          </w:p>
        </w:tc>
        <w:tc>
          <w:tcPr>
            <w:tcW w:w="790" w:type="dxa"/>
          </w:tcPr>
          <w:p w14:paraId="6F0005AE">
            <w:pPr>
              <w:spacing w:before="217"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28E5A8DC">
            <w:pPr>
              <w:rPr>
                <w:color w:val="auto"/>
              </w:rPr>
            </w:pPr>
          </w:p>
        </w:tc>
        <w:tc>
          <w:tcPr>
            <w:tcW w:w="1467" w:type="dxa"/>
          </w:tcPr>
          <w:p w14:paraId="220AC526">
            <w:pPr>
              <w:rPr>
                <w:color w:val="auto"/>
              </w:rPr>
            </w:pPr>
          </w:p>
        </w:tc>
        <w:tc>
          <w:tcPr>
            <w:tcW w:w="1467" w:type="dxa"/>
          </w:tcPr>
          <w:p w14:paraId="56F42F30">
            <w:pPr>
              <w:rPr>
                <w:color w:val="auto"/>
              </w:rPr>
            </w:pPr>
          </w:p>
        </w:tc>
        <w:tc>
          <w:tcPr>
            <w:tcW w:w="1472" w:type="dxa"/>
          </w:tcPr>
          <w:p w14:paraId="09D8D617">
            <w:pPr>
              <w:rPr>
                <w:color w:val="auto"/>
              </w:rPr>
            </w:pPr>
          </w:p>
        </w:tc>
      </w:tr>
      <w:tr w14:paraId="22FAE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858" w:type="dxa"/>
          </w:tcPr>
          <w:p w14:paraId="52A1A47A">
            <w:pPr>
              <w:pStyle w:val="21"/>
              <w:spacing w:before="157" w:line="220" w:lineRule="auto"/>
              <w:ind w:left="112"/>
              <w:rPr>
                <w:color w:val="auto"/>
              </w:rPr>
            </w:pPr>
            <w:r>
              <w:rPr>
                <w:color w:val="auto"/>
                <w:spacing w:val="-2"/>
              </w:rPr>
              <w:t>6．速动比率</w:t>
            </w:r>
          </w:p>
        </w:tc>
        <w:tc>
          <w:tcPr>
            <w:tcW w:w="790" w:type="dxa"/>
          </w:tcPr>
          <w:p w14:paraId="43B6F9A4">
            <w:pPr>
              <w:spacing w:before="217" w:line="186" w:lineRule="auto"/>
              <w:ind w:left="313"/>
              <w:rPr>
                <w:rFonts w:ascii="Times New Roman" w:hAnsi="Times New Roman" w:eastAsia="Times New Roman" w:cs="Times New Roman"/>
                <w:color w:val="auto"/>
              </w:rPr>
            </w:pPr>
            <w:r>
              <w:rPr>
                <w:rFonts w:ascii="Times New Roman" w:hAnsi="Times New Roman" w:eastAsia="Times New Roman" w:cs="Times New Roman"/>
                <w:color w:val="auto"/>
              </w:rPr>
              <w:t>%</w:t>
            </w:r>
          </w:p>
        </w:tc>
        <w:tc>
          <w:tcPr>
            <w:tcW w:w="1467" w:type="dxa"/>
          </w:tcPr>
          <w:p w14:paraId="29079DCB">
            <w:pPr>
              <w:rPr>
                <w:color w:val="auto"/>
              </w:rPr>
            </w:pPr>
          </w:p>
        </w:tc>
        <w:tc>
          <w:tcPr>
            <w:tcW w:w="1467" w:type="dxa"/>
          </w:tcPr>
          <w:p w14:paraId="6D160B79">
            <w:pPr>
              <w:rPr>
                <w:color w:val="auto"/>
              </w:rPr>
            </w:pPr>
          </w:p>
        </w:tc>
        <w:tc>
          <w:tcPr>
            <w:tcW w:w="1467" w:type="dxa"/>
          </w:tcPr>
          <w:p w14:paraId="790C48DB">
            <w:pPr>
              <w:rPr>
                <w:color w:val="auto"/>
              </w:rPr>
            </w:pPr>
          </w:p>
        </w:tc>
        <w:tc>
          <w:tcPr>
            <w:tcW w:w="1472" w:type="dxa"/>
          </w:tcPr>
          <w:p w14:paraId="1E638546">
            <w:pPr>
              <w:rPr>
                <w:color w:val="auto"/>
              </w:rPr>
            </w:pPr>
          </w:p>
        </w:tc>
      </w:tr>
    </w:tbl>
    <w:p w14:paraId="7DE97557">
      <w:pPr>
        <w:spacing w:before="79" w:line="222" w:lineRule="auto"/>
        <w:ind w:left="1702"/>
        <w:rPr>
          <w:rFonts w:ascii="宋体" w:hAnsi="宋体" w:eastAsia="宋体" w:cs="宋体"/>
          <w:color w:val="auto"/>
          <w:lang w:eastAsia="zh-CN"/>
        </w:rPr>
      </w:pPr>
      <w:r>
        <w:rPr>
          <w:rFonts w:ascii="黑体" w:hAnsi="黑体" w:eastAsia="黑体" w:cs="黑体"/>
          <w:color w:val="auto"/>
          <w:spacing w:val="-1"/>
          <w:lang w:eastAsia="zh-CN"/>
        </w:rPr>
        <w:t>备注：</w:t>
      </w:r>
      <w:r>
        <w:rPr>
          <w:rFonts w:ascii="宋体" w:hAnsi="宋体" w:eastAsia="宋体" w:cs="宋体"/>
          <w:color w:val="auto"/>
          <w:spacing w:val="-1"/>
          <w:lang w:eastAsia="zh-CN"/>
        </w:rPr>
        <w:t>1.本表后应附近年经会计师事务所或审计机构审计的财务会</w:t>
      </w:r>
      <w:r>
        <w:rPr>
          <w:rFonts w:ascii="宋体" w:hAnsi="宋体" w:eastAsia="宋体" w:cs="宋体"/>
          <w:color w:val="auto"/>
          <w:spacing w:val="-2"/>
          <w:lang w:eastAsia="zh-CN"/>
        </w:rPr>
        <w:t>计报表。</w:t>
      </w:r>
    </w:p>
    <w:p w14:paraId="77411CD0">
      <w:pPr>
        <w:spacing w:before="72" w:line="253" w:lineRule="auto"/>
        <w:ind w:left="2647" w:right="1800" w:hanging="313"/>
        <w:rPr>
          <w:rFonts w:ascii="宋体" w:hAnsi="宋体" w:eastAsia="宋体" w:cs="宋体"/>
          <w:color w:val="auto"/>
          <w:lang w:eastAsia="zh-CN"/>
        </w:rPr>
      </w:pPr>
      <w:r>
        <w:rPr>
          <w:rFonts w:ascii="宋体" w:hAnsi="宋体" w:eastAsia="宋体" w:cs="宋体"/>
          <w:color w:val="auto"/>
          <w:spacing w:val="-3"/>
          <w:lang w:eastAsia="zh-CN"/>
        </w:rPr>
        <w:t>2.本表所列数据必须与本表各附件中的数据相一致。如果有不一致之处，以不利于投</w:t>
      </w:r>
      <w:r>
        <w:rPr>
          <w:rFonts w:ascii="宋体" w:hAnsi="宋体" w:eastAsia="宋体" w:cs="宋体"/>
          <w:color w:val="auto"/>
          <w:spacing w:val="-5"/>
          <w:lang w:eastAsia="zh-CN"/>
        </w:rPr>
        <w:t>标人的数据为准。</w:t>
      </w:r>
    </w:p>
    <w:p w14:paraId="47DB7E83">
      <w:pPr>
        <w:spacing w:before="47" w:line="221" w:lineRule="auto"/>
        <w:ind w:left="2336"/>
        <w:rPr>
          <w:rFonts w:ascii="宋体" w:hAnsi="宋体" w:eastAsia="宋体" w:cs="宋体"/>
          <w:color w:val="auto"/>
          <w:lang w:eastAsia="zh-CN"/>
        </w:rPr>
      </w:pPr>
      <w:r>
        <w:rPr>
          <w:rFonts w:ascii="宋体" w:hAnsi="宋体" w:eastAsia="宋体" w:cs="宋体"/>
          <w:color w:val="auto"/>
          <w:spacing w:val="-2"/>
          <w:lang w:eastAsia="zh-CN"/>
        </w:rPr>
        <w:t>3.联合体投标的，联合体各成员应分别填写。</w:t>
      </w:r>
    </w:p>
    <w:p w14:paraId="4FD3A12A">
      <w:pPr>
        <w:spacing w:line="221" w:lineRule="auto"/>
        <w:rPr>
          <w:rFonts w:ascii="宋体" w:hAnsi="宋体" w:eastAsia="宋体" w:cs="宋体"/>
          <w:color w:val="auto"/>
          <w:lang w:eastAsia="zh-CN"/>
        </w:rPr>
        <w:sectPr>
          <w:headerReference r:id="rId156" w:type="default"/>
          <w:footerReference r:id="rId157" w:type="default"/>
          <w:pgSz w:w="11906" w:h="16839"/>
          <w:pgMar w:top="400" w:right="0" w:bottom="1147" w:left="105" w:header="0" w:footer="987" w:gutter="0"/>
          <w:cols w:space="720" w:num="1"/>
        </w:sectPr>
      </w:pPr>
    </w:p>
    <w:p w14:paraId="6F044D43">
      <w:pPr>
        <w:pStyle w:val="8"/>
        <w:spacing w:line="275" w:lineRule="auto"/>
        <w:rPr>
          <w:lang w:eastAsia="zh-CN"/>
        </w:rPr>
      </w:pPr>
    </w:p>
    <w:p w14:paraId="3AEB8A19">
      <w:pPr>
        <w:pStyle w:val="8"/>
        <w:spacing w:line="276" w:lineRule="auto"/>
        <w:rPr>
          <w:lang w:eastAsia="zh-CN"/>
        </w:rPr>
      </w:pPr>
    </w:p>
    <w:p w14:paraId="7F6E3379">
      <w:pPr>
        <w:pStyle w:val="8"/>
        <w:spacing w:line="276" w:lineRule="auto"/>
        <w:rPr>
          <w:lang w:eastAsia="zh-CN"/>
        </w:rPr>
      </w:pPr>
    </w:p>
    <w:p w14:paraId="79B9FCB4">
      <w:pPr>
        <w:pStyle w:val="8"/>
        <w:spacing w:line="276" w:lineRule="auto"/>
        <w:rPr>
          <w:lang w:eastAsia="zh-CN"/>
        </w:rPr>
      </w:pPr>
    </w:p>
    <w:p w14:paraId="6FE318DD">
      <w:pPr>
        <w:pStyle w:val="8"/>
        <w:spacing w:line="276" w:lineRule="auto"/>
        <w:rPr>
          <w:lang w:eastAsia="zh-CN"/>
        </w:rPr>
      </w:pPr>
    </w:p>
    <w:p w14:paraId="7405CA6D">
      <w:pPr>
        <w:spacing w:before="78" w:line="221" w:lineRule="auto"/>
        <w:ind w:left="4192"/>
        <w:outlineLvl w:val="2"/>
        <w:rPr>
          <w:rFonts w:ascii="黑体" w:hAnsi="黑体" w:eastAsia="黑体" w:cs="黑体"/>
          <w:color w:val="auto"/>
          <w:sz w:val="24"/>
          <w:szCs w:val="24"/>
          <w:lang w:eastAsia="zh-CN"/>
        </w:rPr>
      </w:pPr>
      <w:bookmarkStart w:id="459" w:name="bookmark195"/>
      <w:bookmarkEnd w:id="459"/>
      <w:r>
        <w:rPr>
          <w:rFonts w:ascii="黑体" w:hAnsi="黑体" w:eastAsia="黑体" w:cs="黑体"/>
          <w:color w:val="auto"/>
          <w:spacing w:val="-3"/>
          <w:sz w:val="24"/>
          <w:szCs w:val="24"/>
          <w:lang w:eastAsia="zh-CN"/>
        </w:rPr>
        <w:t>（三）近年完成的类似项目情况</w:t>
      </w:r>
    </w:p>
    <w:p w14:paraId="664C50B6">
      <w:pPr>
        <w:pStyle w:val="8"/>
        <w:spacing w:line="269" w:lineRule="auto"/>
        <w:rPr>
          <w:lang w:eastAsia="zh-CN"/>
        </w:rPr>
      </w:pPr>
    </w:p>
    <w:p w14:paraId="66BE4500">
      <w:pPr>
        <w:spacing w:before="78" w:line="221" w:lineRule="auto"/>
        <w:ind w:left="4416"/>
        <w:rPr>
          <w:rFonts w:ascii="黑体" w:hAnsi="黑体" w:eastAsia="黑体" w:cs="黑体"/>
          <w:color w:val="auto"/>
          <w:sz w:val="24"/>
          <w:szCs w:val="24"/>
          <w:lang w:eastAsia="zh-CN"/>
        </w:rPr>
      </w:pPr>
      <w:r>
        <w:rPr>
          <w:rFonts w:ascii="黑体" w:hAnsi="黑体" w:eastAsia="黑体" w:cs="黑体"/>
          <w:color w:val="auto"/>
          <w:spacing w:val="-1"/>
          <w:sz w:val="24"/>
          <w:szCs w:val="24"/>
          <w:lang w:eastAsia="zh-CN"/>
        </w:rPr>
        <w:t>近年完成的类似项目汇总表</w:t>
      </w:r>
    </w:p>
    <w:p w14:paraId="2A4F9A98">
      <w:pPr>
        <w:spacing w:line="142" w:lineRule="exact"/>
        <w:rPr>
          <w:color w:val="auto"/>
          <w:lang w:eastAsia="zh-CN"/>
        </w:rPr>
      </w:pPr>
    </w:p>
    <w:tbl>
      <w:tblPr>
        <w:tblStyle w:val="20"/>
        <w:tblW w:w="8313" w:type="dxa"/>
        <w:tblInd w:w="15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3"/>
        <w:gridCol w:w="2087"/>
        <w:gridCol w:w="1254"/>
        <w:gridCol w:w="1254"/>
        <w:gridCol w:w="1712"/>
        <w:gridCol w:w="1393"/>
      </w:tblGrid>
      <w:tr w14:paraId="0C53C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613" w:type="dxa"/>
          </w:tcPr>
          <w:p w14:paraId="608A508F">
            <w:pPr>
              <w:spacing w:line="290" w:lineRule="auto"/>
              <w:rPr>
                <w:color w:val="auto"/>
                <w:lang w:eastAsia="zh-CN"/>
              </w:rPr>
            </w:pPr>
          </w:p>
          <w:p w14:paraId="5B2FDE45">
            <w:pPr>
              <w:pStyle w:val="21"/>
              <w:spacing w:before="68" w:line="222" w:lineRule="auto"/>
              <w:ind w:left="96"/>
              <w:rPr>
                <w:color w:val="auto"/>
              </w:rPr>
            </w:pPr>
            <w:r>
              <w:rPr>
                <w:color w:val="auto"/>
                <w:spacing w:val="-2"/>
              </w:rPr>
              <w:t>序号</w:t>
            </w:r>
          </w:p>
        </w:tc>
        <w:tc>
          <w:tcPr>
            <w:tcW w:w="2087" w:type="dxa"/>
          </w:tcPr>
          <w:p w14:paraId="1FB59FCA">
            <w:pPr>
              <w:spacing w:line="290" w:lineRule="auto"/>
              <w:rPr>
                <w:color w:val="auto"/>
              </w:rPr>
            </w:pPr>
          </w:p>
          <w:p w14:paraId="659DF9EE">
            <w:pPr>
              <w:pStyle w:val="21"/>
              <w:spacing w:before="68" w:line="221" w:lineRule="auto"/>
              <w:ind w:left="627"/>
              <w:rPr>
                <w:color w:val="auto"/>
              </w:rPr>
            </w:pPr>
            <w:r>
              <w:rPr>
                <w:color w:val="auto"/>
                <w:spacing w:val="-3"/>
              </w:rPr>
              <w:t>项目名称</w:t>
            </w:r>
          </w:p>
        </w:tc>
        <w:tc>
          <w:tcPr>
            <w:tcW w:w="1254" w:type="dxa"/>
          </w:tcPr>
          <w:p w14:paraId="0E61CC30">
            <w:pPr>
              <w:spacing w:line="290" w:lineRule="auto"/>
              <w:rPr>
                <w:color w:val="auto"/>
              </w:rPr>
            </w:pPr>
          </w:p>
          <w:p w14:paraId="74A9CA48">
            <w:pPr>
              <w:pStyle w:val="21"/>
              <w:spacing w:before="68" w:line="221" w:lineRule="auto"/>
              <w:ind w:left="217"/>
              <w:rPr>
                <w:color w:val="auto"/>
              </w:rPr>
            </w:pPr>
            <w:r>
              <w:rPr>
                <w:color w:val="auto"/>
                <w:spacing w:val="-4"/>
              </w:rPr>
              <w:t>买方名称</w:t>
            </w:r>
          </w:p>
        </w:tc>
        <w:tc>
          <w:tcPr>
            <w:tcW w:w="1254" w:type="dxa"/>
          </w:tcPr>
          <w:p w14:paraId="40648A48">
            <w:pPr>
              <w:spacing w:line="290" w:lineRule="auto"/>
              <w:rPr>
                <w:color w:val="auto"/>
              </w:rPr>
            </w:pPr>
          </w:p>
          <w:p w14:paraId="7B0A1AD5">
            <w:pPr>
              <w:pStyle w:val="21"/>
              <w:spacing w:before="68" w:line="222" w:lineRule="auto"/>
              <w:ind w:left="214"/>
              <w:rPr>
                <w:color w:val="auto"/>
              </w:rPr>
            </w:pPr>
            <w:r>
              <w:rPr>
                <w:color w:val="auto"/>
                <w:spacing w:val="-3"/>
              </w:rPr>
              <w:t>设备名称</w:t>
            </w:r>
          </w:p>
        </w:tc>
        <w:tc>
          <w:tcPr>
            <w:tcW w:w="1712" w:type="dxa"/>
          </w:tcPr>
          <w:p w14:paraId="4BA70FA1">
            <w:pPr>
              <w:pStyle w:val="21"/>
              <w:spacing w:before="161" w:line="278" w:lineRule="auto"/>
              <w:ind w:left="551" w:right="429" w:hanging="109"/>
              <w:rPr>
                <w:color w:val="auto"/>
              </w:rPr>
            </w:pPr>
            <w:r>
              <w:rPr>
                <w:color w:val="auto"/>
                <w:spacing w:val="-3"/>
              </w:rPr>
              <w:t>合同价格</w:t>
            </w:r>
            <w:r>
              <w:rPr>
                <w:color w:val="auto"/>
                <w:spacing w:val="-7"/>
              </w:rPr>
              <w:t>（元）</w:t>
            </w:r>
          </w:p>
        </w:tc>
        <w:tc>
          <w:tcPr>
            <w:tcW w:w="1393" w:type="dxa"/>
          </w:tcPr>
          <w:p w14:paraId="30B62722">
            <w:pPr>
              <w:pStyle w:val="21"/>
              <w:spacing w:before="161" w:line="278" w:lineRule="auto"/>
              <w:ind w:left="518" w:right="65" w:hanging="433"/>
              <w:rPr>
                <w:color w:val="auto"/>
              </w:rPr>
            </w:pPr>
            <w:r>
              <w:rPr>
                <w:color w:val="auto"/>
                <w:spacing w:val="-5"/>
              </w:rPr>
              <w:t>买方联系人及</w:t>
            </w:r>
            <w:r>
              <w:rPr>
                <w:color w:val="auto"/>
                <w:spacing w:val="-17"/>
              </w:rPr>
              <w:t>电话</w:t>
            </w:r>
          </w:p>
        </w:tc>
      </w:tr>
      <w:tr w14:paraId="1767D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72CCD087">
            <w:pPr>
              <w:rPr>
                <w:color w:val="auto"/>
              </w:rPr>
            </w:pPr>
          </w:p>
        </w:tc>
        <w:tc>
          <w:tcPr>
            <w:tcW w:w="2087" w:type="dxa"/>
          </w:tcPr>
          <w:p w14:paraId="4504D07A">
            <w:pPr>
              <w:rPr>
                <w:color w:val="auto"/>
              </w:rPr>
            </w:pPr>
          </w:p>
        </w:tc>
        <w:tc>
          <w:tcPr>
            <w:tcW w:w="1254" w:type="dxa"/>
          </w:tcPr>
          <w:p w14:paraId="1A07260D">
            <w:pPr>
              <w:rPr>
                <w:color w:val="auto"/>
              </w:rPr>
            </w:pPr>
          </w:p>
        </w:tc>
        <w:tc>
          <w:tcPr>
            <w:tcW w:w="1254" w:type="dxa"/>
          </w:tcPr>
          <w:p w14:paraId="0C8CA38E">
            <w:pPr>
              <w:rPr>
                <w:color w:val="auto"/>
              </w:rPr>
            </w:pPr>
          </w:p>
        </w:tc>
        <w:tc>
          <w:tcPr>
            <w:tcW w:w="1712" w:type="dxa"/>
          </w:tcPr>
          <w:p w14:paraId="58D43D96">
            <w:pPr>
              <w:rPr>
                <w:color w:val="auto"/>
              </w:rPr>
            </w:pPr>
          </w:p>
        </w:tc>
        <w:tc>
          <w:tcPr>
            <w:tcW w:w="1393" w:type="dxa"/>
          </w:tcPr>
          <w:p w14:paraId="3BE10D90">
            <w:pPr>
              <w:rPr>
                <w:color w:val="auto"/>
              </w:rPr>
            </w:pPr>
          </w:p>
        </w:tc>
      </w:tr>
      <w:tr w14:paraId="12C6D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32062E4B">
            <w:pPr>
              <w:rPr>
                <w:color w:val="auto"/>
              </w:rPr>
            </w:pPr>
          </w:p>
        </w:tc>
        <w:tc>
          <w:tcPr>
            <w:tcW w:w="2087" w:type="dxa"/>
          </w:tcPr>
          <w:p w14:paraId="61069344">
            <w:pPr>
              <w:rPr>
                <w:color w:val="auto"/>
              </w:rPr>
            </w:pPr>
          </w:p>
        </w:tc>
        <w:tc>
          <w:tcPr>
            <w:tcW w:w="1254" w:type="dxa"/>
          </w:tcPr>
          <w:p w14:paraId="41C03194">
            <w:pPr>
              <w:rPr>
                <w:color w:val="auto"/>
              </w:rPr>
            </w:pPr>
          </w:p>
        </w:tc>
        <w:tc>
          <w:tcPr>
            <w:tcW w:w="1254" w:type="dxa"/>
          </w:tcPr>
          <w:p w14:paraId="34091D3E">
            <w:pPr>
              <w:rPr>
                <w:color w:val="auto"/>
              </w:rPr>
            </w:pPr>
          </w:p>
        </w:tc>
        <w:tc>
          <w:tcPr>
            <w:tcW w:w="1712" w:type="dxa"/>
          </w:tcPr>
          <w:p w14:paraId="2271E11F">
            <w:pPr>
              <w:rPr>
                <w:color w:val="auto"/>
              </w:rPr>
            </w:pPr>
          </w:p>
        </w:tc>
        <w:tc>
          <w:tcPr>
            <w:tcW w:w="1393" w:type="dxa"/>
          </w:tcPr>
          <w:p w14:paraId="18C10523">
            <w:pPr>
              <w:rPr>
                <w:color w:val="auto"/>
              </w:rPr>
            </w:pPr>
          </w:p>
        </w:tc>
      </w:tr>
      <w:tr w14:paraId="3C514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09B9AAB2">
            <w:pPr>
              <w:rPr>
                <w:color w:val="auto"/>
              </w:rPr>
            </w:pPr>
          </w:p>
        </w:tc>
        <w:tc>
          <w:tcPr>
            <w:tcW w:w="2087" w:type="dxa"/>
          </w:tcPr>
          <w:p w14:paraId="41A4D208">
            <w:pPr>
              <w:rPr>
                <w:color w:val="auto"/>
              </w:rPr>
            </w:pPr>
          </w:p>
        </w:tc>
        <w:tc>
          <w:tcPr>
            <w:tcW w:w="1254" w:type="dxa"/>
          </w:tcPr>
          <w:p w14:paraId="36DAF639">
            <w:pPr>
              <w:rPr>
                <w:color w:val="auto"/>
              </w:rPr>
            </w:pPr>
          </w:p>
        </w:tc>
        <w:tc>
          <w:tcPr>
            <w:tcW w:w="1254" w:type="dxa"/>
          </w:tcPr>
          <w:p w14:paraId="66A847DA">
            <w:pPr>
              <w:rPr>
                <w:color w:val="auto"/>
              </w:rPr>
            </w:pPr>
          </w:p>
        </w:tc>
        <w:tc>
          <w:tcPr>
            <w:tcW w:w="1712" w:type="dxa"/>
          </w:tcPr>
          <w:p w14:paraId="0BF865F3">
            <w:pPr>
              <w:rPr>
                <w:color w:val="auto"/>
              </w:rPr>
            </w:pPr>
          </w:p>
        </w:tc>
        <w:tc>
          <w:tcPr>
            <w:tcW w:w="1393" w:type="dxa"/>
          </w:tcPr>
          <w:p w14:paraId="2C51864B">
            <w:pPr>
              <w:rPr>
                <w:color w:val="auto"/>
              </w:rPr>
            </w:pPr>
          </w:p>
        </w:tc>
      </w:tr>
      <w:tr w14:paraId="3EAD1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77A8B3E8">
            <w:pPr>
              <w:rPr>
                <w:color w:val="auto"/>
              </w:rPr>
            </w:pPr>
          </w:p>
        </w:tc>
        <w:tc>
          <w:tcPr>
            <w:tcW w:w="2087" w:type="dxa"/>
          </w:tcPr>
          <w:p w14:paraId="21CE4DF3">
            <w:pPr>
              <w:rPr>
                <w:color w:val="auto"/>
              </w:rPr>
            </w:pPr>
          </w:p>
        </w:tc>
        <w:tc>
          <w:tcPr>
            <w:tcW w:w="1254" w:type="dxa"/>
          </w:tcPr>
          <w:p w14:paraId="1E3EDD39">
            <w:pPr>
              <w:rPr>
                <w:color w:val="auto"/>
              </w:rPr>
            </w:pPr>
          </w:p>
        </w:tc>
        <w:tc>
          <w:tcPr>
            <w:tcW w:w="1254" w:type="dxa"/>
          </w:tcPr>
          <w:p w14:paraId="27A434A5">
            <w:pPr>
              <w:rPr>
                <w:color w:val="auto"/>
              </w:rPr>
            </w:pPr>
          </w:p>
        </w:tc>
        <w:tc>
          <w:tcPr>
            <w:tcW w:w="1712" w:type="dxa"/>
          </w:tcPr>
          <w:p w14:paraId="0FADD941">
            <w:pPr>
              <w:rPr>
                <w:color w:val="auto"/>
              </w:rPr>
            </w:pPr>
          </w:p>
        </w:tc>
        <w:tc>
          <w:tcPr>
            <w:tcW w:w="1393" w:type="dxa"/>
          </w:tcPr>
          <w:p w14:paraId="61EDBFBB">
            <w:pPr>
              <w:rPr>
                <w:color w:val="auto"/>
              </w:rPr>
            </w:pPr>
          </w:p>
        </w:tc>
      </w:tr>
      <w:tr w14:paraId="5452F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17A2B794">
            <w:pPr>
              <w:rPr>
                <w:color w:val="auto"/>
              </w:rPr>
            </w:pPr>
          </w:p>
        </w:tc>
        <w:tc>
          <w:tcPr>
            <w:tcW w:w="2087" w:type="dxa"/>
          </w:tcPr>
          <w:p w14:paraId="362D6F94">
            <w:pPr>
              <w:rPr>
                <w:color w:val="auto"/>
              </w:rPr>
            </w:pPr>
          </w:p>
        </w:tc>
        <w:tc>
          <w:tcPr>
            <w:tcW w:w="1254" w:type="dxa"/>
          </w:tcPr>
          <w:p w14:paraId="28CC7142">
            <w:pPr>
              <w:rPr>
                <w:color w:val="auto"/>
              </w:rPr>
            </w:pPr>
          </w:p>
        </w:tc>
        <w:tc>
          <w:tcPr>
            <w:tcW w:w="1254" w:type="dxa"/>
          </w:tcPr>
          <w:p w14:paraId="20179CD0">
            <w:pPr>
              <w:rPr>
                <w:color w:val="auto"/>
              </w:rPr>
            </w:pPr>
          </w:p>
        </w:tc>
        <w:tc>
          <w:tcPr>
            <w:tcW w:w="1712" w:type="dxa"/>
          </w:tcPr>
          <w:p w14:paraId="3824B105">
            <w:pPr>
              <w:rPr>
                <w:color w:val="auto"/>
              </w:rPr>
            </w:pPr>
          </w:p>
        </w:tc>
        <w:tc>
          <w:tcPr>
            <w:tcW w:w="1393" w:type="dxa"/>
          </w:tcPr>
          <w:p w14:paraId="5CB53B47">
            <w:pPr>
              <w:rPr>
                <w:color w:val="auto"/>
              </w:rPr>
            </w:pPr>
          </w:p>
        </w:tc>
      </w:tr>
      <w:tr w14:paraId="5F598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72C5C300">
            <w:pPr>
              <w:rPr>
                <w:color w:val="auto"/>
              </w:rPr>
            </w:pPr>
          </w:p>
        </w:tc>
        <w:tc>
          <w:tcPr>
            <w:tcW w:w="2087" w:type="dxa"/>
          </w:tcPr>
          <w:p w14:paraId="4F6672BB">
            <w:pPr>
              <w:rPr>
                <w:color w:val="auto"/>
              </w:rPr>
            </w:pPr>
          </w:p>
        </w:tc>
        <w:tc>
          <w:tcPr>
            <w:tcW w:w="1254" w:type="dxa"/>
          </w:tcPr>
          <w:p w14:paraId="70A26F23">
            <w:pPr>
              <w:rPr>
                <w:color w:val="auto"/>
              </w:rPr>
            </w:pPr>
          </w:p>
        </w:tc>
        <w:tc>
          <w:tcPr>
            <w:tcW w:w="1254" w:type="dxa"/>
          </w:tcPr>
          <w:p w14:paraId="784389F0">
            <w:pPr>
              <w:rPr>
                <w:color w:val="auto"/>
              </w:rPr>
            </w:pPr>
          </w:p>
        </w:tc>
        <w:tc>
          <w:tcPr>
            <w:tcW w:w="1712" w:type="dxa"/>
          </w:tcPr>
          <w:p w14:paraId="74108A89">
            <w:pPr>
              <w:rPr>
                <w:color w:val="auto"/>
              </w:rPr>
            </w:pPr>
          </w:p>
        </w:tc>
        <w:tc>
          <w:tcPr>
            <w:tcW w:w="1393" w:type="dxa"/>
          </w:tcPr>
          <w:p w14:paraId="2A60884D">
            <w:pPr>
              <w:rPr>
                <w:color w:val="auto"/>
              </w:rPr>
            </w:pPr>
          </w:p>
        </w:tc>
      </w:tr>
      <w:tr w14:paraId="6D9A3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7BB2D412">
            <w:pPr>
              <w:rPr>
                <w:color w:val="auto"/>
              </w:rPr>
            </w:pPr>
          </w:p>
        </w:tc>
        <w:tc>
          <w:tcPr>
            <w:tcW w:w="2087" w:type="dxa"/>
          </w:tcPr>
          <w:p w14:paraId="58F1BCE4">
            <w:pPr>
              <w:rPr>
                <w:color w:val="auto"/>
              </w:rPr>
            </w:pPr>
          </w:p>
        </w:tc>
        <w:tc>
          <w:tcPr>
            <w:tcW w:w="1254" w:type="dxa"/>
          </w:tcPr>
          <w:p w14:paraId="6DFE47B1">
            <w:pPr>
              <w:rPr>
                <w:color w:val="auto"/>
              </w:rPr>
            </w:pPr>
          </w:p>
        </w:tc>
        <w:tc>
          <w:tcPr>
            <w:tcW w:w="1254" w:type="dxa"/>
          </w:tcPr>
          <w:p w14:paraId="7FF5B0DC">
            <w:pPr>
              <w:rPr>
                <w:color w:val="auto"/>
              </w:rPr>
            </w:pPr>
          </w:p>
        </w:tc>
        <w:tc>
          <w:tcPr>
            <w:tcW w:w="1712" w:type="dxa"/>
          </w:tcPr>
          <w:p w14:paraId="3212F607">
            <w:pPr>
              <w:rPr>
                <w:color w:val="auto"/>
              </w:rPr>
            </w:pPr>
          </w:p>
        </w:tc>
        <w:tc>
          <w:tcPr>
            <w:tcW w:w="1393" w:type="dxa"/>
          </w:tcPr>
          <w:p w14:paraId="3DC32643">
            <w:pPr>
              <w:rPr>
                <w:color w:val="auto"/>
              </w:rPr>
            </w:pPr>
          </w:p>
        </w:tc>
      </w:tr>
      <w:tr w14:paraId="37627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44BF314C">
            <w:pPr>
              <w:rPr>
                <w:color w:val="auto"/>
              </w:rPr>
            </w:pPr>
          </w:p>
        </w:tc>
        <w:tc>
          <w:tcPr>
            <w:tcW w:w="2087" w:type="dxa"/>
          </w:tcPr>
          <w:p w14:paraId="271F0B92">
            <w:pPr>
              <w:rPr>
                <w:color w:val="auto"/>
              </w:rPr>
            </w:pPr>
          </w:p>
        </w:tc>
        <w:tc>
          <w:tcPr>
            <w:tcW w:w="1254" w:type="dxa"/>
          </w:tcPr>
          <w:p w14:paraId="45F35F43">
            <w:pPr>
              <w:rPr>
                <w:color w:val="auto"/>
              </w:rPr>
            </w:pPr>
          </w:p>
        </w:tc>
        <w:tc>
          <w:tcPr>
            <w:tcW w:w="1254" w:type="dxa"/>
          </w:tcPr>
          <w:p w14:paraId="2CA7F830">
            <w:pPr>
              <w:rPr>
                <w:color w:val="auto"/>
              </w:rPr>
            </w:pPr>
          </w:p>
        </w:tc>
        <w:tc>
          <w:tcPr>
            <w:tcW w:w="1712" w:type="dxa"/>
          </w:tcPr>
          <w:p w14:paraId="56084DBE">
            <w:pPr>
              <w:rPr>
                <w:color w:val="auto"/>
              </w:rPr>
            </w:pPr>
          </w:p>
        </w:tc>
        <w:tc>
          <w:tcPr>
            <w:tcW w:w="1393" w:type="dxa"/>
          </w:tcPr>
          <w:p w14:paraId="3BC6469B">
            <w:pPr>
              <w:rPr>
                <w:color w:val="auto"/>
              </w:rPr>
            </w:pPr>
          </w:p>
        </w:tc>
      </w:tr>
      <w:tr w14:paraId="0C465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13" w:type="dxa"/>
          </w:tcPr>
          <w:p w14:paraId="3EBACCA5">
            <w:pPr>
              <w:rPr>
                <w:color w:val="auto"/>
              </w:rPr>
            </w:pPr>
          </w:p>
        </w:tc>
        <w:tc>
          <w:tcPr>
            <w:tcW w:w="2087" w:type="dxa"/>
          </w:tcPr>
          <w:p w14:paraId="1B85BB3C">
            <w:pPr>
              <w:rPr>
                <w:color w:val="auto"/>
              </w:rPr>
            </w:pPr>
          </w:p>
        </w:tc>
        <w:tc>
          <w:tcPr>
            <w:tcW w:w="1254" w:type="dxa"/>
          </w:tcPr>
          <w:p w14:paraId="532CDE63">
            <w:pPr>
              <w:rPr>
                <w:color w:val="auto"/>
              </w:rPr>
            </w:pPr>
          </w:p>
        </w:tc>
        <w:tc>
          <w:tcPr>
            <w:tcW w:w="1254" w:type="dxa"/>
          </w:tcPr>
          <w:p w14:paraId="5AE5DB85">
            <w:pPr>
              <w:rPr>
                <w:color w:val="auto"/>
              </w:rPr>
            </w:pPr>
          </w:p>
        </w:tc>
        <w:tc>
          <w:tcPr>
            <w:tcW w:w="1712" w:type="dxa"/>
          </w:tcPr>
          <w:p w14:paraId="7D29B98F">
            <w:pPr>
              <w:rPr>
                <w:color w:val="auto"/>
              </w:rPr>
            </w:pPr>
          </w:p>
        </w:tc>
        <w:tc>
          <w:tcPr>
            <w:tcW w:w="1393" w:type="dxa"/>
          </w:tcPr>
          <w:p w14:paraId="239488A4">
            <w:pPr>
              <w:rPr>
                <w:color w:val="auto"/>
              </w:rPr>
            </w:pPr>
          </w:p>
        </w:tc>
      </w:tr>
      <w:tr w14:paraId="50860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49B95B66">
            <w:pPr>
              <w:rPr>
                <w:color w:val="auto"/>
              </w:rPr>
            </w:pPr>
          </w:p>
        </w:tc>
        <w:tc>
          <w:tcPr>
            <w:tcW w:w="2087" w:type="dxa"/>
          </w:tcPr>
          <w:p w14:paraId="62052F6A">
            <w:pPr>
              <w:rPr>
                <w:color w:val="auto"/>
              </w:rPr>
            </w:pPr>
          </w:p>
        </w:tc>
        <w:tc>
          <w:tcPr>
            <w:tcW w:w="1254" w:type="dxa"/>
          </w:tcPr>
          <w:p w14:paraId="2C4E7098">
            <w:pPr>
              <w:rPr>
                <w:color w:val="auto"/>
              </w:rPr>
            </w:pPr>
          </w:p>
        </w:tc>
        <w:tc>
          <w:tcPr>
            <w:tcW w:w="1254" w:type="dxa"/>
          </w:tcPr>
          <w:p w14:paraId="1BE3C71E">
            <w:pPr>
              <w:rPr>
                <w:color w:val="auto"/>
              </w:rPr>
            </w:pPr>
          </w:p>
        </w:tc>
        <w:tc>
          <w:tcPr>
            <w:tcW w:w="1712" w:type="dxa"/>
          </w:tcPr>
          <w:p w14:paraId="17340A71">
            <w:pPr>
              <w:rPr>
                <w:color w:val="auto"/>
              </w:rPr>
            </w:pPr>
          </w:p>
        </w:tc>
        <w:tc>
          <w:tcPr>
            <w:tcW w:w="1393" w:type="dxa"/>
          </w:tcPr>
          <w:p w14:paraId="006B554F">
            <w:pPr>
              <w:rPr>
                <w:color w:val="auto"/>
              </w:rPr>
            </w:pPr>
          </w:p>
        </w:tc>
      </w:tr>
      <w:tr w14:paraId="5616D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256B7935">
            <w:pPr>
              <w:rPr>
                <w:color w:val="auto"/>
              </w:rPr>
            </w:pPr>
          </w:p>
        </w:tc>
        <w:tc>
          <w:tcPr>
            <w:tcW w:w="2087" w:type="dxa"/>
          </w:tcPr>
          <w:p w14:paraId="2896E6EA">
            <w:pPr>
              <w:rPr>
                <w:color w:val="auto"/>
              </w:rPr>
            </w:pPr>
          </w:p>
        </w:tc>
        <w:tc>
          <w:tcPr>
            <w:tcW w:w="1254" w:type="dxa"/>
          </w:tcPr>
          <w:p w14:paraId="3B09471A">
            <w:pPr>
              <w:rPr>
                <w:color w:val="auto"/>
              </w:rPr>
            </w:pPr>
          </w:p>
        </w:tc>
        <w:tc>
          <w:tcPr>
            <w:tcW w:w="1254" w:type="dxa"/>
          </w:tcPr>
          <w:p w14:paraId="05228868">
            <w:pPr>
              <w:rPr>
                <w:color w:val="auto"/>
              </w:rPr>
            </w:pPr>
          </w:p>
        </w:tc>
        <w:tc>
          <w:tcPr>
            <w:tcW w:w="1712" w:type="dxa"/>
          </w:tcPr>
          <w:p w14:paraId="7B1AC3BD">
            <w:pPr>
              <w:rPr>
                <w:color w:val="auto"/>
              </w:rPr>
            </w:pPr>
          </w:p>
        </w:tc>
        <w:tc>
          <w:tcPr>
            <w:tcW w:w="1393" w:type="dxa"/>
          </w:tcPr>
          <w:p w14:paraId="321845DB">
            <w:pPr>
              <w:rPr>
                <w:color w:val="auto"/>
              </w:rPr>
            </w:pPr>
          </w:p>
        </w:tc>
      </w:tr>
      <w:tr w14:paraId="0F4E5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27A5B71C">
            <w:pPr>
              <w:rPr>
                <w:color w:val="auto"/>
              </w:rPr>
            </w:pPr>
          </w:p>
        </w:tc>
        <w:tc>
          <w:tcPr>
            <w:tcW w:w="2087" w:type="dxa"/>
          </w:tcPr>
          <w:p w14:paraId="62195DC9">
            <w:pPr>
              <w:rPr>
                <w:color w:val="auto"/>
              </w:rPr>
            </w:pPr>
          </w:p>
        </w:tc>
        <w:tc>
          <w:tcPr>
            <w:tcW w:w="1254" w:type="dxa"/>
          </w:tcPr>
          <w:p w14:paraId="121B7974">
            <w:pPr>
              <w:rPr>
                <w:color w:val="auto"/>
              </w:rPr>
            </w:pPr>
          </w:p>
        </w:tc>
        <w:tc>
          <w:tcPr>
            <w:tcW w:w="1254" w:type="dxa"/>
          </w:tcPr>
          <w:p w14:paraId="6AA59B0E">
            <w:pPr>
              <w:rPr>
                <w:color w:val="auto"/>
              </w:rPr>
            </w:pPr>
          </w:p>
        </w:tc>
        <w:tc>
          <w:tcPr>
            <w:tcW w:w="1712" w:type="dxa"/>
          </w:tcPr>
          <w:p w14:paraId="576B1824">
            <w:pPr>
              <w:rPr>
                <w:color w:val="auto"/>
              </w:rPr>
            </w:pPr>
          </w:p>
        </w:tc>
        <w:tc>
          <w:tcPr>
            <w:tcW w:w="1393" w:type="dxa"/>
          </w:tcPr>
          <w:p w14:paraId="75F4291F">
            <w:pPr>
              <w:rPr>
                <w:color w:val="auto"/>
              </w:rPr>
            </w:pPr>
          </w:p>
        </w:tc>
      </w:tr>
      <w:tr w14:paraId="5E5B5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1AC49635">
            <w:pPr>
              <w:rPr>
                <w:color w:val="auto"/>
              </w:rPr>
            </w:pPr>
          </w:p>
        </w:tc>
        <w:tc>
          <w:tcPr>
            <w:tcW w:w="2087" w:type="dxa"/>
          </w:tcPr>
          <w:p w14:paraId="74C45B26">
            <w:pPr>
              <w:rPr>
                <w:color w:val="auto"/>
              </w:rPr>
            </w:pPr>
          </w:p>
        </w:tc>
        <w:tc>
          <w:tcPr>
            <w:tcW w:w="1254" w:type="dxa"/>
          </w:tcPr>
          <w:p w14:paraId="32AF4C0C">
            <w:pPr>
              <w:rPr>
                <w:color w:val="auto"/>
              </w:rPr>
            </w:pPr>
          </w:p>
        </w:tc>
        <w:tc>
          <w:tcPr>
            <w:tcW w:w="1254" w:type="dxa"/>
          </w:tcPr>
          <w:p w14:paraId="447DBA91">
            <w:pPr>
              <w:rPr>
                <w:color w:val="auto"/>
              </w:rPr>
            </w:pPr>
          </w:p>
        </w:tc>
        <w:tc>
          <w:tcPr>
            <w:tcW w:w="1712" w:type="dxa"/>
          </w:tcPr>
          <w:p w14:paraId="612F7701">
            <w:pPr>
              <w:rPr>
                <w:color w:val="auto"/>
              </w:rPr>
            </w:pPr>
          </w:p>
        </w:tc>
        <w:tc>
          <w:tcPr>
            <w:tcW w:w="1393" w:type="dxa"/>
          </w:tcPr>
          <w:p w14:paraId="1F601059">
            <w:pPr>
              <w:rPr>
                <w:color w:val="auto"/>
              </w:rPr>
            </w:pPr>
          </w:p>
        </w:tc>
      </w:tr>
      <w:tr w14:paraId="27842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026BF4E8">
            <w:pPr>
              <w:rPr>
                <w:color w:val="auto"/>
              </w:rPr>
            </w:pPr>
          </w:p>
        </w:tc>
        <w:tc>
          <w:tcPr>
            <w:tcW w:w="2087" w:type="dxa"/>
          </w:tcPr>
          <w:p w14:paraId="377D9656">
            <w:pPr>
              <w:rPr>
                <w:color w:val="auto"/>
              </w:rPr>
            </w:pPr>
          </w:p>
        </w:tc>
        <w:tc>
          <w:tcPr>
            <w:tcW w:w="1254" w:type="dxa"/>
          </w:tcPr>
          <w:p w14:paraId="6B2695EA">
            <w:pPr>
              <w:rPr>
                <w:color w:val="auto"/>
              </w:rPr>
            </w:pPr>
          </w:p>
        </w:tc>
        <w:tc>
          <w:tcPr>
            <w:tcW w:w="1254" w:type="dxa"/>
          </w:tcPr>
          <w:p w14:paraId="383E2C84">
            <w:pPr>
              <w:rPr>
                <w:color w:val="auto"/>
              </w:rPr>
            </w:pPr>
          </w:p>
        </w:tc>
        <w:tc>
          <w:tcPr>
            <w:tcW w:w="1712" w:type="dxa"/>
          </w:tcPr>
          <w:p w14:paraId="222C93AA">
            <w:pPr>
              <w:rPr>
                <w:color w:val="auto"/>
              </w:rPr>
            </w:pPr>
          </w:p>
        </w:tc>
        <w:tc>
          <w:tcPr>
            <w:tcW w:w="1393" w:type="dxa"/>
          </w:tcPr>
          <w:p w14:paraId="2676D0B1">
            <w:pPr>
              <w:rPr>
                <w:color w:val="auto"/>
              </w:rPr>
            </w:pPr>
          </w:p>
        </w:tc>
      </w:tr>
      <w:tr w14:paraId="28D7C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13" w:type="dxa"/>
          </w:tcPr>
          <w:p w14:paraId="7016E6A9">
            <w:pPr>
              <w:rPr>
                <w:color w:val="auto"/>
              </w:rPr>
            </w:pPr>
          </w:p>
        </w:tc>
        <w:tc>
          <w:tcPr>
            <w:tcW w:w="2087" w:type="dxa"/>
          </w:tcPr>
          <w:p w14:paraId="3105329F">
            <w:pPr>
              <w:rPr>
                <w:color w:val="auto"/>
              </w:rPr>
            </w:pPr>
          </w:p>
        </w:tc>
        <w:tc>
          <w:tcPr>
            <w:tcW w:w="1254" w:type="dxa"/>
          </w:tcPr>
          <w:p w14:paraId="00836889">
            <w:pPr>
              <w:rPr>
                <w:color w:val="auto"/>
              </w:rPr>
            </w:pPr>
          </w:p>
        </w:tc>
        <w:tc>
          <w:tcPr>
            <w:tcW w:w="1254" w:type="dxa"/>
          </w:tcPr>
          <w:p w14:paraId="50DE4A20">
            <w:pPr>
              <w:rPr>
                <w:color w:val="auto"/>
              </w:rPr>
            </w:pPr>
          </w:p>
        </w:tc>
        <w:tc>
          <w:tcPr>
            <w:tcW w:w="1712" w:type="dxa"/>
          </w:tcPr>
          <w:p w14:paraId="4035CA60">
            <w:pPr>
              <w:rPr>
                <w:color w:val="auto"/>
              </w:rPr>
            </w:pPr>
          </w:p>
        </w:tc>
        <w:tc>
          <w:tcPr>
            <w:tcW w:w="1393" w:type="dxa"/>
          </w:tcPr>
          <w:p w14:paraId="01EA7BC9">
            <w:pPr>
              <w:rPr>
                <w:color w:val="auto"/>
              </w:rPr>
            </w:pPr>
          </w:p>
        </w:tc>
      </w:tr>
      <w:tr w14:paraId="066D5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13" w:type="dxa"/>
          </w:tcPr>
          <w:p w14:paraId="0B971DD7">
            <w:pPr>
              <w:rPr>
                <w:color w:val="auto"/>
              </w:rPr>
            </w:pPr>
          </w:p>
        </w:tc>
        <w:tc>
          <w:tcPr>
            <w:tcW w:w="2087" w:type="dxa"/>
          </w:tcPr>
          <w:p w14:paraId="5825F9B8">
            <w:pPr>
              <w:rPr>
                <w:color w:val="auto"/>
              </w:rPr>
            </w:pPr>
          </w:p>
        </w:tc>
        <w:tc>
          <w:tcPr>
            <w:tcW w:w="1254" w:type="dxa"/>
          </w:tcPr>
          <w:p w14:paraId="72D0C40B">
            <w:pPr>
              <w:rPr>
                <w:color w:val="auto"/>
              </w:rPr>
            </w:pPr>
          </w:p>
        </w:tc>
        <w:tc>
          <w:tcPr>
            <w:tcW w:w="1254" w:type="dxa"/>
          </w:tcPr>
          <w:p w14:paraId="17CC7E55">
            <w:pPr>
              <w:rPr>
                <w:color w:val="auto"/>
              </w:rPr>
            </w:pPr>
          </w:p>
        </w:tc>
        <w:tc>
          <w:tcPr>
            <w:tcW w:w="1712" w:type="dxa"/>
          </w:tcPr>
          <w:p w14:paraId="67446857">
            <w:pPr>
              <w:rPr>
                <w:color w:val="auto"/>
              </w:rPr>
            </w:pPr>
          </w:p>
        </w:tc>
        <w:tc>
          <w:tcPr>
            <w:tcW w:w="1393" w:type="dxa"/>
          </w:tcPr>
          <w:p w14:paraId="6FC04087">
            <w:pPr>
              <w:rPr>
                <w:color w:val="auto"/>
              </w:rPr>
            </w:pPr>
          </w:p>
        </w:tc>
      </w:tr>
    </w:tbl>
    <w:p w14:paraId="3441779A">
      <w:pPr>
        <w:pStyle w:val="8"/>
      </w:pPr>
    </w:p>
    <w:p w14:paraId="565B0321">
      <w:pPr>
        <w:rPr>
          <w:color w:val="auto"/>
        </w:rPr>
        <w:sectPr>
          <w:headerReference r:id="rId158" w:type="default"/>
          <w:footerReference r:id="rId159" w:type="default"/>
          <w:pgSz w:w="11906" w:h="16839"/>
          <w:pgMar w:top="400" w:right="0" w:bottom="1147" w:left="105" w:header="0" w:footer="987" w:gutter="0"/>
          <w:cols w:space="720" w:num="1"/>
        </w:sectPr>
      </w:pPr>
    </w:p>
    <w:p w14:paraId="39D473A2">
      <w:pPr>
        <w:spacing w:before="62" w:line="221" w:lineRule="auto"/>
        <w:ind w:left="4416"/>
        <w:rPr>
          <w:rFonts w:ascii="黑体" w:hAnsi="黑体" w:eastAsia="黑体" w:cs="黑体"/>
          <w:color w:val="auto"/>
          <w:sz w:val="24"/>
          <w:szCs w:val="24"/>
          <w:lang w:eastAsia="zh-CN"/>
        </w:rPr>
      </w:pPr>
      <w:r>
        <w:rPr>
          <w:color w:val="auto"/>
        </w:rPr>
        <w:pict>
          <v:shape id="PowerPlusWaterMarkObject514" o:spid="_x0000_s1043" o:spt="136" type="#_x0000_t136" style="position:absolute;left:0pt;margin-left:-19.4pt;margin-top:-1.6pt;height:14.4pt;width:343.65pt;rotation:21626880f;z-index:-251543552;mso-width-relative:page;mso-height-relative:page;" fillcolor="#000000" filled="t" stroked="f" coordsize="21600,21600">
            <v:path/>
            <v:fill on="t" opacity="6682f" focussize="0,0"/>
            <v:stroke on="f"/>
            <v:imagedata o:title=""/>
            <o:lock v:ext="edit"/>
            <v:textpath on="t" fitshape="t" fitpath="t" trim="t" xscale="f" string="辽宁省房屋建筑和市政工程数字化交易工具（公共服" style="font-family:KaiTi;font-size:8pt;v-text-align:center;"/>
          </v:shape>
        </w:pict>
      </w:r>
      <w:r>
        <w:rPr>
          <w:color w:val="auto"/>
        </w:rPr>
        <w:pict>
          <v:shape id="PowerPlusWaterMarkObject516" o:spid="_x0000_s1044" o:spt="136" type="#_x0000_t136" style="position:absolute;left:0pt;margin-left:-16.95pt;margin-top:283.45pt;height:14.4pt;width:386.4pt;mso-position-horizontal-relative:page;mso-position-vertical-relative:page;rotation:21626880f;z-index:-251548672;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18" o:spid="_x0000_s1045" o:spt="136" type="#_x0000_t136" style="position:absolute;left:0pt;margin-left:467.9pt;margin-top:121.65pt;height:14.25pt;width:133.65pt;mso-position-horizontal-relative:page;mso-position-vertical-relative:page;rotation:21626880f;z-index:-251549696;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20" o:spid="_x0000_s1046" o:spt="136" type="#_x0000_t136" style="position:absolute;left:0pt;margin-left:-16.95pt;margin-top:508.45pt;height:14.4pt;width:386.4pt;mso-position-horizontal-relative:page;mso-position-vertical-relative:page;rotation:21626880f;z-index:-251550720;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22" o:spid="_x0000_s1047" o:spt="136" type="#_x0000_t136" style="position:absolute;left:0pt;margin-left:467.9pt;margin-top:346.65pt;height:14.25pt;width:133.65pt;mso-position-horizontal-relative:page;mso-position-vertical-relative:page;rotation:21626880f;z-index:-251547648;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24" o:spid="_x0000_s1048" o:spt="136" type="#_x0000_t136" style="position:absolute;left:0pt;margin-left:-16.95pt;margin-top:733.45pt;height:14.4pt;width:386.4pt;mso-position-horizontal-relative:page;mso-position-vertical-relative:page;rotation:21626880f;z-index:-251544576;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26" o:spid="_x0000_s1049" o:spt="136" type="#_x0000_t136" style="position:absolute;left:0pt;margin-left:467.9pt;margin-top:571.65pt;height:14.25pt;width:133.65pt;mso-position-horizontal-relative:page;mso-position-vertical-relative:page;rotation:21626880f;z-index:-251546624;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28" o:spid="_x0000_s1050" o:spt="136" type="#_x0000_t136" style="position:absolute;left:0pt;margin-left:467.9pt;margin-top:796.65pt;height:14.25pt;width:133.65pt;mso-position-horizontal-relative:page;mso-position-vertical-relative:page;rotation:21626880f;z-index:-251545600;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rFonts w:ascii="黑体" w:hAnsi="黑体" w:eastAsia="黑体" w:cs="黑体"/>
          <w:color w:val="auto"/>
          <w:spacing w:val="-1"/>
          <w:sz w:val="24"/>
          <w:szCs w:val="24"/>
          <w:lang w:eastAsia="zh-CN"/>
        </w:rPr>
        <w:t>近年完成的类似项目情况表</w:t>
      </w:r>
    </w:p>
    <w:p w14:paraId="1A18398C">
      <w:pPr>
        <w:spacing w:before="38"/>
        <w:rPr>
          <w:color w:val="auto"/>
          <w:lang w:eastAsia="zh-CN"/>
        </w:rPr>
      </w:pPr>
    </w:p>
    <w:p w14:paraId="16981295">
      <w:pPr>
        <w:spacing w:before="38"/>
        <w:rPr>
          <w:color w:val="auto"/>
          <w:lang w:eastAsia="zh-CN"/>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1"/>
        <w:gridCol w:w="6250"/>
      </w:tblGrid>
      <w:tr w14:paraId="43CC8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2271" w:type="dxa"/>
          </w:tcPr>
          <w:p w14:paraId="43E82372">
            <w:pPr>
              <w:pStyle w:val="21"/>
              <w:spacing w:before="230" w:line="222" w:lineRule="auto"/>
              <w:ind w:left="721"/>
              <w:rPr>
                <w:color w:val="auto"/>
              </w:rPr>
            </w:pPr>
            <w:r>
              <w:rPr>
                <w:color w:val="auto"/>
                <w:spacing w:val="-3"/>
              </w:rPr>
              <w:t>设备名称</w:t>
            </w:r>
          </w:p>
        </w:tc>
        <w:tc>
          <w:tcPr>
            <w:tcW w:w="6250" w:type="dxa"/>
          </w:tcPr>
          <w:p w14:paraId="5F2BCB43">
            <w:pPr>
              <w:rPr>
                <w:color w:val="auto"/>
              </w:rPr>
            </w:pPr>
          </w:p>
        </w:tc>
      </w:tr>
      <w:tr w14:paraId="22451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271" w:type="dxa"/>
          </w:tcPr>
          <w:p w14:paraId="6CAD2224">
            <w:pPr>
              <w:pStyle w:val="21"/>
              <w:spacing w:before="196" w:line="220" w:lineRule="auto"/>
              <w:ind w:left="616"/>
              <w:rPr>
                <w:color w:val="auto"/>
              </w:rPr>
            </w:pPr>
            <w:r>
              <w:rPr>
                <w:color w:val="auto"/>
                <w:spacing w:val="-3"/>
              </w:rPr>
              <w:t>规格和型号</w:t>
            </w:r>
          </w:p>
        </w:tc>
        <w:tc>
          <w:tcPr>
            <w:tcW w:w="6250" w:type="dxa"/>
          </w:tcPr>
          <w:p w14:paraId="20419D3D">
            <w:pPr>
              <w:rPr>
                <w:color w:val="auto"/>
              </w:rPr>
            </w:pPr>
          </w:p>
        </w:tc>
      </w:tr>
      <w:tr w14:paraId="68547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271" w:type="dxa"/>
          </w:tcPr>
          <w:p w14:paraId="52A1DB19">
            <w:pPr>
              <w:pStyle w:val="21"/>
              <w:spacing w:before="200" w:line="221" w:lineRule="auto"/>
              <w:ind w:left="724"/>
              <w:rPr>
                <w:color w:val="auto"/>
              </w:rPr>
            </w:pPr>
            <w:r>
              <w:rPr>
                <w:color w:val="auto"/>
                <w:spacing w:val="-3"/>
              </w:rPr>
              <w:t>项目名称</w:t>
            </w:r>
          </w:p>
        </w:tc>
        <w:tc>
          <w:tcPr>
            <w:tcW w:w="6250" w:type="dxa"/>
          </w:tcPr>
          <w:p w14:paraId="45E61364">
            <w:pPr>
              <w:rPr>
                <w:color w:val="auto"/>
              </w:rPr>
            </w:pPr>
          </w:p>
        </w:tc>
      </w:tr>
      <w:tr w14:paraId="485C5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271" w:type="dxa"/>
          </w:tcPr>
          <w:p w14:paraId="774F2F8E">
            <w:pPr>
              <w:pStyle w:val="21"/>
              <w:spacing w:before="199" w:line="221" w:lineRule="auto"/>
              <w:ind w:left="728"/>
              <w:rPr>
                <w:color w:val="auto"/>
              </w:rPr>
            </w:pPr>
            <w:r>
              <w:rPr>
                <w:color w:val="auto"/>
                <w:spacing w:val="-5"/>
              </w:rPr>
              <w:t>买方名称</w:t>
            </w:r>
          </w:p>
        </w:tc>
        <w:tc>
          <w:tcPr>
            <w:tcW w:w="6250" w:type="dxa"/>
          </w:tcPr>
          <w:p w14:paraId="570872B3">
            <w:pPr>
              <w:rPr>
                <w:color w:val="auto"/>
              </w:rPr>
            </w:pPr>
          </w:p>
        </w:tc>
      </w:tr>
      <w:tr w14:paraId="6ABB8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271" w:type="dxa"/>
          </w:tcPr>
          <w:p w14:paraId="36C33BDD">
            <w:pPr>
              <w:pStyle w:val="21"/>
              <w:spacing w:before="202" w:line="221" w:lineRule="auto"/>
              <w:ind w:left="314"/>
              <w:rPr>
                <w:color w:val="auto"/>
              </w:rPr>
            </w:pPr>
            <w:r>
              <w:rPr>
                <w:color w:val="auto"/>
                <w:spacing w:val="-4"/>
              </w:rPr>
              <w:t>买方联系人及电话</w:t>
            </w:r>
          </w:p>
        </w:tc>
        <w:tc>
          <w:tcPr>
            <w:tcW w:w="6250" w:type="dxa"/>
          </w:tcPr>
          <w:p w14:paraId="7F6165FF">
            <w:pPr>
              <w:rPr>
                <w:color w:val="auto"/>
              </w:rPr>
            </w:pPr>
          </w:p>
        </w:tc>
      </w:tr>
      <w:tr w14:paraId="65BB4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2271" w:type="dxa"/>
          </w:tcPr>
          <w:p w14:paraId="1CB9FDAA">
            <w:pPr>
              <w:pStyle w:val="21"/>
              <w:spacing w:before="202" w:line="219" w:lineRule="auto"/>
              <w:ind w:left="406"/>
              <w:rPr>
                <w:color w:val="auto"/>
              </w:rPr>
            </w:pPr>
            <w:r>
              <w:rPr>
                <w:color w:val="auto"/>
                <w:spacing w:val="-4"/>
              </w:rPr>
              <w:t>合同价格（元）</w:t>
            </w:r>
          </w:p>
        </w:tc>
        <w:tc>
          <w:tcPr>
            <w:tcW w:w="6250" w:type="dxa"/>
          </w:tcPr>
          <w:p w14:paraId="0A3703FC">
            <w:pPr>
              <w:rPr>
                <w:color w:val="auto"/>
              </w:rPr>
            </w:pPr>
          </w:p>
        </w:tc>
      </w:tr>
      <w:tr w14:paraId="3A856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8" w:hRule="atLeast"/>
        </w:trPr>
        <w:tc>
          <w:tcPr>
            <w:tcW w:w="2271" w:type="dxa"/>
          </w:tcPr>
          <w:p w14:paraId="779BE9E7">
            <w:pPr>
              <w:spacing w:line="318" w:lineRule="auto"/>
              <w:rPr>
                <w:color w:val="auto"/>
                <w:lang w:eastAsia="zh-CN"/>
              </w:rPr>
            </w:pPr>
          </w:p>
          <w:p w14:paraId="69253896">
            <w:pPr>
              <w:spacing w:line="319" w:lineRule="auto"/>
              <w:rPr>
                <w:color w:val="auto"/>
                <w:lang w:eastAsia="zh-CN"/>
              </w:rPr>
            </w:pPr>
          </w:p>
          <w:p w14:paraId="61A1AB3F">
            <w:pPr>
              <w:pStyle w:val="21"/>
              <w:spacing w:before="68" w:line="414" w:lineRule="auto"/>
              <w:ind w:left="720" w:right="300" w:hanging="410"/>
              <w:rPr>
                <w:color w:val="auto"/>
                <w:lang w:eastAsia="zh-CN"/>
              </w:rPr>
            </w:pPr>
            <w:r>
              <w:rPr>
                <w:color w:val="auto"/>
                <w:spacing w:val="-4"/>
                <w:lang w:eastAsia="zh-CN"/>
              </w:rPr>
              <w:t>项目概况及投标人</w:t>
            </w:r>
            <w:r>
              <w:rPr>
                <w:color w:val="auto"/>
                <w:spacing w:val="-3"/>
                <w:lang w:eastAsia="zh-CN"/>
              </w:rPr>
              <w:t>履约情况</w:t>
            </w:r>
          </w:p>
        </w:tc>
        <w:tc>
          <w:tcPr>
            <w:tcW w:w="6250" w:type="dxa"/>
          </w:tcPr>
          <w:p w14:paraId="207F60FD">
            <w:pPr>
              <w:rPr>
                <w:color w:val="auto"/>
                <w:lang w:eastAsia="zh-CN"/>
              </w:rPr>
            </w:pPr>
          </w:p>
        </w:tc>
      </w:tr>
      <w:tr w14:paraId="2A854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271" w:type="dxa"/>
          </w:tcPr>
          <w:p w14:paraId="7E36BB4B">
            <w:pPr>
              <w:pStyle w:val="21"/>
              <w:spacing w:before="215" w:line="222" w:lineRule="auto"/>
              <w:ind w:left="930"/>
              <w:rPr>
                <w:color w:val="auto"/>
              </w:rPr>
            </w:pPr>
            <w:r>
              <w:rPr>
                <w:color w:val="auto"/>
                <w:spacing w:val="-3"/>
              </w:rPr>
              <w:t>备注</w:t>
            </w:r>
          </w:p>
        </w:tc>
        <w:tc>
          <w:tcPr>
            <w:tcW w:w="6250" w:type="dxa"/>
          </w:tcPr>
          <w:p w14:paraId="2B69DE88">
            <w:pPr>
              <w:rPr>
                <w:color w:val="auto"/>
              </w:rPr>
            </w:pPr>
          </w:p>
        </w:tc>
      </w:tr>
    </w:tbl>
    <w:p w14:paraId="6066A6FD">
      <w:pPr>
        <w:spacing w:before="174" w:line="220" w:lineRule="auto"/>
        <w:ind w:left="1704"/>
        <w:rPr>
          <w:rFonts w:ascii="宋体" w:hAnsi="宋体" w:eastAsia="宋体" w:cs="宋体"/>
          <w:color w:val="auto"/>
          <w:lang w:eastAsia="zh-CN"/>
        </w:rPr>
      </w:pPr>
      <w:r>
        <w:rPr>
          <w:rFonts w:ascii="宋体" w:hAnsi="宋体" w:eastAsia="宋体" w:cs="宋体"/>
          <w:color w:val="auto"/>
          <w:spacing w:val="-3"/>
          <w:lang w:eastAsia="zh-CN"/>
        </w:rPr>
        <w:t>备注：1.投标人应根据投标人须知第3.5.3</w:t>
      </w:r>
      <w:r>
        <w:rPr>
          <w:rFonts w:ascii="宋体" w:hAnsi="宋体" w:eastAsia="宋体" w:cs="宋体"/>
          <w:color w:val="auto"/>
          <w:spacing w:val="-4"/>
          <w:lang w:eastAsia="zh-CN"/>
        </w:rPr>
        <w:t>项的要求在本表后附相关证明材料扫描件。</w:t>
      </w:r>
    </w:p>
    <w:p w14:paraId="5BA7C6E5">
      <w:pPr>
        <w:spacing w:before="263" w:line="347" w:lineRule="auto"/>
        <w:ind w:left="1701" w:right="1688" w:firstLine="633"/>
        <w:rPr>
          <w:rFonts w:ascii="宋体" w:hAnsi="宋体" w:eastAsia="宋体" w:cs="宋体"/>
          <w:color w:val="auto"/>
          <w:lang w:eastAsia="zh-CN"/>
        </w:rPr>
      </w:pPr>
      <w:r>
        <w:rPr>
          <w:rFonts w:ascii="宋体" w:hAnsi="宋体" w:eastAsia="宋体" w:cs="宋体"/>
          <w:color w:val="auto"/>
          <w:spacing w:val="-5"/>
          <w:lang w:eastAsia="zh-CN"/>
        </w:rPr>
        <w:t>2.投标人为代理经销商的，投标人须知第1.4.1项要求投标人提供投标设备的业绩的，</w:t>
      </w:r>
      <w:r>
        <w:rPr>
          <w:rFonts w:ascii="宋体" w:hAnsi="宋体" w:eastAsia="宋体" w:cs="宋体"/>
          <w:color w:val="auto"/>
          <w:spacing w:val="-1"/>
          <w:lang w:eastAsia="zh-CN"/>
        </w:rPr>
        <w:t>投标人应按照上表的格式提供投标设备的业绩情况并根据投标人须知第3.5.3项的要求在本</w:t>
      </w:r>
      <w:r>
        <w:rPr>
          <w:rFonts w:ascii="宋体" w:hAnsi="宋体" w:eastAsia="宋体" w:cs="宋体"/>
          <w:color w:val="auto"/>
          <w:spacing w:val="-4"/>
          <w:lang w:eastAsia="zh-CN"/>
        </w:rPr>
        <w:t>表后附相关证明材料。</w:t>
      </w:r>
    </w:p>
    <w:p w14:paraId="625805B7">
      <w:pPr>
        <w:spacing w:before="263" w:line="315" w:lineRule="auto"/>
        <w:ind w:left="1700" w:right="1748" w:firstLine="635"/>
        <w:rPr>
          <w:rFonts w:ascii="宋体" w:hAnsi="宋体" w:eastAsia="宋体" w:cs="宋体"/>
          <w:color w:val="auto"/>
          <w:lang w:eastAsia="zh-CN"/>
        </w:rPr>
      </w:pPr>
      <w:r>
        <w:rPr>
          <w:rFonts w:ascii="宋体" w:hAnsi="宋体" w:eastAsia="宋体" w:cs="宋体"/>
          <w:color w:val="auto"/>
          <w:spacing w:val="1"/>
          <w:lang w:eastAsia="zh-CN"/>
        </w:rPr>
        <w:t>3.类似项目业绩是指</w:t>
      </w:r>
      <w:r>
        <w:rPr>
          <w:rFonts w:hint="eastAsia" w:ascii="宋体" w:hAnsi="宋体" w:eastAsia="宋体" w:cs="宋体"/>
          <w:color w:val="auto"/>
          <w:spacing w:val="1"/>
          <w:lang w:eastAsia="zh-CN"/>
        </w:rPr>
        <w:t>：</w:t>
      </w:r>
      <w:r>
        <w:rPr>
          <w:rFonts w:ascii="宋体" w:hAnsi="宋体" w:eastAsia="宋体" w:cs="宋体"/>
          <w:color w:val="auto"/>
          <w:spacing w:val="1"/>
          <w:lang w:eastAsia="zh-CN"/>
        </w:rPr>
        <w:t>详见资格条件及评标办法要求，证明材料为合同协议书、设备</w:t>
      </w:r>
      <w:r>
        <w:rPr>
          <w:rFonts w:ascii="宋体" w:hAnsi="宋体" w:eastAsia="宋体" w:cs="宋体"/>
          <w:color w:val="auto"/>
          <w:spacing w:val="-5"/>
          <w:lang w:eastAsia="zh-CN"/>
        </w:rPr>
        <w:t>进场验收证书。</w:t>
      </w:r>
    </w:p>
    <w:p w14:paraId="2144C3B6">
      <w:pPr>
        <w:spacing w:before="261" w:line="220" w:lineRule="auto"/>
        <w:ind w:left="2331"/>
        <w:rPr>
          <w:rFonts w:ascii="宋体" w:hAnsi="宋体" w:eastAsia="宋体" w:cs="宋体"/>
          <w:color w:val="auto"/>
          <w:lang w:eastAsia="zh-CN"/>
        </w:rPr>
      </w:pPr>
      <w:r>
        <w:rPr>
          <w:rFonts w:ascii="宋体" w:hAnsi="宋体" w:eastAsia="宋体" w:cs="宋体"/>
          <w:color w:val="auto"/>
          <w:spacing w:val="-4"/>
          <w:lang w:eastAsia="zh-CN"/>
        </w:rPr>
        <w:t>4.类似项目业绩的合同协议书、设备进场验收证书无法体现招标文件要求的技术规</w:t>
      </w:r>
      <w:r>
        <w:rPr>
          <w:rFonts w:ascii="宋体" w:hAnsi="宋体" w:eastAsia="宋体" w:cs="宋体"/>
          <w:color w:val="auto"/>
          <w:spacing w:val="-5"/>
          <w:lang w:eastAsia="zh-CN"/>
        </w:rPr>
        <w:t>格，</w:t>
      </w:r>
    </w:p>
    <w:p w14:paraId="13566822">
      <w:pPr>
        <w:spacing w:before="218" w:line="220" w:lineRule="auto"/>
        <w:ind w:left="1706"/>
        <w:rPr>
          <w:rFonts w:ascii="宋体" w:hAnsi="宋体" w:eastAsia="宋体" w:cs="宋体"/>
          <w:color w:val="auto"/>
          <w:lang w:eastAsia="zh-CN"/>
        </w:rPr>
      </w:pPr>
      <w:r>
        <w:rPr>
          <w:rFonts w:ascii="宋体" w:hAnsi="宋体" w:eastAsia="宋体" w:cs="宋体"/>
          <w:color w:val="auto"/>
          <w:spacing w:val="-3"/>
          <w:lang w:eastAsia="zh-CN"/>
        </w:rPr>
        <w:t>则投标人还需提供买方出具的证明文件。</w:t>
      </w:r>
    </w:p>
    <w:p w14:paraId="29E702C5">
      <w:pPr>
        <w:spacing w:before="140" w:line="221" w:lineRule="auto"/>
        <w:ind w:left="2336"/>
        <w:rPr>
          <w:rFonts w:ascii="宋体" w:hAnsi="宋体" w:eastAsia="宋体" w:cs="宋体"/>
          <w:color w:val="auto"/>
          <w:lang w:eastAsia="zh-CN"/>
        </w:rPr>
      </w:pPr>
      <w:r>
        <w:rPr>
          <w:rFonts w:ascii="宋体" w:hAnsi="宋体" w:eastAsia="宋体" w:cs="宋体"/>
          <w:color w:val="auto"/>
          <w:spacing w:val="-4"/>
          <w:lang w:eastAsia="zh-CN"/>
        </w:rPr>
        <w:t>5.若无要求，无需填写。</w:t>
      </w:r>
    </w:p>
    <w:p w14:paraId="19441141">
      <w:pPr>
        <w:spacing w:line="221" w:lineRule="auto"/>
        <w:rPr>
          <w:rFonts w:ascii="宋体" w:hAnsi="宋体" w:eastAsia="宋体" w:cs="宋体"/>
          <w:color w:val="auto"/>
          <w:lang w:eastAsia="zh-CN"/>
        </w:rPr>
        <w:sectPr>
          <w:headerReference r:id="rId160" w:type="default"/>
          <w:footerReference r:id="rId161" w:type="default"/>
          <w:pgSz w:w="11906" w:h="16839"/>
          <w:pgMar w:top="1784" w:right="0" w:bottom="1147" w:left="105" w:header="1415" w:footer="987" w:gutter="0"/>
          <w:cols w:space="720" w:num="1"/>
        </w:sectPr>
      </w:pPr>
    </w:p>
    <w:p w14:paraId="007F0ABF">
      <w:pPr>
        <w:pStyle w:val="8"/>
        <w:spacing w:line="275" w:lineRule="auto"/>
        <w:rPr>
          <w:lang w:eastAsia="zh-CN"/>
        </w:rPr>
      </w:pPr>
    </w:p>
    <w:p w14:paraId="05EDDE8B">
      <w:pPr>
        <w:pStyle w:val="8"/>
        <w:spacing w:line="276" w:lineRule="auto"/>
        <w:rPr>
          <w:lang w:eastAsia="zh-CN"/>
        </w:rPr>
      </w:pPr>
    </w:p>
    <w:p w14:paraId="4345EBCE">
      <w:pPr>
        <w:pStyle w:val="8"/>
        <w:spacing w:line="276" w:lineRule="auto"/>
        <w:rPr>
          <w:lang w:eastAsia="zh-CN"/>
        </w:rPr>
      </w:pPr>
    </w:p>
    <w:p w14:paraId="70BEB094">
      <w:pPr>
        <w:pStyle w:val="8"/>
        <w:spacing w:line="276" w:lineRule="auto"/>
        <w:rPr>
          <w:lang w:eastAsia="zh-CN"/>
        </w:rPr>
      </w:pPr>
    </w:p>
    <w:p w14:paraId="7A4FA3FA">
      <w:pPr>
        <w:pStyle w:val="8"/>
        <w:spacing w:line="276" w:lineRule="auto"/>
        <w:rPr>
          <w:lang w:eastAsia="zh-CN"/>
        </w:rPr>
      </w:pPr>
    </w:p>
    <w:p w14:paraId="5500E0DE">
      <w:pPr>
        <w:spacing w:before="78" w:line="221" w:lineRule="auto"/>
        <w:ind w:left="3952"/>
        <w:outlineLvl w:val="2"/>
        <w:rPr>
          <w:rFonts w:ascii="黑体" w:hAnsi="黑体" w:eastAsia="黑体" w:cs="黑体"/>
          <w:color w:val="auto"/>
          <w:sz w:val="24"/>
          <w:szCs w:val="24"/>
          <w:lang w:eastAsia="zh-CN"/>
        </w:rPr>
      </w:pPr>
      <w:bookmarkStart w:id="460" w:name="bookmark196"/>
      <w:bookmarkEnd w:id="460"/>
      <w:r>
        <w:rPr>
          <w:rFonts w:ascii="黑体" w:hAnsi="黑体" w:eastAsia="黑体" w:cs="黑体"/>
          <w:color w:val="auto"/>
          <w:spacing w:val="-3"/>
          <w:sz w:val="24"/>
          <w:szCs w:val="24"/>
          <w:lang w:eastAsia="zh-CN"/>
        </w:rPr>
        <w:t>（四）正在供货和新承接的项目情况</w:t>
      </w:r>
    </w:p>
    <w:p w14:paraId="04955580">
      <w:pPr>
        <w:pStyle w:val="8"/>
        <w:spacing w:line="269" w:lineRule="auto"/>
        <w:rPr>
          <w:lang w:eastAsia="zh-CN"/>
        </w:rPr>
      </w:pPr>
    </w:p>
    <w:p w14:paraId="7EEE1669">
      <w:pPr>
        <w:spacing w:before="78" w:line="221" w:lineRule="auto"/>
        <w:ind w:left="4181"/>
        <w:rPr>
          <w:rFonts w:ascii="黑体" w:hAnsi="黑体" w:eastAsia="黑体" w:cs="黑体"/>
          <w:color w:val="auto"/>
          <w:sz w:val="24"/>
          <w:szCs w:val="24"/>
          <w:lang w:eastAsia="zh-CN"/>
        </w:rPr>
      </w:pPr>
      <w:r>
        <w:rPr>
          <w:rFonts w:ascii="黑体" w:hAnsi="黑体" w:eastAsia="黑体" w:cs="黑体"/>
          <w:color w:val="auto"/>
          <w:spacing w:val="-1"/>
          <w:sz w:val="24"/>
          <w:szCs w:val="24"/>
          <w:lang w:eastAsia="zh-CN"/>
        </w:rPr>
        <w:t>正在供货和新承接的项目汇总表</w:t>
      </w:r>
    </w:p>
    <w:p w14:paraId="33A4C233">
      <w:pPr>
        <w:spacing w:line="142" w:lineRule="exact"/>
        <w:rPr>
          <w:color w:val="auto"/>
          <w:lang w:eastAsia="zh-CN"/>
        </w:rPr>
      </w:pPr>
    </w:p>
    <w:tbl>
      <w:tblPr>
        <w:tblStyle w:val="20"/>
        <w:tblW w:w="8187" w:type="dxa"/>
        <w:tblInd w:w="15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4"/>
        <w:gridCol w:w="2054"/>
        <w:gridCol w:w="1234"/>
        <w:gridCol w:w="1234"/>
        <w:gridCol w:w="1235"/>
        <w:gridCol w:w="1826"/>
      </w:tblGrid>
      <w:tr w14:paraId="76409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604" w:type="dxa"/>
          </w:tcPr>
          <w:p w14:paraId="64D855D4">
            <w:pPr>
              <w:spacing w:line="290" w:lineRule="auto"/>
              <w:rPr>
                <w:color w:val="auto"/>
                <w:lang w:eastAsia="zh-CN"/>
              </w:rPr>
            </w:pPr>
          </w:p>
          <w:p w14:paraId="71909CC9">
            <w:pPr>
              <w:pStyle w:val="21"/>
              <w:spacing w:before="68" w:line="222" w:lineRule="auto"/>
              <w:ind w:left="92"/>
              <w:rPr>
                <w:color w:val="auto"/>
              </w:rPr>
            </w:pPr>
            <w:r>
              <w:rPr>
                <w:color w:val="auto"/>
                <w:spacing w:val="-2"/>
              </w:rPr>
              <w:t>序号</w:t>
            </w:r>
          </w:p>
        </w:tc>
        <w:tc>
          <w:tcPr>
            <w:tcW w:w="2054" w:type="dxa"/>
          </w:tcPr>
          <w:p w14:paraId="4A442E1F">
            <w:pPr>
              <w:spacing w:line="290" w:lineRule="auto"/>
              <w:rPr>
                <w:color w:val="auto"/>
              </w:rPr>
            </w:pPr>
          </w:p>
          <w:p w14:paraId="02A33733">
            <w:pPr>
              <w:pStyle w:val="21"/>
              <w:spacing w:before="68" w:line="221" w:lineRule="auto"/>
              <w:ind w:left="611"/>
              <w:rPr>
                <w:color w:val="auto"/>
              </w:rPr>
            </w:pPr>
            <w:r>
              <w:rPr>
                <w:color w:val="auto"/>
                <w:spacing w:val="-3"/>
              </w:rPr>
              <w:t>项目名称</w:t>
            </w:r>
          </w:p>
        </w:tc>
        <w:tc>
          <w:tcPr>
            <w:tcW w:w="1234" w:type="dxa"/>
          </w:tcPr>
          <w:p w14:paraId="52CE8311">
            <w:pPr>
              <w:spacing w:line="290" w:lineRule="auto"/>
              <w:rPr>
                <w:color w:val="auto"/>
              </w:rPr>
            </w:pPr>
          </w:p>
          <w:p w14:paraId="0B330CA3">
            <w:pPr>
              <w:pStyle w:val="21"/>
              <w:spacing w:before="68" w:line="221" w:lineRule="auto"/>
              <w:ind w:left="208"/>
              <w:rPr>
                <w:color w:val="auto"/>
              </w:rPr>
            </w:pPr>
            <w:r>
              <w:rPr>
                <w:color w:val="auto"/>
                <w:spacing w:val="-4"/>
              </w:rPr>
              <w:t>买方名称</w:t>
            </w:r>
          </w:p>
        </w:tc>
        <w:tc>
          <w:tcPr>
            <w:tcW w:w="1234" w:type="dxa"/>
          </w:tcPr>
          <w:p w14:paraId="2D0D01C3">
            <w:pPr>
              <w:spacing w:line="290" w:lineRule="auto"/>
              <w:rPr>
                <w:color w:val="auto"/>
              </w:rPr>
            </w:pPr>
          </w:p>
          <w:p w14:paraId="27432266">
            <w:pPr>
              <w:pStyle w:val="21"/>
              <w:spacing w:before="68" w:line="222" w:lineRule="auto"/>
              <w:ind w:left="205"/>
              <w:rPr>
                <w:color w:val="auto"/>
              </w:rPr>
            </w:pPr>
            <w:r>
              <w:rPr>
                <w:color w:val="auto"/>
                <w:spacing w:val="-3"/>
              </w:rPr>
              <w:t>设备名称</w:t>
            </w:r>
          </w:p>
        </w:tc>
        <w:tc>
          <w:tcPr>
            <w:tcW w:w="1235" w:type="dxa"/>
          </w:tcPr>
          <w:p w14:paraId="5EB015A0">
            <w:pPr>
              <w:pStyle w:val="21"/>
              <w:spacing w:before="161" w:line="278" w:lineRule="auto"/>
              <w:ind w:left="314" w:right="189" w:hanging="109"/>
              <w:rPr>
                <w:color w:val="auto"/>
              </w:rPr>
            </w:pPr>
            <w:r>
              <w:rPr>
                <w:color w:val="auto"/>
                <w:spacing w:val="-3"/>
              </w:rPr>
              <w:t>合同价格</w:t>
            </w:r>
            <w:r>
              <w:rPr>
                <w:color w:val="auto"/>
                <w:spacing w:val="-7"/>
              </w:rPr>
              <w:t>（元）</w:t>
            </w:r>
          </w:p>
        </w:tc>
        <w:tc>
          <w:tcPr>
            <w:tcW w:w="1826" w:type="dxa"/>
          </w:tcPr>
          <w:p w14:paraId="16F931F1">
            <w:pPr>
              <w:pStyle w:val="21"/>
              <w:spacing w:before="161" w:line="278" w:lineRule="auto"/>
              <w:ind w:left="604" w:right="380" w:hanging="197"/>
              <w:rPr>
                <w:color w:val="auto"/>
              </w:rPr>
            </w:pPr>
            <w:r>
              <w:rPr>
                <w:color w:val="auto"/>
                <w:spacing w:val="-5"/>
              </w:rPr>
              <w:t>买方联系人</w:t>
            </w:r>
            <w:r>
              <w:rPr>
                <w:color w:val="auto"/>
                <w:spacing w:val="-3"/>
              </w:rPr>
              <w:t>及电话</w:t>
            </w:r>
          </w:p>
        </w:tc>
      </w:tr>
      <w:tr w14:paraId="36052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6DC054CD">
            <w:pPr>
              <w:rPr>
                <w:color w:val="auto"/>
              </w:rPr>
            </w:pPr>
          </w:p>
        </w:tc>
        <w:tc>
          <w:tcPr>
            <w:tcW w:w="2054" w:type="dxa"/>
          </w:tcPr>
          <w:p w14:paraId="2F49E8A1">
            <w:pPr>
              <w:rPr>
                <w:color w:val="auto"/>
              </w:rPr>
            </w:pPr>
          </w:p>
        </w:tc>
        <w:tc>
          <w:tcPr>
            <w:tcW w:w="1234" w:type="dxa"/>
          </w:tcPr>
          <w:p w14:paraId="4C3A2073">
            <w:pPr>
              <w:rPr>
                <w:color w:val="auto"/>
              </w:rPr>
            </w:pPr>
          </w:p>
        </w:tc>
        <w:tc>
          <w:tcPr>
            <w:tcW w:w="1234" w:type="dxa"/>
          </w:tcPr>
          <w:p w14:paraId="69F6CE46">
            <w:pPr>
              <w:rPr>
                <w:color w:val="auto"/>
              </w:rPr>
            </w:pPr>
          </w:p>
        </w:tc>
        <w:tc>
          <w:tcPr>
            <w:tcW w:w="1235" w:type="dxa"/>
          </w:tcPr>
          <w:p w14:paraId="3CD0F4D1">
            <w:pPr>
              <w:rPr>
                <w:color w:val="auto"/>
              </w:rPr>
            </w:pPr>
          </w:p>
        </w:tc>
        <w:tc>
          <w:tcPr>
            <w:tcW w:w="1826" w:type="dxa"/>
          </w:tcPr>
          <w:p w14:paraId="4758F2FA">
            <w:pPr>
              <w:rPr>
                <w:color w:val="auto"/>
              </w:rPr>
            </w:pPr>
          </w:p>
        </w:tc>
      </w:tr>
      <w:tr w14:paraId="78F1F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3DF2C645">
            <w:pPr>
              <w:rPr>
                <w:color w:val="auto"/>
              </w:rPr>
            </w:pPr>
          </w:p>
        </w:tc>
        <w:tc>
          <w:tcPr>
            <w:tcW w:w="2054" w:type="dxa"/>
          </w:tcPr>
          <w:p w14:paraId="57FC0469">
            <w:pPr>
              <w:rPr>
                <w:color w:val="auto"/>
              </w:rPr>
            </w:pPr>
          </w:p>
        </w:tc>
        <w:tc>
          <w:tcPr>
            <w:tcW w:w="1234" w:type="dxa"/>
          </w:tcPr>
          <w:p w14:paraId="0651D7FB">
            <w:pPr>
              <w:rPr>
                <w:color w:val="auto"/>
              </w:rPr>
            </w:pPr>
          </w:p>
        </w:tc>
        <w:tc>
          <w:tcPr>
            <w:tcW w:w="1234" w:type="dxa"/>
          </w:tcPr>
          <w:p w14:paraId="00D4A5BF">
            <w:pPr>
              <w:rPr>
                <w:color w:val="auto"/>
              </w:rPr>
            </w:pPr>
          </w:p>
        </w:tc>
        <w:tc>
          <w:tcPr>
            <w:tcW w:w="1235" w:type="dxa"/>
          </w:tcPr>
          <w:p w14:paraId="6C3B6D2F">
            <w:pPr>
              <w:rPr>
                <w:color w:val="auto"/>
              </w:rPr>
            </w:pPr>
          </w:p>
        </w:tc>
        <w:tc>
          <w:tcPr>
            <w:tcW w:w="1826" w:type="dxa"/>
          </w:tcPr>
          <w:p w14:paraId="7CF44206">
            <w:pPr>
              <w:rPr>
                <w:color w:val="auto"/>
              </w:rPr>
            </w:pPr>
          </w:p>
        </w:tc>
      </w:tr>
      <w:tr w14:paraId="0C655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0E1B61E3">
            <w:pPr>
              <w:rPr>
                <w:color w:val="auto"/>
              </w:rPr>
            </w:pPr>
          </w:p>
        </w:tc>
        <w:tc>
          <w:tcPr>
            <w:tcW w:w="2054" w:type="dxa"/>
          </w:tcPr>
          <w:p w14:paraId="7D9FF2CE">
            <w:pPr>
              <w:rPr>
                <w:color w:val="auto"/>
              </w:rPr>
            </w:pPr>
          </w:p>
        </w:tc>
        <w:tc>
          <w:tcPr>
            <w:tcW w:w="1234" w:type="dxa"/>
          </w:tcPr>
          <w:p w14:paraId="140DBA96">
            <w:pPr>
              <w:rPr>
                <w:color w:val="auto"/>
              </w:rPr>
            </w:pPr>
          </w:p>
        </w:tc>
        <w:tc>
          <w:tcPr>
            <w:tcW w:w="1234" w:type="dxa"/>
          </w:tcPr>
          <w:p w14:paraId="722CAA31">
            <w:pPr>
              <w:rPr>
                <w:color w:val="auto"/>
              </w:rPr>
            </w:pPr>
          </w:p>
        </w:tc>
        <w:tc>
          <w:tcPr>
            <w:tcW w:w="1235" w:type="dxa"/>
          </w:tcPr>
          <w:p w14:paraId="0C5EF7F0">
            <w:pPr>
              <w:rPr>
                <w:color w:val="auto"/>
              </w:rPr>
            </w:pPr>
          </w:p>
        </w:tc>
        <w:tc>
          <w:tcPr>
            <w:tcW w:w="1826" w:type="dxa"/>
          </w:tcPr>
          <w:p w14:paraId="2351AD54">
            <w:pPr>
              <w:rPr>
                <w:color w:val="auto"/>
              </w:rPr>
            </w:pPr>
          </w:p>
        </w:tc>
      </w:tr>
      <w:tr w14:paraId="0666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6152E953">
            <w:pPr>
              <w:rPr>
                <w:color w:val="auto"/>
              </w:rPr>
            </w:pPr>
          </w:p>
        </w:tc>
        <w:tc>
          <w:tcPr>
            <w:tcW w:w="2054" w:type="dxa"/>
          </w:tcPr>
          <w:p w14:paraId="544A8A6E">
            <w:pPr>
              <w:rPr>
                <w:color w:val="auto"/>
              </w:rPr>
            </w:pPr>
          </w:p>
        </w:tc>
        <w:tc>
          <w:tcPr>
            <w:tcW w:w="1234" w:type="dxa"/>
          </w:tcPr>
          <w:p w14:paraId="166AFE74">
            <w:pPr>
              <w:rPr>
                <w:color w:val="auto"/>
              </w:rPr>
            </w:pPr>
          </w:p>
        </w:tc>
        <w:tc>
          <w:tcPr>
            <w:tcW w:w="1234" w:type="dxa"/>
          </w:tcPr>
          <w:p w14:paraId="70E2DEBF">
            <w:pPr>
              <w:rPr>
                <w:color w:val="auto"/>
              </w:rPr>
            </w:pPr>
          </w:p>
        </w:tc>
        <w:tc>
          <w:tcPr>
            <w:tcW w:w="1235" w:type="dxa"/>
          </w:tcPr>
          <w:p w14:paraId="50049603">
            <w:pPr>
              <w:rPr>
                <w:color w:val="auto"/>
              </w:rPr>
            </w:pPr>
          </w:p>
        </w:tc>
        <w:tc>
          <w:tcPr>
            <w:tcW w:w="1826" w:type="dxa"/>
          </w:tcPr>
          <w:p w14:paraId="48990E09">
            <w:pPr>
              <w:rPr>
                <w:color w:val="auto"/>
              </w:rPr>
            </w:pPr>
          </w:p>
        </w:tc>
      </w:tr>
      <w:tr w14:paraId="178B0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1063CE94">
            <w:pPr>
              <w:rPr>
                <w:color w:val="auto"/>
              </w:rPr>
            </w:pPr>
          </w:p>
        </w:tc>
        <w:tc>
          <w:tcPr>
            <w:tcW w:w="2054" w:type="dxa"/>
          </w:tcPr>
          <w:p w14:paraId="2364A20D">
            <w:pPr>
              <w:rPr>
                <w:color w:val="auto"/>
              </w:rPr>
            </w:pPr>
          </w:p>
        </w:tc>
        <w:tc>
          <w:tcPr>
            <w:tcW w:w="1234" w:type="dxa"/>
          </w:tcPr>
          <w:p w14:paraId="0DC5FF94">
            <w:pPr>
              <w:rPr>
                <w:color w:val="auto"/>
              </w:rPr>
            </w:pPr>
          </w:p>
        </w:tc>
        <w:tc>
          <w:tcPr>
            <w:tcW w:w="1234" w:type="dxa"/>
          </w:tcPr>
          <w:p w14:paraId="2DCC7950">
            <w:pPr>
              <w:rPr>
                <w:color w:val="auto"/>
              </w:rPr>
            </w:pPr>
          </w:p>
        </w:tc>
        <w:tc>
          <w:tcPr>
            <w:tcW w:w="1235" w:type="dxa"/>
          </w:tcPr>
          <w:p w14:paraId="40022813">
            <w:pPr>
              <w:rPr>
                <w:color w:val="auto"/>
              </w:rPr>
            </w:pPr>
          </w:p>
        </w:tc>
        <w:tc>
          <w:tcPr>
            <w:tcW w:w="1826" w:type="dxa"/>
          </w:tcPr>
          <w:p w14:paraId="16F53F53">
            <w:pPr>
              <w:rPr>
                <w:color w:val="auto"/>
              </w:rPr>
            </w:pPr>
          </w:p>
        </w:tc>
      </w:tr>
      <w:tr w14:paraId="7AB65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7CB680BD">
            <w:pPr>
              <w:rPr>
                <w:color w:val="auto"/>
              </w:rPr>
            </w:pPr>
          </w:p>
        </w:tc>
        <w:tc>
          <w:tcPr>
            <w:tcW w:w="2054" w:type="dxa"/>
          </w:tcPr>
          <w:p w14:paraId="184E1130">
            <w:pPr>
              <w:rPr>
                <w:color w:val="auto"/>
              </w:rPr>
            </w:pPr>
          </w:p>
        </w:tc>
        <w:tc>
          <w:tcPr>
            <w:tcW w:w="1234" w:type="dxa"/>
          </w:tcPr>
          <w:p w14:paraId="499B5DA5">
            <w:pPr>
              <w:rPr>
                <w:color w:val="auto"/>
              </w:rPr>
            </w:pPr>
          </w:p>
        </w:tc>
        <w:tc>
          <w:tcPr>
            <w:tcW w:w="1234" w:type="dxa"/>
          </w:tcPr>
          <w:p w14:paraId="6D0C4C75">
            <w:pPr>
              <w:rPr>
                <w:color w:val="auto"/>
              </w:rPr>
            </w:pPr>
          </w:p>
        </w:tc>
        <w:tc>
          <w:tcPr>
            <w:tcW w:w="1235" w:type="dxa"/>
          </w:tcPr>
          <w:p w14:paraId="0B0976FD">
            <w:pPr>
              <w:rPr>
                <w:color w:val="auto"/>
              </w:rPr>
            </w:pPr>
          </w:p>
        </w:tc>
        <w:tc>
          <w:tcPr>
            <w:tcW w:w="1826" w:type="dxa"/>
          </w:tcPr>
          <w:p w14:paraId="68691CFB">
            <w:pPr>
              <w:rPr>
                <w:color w:val="auto"/>
              </w:rPr>
            </w:pPr>
          </w:p>
        </w:tc>
      </w:tr>
      <w:tr w14:paraId="030FB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6C41A337">
            <w:pPr>
              <w:rPr>
                <w:color w:val="auto"/>
              </w:rPr>
            </w:pPr>
          </w:p>
        </w:tc>
        <w:tc>
          <w:tcPr>
            <w:tcW w:w="2054" w:type="dxa"/>
          </w:tcPr>
          <w:p w14:paraId="488EE3D0">
            <w:pPr>
              <w:rPr>
                <w:color w:val="auto"/>
              </w:rPr>
            </w:pPr>
          </w:p>
        </w:tc>
        <w:tc>
          <w:tcPr>
            <w:tcW w:w="1234" w:type="dxa"/>
          </w:tcPr>
          <w:p w14:paraId="55988C53">
            <w:pPr>
              <w:rPr>
                <w:color w:val="auto"/>
              </w:rPr>
            </w:pPr>
          </w:p>
        </w:tc>
        <w:tc>
          <w:tcPr>
            <w:tcW w:w="1234" w:type="dxa"/>
          </w:tcPr>
          <w:p w14:paraId="18B2E5E7">
            <w:pPr>
              <w:rPr>
                <w:color w:val="auto"/>
              </w:rPr>
            </w:pPr>
          </w:p>
        </w:tc>
        <w:tc>
          <w:tcPr>
            <w:tcW w:w="1235" w:type="dxa"/>
          </w:tcPr>
          <w:p w14:paraId="31141DF9">
            <w:pPr>
              <w:rPr>
                <w:color w:val="auto"/>
              </w:rPr>
            </w:pPr>
          </w:p>
        </w:tc>
        <w:tc>
          <w:tcPr>
            <w:tcW w:w="1826" w:type="dxa"/>
          </w:tcPr>
          <w:p w14:paraId="11B71AE0">
            <w:pPr>
              <w:rPr>
                <w:color w:val="auto"/>
              </w:rPr>
            </w:pPr>
          </w:p>
        </w:tc>
      </w:tr>
      <w:tr w14:paraId="33395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2AB7AE54">
            <w:pPr>
              <w:rPr>
                <w:color w:val="auto"/>
              </w:rPr>
            </w:pPr>
          </w:p>
        </w:tc>
        <w:tc>
          <w:tcPr>
            <w:tcW w:w="2054" w:type="dxa"/>
          </w:tcPr>
          <w:p w14:paraId="3B8ECD14">
            <w:pPr>
              <w:rPr>
                <w:color w:val="auto"/>
              </w:rPr>
            </w:pPr>
          </w:p>
        </w:tc>
        <w:tc>
          <w:tcPr>
            <w:tcW w:w="1234" w:type="dxa"/>
          </w:tcPr>
          <w:p w14:paraId="00B28621">
            <w:pPr>
              <w:rPr>
                <w:color w:val="auto"/>
              </w:rPr>
            </w:pPr>
          </w:p>
        </w:tc>
        <w:tc>
          <w:tcPr>
            <w:tcW w:w="1234" w:type="dxa"/>
          </w:tcPr>
          <w:p w14:paraId="2F778882">
            <w:pPr>
              <w:rPr>
                <w:color w:val="auto"/>
              </w:rPr>
            </w:pPr>
          </w:p>
        </w:tc>
        <w:tc>
          <w:tcPr>
            <w:tcW w:w="1235" w:type="dxa"/>
          </w:tcPr>
          <w:p w14:paraId="7050B14B">
            <w:pPr>
              <w:rPr>
                <w:color w:val="auto"/>
              </w:rPr>
            </w:pPr>
          </w:p>
        </w:tc>
        <w:tc>
          <w:tcPr>
            <w:tcW w:w="1826" w:type="dxa"/>
          </w:tcPr>
          <w:p w14:paraId="5CC82A9C">
            <w:pPr>
              <w:rPr>
                <w:color w:val="auto"/>
              </w:rPr>
            </w:pPr>
          </w:p>
        </w:tc>
      </w:tr>
      <w:tr w14:paraId="6867B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4" w:type="dxa"/>
          </w:tcPr>
          <w:p w14:paraId="40391137">
            <w:pPr>
              <w:rPr>
                <w:color w:val="auto"/>
              </w:rPr>
            </w:pPr>
          </w:p>
        </w:tc>
        <w:tc>
          <w:tcPr>
            <w:tcW w:w="2054" w:type="dxa"/>
          </w:tcPr>
          <w:p w14:paraId="6BAC53EC">
            <w:pPr>
              <w:rPr>
                <w:color w:val="auto"/>
              </w:rPr>
            </w:pPr>
          </w:p>
        </w:tc>
        <w:tc>
          <w:tcPr>
            <w:tcW w:w="1234" w:type="dxa"/>
          </w:tcPr>
          <w:p w14:paraId="353259F2">
            <w:pPr>
              <w:rPr>
                <w:color w:val="auto"/>
              </w:rPr>
            </w:pPr>
          </w:p>
        </w:tc>
        <w:tc>
          <w:tcPr>
            <w:tcW w:w="1234" w:type="dxa"/>
          </w:tcPr>
          <w:p w14:paraId="6EE168BA">
            <w:pPr>
              <w:rPr>
                <w:color w:val="auto"/>
              </w:rPr>
            </w:pPr>
          </w:p>
        </w:tc>
        <w:tc>
          <w:tcPr>
            <w:tcW w:w="1235" w:type="dxa"/>
          </w:tcPr>
          <w:p w14:paraId="2791B65A">
            <w:pPr>
              <w:rPr>
                <w:color w:val="auto"/>
              </w:rPr>
            </w:pPr>
          </w:p>
        </w:tc>
        <w:tc>
          <w:tcPr>
            <w:tcW w:w="1826" w:type="dxa"/>
          </w:tcPr>
          <w:p w14:paraId="7C28E15D">
            <w:pPr>
              <w:rPr>
                <w:color w:val="auto"/>
              </w:rPr>
            </w:pPr>
          </w:p>
        </w:tc>
      </w:tr>
      <w:tr w14:paraId="08C83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47461FC1">
            <w:pPr>
              <w:rPr>
                <w:color w:val="auto"/>
              </w:rPr>
            </w:pPr>
          </w:p>
        </w:tc>
        <w:tc>
          <w:tcPr>
            <w:tcW w:w="2054" w:type="dxa"/>
          </w:tcPr>
          <w:p w14:paraId="09807EA9">
            <w:pPr>
              <w:rPr>
                <w:color w:val="auto"/>
              </w:rPr>
            </w:pPr>
          </w:p>
        </w:tc>
        <w:tc>
          <w:tcPr>
            <w:tcW w:w="1234" w:type="dxa"/>
          </w:tcPr>
          <w:p w14:paraId="5078FC6C">
            <w:pPr>
              <w:rPr>
                <w:color w:val="auto"/>
              </w:rPr>
            </w:pPr>
          </w:p>
        </w:tc>
        <w:tc>
          <w:tcPr>
            <w:tcW w:w="1234" w:type="dxa"/>
          </w:tcPr>
          <w:p w14:paraId="43A418EC">
            <w:pPr>
              <w:rPr>
                <w:color w:val="auto"/>
              </w:rPr>
            </w:pPr>
          </w:p>
        </w:tc>
        <w:tc>
          <w:tcPr>
            <w:tcW w:w="1235" w:type="dxa"/>
          </w:tcPr>
          <w:p w14:paraId="584250C9">
            <w:pPr>
              <w:rPr>
                <w:color w:val="auto"/>
              </w:rPr>
            </w:pPr>
          </w:p>
        </w:tc>
        <w:tc>
          <w:tcPr>
            <w:tcW w:w="1826" w:type="dxa"/>
          </w:tcPr>
          <w:p w14:paraId="47131BBC">
            <w:pPr>
              <w:rPr>
                <w:color w:val="auto"/>
              </w:rPr>
            </w:pPr>
          </w:p>
        </w:tc>
      </w:tr>
      <w:tr w14:paraId="1FFBE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2037793D">
            <w:pPr>
              <w:rPr>
                <w:color w:val="auto"/>
              </w:rPr>
            </w:pPr>
          </w:p>
        </w:tc>
        <w:tc>
          <w:tcPr>
            <w:tcW w:w="2054" w:type="dxa"/>
          </w:tcPr>
          <w:p w14:paraId="1B3FF629">
            <w:pPr>
              <w:rPr>
                <w:color w:val="auto"/>
              </w:rPr>
            </w:pPr>
          </w:p>
        </w:tc>
        <w:tc>
          <w:tcPr>
            <w:tcW w:w="1234" w:type="dxa"/>
          </w:tcPr>
          <w:p w14:paraId="3869B21A">
            <w:pPr>
              <w:rPr>
                <w:color w:val="auto"/>
              </w:rPr>
            </w:pPr>
          </w:p>
        </w:tc>
        <w:tc>
          <w:tcPr>
            <w:tcW w:w="1234" w:type="dxa"/>
          </w:tcPr>
          <w:p w14:paraId="27A95E03">
            <w:pPr>
              <w:rPr>
                <w:color w:val="auto"/>
              </w:rPr>
            </w:pPr>
          </w:p>
        </w:tc>
        <w:tc>
          <w:tcPr>
            <w:tcW w:w="1235" w:type="dxa"/>
          </w:tcPr>
          <w:p w14:paraId="1DB1725E">
            <w:pPr>
              <w:rPr>
                <w:color w:val="auto"/>
              </w:rPr>
            </w:pPr>
          </w:p>
        </w:tc>
        <w:tc>
          <w:tcPr>
            <w:tcW w:w="1826" w:type="dxa"/>
          </w:tcPr>
          <w:p w14:paraId="4D4662DC">
            <w:pPr>
              <w:rPr>
                <w:color w:val="auto"/>
              </w:rPr>
            </w:pPr>
          </w:p>
        </w:tc>
      </w:tr>
      <w:tr w14:paraId="22043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42F40177">
            <w:pPr>
              <w:rPr>
                <w:color w:val="auto"/>
              </w:rPr>
            </w:pPr>
          </w:p>
        </w:tc>
        <w:tc>
          <w:tcPr>
            <w:tcW w:w="2054" w:type="dxa"/>
          </w:tcPr>
          <w:p w14:paraId="4A7ACF13">
            <w:pPr>
              <w:rPr>
                <w:color w:val="auto"/>
              </w:rPr>
            </w:pPr>
          </w:p>
        </w:tc>
        <w:tc>
          <w:tcPr>
            <w:tcW w:w="1234" w:type="dxa"/>
          </w:tcPr>
          <w:p w14:paraId="3D29895C">
            <w:pPr>
              <w:rPr>
                <w:color w:val="auto"/>
              </w:rPr>
            </w:pPr>
          </w:p>
        </w:tc>
        <w:tc>
          <w:tcPr>
            <w:tcW w:w="1234" w:type="dxa"/>
          </w:tcPr>
          <w:p w14:paraId="57348ED2">
            <w:pPr>
              <w:rPr>
                <w:color w:val="auto"/>
              </w:rPr>
            </w:pPr>
          </w:p>
        </w:tc>
        <w:tc>
          <w:tcPr>
            <w:tcW w:w="1235" w:type="dxa"/>
          </w:tcPr>
          <w:p w14:paraId="05401D28">
            <w:pPr>
              <w:rPr>
                <w:color w:val="auto"/>
              </w:rPr>
            </w:pPr>
          </w:p>
        </w:tc>
        <w:tc>
          <w:tcPr>
            <w:tcW w:w="1826" w:type="dxa"/>
          </w:tcPr>
          <w:p w14:paraId="406CAA85">
            <w:pPr>
              <w:rPr>
                <w:color w:val="auto"/>
              </w:rPr>
            </w:pPr>
          </w:p>
        </w:tc>
      </w:tr>
      <w:tr w14:paraId="59B6E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4704383E">
            <w:pPr>
              <w:rPr>
                <w:color w:val="auto"/>
              </w:rPr>
            </w:pPr>
          </w:p>
        </w:tc>
        <w:tc>
          <w:tcPr>
            <w:tcW w:w="2054" w:type="dxa"/>
          </w:tcPr>
          <w:p w14:paraId="0E8127F3">
            <w:pPr>
              <w:rPr>
                <w:color w:val="auto"/>
              </w:rPr>
            </w:pPr>
          </w:p>
        </w:tc>
        <w:tc>
          <w:tcPr>
            <w:tcW w:w="1234" w:type="dxa"/>
          </w:tcPr>
          <w:p w14:paraId="2C7A6166">
            <w:pPr>
              <w:rPr>
                <w:color w:val="auto"/>
              </w:rPr>
            </w:pPr>
          </w:p>
        </w:tc>
        <w:tc>
          <w:tcPr>
            <w:tcW w:w="1234" w:type="dxa"/>
          </w:tcPr>
          <w:p w14:paraId="7ADC0411">
            <w:pPr>
              <w:rPr>
                <w:color w:val="auto"/>
              </w:rPr>
            </w:pPr>
          </w:p>
        </w:tc>
        <w:tc>
          <w:tcPr>
            <w:tcW w:w="1235" w:type="dxa"/>
          </w:tcPr>
          <w:p w14:paraId="6F069EF0">
            <w:pPr>
              <w:rPr>
                <w:color w:val="auto"/>
              </w:rPr>
            </w:pPr>
          </w:p>
        </w:tc>
        <w:tc>
          <w:tcPr>
            <w:tcW w:w="1826" w:type="dxa"/>
          </w:tcPr>
          <w:p w14:paraId="402A4334">
            <w:pPr>
              <w:rPr>
                <w:color w:val="auto"/>
              </w:rPr>
            </w:pPr>
          </w:p>
        </w:tc>
      </w:tr>
      <w:tr w14:paraId="2D3DA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61276F14">
            <w:pPr>
              <w:rPr>
                <w:color w:val="auto"/>
              </w:rPr>
            </w:pPr>
          </w:p>
        </w:tc>
        <w:tc>
          <w:tcPr>
            <w:tcW w:w="2054" w:type="dxa"/>
          </w:tcPr>
          <w:p w14:paraId="05DE6FD8">
            <w:pPr>
              <w:rPr>
                <w:color w:val="auto"/>
              </w:rPr>
            </w:pPr>
          </w:p>
        </w:tc>
        <w:tc>
          <w:tcPr>
            <w:tcW w:w="1234" w:type="dxa"/>
          </w:tcPr>
          <w:p w14:paraId="4B23CCBE">
            <w:pPr>
              <w:rPr>
                <w:color w:val="auto"/>
              </w:rPr>
            </w:pPr>
          </w:p>
        </w:tc>
        <w:tc>
          <w:tcPr>
            <w:tcW w:w="1234" w:type="dxa"/>
          </w:tcPr>
          <w:p w14:paraId="0FD177AD">
            <w:pPr>
              <w:rPr>
                <w:color w:val="auto"/>
              </w:rPr>
            </w:pPr>
          </w:p>
        </w:tc>
        <w:tc>
          <w:tcPr>
            <w:tcW w:w="1235" w:type="dxa"/>
          </w:tcPr>
          <w:p w14:paraId="5BBF6801">
            <w:pPr>
              <w:rPr>
                <w:color w:val="auto"/>
              </w:rPr>
            </w:pPr>
          </w:p>
        </w:tc>
        <w:tc>
          <w:tcPr>
            <w:tcW w:w="1826" w:type="dxa"/>
          </w:tcPr>
          <w:p w14:paraId="0E1E6AAD">
            <w:pPr>
              <w:rPr>
                <w:color w:val="auto"/>
              </w:rPr>
            </w:pPr>
          </w:p>
        </w:tc>
      </w:tr>
      <w:tr w14:paraId="26896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4" w:type="dxa"/>
          </w:tcPr>
          <w:p w14:paraId="690DBB96">
            <w:pPr>
              <w:rPr>
                <w:color w:val="auto"/>
              </w:rPr>
            </w:pPr>
          </w:p>
        </w:tc>
        <w:tc>
          <w:tcPr>
            <w:tcW w:w="2054" w:type="dxa"/>
          </w:tcPr>
          <w:p w14:paraId="1A2FCD5E">
            <w:pPr>
              <w:rPr>
                <w:color w:val="auto"/>
              </w:rPr>
            </w:pPr>
          </w:p>
        </w:tc>
        <w:tc>
          <w:tcPr>
            <w:tcW w:w="1234" w:type="dxa"/>
          </w:tcPr>
          <w:p w14:paraId="27BE9289">
            <w:pPr>
              <w:rPr>
                <w:color w:val="auto"/>
              </w:rPr>
            </w:pPr>
          </w:p>
        </w:tc>
        <w:tc>
          <w:tcPr>
            <w:tcW w:w="1234" w:type="dxa"/>
          </w:tcPr>
          <w:p w14:paraId="6AFAA959">
            <w:pPr>
              <w:rPr>
                <w:color w:val="auto"/>
              </w:rPr>
            </w:pPr>
          </w:p>
        </w:tc>
        <w:tc>
          <w:tcPr>
            <w:tcW w:w="1235" w:type="dxa"/>
          </w:tcPr>
          <w:p w14:paraId="333EBB8F">
            <w:pPr>
              <w:rPr>
                <w:color w:val="auto"/>
              </w:rPr>
            </w:pPr>
          </w:p>
        </w:tc>
        <w:tc>
          <w:tcPr>
            <w:tcW w:w="1826" w:type="dxa"/>
          </w:tcPr>
          <w:p w14:paraId="35607ACF">
            <w:pPr>
              <w:rPr>
                <w:color w:val="auto"/>
              </w:rPr>
            </w:pPr>
          </w:p>
        </w:tc>
      </w:tr>
      <w:tr w14:paraId="18351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604" w:type="dxa"/>
          </w:tcPr>
          <w:p w14:paraId="5DC4D044">
            <w:pPr>
              <w:rPr>
                <w:color w:val="auto"/>
              </w:rPr>
            </w:pPr>
          </w:p>
        </w:tc>
        <w:tc>
          <w:tcPr>
            <w:tcW w:w="2054" w:type="dxa"/>
          </w:tcPr>
          <w:p w14:paraId="0325934C">
            <w:pPr>
              <w:rPr>
                <w:color w:val="auto"/>
              </w:rPr>
            </w:pPr>
          </w:p>
        </w:tc>
        <w:tc>
          <w:tcPr>
            <w:tcW w:w="1234" w:type="dxa"/>
          </w:tcPr>
          <w:p w14:paraId="27190D6F">
            <w:pPr>
              <w:rPr>
                <w:color w:val="auto"/>
              </w:rPr>
            </w:pPr>
          </w:p>
        </w:tc>
        <w:tc>
          <w:tcPr>
            <w:tcW w:w="1234" w:type="dxa"/>
          </w:tcPr>
          <w:p w14:paraId="5D4851A8">
            <w:pPr>
              <w:rPr>
                <w:color w:val="auto"/>
              </w:rPr>
            </w:pPr>
          </w:p>
        </w:tc>
        <w:tc>
          <w:tcPr>
            <w:tcW w:w="1235" w:type="dxa"/>
          </w:tcPr>
          <w:p w14:paraId="7E82431B">
            <w:pPr>
              <w:rPr>
                <w:color w:val="auto"/>
              </w:rPr>
            </w:pPr>
          </w:p>
        </w:tc>
        <w:tc>
          <w:tcPr>
            <w:tcW w:w="1826" w:type="dxa"/>
          </w:tcPr>
          <w:p w14:paraId="4788CFF6">
            <w:pPr>
              <w:rPr>
                <w:color w:val="auto"/>
              </w:rPr>
            </w:pPr>
          </w:p>
        </w:tc>
      </w:tr>
    </w:tbl>
    <w:p w14:paraId="60FE6BAE">
      <w:pPr>
        <w:pStyle w:val="8"/>
      </w:pPr>
    </w:p>
    <w:p w14:paraId="72645E2F">
      <w:pPr>
        <w:rPr>
          <w:color w:val="auto"/>
        </w:rPr>
      </w:pPr>
    </w:p>
    <w:p w14:paraId="318C2E52">
      <w:pPr>
        <w:rPr>
          <w:color w:val="auto"/>
        </w:rPr>
      </w:pPr>
    </w:p>
    <w:p w14:paraId="473A366A">
      <w:pPr>
        <w:rPr>
          <w:color w:val="auto"/>
        </w:rPr>
      </w:pPr>
    </w:p>
    <w:p w14:paraId="6F968A8B">
      <w:pPr>
        <w:rPr>
          <w:color w:val="auto"/>
        </w:rPr>
      </w:pPr>
    </w:p>
    <w:p w14:paraId="73EFD07F">
      <w:pPr>
        <w:rPr>
          <w:color w:val="auto"/>
        </w:rPr>
      </w:pPr>
    </w:p>
    <w:p w14:paraId="12C493B6">
      <w:pPr>
        <w:rPr>
          <w:color w:val="auto"/>
        </w:rPr>
      </w:pPr>
    </w:p>
    <w:p w14:paraId="7D097C13">
      <w:pPr>
        <w:rPr>
          <w:color w:val="auto"/>
        </w:rPr>
      </w:pPr>
    </w:p>
    <w:p w14:paraId="7F3908AB">
      <w:pPr>
        <w:tabs>
          <w:tab w:val="left" w:pos="2835"/>
        </w:tabs>
        <w:rPr>
          <w:rFonts w:eastAsia="宋体"/>
          <w:color w:val="auto"/>
          <w:lang w:eastAsia="zh-CN"/>
        </w:rPr>
        <w:sectPr>
          <w:headerReference r:id="rId162" w:type="default"/>
          <w:footerReference r:id="rId163" w:type="default"/>
          <w:pgSz w:w="11906" w:h="16839"/>
          <w:pgMar w:top="400" w:right="0" w:bottom="1147" w:left="105" w:header="0" w:footer="987" w:gutter="0"/>
          <w:cols w:space="720" w:num="1"/>
        </w:sectPr>
      </w:pPr>
      <w:r>
        <w:rPr>
          <w:rFonts w:hint="eastAsia" w:eastAsia="宋体"/>
          <w:color w:val="auto"/>
          <w:lang w:eastAsia="zh-CN"/>
        </w:rPr>
        <w:tab/>
      </w:r>
    </w:p>
    <w:p w14:paraId="47787BE6">
      <w:pPr>
        <w:spacing w:before="62" w:line="221" w:lineRule="auto"/>
        <w:ind w:left="4181"/>
        <w:rPr>
          <w:rFonts w:ascii="黑体" w:hAnsi="黑体" w:eastAsia="黑体" w:cs="黑体"/>
          <w:color w:val="auto"/>
          <w:sz w:val="24"/>
          <w:szCs w:val="24"/>
          <w:lang w:eastAsia="zh-CN"/>
        </w:rPr>
      </w:pPr>
      <w:r>
        <w:rPr>
          <w:color w:val="auto"/>
        </w:rPr>
        <w:pict>
          <v:shape id="PowerPlusWaterMarkObject530" o:spid="_x0000_s1051" o:spt="136" type="#_x0000_t136" style="position:absolute;left:0pt;margin-left:-19.4pt;margin-top:-1.6pt;height:14.4pt;width:343.65pt;rotation:21626880f;z-index:-251535360;mso-width-relative:page;mso-height-relative:page;" fillcolor="#000000" filled="t" stroked="f" coordsize="21600,21600">
            <v:path/>
            <v:fill on="t" opacity="6682f" focussize="0,0"/>
            <v:stroke on="f"/>
            <v:imagedata o:title=""/>
            <o:lock v:ext="edit"/>
            <v:textpath on="t" fitshape="t" fitpath="t" trim="t" xscale="f" string="辽宁省房屋建筑和市政工程数字化交易工具（公共服" style="font-family:KaiTi;font-size:8pt;v-text-align:center;"/>
          </v:shape>
        </w:pict>
      </w:r>
      <w:r>
        <w:rPr>
          <w:color w:val="auto"/>
        </w:rPr>
        <w:pict>
          <v:shape id="PowerPlusWaterMarkObject532" o:spid="_x0000_s1052" o:spt="136" type="#_x0000_t136" style="position:absolute;left:0pt;margin-left:-16.95pt;margin-top:283.45pt;height:14.4pt;width:386.4pt;mso-position-horizontal-relative:page;mso-position-vertical-relative:page;rotation:21626880f;z-index:-251541504;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34" o:spid="_x0000_s1053" o:spt="136" type="#_x0000_t136" style="position:absolute;left:0pt;margin-left:467.9pt;margin-top:121.65pt;height:14.25pt;width:133.65pt;mso-position-horizontal-relative:page;mso-position-vertical-relative:page;rotation:21626880f;z-index:-251539456;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36" o:spid="_x0000_s1054" o:spt="136" type="#_x0000_t136" style="position:absolute;left:0pt;margin-left:-16.95pt;margin-top:508.45pt;height:14.4pt;width:386.4pt;mso-position-horizontal-relative:page;mso-position-vertical-relative:page;rotation:21626880f;z-index:-251540480;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38" o:spid="_x0000_s1055" o:spt="136" type="#_x0000_t136" style="position:absolute;left:0pt;margin-left:467.9pt;margin-top:346.65pt;height:14.25pt;width:133.65pt;mso-position-horizontal-relative:page;mso-position-vertical-relative:page;rotation:21626880f;z-index:-251542528;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40" o:spid="_x0000_s1056" o:spt="136" type="#_x0000_t136" style="position:absolute;left:0pt;margin-left:-16.95pt;margin-top:733.45pt;height:14.4pt;width:386.4pt;mso-position-horizontal-relative:page;mso-position-vertical-relative:page;rotation:21626880f;z-index:-251536384;mso-width-relative:page;mso-height-relative:page;" fillcolor="#000000" filled="t" stroked="f" coordsize="21600,21600" o:allowincell="f">
            <v:path/>
            <v:fill on="t" opacity="6682f" focussize="0,0"/>
            <v:stroke on="f"/>
            <v:imagedata o:title=""/>
            <o:lock v:ext="edit"/>
            <v:textpath on="t" fitshape="t" fitpath="t" trim="t" xscale="f" string="辽宁省房屋建筑和市政工程数字化交易工具（公共服务版）" style="font-family:KaiTi;font-size:8pt;v-text-align:center;"/>
          </v:shape>
        </w:pict>
      </w:r>
      <w:r>
        <w:rPr>
          <w:color w:val="auto"/>
        </w:rPr>
        <w:pict>
          <v:shape id="PowerPlusWaterMarkObject542" o:spid="_x0000_s1057" o:spt="136" type="#_x0000_t136" style="position:absolute;left:0pt;margin-left:467.9pt;margin-top:571.65pt;height:14.25pt;width:133.65pt;mso-position-horizontal-relative:page;mso-position-vertical-relative:page;rotation:21626880f;z-index:-251538432;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color w:val="auto"/>
        </w:rPr>
        <w:pict>
          <v:shape id="PowerPlusWaterMarkObject544" o:spid="_x0000_s1058" o:spt="136" type="#_x0000_t136" style="position:absolute;left:0pt;margin-left:467.9pt;margin-top:796.65pt;height:14.25pt;width:133.65pt;mso-position-horizontal-relative:page;mso-position-vertical-relative:page;rotation:21626880f;z-index:-251537408;mso-width-relative:page;mso-height-relative:page;" fillcolor="#000000" filled="t" stroked="f" coordsize="21600,21600" o:allowincell="f">
            <v:path/>
            <v:fill on="t" opacity="6682f" focussize="0,0"/>
            <v:stroke on="f"/>
            <v:imagedata o:title=""/>
            <o:lock v:ext="edit"/>
            <v:textpath on="t" fitshape="t" fitpath="t" trim="t" xscale="f" string="辽宁省房屋建筑和市" style="font-family:KaiTi;font-size:8pt;v-text-align:center;"/>
          </v:shape>
        </w:pict>
      </w:r>
      <w:r>
        <w:rPr>
          <w:rFonts w:ascii="黑体" w:hAnsi="黑体" w:eastAsia="黑体" w:cs="黑体"/>
          <w:color w:val="auto"/>
          <w:spacing w:val="-1"/>
          <w:sz w:val="24"/>
          <w:szCs w:val="24"/>
          <w:lang w:eastAsia="zh-CN"/>
        </w:rPr>
        <w:t>正在供货和新承接的项目情况表</w:t>
      </w:r>
    </w:p>
    <w:p w14:paraId="513931D3">
      <w:pPr>
        <w:spacing w:before="38"/>
        <w:rPr>
          <w:color w:val="auto"/>
          <w:lang w:eastAsia="zh-CN"/>
        </w:rPr>
      </w:pPr>
    </w:p>
    <w:p w14:paraId="2808B2B2">
      <w:pPr>
        <w:spacing w:before="38"/>
        <w:rPr>
          <w:color w:val="auto"/>
          <w:lang w:eastAsia="zh-CN"/>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1"/>
        <w:gridCol w:w="6250"/>
      </w:tblGrid>
      <w:tr w14:paraId="3D0F7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2271" w:type="dxa"/>
          </w:tcPr>
          <w:p w14:paraId="1ADCF6FA">
            <w:pPr>
              <w:pStyle w:val="21"/>
              <w:spacing w:before="230" w:line="222" w:lineRule="auto"/>
              <w:ind w:left="721"/>
              <w:rPr>
                <w:color w:val="auto"/>
              </w:rPr>
            </w:pPr>
            <w:r>
              <w:rPr>
                <w:color w:val="auto"/>
                <w:spacing w:val="-3"/>
              </w:rPr>
              <w:t>设备名称</w:t>
            </w:r>
          </w:p>
        </w:tc>
        <w:tc>
          <w:tcPr>
            <w:tcW w:w="6250" w:type="dxa"/>
          </w:tcPr>
          <w:p w14:paraId="11CA8742">
            <w:pPr>
              <w:rPr>
                <w:color w:val="auto"/>
              </w:rPr>
            </w:pPr>
          </w:p>
        </w:tc>
      </w:tr>
      <w:tr w14:paraId="143D2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271" w:type="dxa"/>
          </w:tcPr>
          <w:p w14:paraId="51910149">
            <w:pPr>
              <w:pStyle w:val="21"/>
              <w:spacing w:before="196" w:line="220" w:lineRule="auto"/>
              <w:ind w:left="616"/>
              <w:rPr>
                <w:color w:val="auto"/>
              </w:rPr>
            </w:pPr>
            <w:r>
              <w:rPr>
                <w:color w:val="auto"/>
                <w:spacing w:val="-3"/>
              </w:rPr>
              <w:t>规格和型号</w:t>
            </w:r>
          </w:p>
        </w:tc>
        <w:tc>
          <w:tcPr>
            <w:tcW w:w="6250" w:type="dxa"/>
          </w:tcPr>
          <w:p w14:paraId="3D9F0700">
            <w:pPr>
              <w:rPr>
                <w:color w:val="auto"/>
              </w:rPr>
            </w:pPr>
          </w:p>
        </w:tc>
      </w:tr>
      <w:tr w14:paraId="537C0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271" w:type="dxa"/>
          </w:tcPr>
          <w:p w14:paraId="7013DCCE">
            <w:pPr>
              <w:pStyle w:val="21"/>
              <w:spacing w:before="200" w:line="221" w:lineRule="auto"/>
              <w:ind w:left="724"/>
              <w:rPr>
                <w:color w:val="auto"/>
              </w:rPr>
            </w:pPr>
            <w:r>
              <w:rPr>
                <w:color w:val="auto"/>
                <w:spacing w:val="-3"/>
              </w:rPr>
              <w:t>项目名称</w:t>
            </w:r>
          </w:p>
        </w:tc>
        <w:tc>
          <w:tcPr>
            <w:tcW w:w="6250" w:type="dxa"/>
          </w:tcPr>
          <w:p w14:paraId="1DDA0F48">
            <w:pPr>
              <w:rPr>
                <w:color w:val="auto"/>
              </w:rPr>
            </w:pPr>
          </w:p>
        </w:tc>
      </w:tr>
      <w:tr w14:paraId="683F4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271" w:type="dxa"/>
          </w:tcPr>
          <w:p w14:paraId="583C8C6A">
            <w:pPr>
              <w:pStyle w:val="21"/>
              <w:spacing w:before="199" w:line="221" w:lineRule="auto"/>
              <w:ind w:left="728"/>
              <w:rPr>
                <w:color w:val="auto"/>
              </w:rPr>
            </w:pPr>
            <w:r>
              <w:rPr>
                <w:color w:val="auto"/>
                <w:spacing w:val="-5"/>
              </w:rPr>
              <w:t>买方名称</w:t>
            </w:r>
          </w:p>
        </w:tc>
        <w:tc>
          <w:tcPr>
            <w:tcW w:w="6250" w:type="dxa"/>
          </w:tcPr>
          <w:p w14:paraId="594E9A2F">
            <w:pPr>
              <w:rPr>
                <w:color w:val="auto"/>
              </w:rPr>
            </w:pPr>
          </w:p>
        </w:tc>
      </w:tr>
      <w:tr w14:paraId="0C141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271" w:type="dxa"/>
          </w:tcPr>
          <w:p w14:paraId="4B35AA16">
            <w:pPr>
              <w:pStyle w:val="21"/>
              <w:spacing w:before="202" w:line="221" w:lineRule="auto"/>
              <w:ind w:left="314"/>
              <w:rPr>
                <w:color w:val="auto"/>
              </w:rPr>
            </w:pPr>
            <w:r>
              <w:rPr>
                <w:color w:val="auto"/>
                <w:spacing w:val="-4"/>
              </w:rPr>
              <w:t>买方联系人及电话</w:t>
            </w:r>
          </w:p>
        </w:tc>
        <w:tc>
          <w:tcPr>
            <w:tcW w:w="6250" w:type="dxa"/>
          </w:tcPr>
          <w:p w14:paraId="0CC3A2C8">
            <w:pPr>
              <w:rPr>
                <w:color w:val="auto"/>
              </w:rPr>
            </w:pPr>
          </w:p>
        </w:tc>
      </w:tr>
      <w:tr w14:paraId="1DA98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2271" w:type="dxa"/>
          </w:tcPr>
          <w:p w14:paraId="6C93B83E">
            <w:pPr>
              <w:pStyle w:val="21"/>
              <w:spacing w:before="202" w:line="219" w:lineRule="auto"/>
              <w:ind w:left="300"/>
              <w:rPr>
                <w:color w:val="auto"/>
              </w:rPr>
            </w:pPr>
            <w:r>
              <w:rPr>
                <w:color w:val="auto"/>
                <w:spacing w:val="-4"/>
              </w:rPr>
              <w:t>签约合同价（元）</w:t>
            </w:r>
          </w:p>
        </w:tc>
        <w:tc>
          <w:tcPr>
            <w:tcW w:w="6250" w:type="dxa"/>
          </w:tcPr>
          <w:p w14:paraId="12F614B9">
            <w:pPr>
              <w:rPr>
                <w:color w:val="auto"/>
              </w:rPr>
            </w:pPr>
          </w:p>
        </w:tc>
      </w:tr>
      <w:tr w14:paraId="7AE80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8" w:hRule="atLeast"/>
        </w:trPr>
        <w:tc>
          <w:tcPr>
            <w:tcW w:w="2271" w:type="dxa"/>
          </w:tcPr>
          <w:p w14:paraId="2D4BAB49">
            <w:pPr>
              <w:spacing w:line="300" w:lineRule="auto"/>
              <w:rPr>
                <w:color w:val="auto"/>
                <w:lang w:eastAsia="zh-CN"/>
              </w:rPr>
            </w:pPr>
          </w:p>
          <w:p w14:paraId="5A1C3345">
            <w:pPr>
              <w:spacing w:line="301" w:lineRule="auto"/>
              <w:rPr>
                <w:color w:val="auto"/>
                <w:lang w:eastAsia="zh-CN"/>
              </w:rPr>
            </w:pPr>
          </w:p>
          <w:p w14:paraId="1945F0CB">
            <w:pPr>
              <w:pStyle w:val="21"/>
              <w:spacing w:before="69" w:line="414" w:lineRule="auto"/>
              <w:ind w:left="720" w:right="300" w:hanging="410"/>
              <w:rPr>
                <w:color w:val="auto"/>
                <w:lang w:eastAsia="zh-CN"/>
              </w:rPr>
            </w:pPr>
            <w:r>
              <w:rPr>
                <w:color w:val="auto"/>
                <w:spacing w:val="-4"/>
                <w:lang w:eastAsia="zh-CN"/>
              </w:rPr>
              <w:t>项目概况及投标人</w:t>
            </w:r>
            <w:r>
              <w:rPr>
                <w:color w:val="auto"/>
                <w:spacing w:val="-3"/>
                <w:lang w:eastAsia="zh-CN"/>
              </w:rPr>
              <w:t>履约情况</w:t>
            </w:r>
          </w:p>
        </w:tc>
        <w:tc>
          <w:tcPr>
            <w:tcW w:w="6250" w:type="dxa"/>
          </w:tcPr>
          <w:p w14:paraId="1743FBD4">
            <w:pPr>
              <w:rPr>
                <w:color w:val="auto"/>
                <w:lang w:eastAsia="zh-CN"/>
              </w:rPr>
            </w:pPr>
          </w:p>
        </w:tc>
      </w:tr>
      <w:tr w14:paraId="2B58C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271" w:type="dxa"/>
          </w:tcPr>
          <w:p w14:paraId="07D4CD92">
            <w:pPr>
              <w:pStyle w:val="21"/>
              <w:spacing w:before="214" w:line="222" w:lineRule="auto"/>
              <w:ind w:left="930"/>
              <w:rPr>
                <w:color w:val="auto"/>
              </w:rPr>
            </w:pPr>
            <w:r>
              <w:rPr>
                <w:color w:val="auto"/>
                <w:spacing w:val="-3"/>
              </w:rPr>
              <w:t>备注</w:t>
            </w:r>
          </w:p>
        </w:tc>
        <w:tc>
          <w:tcPr>
            <w:tcW w:w="6250" w:type="dxa"/>
          </w:tcPr>
          <w:p w14:paraId="14525515">
            <w:pPr>
              <w:rPr>
                <w:color w:val="auto"/>
              </w:rPr>
            </w:pPr>
          </w:p>
        </w:tc>
      </w:tr>
    </w:tbl>
    <w:p w14:paraId="697EB52C">
      <w:pPr>
        <w:spacing w:before="174" w:line="220" w:lineRule="auto"/>
        <w:ind w:left="1704"/>
        <w:rPr>
          <w:rFonts w:ascii="宋体" w:hAnsi="宋体" w:eastAsia="宋体" w:cs="宋体"/>
          <w:color w:val="auto"/>
          <w:lang w:eastAsia="zh-CN"/>
        </w:rPr>
      </w:pPr>
      <w:r>
        <w:rPr>
          <w:rFonts w:ascii="宋体" w:hAnsi="宋体" w:eastAsia="宋体" w:cs="宋体"/>
          <w:color w:val="auto"/>
          <w:spacing w:val="-2"/>
          <w:lang w:eastAsia="zh-CN"/>
        </w:rPr>
        <w:t>备注：1.投标人应根据投标人须知第3.5.4项的要求在本表后附相关证明材料扫描件。</w:t>
      </w:r>
    </w:p>
    <w:p w14:paraId="2C517DE9">
      <w:pPr>
        <w:spacing w:before="263" w:line="347" w:lineRule="auto"/>
        <w:ind w:left="1703" w:right="1890" w:firstLine="630"/>
        <w:rPr>
          <w:rFonts w:ascii="宋体" w:hAnsi="宋体" w:eastAsia="宋体" w:cs="宋体"/>
          <w:color w:val="auto"/>
          <w:lang w:eastAsia="zh-CN"/>
        </w:rPr>
      </w:pPr>
      <w:r>
        <w:rPr>
          <w:rFonts w:ascii="宋体" w:hAnsi="宋体" w:eastAsia="宋体" w:cs="宋体"/>
          <w:color w:val="auto"/>
          <w:spacing w:val="-1"/>
          <w:lang w:eastAsia="zh-CN"/>
        </w:rPr>
        <w:t>2.投标人为代理经销商的，投标人须知第1.4.1项要求投标人提供投标设备的业绩</w:t>
      </w:r>
      <w:r>
        <w:rPr>
          <w:rFonts w:ascii="宋体" w:hAnsi="宋体" w:eastAsia="宋体" w:cs="宋体"/>
          <w:color w:val="auto"/>
          <w:lang w:eastAsia="zh-CN"/>
        </w:rPr>
        <w:t>的，投标人应按照上表的格式提供投标设备的业绩情况并根据投标人</w:t>
      </w:r>
      <w:r>
        <w:rPr>
          <w:rFonts w:ascii="宋体" w:hAnsi="宋体" w:eastAsia="宋体" w:cs="宋体"/>
          <w:color w:val="auto"/>
          <w:spacing w:val="-1"/>
          <w:lang w:eastAsia="zh-CN"/>
        </w:rPr>
        <w:t>须知第3.5.4项的要</w:t>
      </w:r>
      <w:r>
        <w:rPr>
          <w:rFonts w:ascii="宋体" w:hAnsi="宋体" w:eastAsia="宋体" w:cs="宋体"/>
          <w:color w:val="auto"/>
          <w:spacing w:val="-3"/>
          <w:lang w:eastAsia="zh-CN"/>
        </w:rPr>
        <w:t>求在本表后附相关证明材料。</w:t>
      </w:r>
    </w:p>
    <w:p w14:paraId="32D03E66">
      <w:pPr>
        <w:spacing w:before="263" w:line="315" w:lineRule="auto"/>
        <w:ind w:left="1705" w:right="1889" w:firstLine="630"/>
        <w:rPr>
          <w:rFonts w:ascii="宋体" w:hAnsi="宋体" w:eastAsia="宋体" w:cs="宋体"/>
          <w:color w:val="auto"/>
          <w:lang w:eastAsia="zh-CN"/>
        </w:rPr>
      </w:pPr>
      <w:r>
        <w:rPr>
          <w:rFonts w:ascii="宋体" w:hAnsi="宋体" w:eastAsia="宋体" w:cs="宋体"/>
          <w:color w:val="auto"/>
          <w:spacing w:val="-2"/>
          <w:lang w:eastAsia="zh-CN"/>
        </w:rPr>
        <w:t>3.类似项目业绩是指</w:t>
      </w:r>
      <w:r>
        <w:rPr>
          <w:rFonts w:hint="eastAsia" w:ascii="宋体" w:hAnsi="宋体" w:eastAsia="宋体" w:cs="宋体"/>
          <w:color w:val="auto"/>
          <w:spacing w:val="-2"/>
          <w:lang w:eastAsia="zh-CN"/>
        </w:rPr>
        <w:t>：</w:t>
      </w:r>
      <w:r>
        <w:rPr>
          <w:rFonts w:ascii="宋体" w:hAnsi="宋体" w:eastAsia="宋体" w:cs="宋体"/>
          <w:color w:val="auto"/>
          <w:spacing w:val="-2"/>
          <w:lang w:eastAsia="zh-CN"/>
        </w:rPr>
        <w:t>详见资格条件及评标办</w:t>
      </w:r>
      <w:r>
        <w:rPr>
          <w:rFonts w:ascii="宋体" w:hAnsi="宋体" w:eastAsia="宋体" w:cs="宋体"/>
          <w:color w:val="auto"/>
          <w:spacing w:val="-3"/>
          <w:lang w:eastAsia="zh-CN"/>
        </w:rPr>
        <w:t>法要求，证明材料为合同协议书。类似项目业绩时间以合同协议书签订时间为准。</w:t>
      </w:r>
    </w:p>
    <w:p w14:paraId="56EAF55F">
      <w:pPr>
        <w:spacing w:before="261" w:line="220" w:lineRule="auto"/>
        <w:ind w:left="2331"/>
        <w:rPr>
          <w:rFonts w:ascii="宋体" w:hAnsi="宋体" w:eastAsia="宋体" w:cs="宋体"/>
          <w:color w:val="auto"/>
          <w:lang w:eastAsia="zh-CN"/>
        </w:rPr>
      </w:pPr>
      <w:r>
        <w:rPr>
          <w:rFonts w:ascii="宋体" w:hAnsi="宋体" w:eastAsia="宋体" w:cs="宋体"/>
          <w:color w:val="auto"/>
          <w:lang w:eastAsia="zh-CN"/>
        </w:rPr>
        <w:t>4.类似项目业绩的合同协议书无法体现招标文件要求的技术规格，则投标人还需提</w:t>
      </w:r>
      <w:r>
        <w:rPr>
          <w:rFonts w:ascii="宋体" w:hAnsi="宋体" w:eastAsia="宋体" w:cs="宋体"/>
          <w:color w:val="auto"/>
          <w:spacing w:val="-4"/>
          <w:lang w:eastAsia="zh-CN"/>
        </w:rPr>
        <w:t>供</w:t>
      </w:r>
    </w:p>
    <w:p w14:paraId="3128383E">
      <w:pPr>
        <w:spacing w:before="218" w:line="220" w:lineRule="auto"/>
        <w:ind w:left="1702"/>
        <w:rPr>
          <w:rFonts w:ascii="宋体" w:hAnsi="宋体" w:eastAsia="宋体" w:cs="宋体"/>
          <w:color w:val="auto"/>
          <w:lang w:eastAsia="zh-CN"/>
        </w:rPr>
      </w:pPr>
      <w:r>
        <w:rPr>
          <w:rFonts w:ascii="宋体" w:hAnsi="宋体" w:eastAsia="宋体" w:cs="宋体"/>
          <w:color w:val="auto"/>
          <w:spacing w:val="-4"/>
          <w:lang w:eastAsia="zh-CN"/>
        </w:rPr>
        <w:t>买方出具的证明文件。</w:t>
      </w:r>
    </w:p>
    <w:p w14:paraId="0A7E0107">
      <w:pPr>
        <w:spacing w:before="140" w:line="221" w:lineRule="auto"/>
        <w:ind w:left="2336"/>
        <w:rPr>
          <w:rFonts w:ascii="宋体" w:hAnsi="宋体" w:eastAsia="宋体" w:cs="宋体"/>
          <w:color w:val="auto"/>
          <w:lang w:eastAsia="zh-CN"/>
        </w:rPr>
      </w:pPr>
      <w:r>
        <w:rPr>
          <w:rFonts w:ascii="宋体" w:hAnsi="宋体" w:eastAsia="宋体" w:cs="宋体"/>
          <w:color w:val="auto"/>
          <w:spacing w:val="-4"/>
          <w:lang w:eastAsia="zh-CN"/>
        </w:rPr>
        <w:t>5.若无要求，无需填写。</w:t>
      </w:r>
    </w:p>
    <w:p w14:paraId="23E9CF1C">
      <w:pPr>
        <w:spacing w:line="221" w:lineRule="auto"/>
        <w:rPr>
          <w:rFonts w:ascii="宋体" w:hAnsi="宋体" w:eastAsia="宋体" w:cs="宋体"/>
          <w:color w:val="auto"/>
          <w:lang w:eastAsia="zh-CN"/>
        </w:rPr>
        <w:sectPr>
          <w:headerReference r:id="rId164" w:type="default"/>
          <w:footerReference r:id="rId165" w:type="default"/>
          <w:pgSz w:w="11906" w:h="16839"/>
          <w:pgMar w:top="1784" w:right="0" w:bottom="1147" w:left="105" w:header="1415" w:footer="987" w:gutter="0"/>
          <w:cols w:space="720" w:num="1"/>
        </w:sectPr>
      </w:pPr>
    </w:p>
    <w:p w14:paraId="6EA85395">
      <w:pPr>
        <w:pStyle w:val="8"/>
        <w:spacing w:line="275" w:lineRule="auto"/>
        <w:rPr>
          <w:lang w:eastAsia="zh-CN"/>
        </w:rPr>
      </w:pPr>
    </w:p>
    <w:p w14:paraId="614B03E9">
      <w:pPr>
        <w:pStyle w:val="8"/>
        <w:spacing w:line="276" w:lineRule="auto"/>
        <w:rPr>
          <w:lang w:eastAsia="zh-CN"/>
        </w:rPr>
      </w:pPr>
    </w:p>
    <w:p w14:paraId="141F4132">
      <w:pPr>
        <w:pStyle w:val="8"/>
        <w:spacing w:line="276" w:lineRule="auto"/>
        <w:rPr>
          <w:lang w:eastAsia="zh-CN"/>
        </w:rPr>
      </w:pPr>
    </w:p>
    <w:p w14:paraId="63C8FFC5">
      <w:pPr>
        <w:pStyle w:val="8"/>
        <w:spacing w:line="276" w:lineRule="auto"/>
        <w:rPr>
          <w:lang w:eastAsia="zh-CN"/>
        </w:rPr>
      </w:pPr>
    </w:p>
    <w:p w14:paraId="320BD6BE">
      <w:pPr>
        <w:pStyle w:val="8"/>
        <w:spacing w:line="276" w:lineRule="auto"/>
        <w:rPr>
          <w:lang w:eastAsia="zh-CN"/>
        </w:rPr>
      </w:pPr>
    </w:p>
    <w:p w14:paraId="279483BD">
      <w:pPr>
        <w:spacing w:before="78" w:line="222" w:lineRule="auto"/>
        <w:ind w:left="4792"/>
        <w:outlineLvl w:val="2"/>
        <w:rPr>
          <w:rFonts w:ascii="黑体" w:hAnsi="黑体" w:eastAsia="黑体" w:cs="黑体"/>
          <w:color w:val="auto"/>
          <w:sz w:val="24"/>
          <w:szCs w:val="24"/>
          <w:lang w:eastAsia="zh-CN"/>
        </w:rPr>
      </w:pPr>
      <w:bookmarkStart w:id="461" w:name="bookmark197"/>
      <w:bookmarkEnd w:id="461"/>
      <w:r>
        <w:rPr>
          <w:rFonts w:ascii="黑体" w:hAnsi="黑体" w:eastAsia="黑体" w:cs="黑体"/>
          <w:color w:val="auto"/>
          <w:spacing w:val="-4"/>
          <w:sz w:val="24"/>
          <w:szCs w:val="24"/>
          <w:lang w:eastAsia="zh-CN"/>
        </w:rPr>
        <w:t>（五）企业信誉情况</w:t>
      </w:r>
    </w:p>
    <w:p w14:paraId="21C18D61">
      <w:pPr>
        <w:spacing w:line="222" w:lineRule="auto"/>
        <w:rPr>
          <w:rFonts w:ascii="黑体" w:hAnsi="黑体" w:eastAsia="黑体" w:cs="黑体"/>
          <w:color w:val="auto"/>
          <w:sz w:val="24"/>
          <w:szCs w:val="24"/>
          <w:lang w:eastAsia="zh-CN"/>
        </w:rPr>
        <w:sectPr>
          <w:headerReference r:id="rId166" w:type="default"/>
          <w:footerReference r:id="rId167" w:type="default"/>
          <w:pgSz w:w="11906" w:h="16839"/>
          <w:pgMar w:top="400" w:right="0" w:bottom="1147" w:left="105" w:header="0" w:footer="987" w:gutter="0"/>
          <w:cols w:space="720" w:num="1"/>
        </w:sectPr>
      </w:pPr>
    </w:p>
    <w:p w14:paraId="7C026676">
      <w:pPr>
        <w:pStyle w:val="8"/>
        <w:spacing w:line="267" w:lineRule="auto"/>
        <w:rPr>
          <w:lang w:eastAsia="zh-CN"/>
        </w:rPr>
      </w:pPr>
    </w:p>
    <w:p w14:paraId="02EAABE6">
      <w:pPr>
        <w:pStyle w:val="8"/>
        <w:spacing w:line="267" w:lineRule="auto"/>
        <w:rPr>
          <w:lang w:eastAsia="zh-CN"/>
        </w:rPr>
      </w:pPr>
    </w:p>
    <w:p w14:paraId="0F05893F">
      <w:pPr>
        <w:pStyle w:val="8"/>
        <w:spacing w:line="267" w:lineRule="auto"/>
        <w:rPr>
          <w:lang w:eastAsia="zh-CN"/>
        </w:rPr>
      </w:pPr>
    </w:p>
    <w:p w14:paraId="1765A6DE">
      <w:pPr>
        <w:pStyle w:val="8"/>
        <w:spacing w:line="268" w:lineRule="auto"/>
        <w:rPr>
          <w:lang w:eastAsia="zh-CN"/>
        </w:rPr>
      </w:pPr>
    </w:p>
    <w:p w14:paraId="335F9EDE">
      <w:pPr>
        <w:spacing w:before="78" w:line="221" w:lineRule="auto"/>
        <w:ind w:left="4890"/>
        <w:rPr>
          <w:rFonts w:ascii="黑体" w:hAnsi="黑体" w:eastAsia="黑体" w:cs="黑体"/>
          <w:color w:val="auto"/>
          <w:sz w:val="24"/>
          <w:szCs w:val="24"/>
          <w:lang w:eastAsia="zh-CN"/>
        </w:rPr>
      </w:pPr>
      <w:bookmarkStart w:id="462" w:name="bookmark198"/>
      <w:bookmarkEnd w:id="462"/>
      <w:r>
        <w:rPr>
          <w:rFonts w:ascii="黑体" w:hAnsi="黑体" w:eastAsia="黑体" w:cs="黑体"/>
          <w:color w:val="auto"/>
          <w:spacing w:val="-1"/>
          <w:sz w:val="24"/>
          <w:szCs w:val="24"/>
          <w:lang w:eastAsia="zh-CN"/>
        </w:rPr>
        <w:t>5-1 企业信誉声明</w:t>
      </w:r>
    </w:p>
    <w:p w14:paraId="409ECFBD">
      <w:pPr>
        <w:pStyle w:val="8"/>
        <w:spacing w:line="293" w:lineRule="auto"/>
        <w:rPr>
          <w:lang w:eastAsia="zh-CN"/>
        </w:rPr>
      </w:pPr>
    </w:p>
    <w:p w14:paraId="25DD03D1">
      <w:pPr>
        <w:tabs>
          <w:tab w:val="left" w:pos="3898"/>
        </w:tabs>
        <w:spacing w:before="68" w:line="221" w:lineRule="auto"/>
        <w:ind w:left="1694"/>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7"/>
          <w:lang w:eastAsia="zh-CN"/>
        </w:rPr>
        <w:t>（招标人名称</w:t>
      </w:r>
      <w:r>
        <w:rPr>
          <w:rFonts w:ascii="宋体" w:hAnsi="宋体" w:eastAsia="宋体" w:cs="宋体"/>
          <w:color w:val="auto"/>
          <w:spacing w:val="-9"/>
          <w:lang w:eastAsia="zh-CN"/>
        </w:rPr>
        <w:t>）：</w:t>
      </w:r>
    </w:p>
    <w:p w14:paraId="713DBA3A">
      <w:pPr>
        <w:pStyle w:val="8"/>
        <w:spacing w:line="420" w:lineRule="auto"/>
        <w:rPr>
          <w:lang w:eastAsia="zh-CN"/>
        </w:rPr>
      </w:pPr>
    </w:p>
    <w:p w14:paraId="024D5D3F">
      <w:pPr>
        <w:spacing w:before="68" w:line="373" w:lineRule="auto"/>
        <w:ind w:left="1701" w:right="1799" w:firstLine="422"/>
        <w:rPr>
          <w:rFonts w:ascii="宋体" w:hAnsi="宋体" w:eastAsia="宋体" w:cs="宋体"/>
          <w:color w:val="auto"/>
          <w:lang w:eastAsia="zh-CN"/>
        </w:rPr>
      </w:pPr>
      <w:r>
        <w:rPr>
          <w:rFonts w:ascii="宋体" w:hAnsi="宋体" w:eastAsia="宋体" w:cs="宋体"/>
          <w:color w:val="auto"/>
          <w:spacing w:val="-3"/>
          <w:lang w:eastAsia="zh-CN"/>
        </w:rPr>
        <w:t>我方在此声明，截止本招标项目投标截止时间，我方处于正常的经营状态，不存在下列</w:t>
      </w:r>
      <w:r>
        <w:rPr>
          <w:rFonts w:ascii="宋体" w:hAnsi="宋体" w:eastAsia="宋体" w:cs="宋体"/>
          <w:color w:val="auto"/>
          <w:spacing w:val="-5"/>
          <w:lang w:eastAsia="zh-CN"/>
        </w:rPr>
        <w:t>任何一种情形。</w:t>
      </w:r>
    </w:p>
    <w:p w14:paraId="78981CF7">
      <w:pPr>
        <w:spacing w:line="219" w:lineRule="auto"/>
        <w:ind w:left="2138"/>
        <w:rPr>
          <w:rFonts w:ascii="宋体" w:hAnsi="宋体" w:eastAsia="宋体" w:cs="宋体"/>
          <w:color w:val="auto"/>
          <w:lang w:eastAsia="zh-CN"/>
        </w:rPr>
      </w:pPr>
      <w:r>
        <w:rPr>
          <w:rFonts w:ascii="Times New Roman" w:hAnsi="Times New Roman" w:eastAsia="Times New Roman" w:cs="Times New Roman"/>
          <w:color w:val="auto"/>
          <w:spacing w:val="-5"/>
          <w:lang w:eastAsia="zh-CN"/>
        </w:rPr>
        <w:t>1.</w:t>
      </w:r>
      <w:r>
        <w:rPr>
          <w:rFonts w:ascii="宋体" w:hAnsi="宋体" w:eastAsia="宋体" w:cs="宋体"/>
          <w:color w:val="auto"/>
          <w:spacing w:val="-5"/>
          <w:lang w:eastAsia="zh-CN"/>
        </w:rPr>
        <w:t>被依法暂停或取消投标资格；</w:t>
      </w:r>
    </w:p>
    <w:p w14:paraId="2E251581">
      <w:pPr>
        <w:spacing w:before="149" w:line="220" w:lineRule="auto"/>
        <w:ind w:left="2118"/>
        <w:rPr>
          <w:rFonts w:ascii="宋体" w:hAnsi="宋体" w:eastAsia="宋体" w:cs="宋体"/>
          <w:color w:val="auto"/>
          <w:lang w:eastAsia="zh-CN"/>
        </w:rPr>
      </w:pP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被责令停产停业、暂扣或者吊销许可证、暂扣或者吊销执照；</w:t>
      </w:r>
    </w:p>
    <w:p w14:paraId="3C0F9CDC">
      <w:pPr>
        <w:spacing w:before="150" w:line="219" w:lineRule="auto"/>
        <w:ind w:left="2122"/>
        <w:rPr>
          <w:rFonts w:ascii="宋体" w:hAnsi="宋体" w:eastAsia="宋体" w:cs="宋体"/>
          <w:color w:val="auto"/>
          <w:lang w:eastAsia="zh-CN"/>
        </w:rPr>
      </w:pPr>
      <w:r>
        <w:rPr>
          <w:rFonts w:ascii="Times New Roman" w:hAnsi="Times New Roman" w:eastAsia="Times New Roman" w:cs="Times New Roman"/>
          <w:color w:val="auto"/>
          <w:spacing w:val="-2"/>
          <w:lang w:eastAsia="zh-CN"/>
        </w:rPr>
        <w:t>3.</w:t>
      </w:r>
      <w:r>
        <w:rPr>
          <w:rFonts w:ascii="宋体" w:hAnsi="宋体" w:eastAsia="宋体" w:cs="宋体"/>
          <w:color w:val="auto"/>
          <w:spacing w:val="-2"/>
          <w:lang w:eastAsia="zh-CN"/>
        </w:rPr>
        <w:t>进入清算程序，或被宣告破产，或其他丧失履约能力的情形；</w:t>
      </w:r>
    </w:p>
    <w:p w14:paraId="4F8525A3">
      <w:pPr>
        <w:spacing w:before="152" w:line="220" w:lineRule="auto"/>
        <w:ind w:left="2117"/>
        <w:rPr>
          <w:rFonts w:ascii="宋体" w:hAnsi="宋体" w:eastAsia="宋体" w:cs="宋体"/>
          <w:color w:val="auto"/>
          <w:lang w:eastAsia="zh-CN"/>
        </w:rPr>
      </w:pP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在最近三年内有骗取中标或严重违约或重大工程质量问题的；</w:t>
      </w:r>
    </w:p>
    <w:p w14:paraId="7BBAB29D">
      <w:pPr>
        <w:spacing w:before="149" w:line="212" w:lineRule="auto"/>
        <w:ind w:left="2124"/>
        <w:rPr>
          <w:rFonts w:ascii="宋体" w:hAnsi="宋体" w:eastAsia="宋体" w:cs="宋体"/>
          <w:color w:val="auto"/>
        </w:rPr>
      </w:pPr>
      <w:r>
        <w:rPr>
          <w:rFonts w:ascii="Times New Roman" w:hAnsi="Times New Roman" w:eastAsia="Times New Roman" w:cs="Times New Roman"/>
          <w:color w:val="auto"/>
          <w:spacing w:val="-4"/>
        </w:rPr>
        <w:t>5.</w:t>
      </w:r>
      <w:r>
        <w:rPr>
          <w:rFonts w:ascii="宋体" w:hAnsi="宋体" w:eastAsia="宋体" w:cs="宋体"/>
          <w:color w:val="auto"/>
          <w:spacing w:val="-4"/>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color w:val="auto"/>
          <w:spacing w:val="-4"/>
        </w:rPr>
        <w:t>www.gsxt.gov.c</w:t>
      </w:r>
      <w:r>
        <w:rPr>
          <w:rFonts w:ascii="Times New Roman" w:hAnsi="Times New Roman" w:eastAsia="Times New Roman" w:cs="Times New Roman"/>
          <w:color w:val="auto"/>
          <w:spacing w:val="-5"/>
        </w:rPr>
        <w:t>n</w:t>
      </w:r>
      <w:r>
        <w:rPr>
          <w:rFonts w:ascii="Times New Roman" w:hAnsi="Times New Roman" w:eastAsia="Times New Roman" w:cs="Times New Roman"/>
          <w:color w:val="auto"/>
          <w:spacing w:val="-5"/>
        </w:rPr>
        <w:fldChar w:fldCharType="end"/>
      </w:r>
      <w:r>
        <w:rPr>
          <w:rFonts w:ascii="宋体" w:hAnsi="宋体" w:eastAsia="宋体" w:cs="宋体"/>
          <w:color w:val="auto"/>
          <w:spacing w:val="-5"/>
        </w:rPr>
        <w:t>）被列入严重违法失信企业名单；</w:t>
      </w:r>
    </w:p>
    <w:p w14:paraId="780E45A3">
      <w:pPr>
        <w:spacing w:before="126" w:line="305" w:lineRule="auto"/>
        <w:ind w:left="1707" w:right="1590" w:firstLine="415"/>
        <w:rPr>
          <w:rFonts w:ascii="宋体" w:hAnsi="宋体" w:eastAsia="宋体" w:cs="宋体"/>
          <w:color w:val="auto"/>
        </w:rPr>
      </w:pPr>
      <w:r>
        <w:rPr>
          <w:rFonts w:ascii="Times New Roman" w:hAnsi="Times New Roman" w:eastAsia="Times New Roman" w:cs="Times New Roman"/>
          <w:color w:val="auto"/>
          <w:spacing w:val="-4"/>
        </w:rPr>
        <w:t xml:space="preserve">6. </w:t>
      </w:r>
      <w:r>
        <w:rPr>
          <w:rFonts w:ascii="宋体" w:hAnsi="宋体" w:eastAsia="宋体" w:cs="宋体"/>
          <w:color w:val="auto"/>
          <w:spacing w:val="-4"/>
        </w:rPr>
        <w:t>在“信用中国”网站（</w:t>
      </w:r>
      <w:r>
        <w:fldChar w:fldCharType="begin"/>
      </w:r>
      <w:r>
        <w:instrText xml:space="preserve"> HYPERLINK "http://www.creditchina.gov.cn/" </w:instrText>
      </w:r>
      <w:r>
        <w:fldChar w:fldCharType="separate"/>
      </w:r>
      <w:r>
        <w:rPr>
          <w:rFonts w:ascii="Times New Roman" w:hAnsi="Times New Roman" w:eastAsia="Times New Roman" w:cs="Times New Roman"/>
          <w:color w:val="auto"/>
          <w:spacing w:val="-4"/>
        </w:rPr>
        <w:t>www.creditch</w:t>
      </w:r>
      <w:r>
        <w:rPr>
          <w:rFonts w:ascii="Times New Roman" w:hAnsi="Times New Roman" w:eastAsia="Times New Roman" w:cs="Times New Roman"/>
          <w:color w:val="auto"/>
          <w:spacing w:val="-5"/>
        </w:rPr>
        <w:t>ina.gov.cn</w:t>
      </w:r>
      <w:r>
        <w:rPr>
          <w:rFonts w:ascii="Times New Roman" w:hAnsi="Times New Roman" w:eastAsia="Times New Roman" w:cs="Times New Roman"/>
          <w:color w:val="auto"/>
          <w:spacing w:val="-5"/>
        </w:rPr>
        <w:fldChar w:fldCharType="end"/>
      </w:r>
      <w:r>
        <w:rPr>
          <w:rFonts w:ascii="宋体" w:hAnsi="宋体" w:eastAsia="宋体" w:cs="宋体"/>
          <w:color w:val="auto"/>
          <w:spacing w:val="-5"/>
        </w:rPr>
        <w:t>） 或“中国执行信息公开网”</w:t>
      </w:r>
      <w:r>
        <w:rPr>
          <w:rFonts w:ascii="宋体" w:hAnsi="宋体" w:eastAsia="宋体" w:cs="宋体"/>
          <w:color w:val="auto"/>
          <w:spacing w:val="-1"/>
        </w:rPr>
        <w:t>（</w:t>
      </w:r>
      <w:r>
        <w:fldChar w:fldCharType="begin"/>
      </w:r>
      <w:r>
        <w:instrText xml:space="preserve"> HYPERLINK "http://zxgk.court.gov.cn/shixin/" </w:instrText>
      </w:r>
      <w:r>
        <w:fldChar w:fldCharType="separate"/>
      </w:r>
      <w:r>
        <w:rPr>
          <w:rFonts w:ascii="Times New Roman" w:hAnsi="Times New Roman" w:eastAsia="Times New Roman" w:cs="Times New Roman"/>
          <w:color w:val="auto"/>
          <w:spacing w:val="-1"/>
        </w:rPr>
        <w:t>http</w:t>
      </w:r>
      <w:r>
        <w:rPr>
          <w:rFonts w:hint="eastAsia" w:ascii="Times New Roman" w:hAnsi="Times New Roman" w:eastAsia="宋体" w:cs="Times New Roman"/>
          <w:color w:val="auto"/>
          <w:spacing w:val="-1"/>
          <w:lang w:eastAsia="zh-CN"/>
        </w:rPr>
        <w:t>：</w:t>
      </w:r>
      <w:r>
        <w:rPr>
          <w:rFonts w:ascii="Times New Roman" w:hAnsi="Times New Roman" w:eastAsia="Times New Roman" w:cs="Times New Roman"/>
          <w:color w:val="auto"/>
          <w:spacing w:val="-1"/>
        </w:rPr>
        <w:t>//zxgk.court.gov.cn/shixin</w:t>
      </w:r>
      <w:r>
        <w:rPr>
          <w:rFonts w:ascii="Times New Roman" w:hAnsi="Times New Roman" w:eastAsia="Times New Roman" w:cs="Times New Roman"/>
          <w:color w:val="auto"/>
          <w:spacing w:val="-2"/>
        </w:rPr>
        <w:t>/</w:t>
      </w:r>
      <w:r>
        <w:rPr>
          <w:rFonts w:ascii="Times New Roman" w:hAnsi="Times New Roman" w:eastAsia="Times New Roman" w:cs="Times New Roman"/>
          <w:color w:val="auto"/>
          <w:spacing w:val="-2"/>
        </w:rPr>
        <w:fldChar w:fldCharType="end"/>
      </w:r>
      <w:r>
        <w:rPr>
          <w:rFonts w:ascii="宋体" w:hAnsi="宋体" w:eastAsia="宋体" w:cs="宋体"/>
          <w:color w:val="auto"/>
          <w:spacing w:val="-2"/>
        </w:rPr>
        <w:t>）被列入失信被执行人名单；</w:t>
      </w:r>
    </w:p>
    <w:p w14:paraId="140C9536">
      <w:pPr>
        <w:spacing w:before="138" w:line="286" w:lineRule="auto"/>
        <w:ind w:left="1708" w:right="1800" w:firstLine="413"/>
        <w:rPr>
          <w:rFonts w:ascii="宋体" w:hAnsi="宋体" w:eastAsia="宋体" w:cs="宋体"/>
          <w:color w:val="auto"/>
          <w:lang w:eastAsia="zh-CN"/>
        </w:rPr>
      </w:pPr>
      <w:r>
        <w:rPr>
          <w:rFonts w:ascii="Times New Roman" w:hAnsi="Times New Roman" w:eastAsia="Times New Roman" w:cs="Times New Roman"/>
          <w:color w:val="auto"/>
          <w:spacing w:val="2"/>
          <w:lang w:eastAsia="zh-CN"/>
        </w:rPr>
        <w:t>7.</w:t>
      </w:r>
      <w:r>
        <w:rPr>
          <w:rFonts w:ascii="宋体" w:hAnsi="宋体" w:eastAsia="宋体" w:cs="宋体"/>
          <w:color w:val="auto"/>
          <w:spacing w:val="2"/>
          <w:lang w:eastAsia="zh-CN"/>
        </w:rPr>
        <w:t>在辽宁省建设工程招投标监督平台</w:t>
      </w:r>
      <w:r>
        <w:rPr>
          <w:rFonts w:ascii="Times New Roman" w:hAnsi="Times New Roman" w:eastAsia="Times New Roman" w:cs="Times New Roman"/>
          <w:color w:val="auto"/>
          <w:spacing w:val="2"/>
          <w:lang w:eastAsia="zh-CN"/>
        </w:rPr>
        <w:t>-</w:t>
      </w:r>
      <w:r>
        <w:rPr>
          <w:rFonts w:ascii="宋体" w:hAnsi="宋体" w:eastAsia="宋体" w:cs="宋体"/>
          <w:color w:val="auto"/>
          <w:spacing w:val="2"/>
          <w:lang w:eastAsia="zh-CN"/>
        </w:rPr>
        <w:t>辽宁建设工程信息网上被列入不良行为记录且在</w:t>
      </w:r>
      <w:r>
        <w:rPr>
          <w:rFonts w:ascii="宋体" w:hAnsi="宋体" w:eastAsia="宋体" w:cs="宋体"/>
          <w:color w:val="auto"/>
          <w:spacing w:val="-9"/>
          <w:lang w:eastAsia="zh-CN"/>
        </w:rPr>
        <w:t>公布期内的；</w:t>
      </w:r>
    </w:p>
    <w:p w14:paraId="5D215F0D">
      <w:pPr>
        <w:spacing w:before="150" w:line="220" w:lineRule="auto"/>
        <w:ind w:left="2126"/>
        <w:rPr>
          <w:rFonts w:ascii="宋体" w:hAnsi="宋体" w:eastAsia="宋体" w:cs="宋体"/>
          <w:color w:val="auto"/>
          <w:lang w:eastAsia="zh-CN"/>
        </w:rPr>
      </w:pPr>
      <w:r>
        <w:rPr>
          <w:rFonts w:ascii="Times New Roman" w:hAnsi="Times New Roman" w:eastAsia="Times New Roman" w:cs="Times New Roman"/>
          <w:color w:val="auto"/>
          <w:spacing w:val="-2"/>
          <w:lang w:eastAsia="zh-CN"/>
        </w:rPr>
        <w:t>8.</w:t>
      </w:r>
      <w:r>
        <w:rPr>
          <w:rFonts w:ascii="宋体" w:hAnsi="宋体" w:eastAsia="宋体" w:cs="宋体"/>
          <w:color w:val="auto"/>
          <w:spacing w:val="-2"/>
          <w:lang w:eastAsia="zh-CN"/>
        </w:rPr>
        <w:t>投标人须知前附表第</w:t>
      </w:r>
      <w:r>
        <w:rPr>
          <w:rFonts w:ascii="Times New Roman" w:hAnsi="Times New Roman" w:eastAsia="Times New Roman" w:cs="Times New Roman"/>
          <w:color w:val="auto"/>
          <w:spacing w:val="-2"/>
          <w:lang w:eastAsia="zh-CN"/>
        </w:rPr>
        <w:t>1.4.3</w:t>
      </w: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19</w:t>
      </w:r>
      <w:r>
        <w:rPr>
          <w:rFonts w:ascii="宋体" w:hAnsi="宋体" w:eastAsia="宋体" w:cs="宋体"/>
          <w:color w:val="auto"/>
          <w:spacing w:val="-2"/>
          <w:lang w:eastAsia="zh-CN"/>
        </w:rPr>
        <w:t>）目</w:t>
      </w:r>
      <w:r>
        <w:rPr>
          <w:rFonts w:ascii="宋体" w:hAnsi="宋体" w:eastAsia="宋体" w:cs="宋体"/>
          <w:color w:val="auto"/>
          <w:spacing w:val="-3"/>
          <w:lang w:eastAsia="zh-CN"/>
        </w:rPr>
        <w:t>规定的其他情形。</w:t>
      </w:r>
    </w:p>
    <w:p w14:paraId="2612A0ED">
      <w:pPr>
        <w:spacing w:before="183" w:line="220" w:lineRule="auto"/>
        <w:ind w:left="2123"/>
        <w:rPr>
          <w:rFonts w:ascii="宋体" w:hAnsi="宋体" w:eastAsia="宋体" w:cs="宋体"/>
          <w:color w:val="auto"/>
          <w:lang w:eastAsia="zh-CN"/>
        </w:rPr>
      </w:pPr>
      <w:r>
        <w:rPr>
          <w:rFonts w:ascii="宋体" w:hAnsi="宋体" w:eastAsia="宋体" w:cs="宋体"/>
          <w:color w:val="auto"/>
          <w:spacing w:val="-2"/>
          <w:lang w:eastAsia="zh-CN"/>
        </w:rPr>
        <w:t>我方对上述声明的真实性和准确性负责，并承担相应的法律责任。</w:t>
      </w:r>
    </w:p>
    <w:p w14:paraId="70FDB4F2">
      <w:pPr>
        <w:spacing w:before="188" w:line="220" w:lineRule="auto"/>
        <w:ind w:left="2123"/>
        <w:rPr>
          <w:rFonts w:ascii="宋体" w:hAnsi="宋体" w:eastAsia="宋体" w:cs="宋体"/>
          <w:color w:val="auto"/>
          <w:lang w:eastAsia="zh-CN"/>
        </w:rPr>
      </w:pPr>
      <w:r>
        <w:rPr>
          <w:rFonts w:ascii="宋体" w:hAnsi="宋体" w:eastAsia="宋体" w:cs="宋体"/>
          <w:color w:val="auto"/>
          <w:spacing w:val="-6"/>
          <w:lang w:eastAsia="zh-CN"/>
        </w:rPr>
        <w:t>后附：上述条款</w:t>
      </w:r>
      <w:r>
        <w:rPr>
          <w:rFonts w:ascii="Times New Roman" w:hAnsi="Times New Roman" w:eastAsia="Times New Roman" w:cs="Times New Roman"/>
          <w:color w:val="auto"/>
          <w:spacing w:val="-6"/>
          <w:lang w:eastAsia="zh-CN"/>
        </w:rPr>
        <w:t>5</w:t>
      </w: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6</w:t>
      </w:r>
      <w:r>
        <w:rPr>
          <w:rFonts w:ascii="宋体" w:hAnsi="宋体" w:eastAsia="宋体" w:cs="宋体"/>
          <w:color w:val="auto"/>
          <w:spacing w:val="-6"/>
          <w:lang w:eastAsia="zh-CN"/>
        </w:rPr>
        <w:t>、</w:t>
      </w:r>
      <w:r>
        <w:rPr>
          <w:rFonts w:ascii="Times New Roman" w:hAnsi="Times New Roman" w:eastAsia="Times New Roman" w:cs="Times New Roman"/>
          <w:color w:val="auto"/>
          <w:spacing w:val="-6"/>
          <w:lang w:eastAsia="zh-CN"/>
        </w:rPr>
        <w:t>7</w:t>
      </w:r>
      <w:r>
        <w:rPr>
          <w:rFonts w:ascii="宋体" w:hAnsi="宋体" w:eastAsia="宋体" w:cs="宋体"/>
          <w:color w:val="auto"/>
          <w:spacing w:val="-6"/>
          <w:lang w:eastAsia="zh-CN"/>
        </w:rPr>
        <w:t>网站查询结果截图。</w:t>
      </w:r>
    </w:p>
    <w:p w14:paraId="780798E0">
      <w:pPr>
        <w:pStyle w:val="8"/>
        <w:spacing w:line="248" w:lineRule="auto"/>
        <w:rPr>
          <w:lang w:eastAsia="zh-CN"/>
        </w:rPr>
      </w:pPr>
    </w:p>
    <w:p w14:paraId="0E49B689">
      <w:pPr>
        <w:pStyle w:val="8"/>
        <w:spacing w:line="249" w:lineRule="auto"/>
        <w:rPr>
          <w:lang w:eastAsia="zh-CN"/>
        </w:rPr>
      </w:pPr>
    </w:p>
    <w:p w14:paraId="09B5171A">
      <w:pPr>
        <w:pStyle w:val="8"/>
        <w:spacing w:line="249" w:lineRule="auto"/>
        <w:rPr>
          <w:lang w:eastAsia="zh-CN"/>
        </w:rPr>
      </w:pPr>
    </w:p>
    <w:p w14:paraId="37A29881">
      <w:pPr>
        <w:pStyle w:val="8"/>
        <w:spacing w:line="249" w:lineRule="auto"/>
        <w:rPr>
          <w:lang w:eastAsia="zh-CN"/>
        </w:rPr>
      </w:pPr>
    </w:p>
    <w:p w14:paraId="3EE5D82C">
      <w:pPr>
        <w:spacing w:before="69" w:line="220" w:lineRule="auto"/>
        <w:ind w:left="5694"/>
        <w:rPr>
          <w:rFonts w:ascii="宋体" w:hAnsi="宋体" w:eastAsia="宋体" w:cs="宋体"/>
          <w:color w:val="auto"/>
          <w:lang w:eastAsia="zh-CN"/>
        </w:rPr>
      </w:pPr>
      <w:r>
        <w:rPr>
          <w:rFonts w:ascii="宋体" w:hAnsi="宋体" w:eastAsia="宋体" w:cs="宋体"/>
          <w:color w:val="auto"/>
          <w:spacing w:val="-3"/>
          <w:lang w:eastAsia="zh-CN"/>
        </w:rPr>
        <w:t>投标人</w:t>
      </w:r>
      <w:r>
        <w:rPr>
          <w:rFonts w:ascii="宋体" w:hAnsi="宋体" w:eastAsia="宋体" w:cs="宋体"/>
          <w:color w:val="auto"/>
          <w:lang w:eastAsia="zh-CN"/>
        </w:rPr>
        <w:t>：（</w:t>
      </w:r>
      <w:r>
        <w:rPr>
          <w:rFonts w:ascii="宋体" w:hAnsi="宋体" w:eastAsia="宋体" w:cs="宋体"/>
          <w:color w:val="auto"/>
          <w:spacing w:val="-3"/>
          <w:lang w:eastAsia="zh-CN"/>
        </w:rPr>
        <w:t>盖单位章）</w:t>
      </w:r>
    </w:p>
    <w:p w14:paraId="087AB31E">
      <w:pPr>
        <w:spacing w:before="190" w:line="220" w:lineRule="auto"/>
        <w:ind w:left="4433"/>
        <w:rPr>
          <w:rFonts w:ascii="宋体" w:hAnsi="宋体" w:eastAsia="宋体" w:cs="宋体"/>
          <w:color w:val="auto"/>
          <w:lang w:eastAsia="zh-CN"/>
        </w:rPr>
      </w:pPr>
      <w:r>
        <w:rPr>
          <w:rFonts w:ascii="宋体" w:hAnsi="宋体" w:eastAsia="宋体" w:cs="宋体"/>
          <w:color w:val="auto"/>
          <w:spacing w:val="-2"/>
          <w:lang w:eastAsia="zh-CN"/>
        </w:rPr>
        <w:t>法定代表人或授权委托人</w:t>
      </w:r>
      <w:r>
        <w:rPr>
          <w:rFonts w:ascii="宋体" w:hAnsi="宋体" w:eastAsia="宋体" w:cs="宋体"/>
          <w:color w:val="auto"/>
          <w:spacing w:val="3"/>
          <w:lang w:eastAsia="zh-CN"/>
        </w:rPr>
        <w:t>：（</w:t>
      </w:r>
      <w:r>
        <w:rPr>
          <w:rFonts w:ascii="宋体" w:hAnsi="宋体" w:eastAsia="宋体" w:cs="宋体"/>
          <w:color w:val="auto"/>
          <w:spacing w:val="-2"/>
          <w:lang w:eastAsia="zh-CN"/>
        </w:rPr>
        <w:t>签章）</w:t>
      </w:r>
    </w:p>
    <w:p w14:paraId="70C0541A">
      <w:pPr>
        <w:pStyle w:val="8"/>
        <w:spacing w:line="279" w:lineRule="auto"/>
        <w:rPr>
          <w:lang w:eastAsia="zh-CN"/>
        </w:rPr>
      </w:pPr>
    </w:p>
    <w:p w14:paraId="1596E38E">
      <w:pPr>
        <w:pStyle w:val="8"/>
        <w:spacing w:line="279" w:lineRule="auto"/>
        <w:rPr>
          <w:lang w:eastAsia="zh-CN"/>
        </w:rPr>
      </w:pPr>
    </w:p>
    <w:p w14:paraId="3D6EC0F4">
      <w:pPr>
        <w:tabs>
          <w:tab w:val="left" w:pos="7784"/>
        </w:tabs>
        <w:spacing w:before="69" w:line="220" w:lineRule="auto"/>
        <w:ind w:left="6944"/>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5"/>
          <w:lang w:eastAsia="zh-CN"/>
        </w:rPr>
        <w:t>年 月 日</w:t>
      </w:r>
    </w:p>
    <w:p w14:paraId="5547404D">
      <w:pPr>
        <w:pStyle w:val="8"/>
        <w:spacing w:line="292" w:lineRule="auto"/>
        <w:rPr>
          <w:lang w:eastAsia="zh-CN"/>
        </w:rPr>
      </w:pPr>
    </w:p>
    <w:p w14:paraId="2AF1DA31">
      <w:pPr>
        <w:pStyle w:val="8"/>
        <w:spacing w:line="292" w:lineRule="auto"/>
        <w:rPr>
          <w:lang w:eastAsia="zh-CN"/>
        </w:rPr>
      </w:pPr>
    </w:p>
    <w:p w14:paraId="1F8E7710">
      <w:pPr>
        <w:pStyle w:val="8"/>
        <w:spacing w:line="293" w:lineRule="auto"/>
        <w:rPr>
          <w:lang w:eastAsia="zh-CN"/>
        </w:rPr>
      </w:pPr>
    </w:p>
    <w:p w14:paraId="08512EBB">
      <w:pPr>
        <w:spacing w:before="69" w:line="274" w:lineRule="auto"/>
        <w:ind w:left="2540" w:right="1800" w:hanging="836"/>
        <w:rPr>
          <w:rFonts w:ascii="宋体" w:hAnsi="宋体" w:eastAsia="宋体" w:cs="宋体"/>
          <w:color w:val="auto"/>
          <w:lang w:eastAsia="zh-CN"/>
        </w:rPr>
      </w:pPr>
      <w:r>
        <w:rPr>
          <w:rFonts w:ascii="宋体" w:hAnsi="宋体" w:eastAsia="宋体" w:cs="宋体"/>
          <w:color w:val="auto"/>
          <w:spacing w:val="-4"/>
          <w:lang w:eastAsia="zh-CN"/>
        </w:rPr>
        <w:t>备注：1.投标人应针对第二章“投标人须知</w:t>
      </w:r>
      <w:r>
        <w:rPr>
          <w:rFonts w:ascii="宋体" w:hAnsi="宋体" w:eastAsia="宋体" w:cs="宋体"/>
          <w:color w:val="auto"/>
          <w:spacing w:val="-5"/>
          <w:lang w:eastAsia="zh-CN"/>
        </w:rPr>
        <w:t>”第1.4.1项和第1.4.3项的要求，在此对其信</w:t>
      </w:r>
      <w:r>
        <w:rPr>
          <w:rFonts w:ascii="宋体" w:hAnsi="宋体" w:eastAsia="宋体" w:cs="宋体"/>
          <w:color w:val="auto"/>
          <w:spacing w:val="-3"/>
          <w:lang w:eastAsia="zh-CN"/>
        </w:rPr>
        <w:t>誉情况做出说明。如上格式文件所示。</w:t>
      </w:r>
    </w:p>
    <w:p w14:paraId="30FAEE22">
      <w:pPr>
        <w:spacing w:line="220" w:lineRule="auto"/>
        <w:ind w:left="2334"/>
        <w:rPr>
          <w:rFonts w:ascii="宋体" w:hAnsi="宋体" w:eastAsia="宋体" w:cs="宋体"/>
          <w:color w:val="auto"/>
          <w:lang w:eastAsia="zh-CN"/>
        </w:rPr>
      </w:pPr>
      <w:r>
        <w:rPr>
          <w:rFonts w:ascii="宋体" w:hAnsi="宋体" w:eastAsia="宋体" w:cs="宋体"/>
          <w:color w:val="auto"/>
          <w:spacing w:val="-2"/>
          <w:lang w:eastAsia="zh-CN"/>
        </w:rPr>
        <w:t>2.联合体投标的，联合体各成员单位均应按要求做出说明。</w:t>
      </w:r>
    </w:p>
    <w:p w14:paraId="013213B6">
      <w:pPr>
        <w:spacing w:line="220" w:lineRule="auto"/>
        <w:rPr>
          <w:rFonts w:ascii="宋体" w:hAnsi="宋体" w:eastAsia="宋体" w:cs="宋体"/>
          <w:color w:val="auto"/>
          <w:lang w:eastAsia="zh-CN"/>
        </w:rPr>
        <w:sectPr>
          <w:headerReference r:id="rId168" w:type="default"/>
          <w:footerReference r:id="rId169" w:type="default"/>
          <w:pgSz w:w="11906" w:h="16839"/>
          <w:pgMar w:top="400" w:right="0" w:bottom="1147" w:left="105" w:header="0" w:footer="987" w:gutter="0"/>
          <w:cols w:space="720" w:num="1"/>
        </w:sectPr>
      </w:pPr>
    </w:p>
    <w:p w14:paraId="564F8B54">
      <w:pPr>
        <w:pStyle w:val="8"/>
        <w:spacing w:line="275" w:lineRule="auto"/>
        <w:rPr>
          <w:lang w:eastAsia="zh-CN"/>
        </w:rPr>
      </w:pPr>
    </w:p>
    <w:p w14:paraId="6589F1E0">
      <w:pPr>
        <w:pStyle w:val="8"/>
        <w:spacing w:line="276" w:lineRule="auto"/>
        <w:rPr>
          <w:lang w:eastAsia="zh-CN"/>
        </w:rPr>
      </w:pPr>
    </w:p>
    <w:p w14:paraId="652D1900">
      <w:pPr>
        <w:pStyle w:val="8"/>
        <w:spacing w:line="276" w:lineRule="auto"/>
        <w:rPr>
          <w:lang w:eastAsia="zh-CN"/>
        </w:rPr>
      </w:pPr>
    </w:p>
    <w:p w14:paraId="34C2B111">
      <w:pPr>
        <w:pStyle w:val="8"/>
        <w:spacing w:line="276" w:lineRule="auto"/>
        <w:rPr>
          <w:lang w:eastAsia="zh-CN"/>
        </w:rPr>
      </w:pPr>
    </w:p>
    <w:p w14:paraId="238D59FE">
      <w:pPr>
        <w:pStyle w:val="8"/>
        <w:spacing w:line="276" w:lineRule="auto"/>
        <w:rPr>
          <w:lang w:eastAsia="zh-CN"/>
        </w:rPr>
      </w:pPr>
    </w:p>
    <w:p w14:paraId="17F983AF">
      <w:pPr>
        <w:spacing w:before="78" w:line="220" w:lineRule="auto"/>
        <w:ind w:left="4198"/>
        <w:rPr>
          <w:rFonts w:ascii="黑体" w:hAnsi="黑体" w:eastAsia="黑体" w:cs="黑体"/>
          <w:color w:val="auto"/>
          <w:sz w:val="24"/>
          <w:szCs w:val="24"/>
          <w:lang w:eastAsia="zh-CN"/>
        </w:rPr>
      </w:pPr>
      <w:bookmarkStart w:id="463" w:name="bookmark199"/>
      <w:bookmarkEnd w:id="463"/>
      <w:r>
        <w:rPr>
          <w:rFonts w:ascii="Times New Roman" w:hAnsi="Times New Roman" w:eastAsia="Times New Roman" w:cs="Times New Roman"/>
          <w:color w:val="auto"/>
          <w:spacing w:val="-1"/>
          <w:sz w:val="24"/>
          <w:szCs w:val="24"/>
          <w:lang w:eastAsia="zh-CN"/>
        </w:rPr>
        <w:t xml:space="preserve">5-2  </w:t>
      </w:r>
      <w:r>
        <w:rPr>
          <w:rFonts w:ascii="黑体" w:hAnsi="黑体" w:eastAsia="黑体" w:cs="黑体"/>
          <w:color w:val="auto"/>
          <w:spacing w:val="-1"/>
          <w:sz w:val="24"/>
          <w:szCs w:val="24"/>
          <w:lang w:eastAsia="zh-CN"/>
        </w:rPr>
        <w:t>近年发生的诉讼和仲裁情况</w:t>
      </w:r>
    </w:p>
    <w:p w14:paraId="2E9FA0E1">
      <w:pPr>
        <w:spacing w:before="70"/>
        <w:rPr>
          <w:color w:val="auto"/>
          <w:lang w:eastAsia="zh-CN"/>
        </w:rPr>
      </w:pPr>
    </w:p>
    <w:tbl>
      <w:tblPr>
        <w:tblStyle w:val="20"/>
        <w:tblW w:w="8521"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5"/>
        <w:gridCol w:w="936"/>
        <w:gridCol w:w="1232"/>
        <w:gridCol w:w="3497"/>
        <w:gridCol w:w="1911"/>
      </w:tblGrid>
      <w:tr w14:paraId="6BB4A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945" w:type="dxa"/>
            <w:tcBorders>
              <w:top w:val="single" w:color="000000" w:sz="8" w:space="0"/>
              <w:left w:val="single" w:color="000000" w:sz="8" w:space="0"/>
            </w:tcBorders>
          </w:tcPr>
          <w:p w14:paraId="4211F094">
            <w:pPr>
              <w:pStyle w:val="21"/>
              <w:spacing w:before="237" w:line="220" w:lineRule="auto"/>
              <w:ind w:left="257"/>
              <w:rPr>
                <w:color w:val="auto"/>
              </w:rPr>
            </w:pPr>
            <w:r>
              <w:rPr>
                <w:color w:val="auto"/>
                <w:spacing w:val="-3"/>
              </w:rPr>
              <w:t>类别</w:t>
            </w:r>
          </w:p>
        </w:tc>
        <w:tc>
          <w:tcPr>
            <w:tcW w:w="936" w:type="dxa"/>
            <w:tcBorders>
              <w:top w:val="single" w:color="000000" w:sz="8" w:space="0"/>
            </w:tcBorders>
          </w:tcPr>
          <w:p w14:paraId="3AFC5EBF">
            <w:pPr>
              <w:pStyle w:val="21"/>
              <w:spacing w:before="236" w:line="222" w:lineRule="auto"/>
              <w:ind w:left="254"/>
              <w:rPr>
                <w:color w:val="auto"/>
              </w:rPr>
            </w:pPr>
            <w:r>
              <w:rPr>
                <w:color w:val="auto"/>
                <w:spacing w:val="-2"/>
              </w:rPr>
              <w:t>序号</w:t>
            </w:r>
          </w:p>
        </w:tc>
        <w:tc>
          <w:tcPr>
            <w:tcW w:w="1232" w:type="dxa"/>
            <w:tcBorders>
              <w:top w:val="single" w:color="000000" w:sz="8" w:space="0"/>
            </w:tcBorders>
          </w:tcPr>
          <w:p w14:paraId="46F03EB4">
            <w:pPr>
              <w:pStyle w:val="21"/>
              <w:spacing w:before="236" w:line="221" w:lineRule="auto"/>
              <w:ind w:left="199"/>
              <w:rPr>
                <w:color w:val="auto"/>
              </w:rPr>
            </w:pPr>
            <w:r>
              <w:rPr>
                <w:color w:val="auto"/>
                <w:spacing w:val="-3"/>
              </w:rPr>
              <w:t>发生时间</w:t>
            </w:r>
          </w:p>
        </w:tc>
        <w:tc>
          <w:tcPr>
            <w:tcW w:w="3497" w:type="dxa"/>
            <w:tcBorders>
              <w:top w:val="single" w:color="000000" w:sz="8" w:space="0"/>
            </w:tcBorders>
          </w:tcPr>
          <w:p w14:paraId="20C90D3E">
            <w:pPr>
              <w:pStyle w:val="21"/>
              <w:spacing w:before="236" w:line="220" w:lineRule="auto"/>
              <w:ind w:left="1332"/>
              <w:rPr>
                <w:color w:val="auto"/>
              </w:rPr>
            </w:pPr>
            <w:r>
              <w:rPr>
                <w:color w:val="auto"/>
                <w:spacing w:val="-2"/>
              </w:rPr>
              <w:t>情况简介</w:t>
            </w:r>
          </w:p>
        </w:tc>
        <w:tc>
          <w:tcPr>
            <w:tcW w:w="1911" w:type="dxa"/>
            <w:tcBorders>
              <w:top w:val="single" w:color="000000" w:sz="8" w:space="0"/>
              <w:right w:val="single" w:color="000000" w:sz="8" w:space="0"/>
            </w:tcBorders>
          </w:tcPr>
          <w:p w14:paraId="7085BC95">
            <w:pPr>
              <w:pStyle w:val="21"/>
              <w:spacing w:before="236" w:line="220" w:lineRule="auto"/>
              <w:ind w:left="332"/>
              <w:rPr>
                <w:color w:val="auto"/>
              </w:rPr>
            </w:pPr>
            <w:r>
              <w:rPr>
                <w:color w:val="auto"/>
                <w:spacing w:val="-2"/>
              </w:rPr>
              <w:t>证明材料索引</w:t>
            </w:r>
          </w:p>
        </w:tc>
      </w:tr>
      <w:tr w14:paraId="2BDC9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945" w:type="dxa"/>
            <w:vMerge w:val="restart"/>
            <w:tcBorders>
              <w:left w:val="single" w:color="000000" w:sz="8" w:space="0"/>
              <w:bottom w:val="nil"/>
            </w:tcBorders>
            <w:textDirection w:val="tbRlV"/>
          </w:tcPr>
          <w:p w14:paraId="6891A2F8">
            <w:pPr>
              <w:spacing w:line="286" w:lineRule="auto"/>
              <w:rPr>
                <w:color w:val="auto"/>
              </w:rPr>
            </w:pPr>
          </w:p>
          <w:p w14:paraId="121A5592">
            <w:pPr>
              <w:pStyle w:val="21"/>
              <w:spacing w:before="71" w:line="210" w:lineRule="auto"/>
              <w:ind w:left="1578"/>
              <w:rPr>
                <w:color w:val="auto"/>
              </w:rPr>
            </w:pPr>
            <w:r>
              <w:rPr>
                <w:color w:val="auto"/>
                <w:spacing w:val="22"/>
              </w:rPr>
              <w:t>诉讼情况</w:t>
            </w:r>
          </w:p>
        </w:tc>
        <w:tc>
          <w:tcPr>
            <w:tcW w:w="936" w:type="dxa"/>
          </w:tcPr>
          <w:p w14:paraId="5E4F2C59">
            <w:pPr>
              <w:rPr>
                <w:color w:val="auto"/>
              </w:rPr>
            </w:pPr>
          </w:p>
        </w:tc>
        <w:tc>
          <w:tcPr>
            <w:tcW w:w="1232" w:type="dxa"/>
          </w:tcPr>
          <w:p w14:paraId="192D5F06">
            <w:pPr>
              <w:rPr>
                <w:color w:val="auto"/>
              </w:rPr>
            </w:pPr>
          </w:p>
        </w:tc>
        <w:tc>
          <w:tcPr>
            <w:tcW w:w="3497" w:type="dxa"/>
          </w:tcPr>
          <w:p w14:paraId="14886FEE">
            <w:pPr>
              <w:rPr>
                <w:color w:val="auto"/>
              </w:rPr>
            </w:pPr>
          </w:p>
        </w:tc>
        <w:tc>
          <w:tcPr>
            <w:tcW w:w="1911" w:type="dxa"/>
            <w:tcBorders>
              <w:right w:val="single" w:color="000000" w:sz="8" w:space="0"/>
            </w:tcBorders>
          </w:tcPr>
          <w:p w14:paraId="3E17A815">
            <w:pPr>
              <w:rPr>
                <w:color w:val="auto"/>
              </w:rPr>
            </w:pPr>
          </w:p>
        </w:tc>
      </w:tr>
      <w:tr w14:paraId="0A93B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945" w:type="dxa"/>
            <w:vMerge w:val="continue"/>
            <w:tcBorders>
              <w:top w:val="nil"/>
              <w:left w:val="single" w:color="000000" w:sz="8" w:space="0"/>
              <w:bottom w:val="nil"/>
            </w:tcBorders>
            <w:textDirection w:val="tbRlV"/>
          </w:tcPr>
          <w:p w14:paraId="4002F198">
            <w:pPr>
              <w:rPr>
                <w:color w:val="auto"/>
              </w:rPr>
            </w:pPr>
          </w:p>
        </w:tc>
        <w:tc>
          <w:tcPr>
            <w:tcW w:w="936" w:type="dxa"/>
          </w:tcPr>
          <w:p w14:paraId="5168652D">
            <w:pPr>
              <w:rPr>
                <w:color w:val="auto"/>
              </w:rPr>
            </w:pPr>
          </w:p>
        </w:tc>
        <w:tc>
          <w:tcPr>
            <w:tcW w:w="1232" w:type="dxa"/>
          </w:tcPr>
          <w:p w14:paraId="4C14703C">
            <w:pPr>
              <w:rPr>
                <w:color w:val="auto"/>
              </w:rPr>
            </w:pPr>
          </w:p>
        </w:tc>
        <w:tc>
          <w:tcPr>
            <w:tcW w:w="3497" w:type="dxa"/>
          </w:tcPr>
          <w:p w14:paraId="5DB5FA5A">
            <w:pPr>
              <w:rPr>
                <w:color w:val="auto"/>
              </w:rPr>
            </w:pPr>
          </w:p>
        </w:tc>
        <w:tc>
          <w:tcPr>
            <w:tcW w:w="1911" w:type="dxa"/>
            <w:tcBorders>
              <w:right w:val="single" w:color="000000" w:sz="8" w:space="0"/>
            </w:tcBorders>
          </w:tcPr>
          <w:p w14:paraId="5DAEF9D5">
            <w:pPr>
              <w:rPr>
                <w:color w:val="auto"/>
              </w:rPr>
            </w:pPr>
          </w:p>
        </w:tc>
      </w:tr>
      <w:tr w14:paraId="449BF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945" w:type="dxa"/>
            <w:vMerge w:val="continue"/>
            <w:tcBorders>
              <w:top w:val="nil"/>
              <w:left w:val="single" w:color="000000" w:sz="8" w:space="0"/>
            </w:tcBorders>
            <w:textDirection w:val="tbRlV"/>
          </w:tcPr>
          <w:p w14:paraId="41E7B1C9">
            <w:pPr>
              <w:rPr>
                <w:color w:val="auto"/>
              </w:rPr>
            </w:pPr>
          </w:p>
        </w:tc>
        <w:tc>
          <w:tcPr>
            <w:tcW w:w="936" w:type="dxa"/>
          </w:tcPr>
          <w:p w14:paraId="56D15A36">
            <w:pPr>
              <w:rPr>
                <w:color w:val="auto"/>
              </w:rPr>
            </w:pPr>
          </w:p>
        </w:tc>
        <w:tc>
          <w:tcPr>
            <w:tcW w:w="1232" w:type="dxa"/>
          </w:tcPr>
          <w:p w14:paraId="4253F4AF">
            <w:pPr>
              <w:rPr>
                <w:color w:val="auto"/>
              </w:rPr>
            </w:pPr>
          </w:p>
        </w:tc>
        <w:tc>
          <w:tcPr>
            <w:tcW w:w="3497" w:type="dxa"/>
          </w:tcPr>
          <w:p w14:paraId="321BECC5">
            <w:pPr>
              <w:rPr>
                <w:color w:val="auto"/>
              </w:rPr>
            </w:pPr>
          </w:p>
        </w:tc>
        <w:tc>
          <w:tcPr>
            <w:tcW w:w="1911" w:type="dxa"/>
            <w:tcBorders>
              <w:right w:val="single" w:color="000000" w:sz="8" w:space="0"/>
            </w:tcBorders>
          </w:tcPr>
          <w:p w14:paraId="62CDF369">
            <w:pPr>
              <w:rPr>
                <w:color w:val="auto"/>
              </w:rPr>
            </w:pPr>
          </w:p>
        </w:tc>
      </w:tr>
      <w:tr w14:paraId="4E49D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945" w:type="dxa"/>
            <w:vMerge w:val="restart"/>
            <w:tcBorders>
              <w:left w:val="single" w:color="000000" w:sz="8" w:space="0"/>
              <w:bottom w:val="nil"/>
            </w:tcBorders>
            <w:textDirection w:val="tbRlV"/>
          </w:tcPr>
          <w:p w14:paraId="1F4D7965">
            <w:pPr>
              <w:spacing w:line="287" w:lineRule="auto"/>
              <w:rPr>
                <w:color w:val="auto"/>
              </w:rPr>
            </w:pPr>
          </w:p>
          <w:p w14:paraId="3118E1DE">
            <w:pPr>
              <w:pStyle w:val="21"/>
              <w:spacing w:before="70" w:line="209" w:lineRule="auto"/>
              <w:ind w:left="1587"/>
              <w:rPr>
                <w:color w:val="auto"/>
              </w:rPr>
            </w:pPr>
            <w:r>
              <w:rPr>
                <w:color w:val="auto"/>
                <w:spacing w:val="22"/>
              </w:rPr>
              <w:t>仲裁情况</w:t>
            </w:r>
          </w:p>
        </w:tc>
        <w:tc>
          <w:tcPr>
            <w:tcW w:w="936" w:type="dxa"/>
          </w:tcPr>
          <w:p w14:paraId="54177770">
            <w:pPr>
              <w:rPr>
                <w:color w:val="auto"/>
              </w:rPr>
            </w:pPr>
          </w:p>
        </w:tc>
        <w:tc>
          <w:tcPr>
            <w:tcW w:w="1232" w:type="dxa"/>
          </w:tcPr>
          <w:p w14:paraId="22184D2F">
            <w:pPr>
              <w:rPr>
                <w:color w:val="auto"/>
              </w:rPr>
            </w:pPr>
          </w:p>
        </w:tc>
        <w:tc>
          <w:tcPr>
            <w:tcW w:w="3497" w:type="dxa"/>
          </w:tcPr>
          <w:p w14:paraId="3D5EB4CE">
            <w:pPr>
              <w:rPr>
                <w:color w:val="auto"/>
              </w:rPr>
            </w:pPr>
          </w:p>
        </w:tc>
        <w:tc>
          <w:tcPr>
            <w:tcW w:w="1911" w:type="dxa"/>
            <w:tcBorders>
              <w:right w:val="single" w:color="000000" w:sz="8" w:space="0"/>
            </w:tcBorders>
          </w:tcPr>
          <w:p w14:paraId="32C06E10">
            <w:pPr>
              <w:rPr>
                <w:color w:val="auto"/>
              </w:rPr>
            </w:pPr>
          </w:p>
        </w:tc>
      </w:tr>
      <w:tr w14:paraId="4AAAA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 w:hRule="atLeast"/>
        </w:trPr>
        <w:tc>
          <w:tcPr>
            <w:tcW w:w="945" w:type="dxa"/>
            <w:vMerge w:val="continue"/>
            <w:tcBorders>
              <w:top w:val="nil"/>
              <w:left w:val="single" w:color="000000" w:sz="8" w:space="0"/>
              <w:bottom w:val="nil"/>
            </w:tcBorders>
            <w:textDirection w:val="tbRlV"/>
          </w:tcPr>
          <w:p w14:paraId="6FE1C81C">
            <w:pPr>
              <w:rPr>
                <w:color w:val="auto"/>
              </w:rPr>
            </w:pPr>
          </w:p>
        </w:tc>
        <w:tc>
          <w:tcPr>
            <w:tcW w:w="936" w:type="dxa"/>
          </w:tcPr>
          <w:p w14:paraId="2C42DB50">
            <w:pPr>
              <w:rPr>
                <w:color w:val="auto"/>
              </w:rPr>
            </w:pPr>
          </w:p>
        </w:tc>
        <w:tc>
          <w:tcPr>
            <w:tcW w:w="1232" w:type="dxa"/>
          </w:tcPr>
          <w:p w14:paraId="73F1B318">
            <w:pPr>
              <w:rPr>
                <w:color w:val="auto"/>
              </w:rPr>
            </w:pPr>
          </w:p>
        </w:tc>
        <w:tc>
          <w:tcPr>
            <w:tcW w:w="3497" w:type="dxa"/>
          </w:tcPr>
          <w:p w14:paraId="25DF1A3B">
            <w:pPr>
              <w:rPr>
                <w:color w:val="auto"/>
              </w:rPr>
            </w:pPr>
          </w:p>
        </w:tc>
        <w:tc>
          <w:tcPr>
            <w:tcW w:w="1911" w:type="dxa"/>
            <w:tcBorders>
              <w:right w:val="single" w:color="000000" w:sz="8" w:space="0"/>
            </w:tcBorders>
          </w:tcPr>
          <w:p w14:paraId="4E467125">
            <w:pPr>
              <w:rPr>
                <w:color w:val="auto"/>
              </w:rPr>
            </w:pPr>
          </w:p>
        </w:tc>
      </w:tr>
      <w:tr w14:paraId="15F5E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1" w:hRule="atLeast"/>
        </w:trPr>
        <w:tc>
          <w:tcPr>
            <w:tcW w:w="945" w:type="dxa"/>
            <w:vMerge w:val="continue"/>
            <w:tcBorders>
              <w:top w:val="nil"/>
              <w:left w:val="single" w:color="000000" w:sz="8" w:space="0"/>
              <w:bottom w:val="single" w:color="000000" w:sz="8" w:space="0"/>
            </w:tcBorders>
            <w:textDirection w:val="tbRlV"/>
          </w:tcPr>
          <w:p w14:paraId="65FEBEB9">
            <w:pPr>
              <w:rPr>
                <w:color w:val="auto"/>
              </w:rPr>
            </w:pPr>
          </w:p>
        </w:tc>
        <w:tc>
          <w:tcPr>
            <w:tcW w:w="936" w:type="dxa"/>
            <w:tcBorders>
              <w:bottom w:val="single" w:color="000000" w:sz="8" w:space="0"/>
            </w:tcBorders>
          </w:tcPr>
          <w:p w14:paraId="3BED1215">
            <w:pPr>
              <w:rPr>
                <w:color w:val="auto"/>
              </w:rPr>
            </w:pPr>
          </w:p>
        </w:tc>
        <w:tc>
          <w:tcPr>
            <w:tcW w:w="1232" w:type="dxa"/>
            <w:tcBorders>
              <w:bottom w:val="single" w:color="000000" w:sz="8" w:space="0"/>
            </w:tcBorders>
          </w:tcPr>
          <w:p w14:paraId="1596DEE2">
            <w:pPr>
              <w:rPr>
                <w:color w:val="auto"/>
              </w:rPr>
            </w:pPr>
          </w:p>
        </w:tc>
        <w:tc>
          <w:tcPr>
            <w:tcW w:w="3497" w:type="dxa"/>
            <w:tcBorders>
              <w:bottom w:val="single" w:color="000000" w:sz="8" w:space="0"/>
            </w:tcBorders>
          </w:tcPr>
          <w:p w14:paraId="1A5EEDEE">
            <w:pPr>
              <w:rPr>
                <w:color w:val="auto"/>
              </w:rPr>
            </w:pPr>
          </w:p>
        </w:tc>
        <w:tc>
          <w:tcPr>
            <w:tcW w:w="1911" w:type="dxa"/>
            <w:tcBorders>
              <w:bottom w:val="single" w:color="000000" w:sz="8" w:space="0"/>
              <w:right w:val="single" w:color="000000" w:sz="8" w:space="0"/>
            </w:tcBorders>
          </w:tcPr>
          <w:p w14:paraId="05255841">
            <w:pPr>
              <w:rPr>
                <w:color w:val="auto"/>
              </w:rPr>
            </w:pPr>
          </w:p>
        </w:tc>
      </w:tr>
    </w:tbl>
    <w:p w14:paraId="2E8600A6">
      <w:pPr>
        <w:spacing w:before="138" w:line="352" w:lineRule="auto"/>
        <w:ind w:left="2543" w:right="1800" w:hanging="839"/>
        <w:rPr>
          <w:rFonts w:ascii="宋体" w:hAnsi="宋体" w:eastAsia="宋体" w:cs="宋体"/>
          <w:color w:val="auto"/>
          <w:lang w:eastAsia="zh-CN"/>
        </w:rPr>
      </w:pPr>
      <w:r>
        <w:rPr>
          <w:rFonts w:ascii="宋体" w:hAnsi="宋体" w:eastAsia="宋体" w:cs="宋体"/>
          <w:color w:val="auto"/>
          <w:spacing w:val="-1"/>
          <w:lang w:eastAsia="zh-CN"/>
        </w:rPr>
        <w:t>备注：</w:t>
      </w:r>
      <w:r>
        <w:rPr>
          <w:rFonts w:ascii="Times New Roman" w:hAnsi="Times New Roman" w:eastAsia="Times New Roman" w:cs="Times New Roman"/>
          <w:color w:val="auto"/>
          <w:spacing w:val="-1"/>
          <w:lang w:eastAsia="zh-CN"/>
        </w:rPr>
        <w:t>1.</w:t>
      </w:r>
      <w:r>
        <w:rPr>
          <w:rFonts w:ascii="宋体" w:hAnsi="宋体" w:eastAsia="宋体" w:cs="宋体"/>
          <w:color w:val="auto"/>
          <w:spacing w:val="-1"/>
          <w:lang w:eastAsia="zh-CN"/>
        </w:rPr>
        <w:t>招标文件将近年发生的诉讼和仲裁情况作为资格条件</w:t>
      </w:r>
      <w:r>
        <w:rPr>
          <w:rFonts w:ascii="宋体" w:hAnsi="宋体" w:eastAsia="宋体" w:cs="宋体"/>
          <w:color w:val="auto"/>
          <w:spacing w:val="-2"/>
          <w:lang w:eastAsia="zh-CN"/>
        </w:rPr>
        <w:t>或评审项或否决条件的，投标</w:t>
      </w:r>
      <w:r>
        <w:rPr>
          <w:rFonts w:ascii="宋体" w:hAnsi="宋体" w:eastAsia="宋体" w:cs="宋体"/>
          <w:color w:val="auto"/>
          <w:spacing w:val="-3"/>
          <w:lang w:eastAsia="zh-CN"/>
        </w:rPr>
        <w:t>人应当如实填报相关情况。没有可不填。</w:t>
      </w:r>
    </w:p>
    <w:p w14:paraId="7E882500">
      <w:pPr>
        <w:spacing w:before="3" w:line="318" w:lineRule="auto"/>
        <w:ind w:left="2543" w:right="1800" w:hanging="215"/>
        <w:rPr>
          <w:rFonts w:ascii="宋体" w:hAnsi="宋体" w:eastAsia="宋体" w:cs="宋体"/>
          <w:color w:val="auto"/>
          <w:lang w:eastAsia="zh-CN"/>
        </w:rPr>
      </w:pP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近年发生的诉讼和仲裁情况仅限于申请人败诉的，且可能直接</w:t>
      </w:r>
      <w:r>
        <w:rPr>
          <w:rFonts w:ascii="宋体" w:hAnsi="宋体" w:eastAsia="宋体" w:cs="宋体"/>
          <w:color w:val="auto"/>
          <w:spacing w:val="-2"/>
          <w:lang w:eastAsia="zh-CN"/>
        </w:rPr>
        <w:t>影响正常合同履约有</w:t>
      </w:r>
      <w:r>
        <w:rPr>
          <w:rFonts w:ascii="宋体" w:hAnsi="宋体" w:eastAsia="宋体" w:cs="宋体"/>
          <w:color w:val="auto"/>
          <w:spacing w:val="-3"/>
          <w:lang w:eastAsia="zh-CN"/>
        </w:rPr>
        <w:t>关的案件，不包括调解结案、未终审判决的诉讼或未裁决的仲裁以及与合同履约无直接关联案件。附法院或仲裁机构作出的判决或裁决等有关法律文书。时间为判决</w:t>
      </w:r>
      <w:r>
        <w:rPr>
          <w:rFonts w:ascii="宋体" w:hAnsi="宋体" w:eastAsia="宋体" w:cs="宋体"/>
          <w:color w:val="auto"/>
          <w:spacing w:val="-5"/>
          <w:lang w:eastAsia="zh-CN"/>
        </w:rPr>
        <w:t>或仲裁决定时间。</w:t>
      </w:r>
    </w:p>
    <w:p w14:paraId="5AF64CDC">
      <w:pPr>
        <w:spacing w:before="148" w:line="308" w:lineRule="auto"/>
        <w:ind w:left="2540" w:right="1724" w:hanging="208"/>
        <w:rPr>
          <w:rFonts w:ascii="宋体" w:hAnsi="宋体" w:eastAsia="宋体" w:cs="宋体"/>
          <w:color w:val="auto"/>
          <w:lang w:eastAsia="zh-CN"/>
        </w:rPr>
      </w:pP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投标人应如实填写近年发生的诉讼及仲裁情况，否</w:t>
      </w:r>
      <w:r>
        <w:rPr>
          <w:rFonts w:ascii="宋体" w:hAnsi="宋体" w:eastAsia="宋体" w:cs="宋体"/>
          <w:color w:val="auto"/>
          <w:spacing w:val="-2"/>
          <w:lang w:eastAsia="zh-CN"/>
        </w:rPr>
        <w:t>则视为不响应招标文件实质性要</w:t>
      </w:r>
      <w:r>
        <w:rPr>
          <w:rFonts w:ascii="宋体" w:hAnsi="宋体" w:eastAsia="宋体" w:cs="宋体"/>
          <w:color w:val="auto"/>
          <w:spacing w:val="-3"/>
          <w:lang w:eastAsia="zh-CN"/>
        </w:rPr>
        <w:t>求，其投标文件将被否决。如投标人因故意隐瞒且查证属实存在影响履约的诉讼及</w:t>
      </w:r>
      <w:r>
        <w:rPr>
          <w:rFonts w:ascii="宋体" w:hAnsi="宋体" w:eastAsia="宋体" w:cs="宋体"/>
          <w:color w:val="auto"/>
          <w:spacing w:val="-6"/>
          <w:lang w:eastAsia="zh-CN"/>
        </w:rPr>
        <w:t>仲裁情况，将视为弄虚作假或以不正当手段骗取</w:t>
      </w:r>
      <w:r>
        <w:rPr>
          <w:rFonts w:ascii="宋体" w:hAnsi="宋体" w:eastAsia="宋体" w:cs="宋体"/>
          <w:color w:val="auto"/>
          <w:spacing w:val="-7"/>
          <w:lang w:eastAsia="zh-CN"/>
        </w:rPr>
        <w:t>中标的行为，将依法依规予以处理。</w:t>
      </w:r>
    </w:p>
    <w:p w14:paraId="50C5DAE2">
      <w:pPr>
        <w:spacing w:line="308" w:lineRule="auto"/>
        <w:rPr>
          <w:rFonts w:ascii="宋体" w:hAnsi="宋体" w:eastAsia="宋体" w:cs="宋体"/>
          <w:color w:val="auto"/>
          <w:lang w:eastAsia="zh-CN"/>
        </w:rPr>
        <w:sectPr>
          <w:headerReference r:id="rId170" w:type="default"/>
          <w:footerReference r:id="rId171" w:type="default"/>
          <w:pgSz w:w="11906" w:h="16839"/>
          <w:pgMar w:top="400" w:right="0" w:bottom="1147" w:left="105" w:header="0" w:footer="987" w:gutter="0"/>
          <w:cols w:space="720" w:num="1"/>
        </w:sectPr>
      </w:pPr>
    </w:p>
    <w:p w14:paraId="0E0C487E">
      <w:pPr>
        <w:pStyle w:val="8"/>
        <w:spacing w:line="275" w:lineRule="auto"/>
        <w:rPr>
          <w:lang w:eastAsia="zh-CN"/>
        </w:rPr>
      </w:pPr>
    </w:p>
    <w:p w14:paraId="1872E424">
      <w:pPr>
        <w:pStyle w:val="8"/>
        <w:spacing w:line="276" w:lineRule="auto"/>
        <w:rPr>
          <w:lang w:eastAsia="zh-CN"/>
        </w:rPr>
      </w:pPr>
    </w:p>
    <w:p w14:paraId="0D7227DC">
      <w:pPr>
        <w:pStyle w:val="8"/>
        <w:spacing w:line="276" w:lineRule="auto"/>
        <w:rPr>
          <w:lang w:eastAsia="zh-CN"/>
        </w:rPr>
      </w:pPr>
    </w:p>
    <w:p w14:paraId="1739402A">
      <w:pPr>
        <w:pStyle w:val="8"/>
        <w:spacing w:line="276" w:lineRule="auto"/>
        <w:rPr>
          <w:lang w:eastAsia="zh-CN"/>
        </w:rPr>
      </w:pPr>
    </w:p>
    <w:p w14:paraId="4C2AC006">
      <w:pPr>
        <w:pStyle w:val="8"/>
        <w:spacing w:line="276" w:lineRule="auto"/>
        <w:rPr>
          <w:lang w:eastAsia="zh-CN"/>
        </w:rPr>
      </w:pPr>
    </w:p>
    <w:p w14:paraId="204DDBC3">
      <w:pPr>
        <w:spacing w:before="78" w:line="222" w:lineRule="auto"/>
        <w:ind w:left="4438"/>
        <w:rPr>
          <w:rFonts w:ascii="黑体" w:hAnsi="黑体" w:eastAsia="黑体" w:cs="黑体"/>
          <w:color w:val="auto"/>
          <w:sz w:val="24"/>
          <w:szCs w:val="24"/>
        </w:rPr>
      </w:pPr>
      <w:bookmarkStart w:id="464" w:name="bookmark200"/>
      <w:bookmarkEnd w:id="464"/>
      <w:r>
        <w:rPr>
          <w:rFonts w:ascii="Times New Roman" w:hAnsi="Times New Roman" w:eastAsia="Times New Roman" w:cs="Times New Roman"/>
          <w:color w:val="auto"/>
          <w:spacing w:val="-1"/>
          <w:sz w:val="24"/>
          <w:szCs w:val="24"/>
        </w:rPr>
        <w:t xml:space="preserve">5-3  </w:t>
      </w:r>
      <w:r>
        <w:rPr>
          <w:rFonts w:ascii="黑体" w:hAnsi="黑体" w:eastAsia="黑体" w:cs="黑体"/>
          <w:color w:val="auto"/>
          <w:spacing w:val="-1"/>
          <w:sz w:val="24"/>
          <w:szCs w:val="24"/>
        </w:rPr>
        <w:t>近年投标人获奖情况表</w:t>
      </w:r>
    </w:p>
    <w:p w14:paraId="3FFEACED">
      <w:pPr>
        <w:spacing w:before="67"/>
        <w:rPr>
          <w:color w:val="auto"/>
        </w:rPr>
      </w:pPr>
    </w:p>
    <w:tbl>
      <w:tblPr>
        <w:tblStyle w:val="20"/>
        <w:tblW w:w="8568"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0"/>
        <w:gridCol w:w="2399"/>
        <w:gridCol w:w="1798"/>
        <w:gridCol w:w="1438"/>
        <w:gridCol w:w="2163"/>
      </w:tblGrid>
      <w:tr w14:paraId="4128F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770" w:type="dxa"/>
          </w:tcPr>
          <w:p w14:paraId="703DBF9E">
            <w:pPr>
              <w:pStyle w:val="21"/>
              <w:spacing w:before="160" w:line="222" w:lineRule="auto"/>
              <w:ind w:left="175"/>
              <w:rPr>
                <w:color w:val="auto"/>
              </w:rPr>
            </w:pPr>
            <w:r>
              <w:rPr>
                <w:color w:val="auto"/>
                <w:spacing w:val="-2"/>
              </w:rPr>
              <w:t>序号</w:t>
            </w:r>
          </w:p>
        </w:tc>
        <w:tc>
          <w:tcPr>
            <w:tcW w:w="2399" w:type="dxa"/>
          </w:tcPr>
          <w:p w14:paraId="3E2C0FCB">
            <w:pPr>
              <w:pStyle w:val="21"/>
              <w:spacing w:before="160" w:line="221" w:lineRule="auto"/>
              <w:ind w:left="783"/>
              <w:rPr>
                <w:color w:val="auto"/>
              </w:rPr>
            </w:pPr>
            <w:r>
              <w:rPr>
                <w:color w:val="auto"/>
                <w:spacing w:val="-3"/>
              </w:rPr>
              <w:t>项目名称</w:t>
            </w:r>
          </w:p>
        </w:tc>
        <w:tc>
          <w:tcPr>
            <w:tcW w:w="1798" w:type="dxa"/>
          </w:tcPr>
          <w:p w14:paraId="2D0650F8">
            <w:pPr>
              <w:pStyle w:val="21"/>
              <w:spacing w:before="160" w:line="220" w:lineRule="auto"/>
              <w:ind w:left="485"/>
              <w:rPr>
                <w:color w:val="auto"/>
              </w:rPr>
            </w:pPr>
            <w:r>
              <w:rPr>
                <w:color w:val="auto"/>
                <w:spacing w:val="-3"/>
              </w:rPr>
              <w:t>获奖名称</w:t>
            </w:r>
          </w:p>
        </w:tc>
        <w:tc>
          <w:tcPr>
            <w:tcW w:w="1438" w:type="dxa"/>
          </w:tcPr>
          <w:p w14:paraId="5B8C47EF">
            <w:pPr>
              <w:pStyle w:val="21"/>
              <w:spacing w:before="160" w:line="220" w:lineRule="auto"/>
              <w:ind w:left="307"/>
              <w:rPr>
                <w:color w:val="auto"/>
              </w:rPr>
            </w:pPr>
            <w:r>
              <w:rPr>
                <w:color w:val="auto"/>
                <w:spacing w:val="-3"/>
              </w:rPr>
              <w:t>获奖日期</w:t>
            </w:r>
          </w:p>
        </w:tc>
        <w:tc>
          <w:tcPr>
            <w:tcW w:w="2163" w:type="dxa"/>
          </w:tcPr>
          <w:p w14:paraId="082AF00B">
            <w:pPr>
              <w:pStyle w:val="21"/>
              <w:spacing w:before="160" w:line="221" w:lineRule="auto"/>
              <w:ind w:left="666"/>
              <w:rPr>
                <w:color w:val="auto"/>
              </w:rPr>
            </w:pPr>
            <w:r>
              <w:rPr>
                <w:color w:val="auto"/>
                <w:spacing w:val="-2"/>
              </w:rPr>
              <w:t>颁奖单位</w:t>
            </w:r>
          </w:p>
        </w:tc>
      </w:tr>
      <w:tr w14:paraId="161E6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5B691080">
            <w:pPr>
              <w:rPr>
                <w:color w:val="auto"/>
              </w:rPr>
            </w:pPr>
          </w:p>
        </w:tc>
        <w:tc>
          <w:tcPr>
            <w:tcW w:w="2399" w:type="dxa"/>
          </w:tcPr>
          <w:p w14:paraId="0A639096">
            <w:pPr>
              <w:rPr>
                <w:color w:val="auto"/>
              </w:rPr>
            </w:pPr>
          </w:p>
        </w:tc>
        <w:tc>
          <w:tcPr>
            <w:tcW w:w="1798" w:type="dxa"/>
          </w:tcPr>
          <w:p w14:paraId="63189DB4">
            <w:pPr>
              <w:rPr>
                <w:color w:val="auto"/>
              </w:rPr>
            </w:pPr>
          </w:p>
        </w:tc>
        <w:tc>
          <w:tcPr>
            <w:tcW w:w="1438" w:type="dxa"/>
          </w:tcPr>
          <w:p w14:paraId="0A9D5C84">
            <w:pPr>
              <w:rPr>
                <w:color w:val="auto"/>
              </w:rPr>
            </w:pPr>
          </w:p>
        </w:tc>
        <w:tc>
          <w:tcPr>
            <w:tcW w:w="2163" w:type="dxa"/>
          </w:tcPr>
          <w:p w14:paraId="0936D38F">
            <w:pPr>
              <w:rPr>
                <w:color w:val="auto"/>
              </w:rPr>
            </w:pPr>
          </w:p>
        </w:tc>
      </w:tr>
      <w:tr w14:paraId="03A10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477F908C">
            <w:pPr>
              <w:rPr>
                <w:color w:val="auto"/>
              </w:rPr>
            </w:pPr>
          </w:p>
        </w:tc>
        <w:tc>
          <w:tcPr>
            <w:tcW w:w="2399" w:type="dxa"/>
          </w:tcPr>
          <w:p w14:paraId="659AAD7E">
            <w:pPr>
              <w:rPr>
                <w:color w:val="auto"/>
              </w:rPr>
            </w:pPr>
          </w:p>
        </w:tc>
        <w:tc>
          <w:tcPr>
            <w:tcW w:w="1798" w:type="dxa"/>
          </w:tcPr>
          <w:p w14:paraId="7605CB4B">
            <w:pPr>
              <w:rPr>
                <w:color w:val="auto"/>
              </w:rPr>
            </w:pPr>
          </w:p>
        </w:tc>
        <w:tc>
          <w:tcPr>
            <w:tcW w:w="1438" w:type="dxa"/>
          </w:tcPr>
          <w:p w14:paraId="0FC6AA64">
            <w:pPr>
              <w:rPr>
                <w:color w:val="auto"/>
              </w:rPr>
            </w:pPr>
          </w:p>
        </w:tc>
        <w:tc>
          <w:tcPr>
            <w:tcW w:w="2163" w:type="dxa"/>
          </w:tcPr>
          <w:p w14:paraId="323A68FF">
            <w:pPr>
              <w:rPr>
                <w:color w:val="auto"/>
              </w:rPr>
            </w:pPr>
          </w:p>
        </w:tc>
      </w:tr>
      <w:tr w14:paraId="6275F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06AC548F">
            <w:pPr>
              <w:rPr>
                <w:color w:val="auto"/>
              </w:rPr>
            </w:pPr>
          </w:p>
        </w:tc>
        <w:tc>
          <w:tcPr>
            <w:tcW w:w="2399" w:type="dxa"/>
          </w:tcPr>
          <w:p w14:paraId="723C6C10">
            <w:pPr>
              <w:rPr>
                <w:color w:val="auto"/>
              </w:rPr>
            </w:pPr>
          </w:p>
        </w:tc>
        <w:tc>
          <w:tcPr>
            <w:tcW w:w="1798" w:type="dxa"/>
          </w:tcPr>
          <w:p w14:paraId="7589E5C2">
            <w:pPr>
              <w:rPr>
                <w:color w:val="auto"/>
              </w:rPr>
            </w:pPr>
          </w:p>
        </w:tc>
        <w:tc>
          <w:tcPr>
            <w:tcW w:w="1438" w:type="dxa"/>
          </w:tcPr>
          <w:p w14:paraId="1203E6EA">
            <w:pPr>
              <w:rPr>
                <w:color w:val="auto"/>
              </w:rPr>
            </w:pPr>
          </w:p>
        </w:tc>
        <w:tc>
          <w:tcPr>
            <w:tcW w:w="2163" w:type="dxa"/>
          </w:tcPr>
          <w:p w14:paraId="4E2D18A9">
            <w:pPr>
              <w:rPr>
                <w:color w:val="auto"/>
              </w:rPr>
            </w:pPr>
          </w:p>
        </w:tc>
      </w:tr>
      <w:tr w14:paraId="671C9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70" w:type="dxa"/>
          </w:tcPr>
          <w:p w14:paraId="44A46FF0">
            <w:pPr>
              <w:rPr>
                <w:color w:val="auto"/>
              </w:rPr>
            </w:pPr>
          </w:p>
        </w:tc>
        <w:tc>
          <w:tcPr>
            <w:tcW w:w="2399" w:type="dxa"/>
          </w:tcPr>
          <w:p w14:paraId="658642C7">
            <w:pPr>
              <w:rPr>
                <w:color w:val="auto"/>
              </w:rPr>
            </w:pPr>
          </w:p>
        </w:tc>
        <w:tc>
          <w:tcPr>
            <w:tcW w:w="1798" w:type="dxa"/>
          </w:tcPr>
          <w:p w14:paraId="42697C1D">
            <w:pPr>
              <w:rPr>
                <w:color w:val="auto"/>
              </w:rPr>
            </w:pPr>
          </w:p>
        </w:tc>
        <w:tc>
          <w:tcPr>
            <w:tcW w:w="1438" w:type="dxa"/>
          </w:tcPr>
          <w:p w14:paraId="459D4083">
            <w:pPr>
              <w:rPr>
                <w:color w:val="auto"/>
              </w:rPr>
            </w:pPr>
          </w:p>
        </w:tc>
        <w:tc>
          <w:tcPr>
            <w:tcW w:w="2163" w:type="dxa"/>
          </w:tcPr>
          <w:p w14:paraId="42AAB891">
            <w:pPr>
              <w:rPr>
                <w:color w:val="auto"/>
              </w:rPr>
            </w:pPr>
          </w:p>
        </w:tc>
      </w:tr>
      <w:tr w14:paraId="0BAA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2F8D753B">
            <w:pPr>
              <w:rPr>
                <w:color w:val="auto"/>
              </w:rPr>
            </w:pPr>
          </w:p>
        </w:tc>
        <w:tc>
          <w:tcPr>
            <w:tcW w:w="2399" w:type="dxa"/>
          </w:tcPr>
          <w:p w14:paraId="43D049DE">
            <w:pPr>
              <w:rPr>
                <w:color w:val="auto"/>
              </w:rPr>
            </w:pPr>
          </w:p>
        </w:tc>
        <w:tc>
          <w:tcPr>
            <w:tcW w:w="1798" w:type="dxa"/>
          </w:tcPr>
          <w:p w14:paraId="6D8AB4C3">
            <w:pPr>
              <w:rPr>
                <w:color w:val="auto"/>
              </w:rPr>
            </w:pPr>
          </w:p>
        </w:tc>
        <w:tc>
          <w:tcPr>
            <w:tcW w:w="1438" w:type="dxa"/>
          </w:tcPr>
          <w:p w14:paraId="7EF64336">
            <w:pPr>
              <w:rPr>
                <w:color w:val="auto"/>
              </w:rPr>
            </w:pPr>
          </w:p>
        </w:tc>
        <w:tc>
          <w:tcPr>
            <w:tcW w:w="2163" w:type="dxa"/>
          </w:tcPr>
          <w:p w14:paraId="5C68D090">
            <w:pPr>
              <w:rPr>
                <w:color w:val="auto"/>
              </w:rPr>
            </w:pPr>
          </w:p>
        </w:tc>
      </w:tr>
      <w:tr w14:paraId="158D9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7B451F59">
            <w:pPr>
              <w:rPr>
                <w:color w:val="auto"/>
              </w:rPr>
            </w:pPr>
          </w:p>
        </w:tc>
        <w:tc>
          <w:tcPr>
            <w:tcW w:w="2399" w:type="dxa"/>
          </w:tcPr>
          <w:p w14:paraId="71D96D46">
            <w:pPr>
              <w:rPr>
                <w:color w:val="auto"/>
              </w:rPr>
            </w:pPr>
          </w:p>
        </w:tc>
        <w:tc>
          <w:tcPr>
            <w:tcW w:w="1798" w:type="dxa"/>
          </w:tcPr>
          <w:p w14:paraId="63EFBC98">
            <w:pPr>
              <w:rPr>
                <w:color w:val="auto"/>
              </w:rPr>
            </w:pPr>
          </w:p>
        </w:tc>
        <w:tc>
          <w:tcPr>
            <w:tcW w:w="1438" w:type="dxa"/>
          </w:tcPr>
          <w:p w14:paraId="3BEE7959">
            <w:pPr>
              <w:rPr>
                <w:color w:val="auto"/>
              </w:rPr>
            </w:pPr>
          </w:p>
        </w:tc>
        <w:tc>
          <w:tcPr>
            <w:tcW w:w="2163" w:type="dxa"/>
          </w:tcPr>
          <w:p w14:paraId="1BEB55A9">
            <w:pPr>
              <w:rPr>
                <w:color w:val="auto"/>
              </w:rPr>
            </w:pPr>
          </w:p>
        </w:tc>
      </w:tr>
      <w:tr w14:paraId="2AB48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05A38B3D">
            <w:pPr>
              <w:rPr>
                <w:color w:val="auto"/>
              </w:rPr>
            </w:pPr>
          </w:p>
        </w:tc>
        <w:tc>
          <w:tcPr>
            <w:tcW w:w="2399" w:type="dxa"/>
          </w:tcPr>
          <w:p w14:paraId="5FA809E0">
            <w:pPr>
              <w:rPr>
                <w:color w:val="auto"/>
              </w:rPr>
            </w:pPr>
          </w:p>
        </w:tc>
        <w:tc>
          <w:tcPr>
            <w:tcW w:w="1798" w:type="dxa"/>
          </w:tcPr>
          <w:p w14:paraId="78665956">
            <w:pPr>
              <w:rPr>
                <w:color w:val="auto"/>
              </w:rPr>
            </w:pPr>
          </w:p>
        </w:tc>
        <w:tc>
          <w:tcPr>
            <w:tcW w:w="1438" w:type="dxa"/>
          </w:tcPr>
          <w:p w14:paraId="35851FAA">
            <w:pPr>
              <w:rPr>
                <w:color w:val="auto"/>
              </w:rPr>
            </w:pPr>
          </w:p>
        </w:tc>
        <w:tc>
          <w:tcPr>
            <w:tcW w:w="2163" w:type="dxa"/>
          </w:tcPr>
          <w:p w14:paraId="51F99AC7">
            <w:pPr>
              <w:rPr>
                <w:color w:val="auto"/>
              </w:rPr>
            </w:pPr>
          </w:p>
        </w:tc>
      </w:tr>
      <w:tr w14:paraId="3D55B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709A3930">
            <w:pPr>
              <w:rPr>
                <w:color w:val="auto"/>
              </w:rPr>
            </w:pPr>
          </w:p>
        </w:tc>
        <w:tc>
          <w:tcPr>
            <w:tcW w:w="2399" w:type="dxa"/>
          </w:tcPr>
          <w:p w14:paraId="1B3432B2">
            <w:pPr>
              <w:rPr>
                <w:color w:val="auto"/>
              </w:rPr>
            </w:pPr>
          </w:p>
        </w:tc>
        <w:tc>
          <w:tcPr>
            <w:tcW w:w="1798" w:type="dxa"/>
          </w:tcPr>
          <w:p w14:paraId="7592EBC9">
            <w:pPr>
              <w:rPr>
                <w:color w:val="auto"/>
              </w:rPr>
            </w:pPr>
          </w:p>
        </w:tc>
        <w:tc>
          <w:tcPr>
            <w:tcW w:w="1438" w:type="dxa"/>
          </w:tcPr>
          <w:p w14:paraId="5778E348">
            <w:pPr>
              <w:rPr>
                <w:color w:val="auto"/>
              </w:rPr>
            </w:pPr>
          </w:p>
        </w:tc>
        <w:tc>
          <w:tcPr>
            <w:tcW w:w="2163" w:type="dxa"/>
          </w:tcPr>
          <w:p w14:paraId="145DEE0C">
            <w:pPr>
              <w:rPr>
                <w:color w:val="auto"/>
              </w:rPr>
            </w:pPr>
          </w:p>
        </w:tc>
      </w:tr>
      <w:tr w14:paraId="71E76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03AB96AC">
            <w:pPr>
              <w:rPr>
                <w:color w:val="auto"/>
              </w:rPr>
            </w:pPr>
          </w:p>
        </w:tc>
        <w:tc>
          <w:tcPr>
            <w:tcW w:w="2399" w:type="dxa"/>
          </w:tcPr>
          <w:p w14:paraId="541A6BEC">
            <w:pPr>
              <w:rPr>
                <w:color w:val="auto"/>
              </w:rPr>
            </w:pPr>
          </w:p>
        </w:tc>
        <w:tc>
          <w:tcPr>
            <w:tcW w:w="1798" w:type="dxa"/>
          </w:tcPr>
          <w:p w14:paraId="24F6255A">
            <w:pPr>
              <w:rPr>
                <w:color w:val="auto"/>
              </w:rPr>
            </w:pPr>
          </w:p>
        </w:tc>
        <w:tc>
          <w:tcPr>
            <w:tcW w:w="1438" w:type="dxa"/>
          </w:tcPr>
          <w:p w14:paraId="156BAB9F">
            <w:pPr>
              <w:rPr>
                <w:color w:val="auto"/>
              </w:rPr>
            </w:pPr>
          </w:p>
        </w:tc>
        <w:tc>
          <w:tcPr>
            <w:tcW w:w="2163" w:type="dxa"/>
          </w:tcPr>
          <w:p w14:paraId="09360E29">
            <w:pPr>
              <w:rPr>
                <w:color w:val="auto"/>
              </w:rPr>
            </w:pPr>
          </w:p>
        </w:tc>
      </w:tr>
      <w:tr w14:paraId="5945A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2C7C62C0">
            <w:pPr>
              <w:rPr>
                <w:color w:val="auto"/>
              </w:rPr>
            </w:pPr>
          </w:p>
        </w:tc>
        <w:tc>
          <w:tcPr>
            <w:tcW w:w="2399" w:type="dxa"/>
          </w:tcPr>
          <w:p w14:paraId="61926AB2">
            <w:pPr>
              <w:rPr>
                <w:color w:val="auto"/>
              </w:rPr>
            </w:pPr>
          </w:p>
        </w:tc>
        <w:tc>
          <w:tcPr>
            <w:tcW w:w="1798" w:type="dxa"/>
          </w:tcPr>
          <w:p w14:paraId="32DC9E47">
            <w:pPr>
              <w:rPr>
                <w:color w:val="auto"/>
              </w:rPr>
            </w:pPr>
          </w:p>
        </w:tc>
        <w:tc>
          <w:tcPr>
            <w:tcW w:w="1438" w:type="dxa"/>
          </w:tcPr>
          <w:p w14:paraId="148C9B61">
            <w:pPr>
              <w:rPr>
                <w:color w:val="auto"/>
              </w:rPr>
            </w:pPr>
          </w:p>
        </w:tc>
        <w:tc>
          <w:tcPr>
            <w:tcW w:w="2163" w:type="dxa"/>
          </w:tcPr>
          <w:p w14:paraId="4419C865">
            <w:pPr>
              <w:rPr>
                <w:color w:val="auto"/>
              </w:rPr>
            </w:pPr>
          </w:p>
        </w:tc>
      </w:tr>
      <w:tr w14:paraId="5D2D4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70" w:type="dxa"/>
          </w:tcPr>
          <w:p w14:paraId="7AABB130">
            <w:pPr>
              <w:rPr>
                <w:color w:val="auto"/>
              </w:rPr>
            </w:pPr>
          </w:p>
        </w:tc>
        <w:tc>
          <w:tcPr>
            <w:tcW w:w="2399" w:type="dxa"/>
          </w:tcPr>
          <w:p w14:paraId="5326B772">
            <w:pPr>
              <w:rPr>
                <w:color w:val="auto"/>
              </w:rPr>
            </w:pPr>
          </w:p>
        </w:tc>
        <w:tc>
          <w:tcPr>
            <w:tcW w:w="1798" w:type="dxa"/>
          </w:tcPr>
          <w:p w14:paraId="760B1768">
            <w:pPr>
              <w:rPr>
                <w:color w:val="auto"/>
              </w:rPr>
            </w:pPr>
          </w:p>
        </w:tc>
        <w:tc>
          <w:tcPr>
            <w:tcW w:w="1438" w:type="dxa"/>
          </w:tcPr>
          <w:p w14:paraId="39A78027">
            <w:pPr>
              <w:rPr>
                <w:color w:val="auto"/>
              </w:rPr>
            </w:pPr>
          </w:p>
        </w:tc>
        <w:tc>
          <w:tcPr>
            <w:tcW w:w="2163" w:type="dxa"/>
          </w:tcPr>
          <w:p w14:paraId="3A1794E7">
            <w:pPr>
              <w:rPr>
                <w:color w:val="auto"/>
              </w:rPr>
            </w:pPr>
          </w:p>
        </w:tc>
      </w:tr>
      <w:tr w14:paraId="6DFB4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2A95C397">
            <w:pPr>
              <w:rPr>
                <w:color w:val="auto"/>
              </w:rPr>
            </w:pPr>
          </w:p>
        </w:tc>
        <w:tc>
          <w:tcPr>
            <w:tcW w:w="2399" w:type="dxa"/>
          </w:tcPr>
          <w:p w14:paraId="264F26D1">
            <w:pPr>
              <w:rPr>
                <w:color w:val="auto"/>
              </w:rPr>
            </w:pPr>
          </w:p>
        </w:tc>
        <w:tc>
          <w:tcPr>
            <w:tcW w:w="1798" w:type="dxa"/>
          </w:tcPr>
          <w:p w14:paraId="10105586">
            <w:pPr>
              <w:rPr>
                <w:color w:val="auto"/>
              </w:rPr>
            </w:pPr>
          </w:p>
        </w:tc>
        <w:tc>
          <w:tcPr>
            <w:tcW w:w="1438" w:type="dxa"/>
          </w:tcPr>
          <w:p w14:paraId="7FB2F246">
            <w:pPr>
              <w:rPr>
                <w:color w:val="auto"/>
              </w:rPr>
            </w:pPr>
          </w:p>
        </w:tc>
        <w:tc>
          <w:tcPr>
            <w:tcW w:w="2163" w:type="dxa"/>
          </w:tcPr>
          <w:p w14:paraId="6E0A2D28">
            <w:pPr>
              <w:rPr>
                <w:color w:val="auto"/>
              </w:rPr>
            </w:pPr>
          </w:p>
        </w:tc>
      </w:tr>
      <w:tr w14:paraId="3FAB3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770" w:type="dxa"/>
          </w:tcPr>
          <w:p w14:paraId="7E86B796">
            <w:pPr>
              <w:rPr>
                <w:color w:val="auto"/>
              </w:rPr>
            </w:pPr>
          </w:p>
        </w:tc>
        <w:tc>
          <w:tcPr>
            <w:tcW w:w="2399" w:type="dxa"/>
          </w:tcPr>
          <w:p w14:paraId="070B223D">
            <w:pPr>
              <w:rPr>
                <w:color w:val="auto"/>
              </w:rPr>
            </w:pPr>
          </w:p>
        </w:tc>
        <w:tc>
          <w:tcPr>
            <w:tcW w:w="1798" w:type="dxa"/>
          </w:tcPr>
          <w:p w14:paraId="1396B491">
            <w:pPr>
              <w:rPr>
                <w:color w:val="auto"/>
              </w:rPr>
            </w:pPr>
          </w:p>
        </w:tc>
        <w:tc>
          <w:tcPr>
            <w:tcW w:w="1438" w:type="dxa"/>
          </w:tcPr>
          <w:p w14:paraId="432EE546">
            <w:pPr>
              <w:rPr>
                <w:color w:val="auto"/>
              </w:rPr>
            </w:pPr>
          </w:p>
        </w:tc>
        <w:tc>
          <w:tcPr>
            <w:tcW w:w="2163" w:type="dxa"/>
          </w:tcPr>
          <w:p w14:paraId="5669AB2B">
            <w:pPr>
              <w:rPr>
                <w:color w:val="auto"/>
              </w:rPr>
            </w:pPr>
          </w:p>
        </w:tc>
      </w:tr>
    </w:tbl>
    <w:p w14:paraId="504EF945">
      <w:pPr>
        <w:spacing w:before="159" w:line="352" w:lineRule="auto"/>
        <w:ind w:left="2551" w:right="1799" w:hanging="847"/>
        <w:rPr>
          <w:rFonts w:ascii="宋体" w:hAnsi="宋体" w:eastAsia="宋体" w:cs="宋体"/>
          <w:color w:val="auto"/>
          <w:lang w:eastAsia="zh-CN"/>
        </w:rPr>
      </w:pPr>
      <w:r>
        <w:rPr>
          <w:rFonts w:ascii="宋体" w:hAnsi="宋体" w:eastAsia="宋体" w:cs="宋体"/>
          <w:color w:val="auto"/>
          <w:spacing w:val="-1"/>
          <w:lang w:eastAsia="zh-CN"/>
        </w:rPr>
        <w:t>备注：</w:t>
      </w:r>
      <w:r>
        <w:rPr>
          <w:rFonts w:ascii="Times New Roman" w:hAnsi="Times New Roman" w:eastAsia="Times New Roman" w:cs="Times New Roman"/>
          <w:color w:val="auto"/>
          <w:spacing w:val="-1"/>
          <w:lang w:eastAsia="zh-CN"/>
        </w:rPr>
        <w:t>1.</w:t>
      </w:r>
      <w:r>
        <w:rPr>
          <w:rFonts w:ascii="宋体" w:hAnsi="宋体" w:eastAsia="宋体" w:cs="宋体"/>
          <w:color w:val="auto"/>
          <w:spacing w:val="-1"/>
          <w:lang w:eastAsia="zh-CN"/>
        </w:rPr>
        <w:t>本表后应附表彰文件、获奖证书及其他证明材料等。</w:t>
      </w:r>
      <w:r>
        <w:rPr>
          <w:rFonts w:ascii="宋体" w:hAnsi="宋体" w:eastAsia="宋体" w:cs="宋体"/>
          <w:color w:val="auto"/>
          <w:spacing w:val="-2"/>
          <w:lang w:eastAsia="zh-CN"/>
        </w:rPr>
        <w:t>以表彰文件、获奖证书的颁发</w:t>
      </w:r>
      <w:r>
        <w:rPr>
          <w:rFonts w:ascii="宋体" w:hAnsi="宋体" w:eastAsia="宋体" w:cs="宋体"/>
          <w:color w:val="auto"/>
          <w:spacing w:val="-8"/>
          <w:lang w:eastAsia="zh-CN"/>
        </w:rPr>
        <w:t>时间为准。</w:t>
      </w:r>
    </w:p>
    <w:p w14:paraId="2EA64935">
      <w:pPr>
        <w:spacing w:line="219" w:lineRule="auto"/>
        <w:ind w:left="2328"/>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  </w:t>
      </w:r>
      <w:r>
        <w:rPr>
          <w:rFonts w:ascii="宋体" w:hAnsi="宋体" w:eastAsia="宋体" w:cs="宋体"/>
          <w:color w:val="auto"/>
          <w:spacing w:val="-1"/>
          <w:lang w:eastAsia="zh-CN"/>
        </w:rPr>
        <w:t>颁奖单位应当是国家机关或民政部门注册登记的合法颁奖单</w:t>
      </w:r>
      <w:r>
        <w:rPr>
          <w:rFonts w:ascii="宋体" w:hAnsi="宋体" w:eastAsia="宋体" w:cs="宋体"/>
          <w:color w:val="auto"/>
          <w:spacing w:val="-2"/>
          <w:lang w:eastAsia="zh-CN"/>
        </w:rPr>
        <w:t>位。</w:t>
      </w:r>
    </w:p>
    <w:p w14:paraId="1F1940A6">
      <w:pPr>
        <w:spacing w:line="219" w:lineRule="auto"/>
        <w:rPr>
          <w:rFonts w:ascii="宋体" w:hAnsi="宋体" w:eastAsia="宋体" w:cs="宋体"/>
          <w:color w:val="auto"/>
          <w:lang w:eastAsia="zh-CN"/>
        </w:rPr>
        <w:sectPr>
          <w:headerReference r:id="rId172" w:type="default"/>
          <w:footerReference r:id="rId173" w:type="default"/>
          <w:pgSz w:w="11906" w:h="16839"/>
          <w:pgMar w:top="400" w:right="0" w:bottom="1147" w:left="105" w:header="0" w:footer="987" w:gutter="0"/>
          <w:cols w:space="720" w:num="1"/>
        </w:sectPr>
      </w:pPr>
    </w:p>
    <w:p w14:paraId="08AACBD0">
      <w:pPr>
        <w:pStyle w:val="8"/>
        <w:spacing w:line="275" w:lineRule="auto"/>
        <w:rPr>
          <w:lang w:eastAsia="zh-CN"/>
        </w:rPr>
      </w:pPr>
    </w:p>
    <w:p w14:paraId="1855858C">
      <w:pPr>
        <w:pStyle w:val="8"/>
        <w:spacing w:line="276" w:lineRule="auto"/>
        <w:rPr>
          <w:lang w:eastAsia="zh-CN"/>
        </w:rPr>
      </w:pPr>
    </w:p>
    <w:p w14:paraId="3EAC4C90">
      <w:pPr>
        <w:pStyle w:val="8"/>
        <w:spacing w:line="276" w:lineRule="auto"/>
        <w:rPr>
          <w:lang w:eastAsia="zh-CN"/>
        </w:rPr>
      </w:pPr>
    </w:p>
    <w:p w14:paraId="561BE7FD">
      <w:pPr>
        <w:pStyle w:val="8"/>
        <w:spacing w:line="276" w:lineRule="auto"/>
        <w:rPr>
          <w:lang w:eastAsia="zh-CN"/>
        </w:rPr>
      </w:pPr>
    </w:p>
    <w:p w14:paraId="50B61B28">
      <w:pPr>
        <w:pStyle w:val="8"/>
        <w:spacing w:line="276" w:lineRule="auto"/>
        <w:rPr>
          <w:lang w:eastAsia="zh-CN"/>
        </w:rPr>
      </w:pPr>
    </w:p>
    <w:p w14:paraId="78B3550D">
      <w:pPr>
        <w:spacing w:before="78" w:line="221" w:lineRule="auto"/>
        <w:ind w:left="4198"/>
        <w:rPr>
          <w:rFonts w:ascii="黑体" w:hAnsi="黑体" w:eastAsia="黑体" w:cs="黑体"/>
          <w:color w:val="auto"/>
          <w:sz w:val="24"/>
          <w:szCs w:val="24"/>
          <w:lang w:eastAsia="zh-CN"/>
        </w:rPr>
      </w:pPr>
      <w:bookmarkStart w:id="465" w:name="bookmark201"/>
      <w:bookmarkEnd w:id="465"/>
      <w:r>
        <w:rPr>
          <w:rFonts w:ascii="Times New Roman" w:hAnsi="Times New Roman" w:eastAsia="Times New Roman" w:cs="Times New Roman"/>
          <w:color w:val="auto"/>
          <w:spacing w:val="-1"/>
          <w:sz w:val="24"/>
          <w:szCs w:val="24"/>
          <w:lang w:eastAsia="zh-CN"/>
        </w:rPr>
        <w:t xml:space="preserve">5-4  </w:t>
      </w:r>
      <w:r>
        <w:rPr>
          <w:rFonts w:ascii="黑体" w:hAnsi="黑体" w:eastAsia="黑体" w:cs="黑体"/>
          <w:color w:val="auto"/>
          <w:spacing w:val="-1"/>
          <w:sz w:val="24"/>
          <w:szCs w:val="24"/>
          <w:lang w:eastAsia="zh-CN"/>
        </w:rPr>
        <w:t>近年项目负责人获奖情况表</w:t>
      </w:r>
    </w:p>
    <w:p w14:paraId="47E2FADD">
      <w:pPr>
        <w:spacing w:before="69"/>
        <w:rPr>
          <w:color w:val="auto"/>
          <w:lang w:eastAsia="zh-CN"/>
        </w:rPr>
      </w:pPr>
    </w:p>
    <w:tbl>
      <w:tblPr>
        <w:tblStyle w:val="20"/>
        <w:tblW w:w="8567" w:type="dxa"/>
        <w:tblInd w:w="15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0"/>
        <w:gridCol w:w="2399"/>
        <w:gridCol w:w="1798"/>
        <w:gridCol w:w="1438"/>
        <w:gridCol w:w="2162"/>
      </w:tblGrid>
      <w:tr w14:paraId="23CBA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770" w:type="dxa"/>
          </w:tcPr>
          <w:p w14:paraId="563CF16E">
            <w:pPr>
              <w:pStyle w:val="21"/>
              <w:spacing w:before="160" w:line="222" w:lineRule="auto"/>
              <w:ind w:left="175"/>
              <w:rPr>
                <w:color w:val="auto"/>
              </w:rPr>
            </w:pPr>
            <w:r>
              <w:rPr>
                <w:color w:val="auto"/>
                <w:spacing w:val="-2"/>
              </w:rPr>
              <w:t>序号</w:t>
            </w:r>
          </w:p>
        </w:tc>
        <w:tc>
          <w:tcPr>
            <w:tcW w:w="2399" w:type="dxa"/>
          </w:tcPr>
          <w:p w14:paraId="2DCB1388">
            <w:pPr>
              <w:pStyle w:val="21"/>
              <w:spacing w:before="160" w:line="221" w:lineRule="auto"/>
              <w:ind w:left="783"/>
              <w:rPr>
                <w:color w:val="auto"/>
              </w:rPr>
            </w:pPr>
            <w:r>
              <w:rPr>
                <w:color w:val="auto"/>
                <w:spacing w:val="-3"/>
              </w:rPr>
              <w:t>项目名称</w:t>
            </w:r>
          </w:p>
        </w:tc>
        <w:tc>
          <w:tcPr>
            <w:tcW w:w="1798" w:type="dxa"/>
          </w:tcPr>
          <w:p w14:paraId="28F70CF1">
            <w:pPr>
              <w:pStyle w:val="21"/>
              <w:spacing w:before="160" w:line="220" w:lineRule="auto"/>
              <w:ind w:left="485"/>
              <w:rPr>
                <w:color w:val="auto"/>
              </w:rPr>
            </w:pPr>
            <w:r>
              <w:rPr>
                <w:color w:val="auto"/>
                <w:spacing w:val="-3"/>
              </w:rPr>
              <w:t>获奖名称</w:t>
            </w:r>
          </w:p>
        </w:tc>
        <w:tc>
          <w:tcPr>
            <w:tcW w:w="1438" w:type="dxa"/>
          </w:tcPr>
          <w:p w14:paraId="17F45FCC">
            <w:pPr>
              <w:pStyle w:val="21"/>
              <w:spacing w:before="160" w:line="220" w:lineRule="auto"/>
              <w:ind w:left="307"/>
              <w:rPr>
                <w:color w:val="auto"/>
              </w:rPr>
            </w:pPr>
            <w:r>
              <w:rPr>
                <w:color w:val="auto"/>
                <w:spacing w:val="-3"/>
              </w:rPr>
              <w:t>获奖日期</w:t>
            </w:r>
          </w:p>
        </w:tc>
        <w:tc>
          <w:tcPr>
            <w:tcW w:w="2162" w:type="dxa"/>
          </w:tcPr>
          <w:p w14:paraId="4ABA8DD0">
            <w:pPr>
              <w:pStyle w:val="21"/>
              <w:spacing w:before="160" w:line="221" w:lineRule="auto"/>
              <w:ind w:left="666"/>
              <w:rPr>
                <w:color w:val="auto"/>
              </w:rPr>
            </w:pPr>
            <w:r>
              <w:rPr>
                <w:color w:val="auto"/>
                <w:spacing w:val="-2"/>
              </w:rPr>
              <w:t>颁奖单位</w:t>
            </w:r>
          </w:p>
        </w:tc>
      </w:tr>
      <w:tr w14:paraId="53750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481D5957">
            <w:pPr>
              <w:rPr>
                <w:color w:val="auto"/>
              </w:rPr>
            </w:pPr>
          </w:p>
        </w:tc>
        <w:tc>
          <w:tcPr>
            <w:tcW w:w="2399" w:type="dxa"/>
          </w:tcPr>
          <w:p w14:paraId="14C11A09">
            <w:pPr>
              <w:rPr>
                <w:color w:val="auto"/>
              </w:rPr>
            </w:pPr>
          </w:p>
        </w:tc>
        <w:tc>
          <w:tcPr>
            <w:tcW w:w="1798" w:type="dxa"/>
          </w:tcPr>
          <w:p w14:paraId="3D52ECF9">
            <w:pPr>
              <w:rPr>
                <w:color w:val="auto"/>
              </w:rPr>
            </w:pPr>
          </w:p>
        </w:tc>
        <w:tc>
          <w:tcPr>
            <w:tcW w:w="1438" w:type="dxa"/>
          </w:tcPr>
          <w:p w14:paraId="6F8181D3">
            <w:pPr>
              <w:rPr>
                <w:color w:val="auto"/>
              </w:rPr>
            </w:pPr>
          </w:p>
        </w:tc>
        <w:tc>
          <w:tcPr>
            <w:tcW w:w="2162" w:type="dxa"/>
          </w:tcPr>
          <w:p w14:paraId="7B5563C2">
            <w:pPr>
              <w:rPr>
                <w:color w:val="auto"/>
              </w:rPr>
            </w:pPr>
          </w:p>
        </w:tc>
      </w:tr>
      <w:tr w14:paraId="71E1B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58E35623">
            <w:pPr>
              <w:rPr>
                <w:color w:val="auto"/>
              </w:rPr>
            </w:pPr>
          </w:p>
        </w:tc>
        <w:tc>
          <w:tcPr>
            <w:tcW w:w="2399" w:type="dxa"/>
          </w:tcPr>
          <w:p w14:paraId="4BB2AA3B">
            <w:pPr>
              <w:rPr>
                <w:color w:val="auto"/>
              </w:rPr>
            </w:pPr>
          </w:p>
        </w:tc>
        <w:tc>
          <w:tcPr>
            <w:tcW w:w="1798" w:type="dxa"/>
          </w:tcPr>
          <w:p w14:paraId="1E2AE8C3">
            <w:pPr>
              <w:rPr>
                <w:color w:val="auto"/>
              </w:rPr>
            </w:pPr>
          </w:p>
        </w:tc>
        <w:tc>
          <w:tcPr>
            <w:tcW w:w="1438" w:type="dxa"/>
          </w:tcPr>
          <w:p w14:paraId="17290725">
            <w:pPr>
              <w:rPr>
                <w:color w:val="auto"/>
              </w:rPr>
            </w:pPr>
          </w:p>
        </w:tc>
        <w:tc>
          <w:tcPr>
            <w:tcW w:w="2162" w:type="dxa"/>
          </w:tcPr>
          <w:p w14:paraId="5A93C136">
            <w:pPr>
              <w:rPr>
                <w:color w:val="auto"/>
              </w:rPr>
            </w:pPr>
          </w:p>
        </w:tc>
      </w:tr>
      <w:tr w14:paraId="752A6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331B65D4">
            <w:pPr>
              <w:rPr>
                <w:color w:val="auto"/>
              </w:rPr>
            </w:pPr>
          </w:p>
        </w:tc>
        <w:tc>
          <w:tcPr>
            <w:tcW w:w="2399" w:type="dxa"/>
          </w:tcPr>
          <w:p w14:paraId="6B0E6535">
            <w:pPr>
              <w:rPr>
                <w:color w:val="auto"/>
              </w:rPr>
            </w:pPr>
          </w:p>
        </w:tc>
        <w:tc>
          <w:tcPr>
            <w:tcW w:w="1798" w:type="dxa"/>
          </w:tcPr>
          <w:p w14:paraId="76DAE009">
            <w:pPr>
              <w:rPr>
                <w:color w:val="auto"/>
              </w:rPr>
            </w:pPr>
          </w:p>
        </w:tc>
        <w:tc>
          <w:tcPr>
            <w:tcW w:w="1438" w:type="dxa"/>
          </w:tcPr>
          <w:p w14:paraId="47BA346A">
            <w:pPr>
              <w:rPr>
                <w:color w:val="auto"/>
              </w:rPr>
            </w:pPr>
          </w:p>
        </w:tc>
        <w:tc>
          <w:tcPr>
            <w:tcW w:w="2162" w:type="dxa"/>
          </w:tcPr>
          <w:p w14:paraId="415ED852">
            <w:pPr>
              <w:rPr>
                <w:color w:val="auto"/>
              </w:rPr>
            </w:pPr>
          </w:p>
        </w:tc>
      </w:tr>
      <w:tr w14:paraId="25EC7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70" w:type="dxa"/>
          </w:tcPr>
          <w:p w14:paraId="4FBCACA7">
            <w:pPr>
              <w:rPr>
                <w:color w:val="auto"/>
              </w:rPr>
            </w:pPr>
          </w:p>
        </w:tc>
        <w:tc>
          <w:tcPr>
            <w:tcW w:w="2399" w:type="dxa"/>
          </w:tcPr>
          <w:p w14:paraId="3DEE7EE4">
            <w:pPr>
              <w:rPr>
                <w:color w:val="auto"/>
              </w:rPr>
            </w:pPr>
          </w:p>
        </w:tc>
        <w:tc>
          <w:tcPr>
            <w:tcW w:w="1798" w:type="dxa"/>
          </w:tcPr>
          <w:p w14:paraId="1F09C269">
            <w:pPr>
              <w:rPr>
                <w:color w:val="auto"/>
              </w:rPr>
            </w:pPr>
          </w:p>
        </w:tc>
        <w:tc>
          <w:tcPr>
            <w:tcW w:w="1438" w:type="dxa"/>
          </w:tcPr>
          <w:p w14:paraId="1461F2A7">
            <w:pPr>
              <w:rPr>
                <w:color w:val="auto"/>
              </w:rPr>
            </w:pPr>
          </w:p>
        </w:tc>
        <w:tc>
          <w:tcPr>
            <w:tcW w:w="2162" w:type="dxa"/>
          </w:tcPr>
          <w:p w14:paraId="5619B84F">
            <w:pPr>
              <w:rPr>
                <w:color w:val="auto"/>
              </w:rPr>
            </w:pPr>
          </w:p>
        </w:tc>
      </w:tr>
      <w:tr w14:paraId="05F68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11E24B89">
            <w:pPr>
              <w:rPr>
                <w:color w:val="auto"/>
              </w:rPr>
            </w:pPr>
          </w:p>
        </w:tc>
        <w:tc>
          <w:tcPr>
            <w:tcW w:w="2399" w:type="dxa"/>
          </w:tcPr>
          <w:p w14:paraId="492C7140">
            <w:pPr>
              <w:rPr>
                <w:color w:val="auto"/>
              </w:rPr>
            </w:pPr>
          </w:p>
        </w:tc>
        <w:tc>
          <w:tcPr>
            <w:tcW w:w="1798" w:type="dxa"/>
          </w:tcPr>
          <w:p w14:paraId="6CF2357B">
            <w:pPr>
              <w:rPr>
                <w:color w:val="auto"/>
              </w:rPr>
            </w:pPr>
          </w:p>
        </w:tc>
        <w:tc>
          <w:tcPr>
            <w:tcW w:w="1438" w:type="dxa"/>
          </w:tcPr>
          <w:p w14:paraId="6FE25991">
            <w:pPr>
              <w:rPr>
                <w:color w:val="auto"/>
              </w:rPr>
            </w:pPr>
          </w:p>
        </w:tc>
        <w:tc>
          <w:tcPr>
            <w:tcW w:w="2162" w:type="dxa"/>
          </w:tcPr>
          <w:p w14:paraId="5D8C43E8">
            <w:pPr>
              <w:rPr>
                <w:color w:val="auto"/>
              </w:rPr>
            </w:pPr>
          </w:p>
        </w:tc>
      </w:tr>
      <w:tr w14:paraId="5607F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0D07D9BE">
            <w:pPr>
              <w:rPr>
                <w:color w:val="auto"/>
              </w:rPr>
            </w:pPr>
          </w:p>
        </w:tc>
        <w:tc>
          <w:tcPr>
            <w:tcW w:w="2399" w:type="dxa"/>
          </w:tcPr>
          <w:p w14:paraId="61D955A4">
            <w:pPr>
              <w:rPr>
                <w:color w:val="auto"/>
              </w:rPr>
            </w:pPr>
          </w:p>
        </w:tc>
        <w:tc>
          <w:tcPr>
            <w:tcW w:w="1798" w:type="dxa"/>
          </w:tcPr>
          <w:p w14:paraId="612F131C">
            <w:pPr>
              <w:rPr>
                <w:color w:val="auto"/>
              </w:rPr>
            </w:pPr>
          </w:p>
        </w:tc>
        <w:tc>
          <w:tcPr>
            <w:tcW w:w="1438" w:type="dxa"/>
          </w:tcPr>
          <w:p w14:paraId="4818FF8A">
            <w:pPr>
              <w:rPr>
                <w:color w:val="auto"/>
              </w:rPr>
            </w:pPr>
          </w:p>
        </w:tc>
        <w:tc>
          <w:tcPr>
            <w:tcW w:w="2162" w:type="dxa"/>
          </w:tcPr>
          <w:p w14:paraId="157358B8">
            <w:pPr>
              <w:rPr>
                <w:color w:val="auto"/>
              </w:rPr>
            </w:pPr>
          </w:p>
        </w:tc>
      </w:tr>
      <w:tr w14:paraId="08020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2D357C83">
            <w:pPr>
              <w:rPr>
                <w:color w:val="auto"/>
              </w:rPr>
            </w:pPr>
          </w:p>
        </w:tc>
        <w:tc>
          <w:tcPr>
            <w:tcW w:w="2399" w:type="dxa"/>
          </w:tcPr>
          <w:p w14:paraId="3BA471C7">
            <w:pPr>
              <w:rPr>
                <w:color w:val="auto"/>
              </w:rPr>
            </w:pPr>
          </w:p>
        </w:tc>
        <w:tc>
          <w:tcPr>
            <w:tcW w:w="1798" w:type="dxa"/>
          </w:tcPr>
          <w:p w14:paraId="3D64BCDD">
            <w:pPr>
              <w:rPr>
                <w:color w:val="auto"/>
              </w:rPr>
            </w:pPr>
          </w:p>
        </w:tc>
        <w:tc>
          <w:tcPr>
            <w:tcW w:w="1438" w:type="dxa"/>
          </w:tcPr>
          <w:p w14:paraId="14F1CABB">
            <w:pPr>
              <w:rPr>
                <w:color w:val="auto"/>
              </w:rPr>
            </w:pPr>
          </w:p>
        </w:tc>
        <w:tc>
          <w:tcPr>
            <w:tcW w:w="2162" w:type="dxa"/>
          </w:tcPr>
          <w:p w14:paraId="43E08FE3">
            <w:pPr>
              <w:rPr>
                <w:color w:val="auto"/>
              </w:rPr>
            </w:pPr>
          </w:p>
        </w:tc>
      </w:tr>
      <w:tr w14:paraId="3A14D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47AA4549">
            <w:pPr>
              <w:rPr>
                <w:color w:val="auto"/>
              </w:rPr>
            </w:pPr>
          </w:p>
        </w:tc>
        <w:tc>
          <w:tcPr>
            <w:tcW w:w="2399" w:type="dxa"/>
          </w:tcPr>
          <w:p w14:paraId="0E1E9238">
            <w:pPr>
              <w:rPr>
                <w:color w:val="auto"/>
              </w:rPr>
            </w:pPr>
          </w:p>
        </w:tc>
        <w:tc>
          <w:tcPr>
            <w:tcW w:w="1798" w:type="dxa"/>
          </w:tcPr>
          <w:p w14:paraId="32581A33">
            <w:pPr>
              <w:rPr>
                <w:color w:val="auto"/>
              </w:rPr>
            </w:pPr>
          </w:p>
        </w:tc>
        <w:tc>
          <w:tcPr>
            <w:tcW w:w="1438" w:type="dxa"/>
          </w:tcPr>
          <w:p w14:paraId="2C81A0A6">
            <w:pPr>
              <w:rPr>
                <w:color w:val="auto"/>
              </w:rPr>
            </w:pPr>
          </w:p>
        </w:tc>
        <w:tc>
          <w:tcPr>
            <w:tcW w:w="2162" w:type="dxa"/>
          </w:tcPr>
          <w:p w14:paraId="5F559A2C">
            <w:pPr>
              <w:rPr>
                <w:color w:val="auto"/>
              </w:rPr>
            </w:pPr>
          </w:p>
        </w:tc>
      </w:tr>
      <w:tr w14:paraId="67CC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77F210C8">
            <w:pPr>
              <w:rPr>
                <w:color w:val="auto"/>
              </w:rPr>
            </w:pPr>
          </w:p>
        </w:tc>
        <w:tc>
          <w:tcPr>
            <w:tcW w:w="2399" w:type="dxa"/>
          </w:tcPr>
          <w:p w14:paraId="2F39C58A">
            <w:pPr>
              <w:rPr>
                <w:color w:val="auto"/>
              </w:rPr>
            </w:pPr>
          </w:p>
        </w:tc>
        <w:tc>
          <w:tcPr>
            <w:tcW w:w="1798" w:type="dxa"/>
          </w:tcPr>
          <w:p w14:paraId="1CE903F2">
            <w:pPr>
              <w:rPr>
                <w:color w:val="auto"/>
              </w:rPr>
            </w:pPr>
          </w:p>
        </w:tc>
        <w:tc>
          <w:tcPr>
            <w:tcW w:w="1438" w:type="dxa"/>
          </w:tcPr>
          <w:p w14:paraId="38B7C585">
            <w:pPr>
              <w:rPr>
                <w:color w:val="auto"/>
              </w:rPr>
            </w:pPr>
          </w:p>
        </w:tc>
        <w:tc>
          <w:tcPr>
            <w:tcW w:w="2162" w:type="dxa"/>
          </w:tcPr>
          <w:p w14:paraId="17AE86BC">
            <w:pPr>
              <w:rPr>
                <w:color w:val="auto"/>
              </w:rPr>
            </w:pPr>
          </w:p>
        </w:tc>
      </w:tr>
      <w:tr w14:paraId="350BA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75F1D2A4">
            <w:pPr>
              <w:rPr>
                <w:color w:val="auto"/>
              </w:rPr>
            </w:pPr>
          </w:p>
        </w:tc>
        <w:tc>
          <w:tcPr>
            <w:tcW w:w="2399" w:type="dxa"/>
          </w:tcPr>
          <w:p w14:paraId="796176D4">
            <w:pPr>
              <w:rPr>
                <w:color w:val="auto"/>
              </w:rPr>
            </w:pPr>
          </w:p>
        </w:tc>
        <w:tc>
          <w:tcPr>
            <w:tcW w:w="1798" w:type="dxa"/>
          </w:tcPr>
          <w:p w14:paraId="04761E7D">
            <w:pPr>
              <w:rPr>
                <w:color w:val="auto"/>
              </w:rPr>
            </w:pPr>
          </w:p>
        </w:tc>
        <w:tc>
          <w:tcPr>
            <w:tcW w:w="1438" w:type="dxa"/>
          </w:tcPr>
          <w:p w14:paraId="50560A4B">
            <w:pPr>
              <w:rPr>
                <w:color w:val="auto"/>
              </w:rPr>
            </w:pPr>
          </w:p>
        </w:tc>
        <w:tc>
          <w:tcPr>
            <w:tcW w:w="2162" w:type="dxa"/>
          </w:tcPr>
          <w:p w14:paraId="25246250">
            <w:pPr>
              <w:rPr>
                <w:color w:val="auto"/>
              </w:rPr>
            </w:pPr>
          </w:p>
        </w:tc>
      </w:tr>
      <w:tr w14:paraId="3EADD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770" w:type="dxa"/>
          </w:tcPr>
          <w:p w14:paraId="3E48A82D">
            <w:pPr>
              <w:rPr>
                <w:color w:val="auto"/>
              </w:rPr>
            </w:pPr>
          </w:p>
        </w:tc>
        <w:tc>
          <w:tcPr>
            <w:tcW w:w="2399" w:type="dxa"/>
          </w:tcPr>
          <w:p w14:paraId="5ABCB3D5">
            <w:pPr>
              <w:rPr>
                <w:color w:val="auto"/>
              </w:rPr>
            </w:pPr>
          </w:p>
        </w:tc>
        <w:tc>
          <w:tcPr>
            <w:tcW w:w="1798" w:type="dxa"/>
          </w:tcPr>
          <w:p w14:paraId="303DC8B8">
            <w:pPr>
              <w:rPr>
                <w:color w:val="auto"/>
              </w:rPr>
            </w:pPr>
          </w:p>
        </w:tc>
        <w:tc>
          <w:tcPr>
            <w:tcW w:w="1438" w:type="dxa"/>
          </w:tcPr>
          <w:p w14:paraId="537D614C">
            <w:pPr>
              <w:rPr>
                <w:color w:val="auto"/>
              </w:rPr>
            </w:pPr>
          </w:p>
        </w:tc>
        <w:tc>
          <w:tcPr>
            <w:tcW w:w="2162" w:type="dxa"/>
          </w:tcPr>
          <w:p w14:paraId="45BD3388">
            <w:pPr>
              <w:rPr>
                <w:color w:val="auto"/>
              </w:rPr>
            </w:pPr>
          </w:p>
        </w:tc>
      </w:tr>
      <w:tr w14:paraId="079FE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70" w:type="dxa"/>
          </w:tcPr>
          <w:p w14:paraId="7F1B36C4">
            <w:pPr>
              <w:rPr>
                <w:color w:val="auto"/>
              </w:rPr>
            </w:pPr>
          </w:p>
        </w:tc>
        <w:tc>
          <w:tcPr>
            <w:tcW w:w="2399" w:type="dxa"/>
          </w:tcPr>
          <w:p w14:paraId="707DC2EB">
            <w:pPr>
              <w:rPr>
                <w:color w:val="auto"/>
              </w:rPr>
            </w:pPr>
          </w:p>
        </w:tc>
        <w:tc>
          <w:tcPr>
            <w:tcW w:w="1798" w:type="dxa"/>
          </w:tcPr>
          <w:p w14:paraId="7AFCDBAE">
            <w:pPr>
              <w:rPr>
                <w:color w:val="auto"/>
              </w:rPr>
            </w:pPr>
          </w:p>
        </w:tc>
        <w:tc>
          <w:tcPr>
            <w:tcW w:w="1438" w:type="dxa"/>
          </w:tcPr>
          <w:p w14:paraId="791FC76A">
            <w:pPr>
              <w:rPr>
                <w:color w:val="auto"/>
              </w:rPr>
            </w:pPr>
          </w:p>
        </w:tc>
        <w:tc>
          <w:tcPr>
            <w:tcW w:w="2162" w:type="dxa"/>
          </w:tcPr>
          <w:p w14:paraId="765546BC">
            <w:pPr>
              <w:rPr>
                <w:color w:val="auto"/>
              </w:rPr>
            </w:pPr>
          </w:p>
        </w:tc>
      </w:tr>
      <w:tr w14:paraId="0B90B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770" w:type="dxa"/>
          </w:tcPr>
          <w:p w14:paraId="61D823B2">
            <w:pPr>
              <w:rPr>
                <w:color w:val="auto"/>
              </w:rPr>
            </w:pPr>
          </w:p>
        </w:tc>
        <w:tc>
          <w:tcPr>
            <w:tcW w:w="2399" w:type="dxa"/>
          </w:tcPr>
          <w:p w14:paraId="66A772E0">
            <w:pPr>
              <w:rPr>
                <w:color w:val="auto"/>
              </w:rPr>
            </w:pPr>
          </w:p>
        </w:tc>
        <w:tc>
          <w:tcPr>
            <w:tcW w:w="1798" w:type="dxa"/>
          </w:tcPr>
          <w:p w14:paraId="5992DC29">
            <w:pPr>
              <w:rPr>
                <w:color w:val="auto"/>
              </w:rPr>
            </w:pPr>
          </w:p>
        </w:tc>
        <w:tc>
          <w:tcPr>
            <w:tcW w:w="1438" w:type="dxa"/>
          </w:tcPr>
          <w:p w14:paraId="7D283229">
            <w:pPr>
              <w:rPr>
                <w:color w:val="auto"/>
              </w:rPr>
            </w:pPr>
          </w:p>
        </w:tc>
        <w:tc>
          <w:tcPr>
            <w:tcW w:w="2162" w:type="dxa"/>
          </w:tcPr>
          <w:p w14:paraId="11FE3C04">
            <w:pPr>
              <w:rPr>
                <w:color w:val="auto"/>
              </w:rPr>
            </w:pPr>
          </w:p>
        </w:tc>
      </w:tr>
    </w:tbl>
    <w:p w14:paraId="2AABBFD9">
      <w:pPr>
        <w:spacing w:before="52" w:line="220" w:lineRule="auto"/>
        <w:ind w:left="1704"/>
        <w:rPr>
          <w:rFonts w:ascii="宋体" w:hAnsi="宋体" w:eastAsia="宋体" w:cs="宋体"/>
          <w:color w:val="auto"/>
          <w:lang w:eastAsia="zh-CN"/>
        </w:rPr>
      </w:pPr>
      <w:r>
        <w:rPr>
          <w:rFonts w:ascii="宋体" w:hAnsi="宋体" w:eastAsia="宋体" w:cs="宋体"/>
          <w:color w:val="auto"/>
          <w:spacing w:val="-2"/>
          <w:lang w:eastAsia="zh-CN"/>
        </w:rPr>
        <w:t>备注：</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本表后应附表彰文件、获奖证书及其他证明材料等。</w:t>
      </w:r>
    </w:p>
    <w:p w14:paraId="37916511">
      <w:pPr>
        <w:spacing w:before="169" w:line="220" w:lineRule="auto"/>
        <w:ind w:left="2328"/>
        <w:rPr>
          <w:rFonts w:ascii="宋体" w:hAnsi="宋体" w:eastAsia="宋体" w:cs="宋体"/>
          <w:color w:val="auto"/>
          <w:lang w:eastAsia="zh-CN"/>
        </w:rPr>
      </w:pP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颁奖单位应当是国家机关或民政部门注册登记的合法颁</w:t>
      </w:r>
      <w:r>
        <w:rPr>
          <w:rFonts w:ascii="宋体" w:hAnsi="宋体" w:eastAsia="宋体" w:cs="宋体"/>
          <w:color w:val="auto"/>
          <w:spacing w:val="-2"/>
          <w:lang w:eastAsia="zh-CN"/>
        </w:rPr>
        <w:t>奖单位。</w:t>
      </w:r>
    </w:p>
    <w:p w14:paraId="24BD4CDA">
      <w:pPr>
        <w:spacing w:line="220" w:lineRule="auto"/>
        <w:rPr>
          <w:rFonts w:ascii="宋体" w:hAnsi="宋体" w:eastAsia="宋体" w:cs="宋体"/>
          <w:color w:val="auto"/>
          <w:lang w:eastAsia="zh-CN"/>
        </w:rPr>
        <w:sectPr>
          <w:footerReference r:id="rId174" w:type="default"/>
          <w:pgSz w:w="11906" w:h="16839"/>
          <w:pgMar w:top="400" w:right="0" w:bottom="1147" w:left="105" w:header="0" w:footer="987" w:gutter="0"/>
          <w:cols w:space="720" w:num="1"/>
        </w:sectPr>
      </w:pPr>
    </w:p>
    <w:p w14:paraId="25C15F9C">
      <w:pPr>
        <w:pStyle w:val="8"/>
        <w:spacing w:line="267" w:lineRule="auto"/>
        <w:rPr>
          <w:lang w:eastAsia="zh-CN"/>
        </w:rPr>
      </w:pPr>
    </w:p>
    <w:p w14:paraId="42DBD02D">
      <w:pPr>
        <w:pStyle w:val="8"/>
        <w:spacing w:line="267" w:lineRule="auto"/>
        <w:rPr>
          <w:lang w:eastAsia="zh-CN"/>
        </w:rPr>
      </w:pPr>
    </w:p>
    <w:p w14:paraId="1105346E">
      <w:pPr>
        <w:pStyle w:val="8"/>
        <w:spacing w:line="267" w:lineRule="auto"/>
        <w:rPr>
          <w:lang w:eastAsia="zh-CN"/>
        </w:rPr>
      </w:pPr>
    </w:p>
    <w:p w14:paraId="3EA1403E">
      <w:pPr>
        <w:pStyle w:val="8"/>
        <w:spacing w:line="268" w:lineRule="auto"/>
        <w:rPr>
          <w:lang w:eastAsia="zh-CN"/>
        </w:rPr>
      </w:pPr>
    </w:p>
    <w:p w14:paraId="109F1C31">
      <w:pPr>
        <w:spacing w:before="78" w:line="223" w:lineRule="auto"/>
        <w:ind w:left="4678"/>
        <w:rPr>
          <w:rFonts w:ascii="黑体" w:hAnsi="黑体" w:eastAsia="黑体" w:cs="黑体"/>
          <w:color w:val="auto"/>
          <w:sz w:val="24"/>
          <w:szCs w:val="24"/>
        </w:rPr>
      </w:pPr>
      <w:bookmarkStart w:id="466" w:name="bookmark202"/>
      <w:bookmarkEnd w:id="466"/>
      <w:r>
        <w:rPr>
          <w:rFonts w:ascii="Times New Roman" w:hAnsi="Times New Roman" w:eastAsia="Times New Roman" w:cs="Times New Roman"/>
          <w:color w:val="auto"/>
          <w:spacing w:val="-1"/>
          <w:sz w:val="24"/>
          <w:szCs w:val="24"/>
        </w:rPr>
        <w:t xml:space="preserve">5-5  </w:t>
      </w:r>
      <w:r>
        <w:rPr>
          <w:rFonts w:ascii="黑体" w:hAnsi="黑体" w:eastAsia="黑体" w:cs="黑体"/>
          <w:color w:val="auto"/>
          <w:spacing w:val="-1"/>
          <w:sz w:val="24"/>
          <w:szCs w:val="24"/>
        </w:rPr>
        <w:t>近年获表彰情况表</w:t>
      </w:r>
    </w:p>
    <w:p w14:paraId="66BFF253">
      <w:pPr>
        <w:spacing w:before="194"/>
        <w:rPr>
          <w:color w:val="auto"/>
        </w:rPr>
      </w:pPr>
    </w:p>
    <w:tbl>
      <w:tblPr>
        <w:tblStyle w:val="20"/>
        <w:tblW w:w="8518" w:type="dxa"/>
        <w:tblInd w:w="15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2463"/>
        <w:gridCol w:w="1866"/>
        <w:gridCol w:w="1812"/>
        <w:gridCol w:w="1662"/>
      </w:tblGrid>
      <w:tr w14:paraId="7752D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15" w:type="dxa"/>
          </w:tcPr>
          <w:p w14:paraId="3C4EA0D2">
            <w:pPr>
              <w:pStyle w:val="21"/>
              <w:spacing w:before="160" w:line="222" w:lineRule="auto"/>
              <w:ind w:left="147"/>
              <w:rPr>
                <w:color w:val="auto"/>
              </w:rPr>
            </w:pPr>
            <w:r>
              <w:rPr>
                <w:color w:val="auto"/>
                <w:spacing w:val="-2"/>
              </w:rPr>
              <w:t>序号</w:t>
            </w:r>
          </w:p>
        </w:tc>
        <w:tc>
          <w:tcPr>
            <w:tcW w:w="2463" w:type="dxa"/>
          </w:tcPr>
          <w:p w14:paraId="788A21A2">
            <w:pPr>
              <w:pStyle w:val="21"/>
              <w:spacing w:before="160" w:line="220" w:lineRule="auto"/>
              <w:ind w:left="605"/>
              <w:rPr>
                <w:color w:val="auto"/>
              </w:rPr>
            </w:pPr>
            <w:r>
              <w:rPr>
                <w:color w:val="auto"/>
                <w:spacing w:val="-2"/>
              </w:rPr>
              <w:t>获奖主体名称</w:t>
            </w:r>
          </w:p>
        </w:tc>
        <w:tc>
          <w:tcPr>
            <w:tcW w:w="1866" w:type="dxa"/>
          </w:tcPr>
          <w:p w14:paraId="5A463B6E">
            <w:pPr>
              <w:pStyle w:val="21"/>
              <w:spacing w:before="160" w:line="220" w:lineRule="auto"/>
              <w:ind w:left="519"/>
              <w:rPr>
                <w:color w:val="auto"/>
              </w:rPr>
            </w:pPr>
            <w:r>
              <w:rPr>
                <w:color w:val="auto"/>
                <w:spacing w:val="-3"/>
              </w:rPr>
              <w:t>获奖名称</w:t>
            </w:r>
          </w:p>
        </w:tc>
        <w:tc>
          <w:tcPr>
            <w:tcW w:w="1812" w:type="dxa"/>
          </w:tcPr>
          <w:p w14:paraId="2181C327">
            <w:pPr>
              <w:pStyle w:val="21"/>
              <w:spacing w:before="160" w:line="220" w:lineRule="auto"/>
              <w:ind w:left="494"/>
              <w:rPr>
                <w:color w:val="auto"/>
              </w:rPr>
            </w:pPr>
            <w:r>
              <w:rPr>
                <w:color w:val="auto"/>
                <w:spacing w:val="-3"/>
              </w:rPr>
              <w:t>获奖日期</w:t>
            </w:r>
          </w:p>
        </w:tc>
        <w:tc>
          <w:tcPr>
            <w:tcW w:w="1662" w:type="dxa"/>
          </w:tcPr>
          <w:p w14:paraId="3BC06C6F">
            <w:pPr>
              <w:pStyle w:val="21"/>
              <w:spacing w:before="160" w:line="221" w:lineRule="auto"/>
              <w:ind w:left="415"/>
              <w:rPr>
                <w:color w:val="auto"/>
              </w:rPr>
            </w:pPr>
            <w:r>
              <w:rPr>
                <w:color w:val="auto"/>
                <w:spacing w:val="-2"/>
              </w:rPr>
              <w:t>颁奖单位</w:t>
            </w:r>
          </w:p>
        </w:tc>
      </w:tr>
      <w:tr w14:paraId="79CA7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7853EF53">
            <w:pPr>
              <w:rPr>
                <w:color w:val="auto"/>
              </w:rPr>
            </w:pPr>
          </w:p>
        </w:tc>
        <w:tc>
          <w:tcPr>
            <w:tcW w:w="2463" w:type="dxa"/>
          </w:tcPr>
          <w:p w14:paraId="03A190D4">
            <w:pPr>
              <w:rPr>
                <w:color w:val="auto"/>
              </w:rPr>
            </w:pPr>
          </w:p>
        </w:tc>
        <w:tc>
          <w:tcPr>
            <w:tcW w:w="1866" w:type="dxa"/>
          </w:tcPr>
          <w:p w14:paraId="6DEDCA2E">
            <w:pPr>
              <w:rPr>
                <w:color w:val="auto"/>
              </w:rPr>
            </w:pPr>
          </w:p>
        </w:tc>
        <w:tc>
          <w:tcPr>
            <w:tcW w:w="1812" w:type="dxa"/>
          </w:tcPr>
          <w:p w14:paraId="1EEAA479">
            <w:pPr>
              <w:rPr>
                <w:color w:val="auto"/>
              </w:rPr>
            </w:pPr>
          </w:p>
        </w:tc>
        <w:tc>
          <w:tcPr>
            <w:tcW w:w="1662" w:type="dxa"/>
          </w:tcPr>
          <w:p w14:paraId="61591373">
            <w:pPr>
              <w:rPr>
                <w:color w:val="auto"/>
              </w:rPr>
            </w:pPr>
          </w:p>
        </w:tc>
      </w:tr>
      <w:tr w14:paraId="1D7E6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6EAC33B3">
            <w:pPr>
              <w:rPr>
                <w:color w:val="auto"/>
              </w:rPr>
            </w:pPr>
          </w:p>
        </w:tc>
        <w:tc>
          <w:tcPr>
            <w:tcW w:w="2463" w:type="dxa"/>
          </w:tcPr>
          <w:p w14:paraId="6F7E680B">
            <w:pPr>
              <w:rPr>
                <w:color w:val="auto"/>
              </w:rPr>
            </w:pPr>
          </w:p>
        </w:tc>
        <w:tc>
          <w:tcPr>
            <w:tcW w:w="1866" w:type="dxa"/>
          </w:tcPr>
          <w:p w14:paraId="6FBEA1A5">
            <w:pPr>
              <w:rPr>
                <w:color w:val="auto"/>
              </w:rPr>
            </w:pPr>
          </w:p>
        </w:tc>
        <w:tc>
          <w:tcPr>
            <w:tcW w:w="1812" w:type="dxa"/>
          </w:tcPr>
          <w:p w14:paraId="54BF00A6">
            <w:pPr>
              <w:rPr>
                <w:color w:val="auto"/>
              </w:rPr>
            </w:pPr>
          </w:p>
        </w:tc>
        <w:tc>
          <w:tcPr>
            <w:tcW w:w="1662" w:type="dxa"/>
          </w:tcPr>
          <w:p w14:paraId="7D2C3A0B">
            <w:pPr>
              <w:rPr>
                <w:color w:val="auto"/>
              </w:rPr>
            </w:pPr>
          </w:p>
        </w:tc>
      </w:tr>
      <w:tr w14:paraId="665B8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6B87FAFC">
            <w:pPr>
              <w:rPr>
                <w:color w:val="auto"/>
              </w:rPr>
            </w:pPr>
          </w:p>
        </w:tc>
        <w:tc>
          <w:tcPr>
            <w:tcW w:w="2463" w:type="dxa"/>
          </w:tcPr>
          <w:p w14:paraId="7BF5329F">
            <w:pPr>
              <w:rPr>
                <w:color w:val="auto"/>
              </w:rPr>
            </w:pPr>
          </w:p>
        </w:tc>
        <w:tc>
          <w:tcPr>
            <w:tcW w:w="1866" w:type="dxa"/>
          </w:tcPr>
          <w:p w14:paraId="33138B32">
            <w:pPr>
              <w:rPr>
                <w:color w:val="auto"/>
              </w:rPr>
            </w:pPr>
          </w:p>
        </w:tc>
        <w:tc>
          <w:tcPr>
            <w:tcW w:w="1812" w:type="dxa"/>
          </w:tcPr>
          <w:p w14:paraId="3E3B1270">
            <w:pPr>
              <w:rPr>
                <w:color w:val="auto"/>
              </w:rPr>
            </w:pPr>
          </w:p>
        </w:tc>
        <w:tc>
          <w:tcPr>
            <w:tcW w:w="1662" w:type="dxa"/>
          </w:tcPr>
          <w:p w14:paraId="47097201">
            <w:pPr>
              <w:rPr>
                <w:color w:val="auto"/>
              </w:rPr>
            </w:pPr>
          </w:p>
        </w:tc>
      </w:tr>
      <w:tr w14:paraId="67DAD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7F4C3192">
            <w:pPr>
              <w:rPr>
                <w:color w:val="auto"/>
              </w:rPr>
            </w:pPr>
          </w:p>
        </w:tc>
        <w:tc>
          <w:tcPr>
            <w:tcW w:w="2463" w:type="dxa"/>
          </w:tcPr>
          <w:p w14:paraId="6341CD7A">
            <w:pPr>
              <w:rPr>
                <w:color w:val="auto"/>
              </w:rPr>
            </w:pPr>
          </w:p>
        </w:tc>
        <w:tc>
          <w:tcPr>
            <w:tcW w:w="1866" w:type="dxa"/>
          </w:tcPr>
          <w:p w14:paraId="606E3F78">
            <w:pPr>
              <w:rPr>
                <w:color w:val="auto"/>
              </w:rPr>
            </w:pPr>
          </w:p>
        </w:tc>
        <w:tc>
          <w:tcPr>
            <w:tcW w:w="1812" w:type="dxa"/>
          </w:tcPr>
          <w:p w14:paraId="642EE5F5">
            <w:pPr>
              <w:rPr>
                <w:color w:val="auto"/>
              </w:rPr>
            </w:pPr>
          </w:p>
        </w:tc>
        <w:tc>
          <w:tcPr>
            <w:tcW w:w="1662" w:type="dxa"/>
          </w:tcPr>
          <w:p w14:paraId="13973939">
            <w:pPr>
              <w:rPr>
                <w:color w:val="auto"/>
              </w:rPr>
            </w:pPr>
          </w:p>
        </w:tc>
      </w:tr>
      <w:tr w14:paraId="31DFA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79DCCD11">
            <w:pPr>
              <w:rPr>
                <w:color w:val="auto"/>
              </w:rPr>
            </w:pPr>
          </w:p>
        </w:tc>
        <w:tc>
          <w:tcPr>
            <w:tcW w:w="2463" w:type="dxa"/>
          </w:tcPr>
          <w:p w14:paraId="1C317865">
            <w:pPr>
              <w:rPr>
                <w:color w:val="auto"/>
              </w:rPr>
            </w:pPr>
          </w:p>
        </w:tc>
        <w:tc>
          <w:tcPr>
            <w:tcW w:w="1866" w:type="dxa"/>
          </w:tcPr>
          <w:p w14:paraId="576D37E0">
            <w:pPr>
              <w:rPr>
                <w:color w:val="auto"/>
              </w:rPr>
            </w:pPr>
          </w:p>
        </w:tc>
        <w:tc>
          <w:tcPr>
            <w:tcW w:w="1812" w:type="dxa"/>
          </w:tcPr>
          <w:p w14:paraId="5208009D">
            <w:pPr>
              <w:rPr>
                <w:color w:val="auto"/>
              </w:rPr>
            </w:pPr>
          </w:p>
        </w:tc>
        <w:tc>
          <w:tcPr>
            <w:tcW w:w="1662" w:type="dxa"/>
          </w:tcPr>
          <w:p w14:paraId="0D637B69">
            <w:pPr>
              <w:rPr>
                <w:color w:val="auto"/>
              </w:rPr>
            </w:pPr>
          </w:p>
        </w:tc>
      </w:tr>
      <w:tr w14:paraId="32B48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4FAB6CBA">
            <w:pPr>
              <w:rPr>
                <w:color w:val="auto"/>
              </w:rPr>
            </w:pPr>
          </w:p>
        </w:tc>
        <w:tc>
          <w:tcPr>
            <w:tcW w:w="2463" w:type="dxa"/>
          </w:tcPr>
          <w:p w14:paraId="26525443">
            <w:pPr>
              <w:rPr>
                <w:color w:val="auto"/>
              </w:rPr>
            </w:pPr>
          </w:p>
        </w:tc>
        <w:tc>
          <w:tcPr>
            <w:tcW w:w="1866" w:type="dxa"/>
          </w:tcPr>
          <w:p w14:paraId="27349AAF">
            <w:pPr>
              <w:rPr>
                <w:color w:val="auto"/>
              </w:rPr>
            </w:pPr>
          </w:p>
        </w:tc>
        <w:tc>
          <w:tcPr>
            <w:tcW w:w="1812" w:type="dxa"/>
          </w:tcPr>
          <w:p w14:paraId="072EB329">
            <w:pPr>
              <w:rPr>
                <w:color w:val="auto"/>
              </w:rPr>
            </w:pPr>
          </w:p>
        </w:tc>
        <w:tc>
          <w:tcPr>
            <w:tcW w:w="1662" w:type="dxa"/>
          </w:tcPr>
          <w:p w14:paraId="2234A276">
            <w:pPr>
              <w:rPr>
                <w:color w:val="auto"/>
              </w:rPr>
            </w:pPr>
          </w:p>
        </w:tc>
      </w:tr>
      <w:tr w14:paraId="7CCB9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7407F29F">
            <w:pPr>
              <w:rPr>
                <w:color w:val="auto"/>
              </w:rPr>
            </w:pPr>
          </w:p>
        </w:tc>
        <w:tc>
          <w:tcPr>
            <w:tcW w:w="2463" w:type="dxa"/>
          </w:tcPr>
          <w:p w14:paraId="7A020376">
            <w:pPr>
              <w:rPr>
                <w:color w:val="auto"/>
              </w:rPr>
            </w:pPr>
          </w:p>
        </w:tc>
        <w:tc>
          <w:tcPr>
            <w:tcW w:w="1866" w:type="dxa"/>
          </w:tcPr>
          <w:p w14:paraId="51F3B9D5">
            <w:pPr>
              <w:rPr>
                <w:color w:val="auto"/>
              </w:rPr>
            </w:pPr>
          </w:p>
        </w:tc>
        <w:tc>
          <w:tcPr>
            <w:tcW w:w="1812" w:type="dxa"/>
          </w:tcPr>
          <w:p w14:paraId="2661BF0D">
            <w:pPr>
              <w:rPr>
                <w:color w:val="auto"/>
              </w:rPr>
            </w:pPr>
          </w:p>
        </w:tc>
        <w:tc>
          <w:tcPr>
            <w:tcW w:w="1662" w:type="dxa"/>
          </w:tcPr>
          <w:p w14:paraId="61FB5D67">
            <w:pPr>
              <w:rPr>
                <w:color w:val="auto"/>
              </w:rPr>
            </w:pPr>
          </w:p>
        </w:tc>
      </w:tr>
      <w:tr w14:paraId="1099F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715" w:type="dxa"/>
          </w:tcPr>
          <w:p w14:paraId="5F4DEB1C">
            <w:pPr>
              <w:rPr>
                <w:color w:val="auto"/>
              </w:rPr>
            </w:pPr>
          </w:p>
        </w:tc>
        <w:tc>
          <w:tcPr>
            <w:tcW w:w="2463" w:type="dxa"/>
          </w:tcPr>
          <w:p w14:paraId="5B11F502">
            <w:pPr>
              <w:rPr>
                <w:color w:val="auto"/>
              </w:rPr>
            </w:pPr>
          </w:p>
        </w:tc>
        <w:tc>
          <w:tcPr>
            <w:tcW w:w="1866" w:type="dxa"/>
          </w:tcPr>
          <w:p w14:paraId="6076BC49">
            <w:pPr>
              <w:rPr>
                <w:color w:val="auto"/>
              </w:rPr>
            </w:pPr>
          </w:p>
        </w:tc>
        <w:tc>
          <w:tcPr>
            <w:tcW w:w="1812" w:type="dxa"/>
          </w:tcPr>
          <w:p w14:paraId="3C4B9C67">
            <w:pPr>
              <w:rPr>
                <w:color w:val="auto"/>
              </w:rPr>
            </w:pPr>
          </w:p>
        </w:tc>
        <w:tc>
          <w:tcPr>
            <w:tcW w:w="1662" w:type="dxa"/>
          </w:tcPr>
          <w:p w14:paraId="7FC24A02">
            <w:pPr>
              <w:rPr>
                <w:color w:val="auto"/>
              </w:rPr>
            </w:pPr>
          </w:p>
        </w:tc>
      </w:tr>
      <w:tr w14:paraId="04438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715" w:type="dxa"/>
          </w:tcPr>
          <w:p w14:paraId="6A5EFBFD">
            <w:pPr>
              <w:rPr>
                <w:color w:val="auto"/>
              </w:rPr>
            </w:pPr>
          </w:p>
        </w:tc>
        <w:tc>
          <w:tcPr>
            <w:tcW w:w="2463" w:type="dxa"/>
          </w:tcPr>
          <w:p w14:paraId="319660B4">
            <w:pPr>
              <w:rPr>
                <w:color w:val="auto"/>
              </w:rPr>
            </w:pPr>
          </w:p>
        </w:tc>
        <w:tc>
          <w:tcPr>
            <w:tcW w:w="1866" w:type="dxa"/>
          </w:tcPr>
          <w:p w14:paraId="2D938458">
            <w:pPr>
              <w:rPr>
                <w:color w:val="auto"/>
              </w:rPr>
            </w:pPr>
          </w:p>
        </w:tc>
        <w:tc>
          <w:tcPr>
            <w:tcW w:w="1812" w:type="dxa"/>
          </w:tcPr>
          <w:p w14:paraId="5C590557">
            <w:pPr>
              <w:rPr>
                <w:color w:val="auto"/>
              </w:rPr>
            </w:pPr>
          </w:p>
        </w:tc>
        <w:tc>
          <w:tcPr>
            <w:tcW w:w="1662" w:type="dxa"/>
          </w:tcPr>
          <w:p w14:paraId="5C3DC86E">
            <w:pPr>
              <w:rPr>
                <w:color w:val="auto"/>
              </w:rPr>
            </w:pPr>
          </w:p>
        </w:tc>
      </w:tr>
    </w:tbl>
    <w:p w14:paraId="0781466B">
      <w:pPr>
        <w:spacing w:before="160" w:line="220" w:lineRule="auto"/>
        <w:ind w:left="1704"/>
        <w:rPr>
          <w:rFonts w:ascii="宋体" w:hAnsi="宋体" w:eastAsia="宋体" w:cs="宋体"/>
          <w:color w:val="auto"/>
          <w:lang w:eastAsia="zh-CN"/>
        </w:rPr>
      </w:pPr>
      <w:r>
        <w:rPr>
          <w:rFonts w:ascii="宋体" w:hAnsi="宋体" w:eastAsia="宋体" w:cs="宋体"/>
          <w:color w:val="auto"/>
          <w:spacing w:val="-2"/>
          <w:lang w:eastAsia="zh-CN"/>
        </w:rPr>
        <w:t>备注：</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本表后应附表彰文件、获奖证书及其他证明材料等。</w:t>
      </w:r>
    </w:p>
    <w:p w14:paraId="4DDCBDDD">
      <w:pPr>
        <w:spacing w:before="149" w:line="220" w:lineRule="auto"/>
        <w:ind w:left="2328"/>
        <w:rPr>
          <w:rFonts w:ascii="宋体" w:hAnsi="宋体" w:eastAsia="宋体" w:cs="宋体"/>
          <w:color w:val="auto"/>
          <w:lang w:eastAsia="zh-CN"/>
        </w:rPr>
      </w:pP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颁奖单位应当是国家机关或民政部门注册登记的合法颁</w:t>
      </w:r>
      <w:r>
        <w:rPr>
          <w:rFonts w:ascii="宋体" w:hAnsi="宋体" w:eastAsia="宋体" w:cs="宋体"/>
          <w:color w:val="auto"/>
          <w:spacing w:val="-2"/>
          <w:lang w:eastAsia="zh-CN"/>
        </w:rPr>
        <w:t>奖单位。</w:t>
      </w:r>
    </w:p>
    <w:p w14:paraId="55F2F9A6">
      <w:pPr>
        <w:spacing w:line="220" w:lineRule="auto"/>
        <w:rPr>
          <w:rFonts w:ascii="宋体" w:hAnsi="宋体" w:eastAsia="宋体" w:cs="宋体"/>
          <w:color w:val="auto"/>
          <w:lang w:eastAsia="zh-CN"/>
        </w:rPr>
        <w:sectPr>
          <w:footerReference r:id="rId175" w:type="default"/>
          <w:pgSz w:w="11906" w:h="16839"/>
          <w:pgMar w:top="400" w:right="0" w:bottom="1147" w:left="105" w:header="0" w:footer="987" w:gutter="0"/>
          <w:cols w:space="720" w:num="1"/>
        </w:sectPr>
      </w:pPr>
    </w:p>
    <w:p w14:paraId="77BBDCD4">
      <w:pPr>
        <w:pStyle w:val="8"/>
        <w:spacing w:line="275" w:lineRule="auto"/>
        <w:rPr>
          <w:lang w:eastAsia="zh-CN"/>
        </w:rPr>
      </w:pPr>
    </w:p>
    <w:p w14:paraId="7DA1ACF3">
      <w:pPr>
        <w:pStyle w:val="8"/>
        <w:spacing w:line="275" w:lineRule="auto"/>
        <w:rPr>
          <w:lang w:eastAsia="zh-CN"/>
        </w:rPr>
      </w:pPr>
    </w:p>
    <w:p w14:paraId="034BF430">
      <w:pPr>
        <w:pStyle w:val="8"/>
        <w:spacing w:line="276" w:lineRule="auto"/>
        <w:rPr>
          <w:lang w:eastAsia="zh-CN"/>
        </w:rPr>
      </w:pPr>
    </w:p>
    <w:p w14:paraId="31304A22">
      <w:pPr>
        <w:pStyle w:val="8"/>
        <w:spacing w:line="276" w:lineRule="auto"/>
        <w:rPr>
          <w:lang w:eastAsia="zh-CN"/>
        </w:rPr>
      </w:pPr>
    </w:p>
    <w:p w14:paraId="7BF1DF16">
      <w:pPr>
        <w:pStyle w:val="8"/>
        <w:spacing w:line="276" w:lineRule="auto"/>
        <w:rPr>
          <w:lang w:eastAsia="zh-CN"/>
        </w:rPr>
      </w:pPr>
    </w:p>
    <w:p w14:paraId="1D9E7A72">
      <w:pPr>
        <w:spacing w:before="78" w:line="222" w:lineRule="auto"/>
        <w:ind w:left="4792"/>
        <w:outlineLvl w:val="2"/>
        <w:rPr>
          <w:rFonts w:ascii="黑体" w:hAnsi="黑体" w:eastAsia="黑体" w:cs="黑体"/>
          <w:color w:val="auto"/>
          <w:sz w:val="24"/>
          <w:szCs w:val="24"/>
          <w:lang w:eastAsia="zh-CN"/>
        </w:rPr>
      </w:pPr>
      <w:bookmarkStart w:id="467" w:name="bookmark203"/>
      <w:bookmarkEnd w:id="467"/>
      <w:r>
        <w:rPr>
          <w:rFonts w:ascii="黑体" w:hAnsi="黑体" w:eastAsia="黑体" w:cs="黑体"/>
          <w:color w:val="auto"/>
          <w:spacing w:val="-5"/>
          <w:sz w:val="24"/>
          <w:szCs w:val="24"/>
          <w:lang w:eastAsia="zh-CN"/>
        </w:rPr>
        <w:t>（六）制造商授权书</w:t>
      </w:r>
    </w:p>
    <w:p w14:paraId="4FE3C26A">
      <w:pPr>
        <w:pStyle w:val="8"/>
        <w:spacing w:line="370" w:lineRule="auto"/>
        <w:rPr>
          <w:lang w:eastAsia="zh-CN"/>
        </w:rPr>
      </w:pPr>
    </w:p>
    <w:p w14:paraId="296453C4">
      <w:pPr>
        <w:spacing w:before="68" w:line="216" w:lineRule="auto"/>
        <w:ind w:left="1802"/>
        <w:rPr>
          <w:rFonts w:ascii="宋体" w:hAnsi="宋体" w:eastAsia="宋体" w:cs="宋体"/>
          <w:color w:val="auto"/>
          <w:lang w:eastAsia="zh-CN"/>
        </w:rPr>
      </w:pPr>
      <w:r>
        <w:rPr>
          <w:rFonts w:ascii="宋体" w:hAnsi="宋体" w:eastAsia="宋体" w:cs="宋体"/>
          <w:color w:val="auto"/>
          <w:spacing w:val="-4"/>
          <w:lang w:eastAsia="zh-CN"/>
        </w:rPr>
        <w:t>致</w:t>
      </w:r>
      <w:r>
        <w:rPr>
          <w:rFonts w:ascii="宋体" w:hAnsi="宋体" w:eastAsia="宋体" w:cs="宋体"/>
          <w:color w:val="auto"/>
          <w:spacing w:val="-6"/>
          <w:lang w:eastAsia="zh-CN"/>
        </w:rPr>
        <w:t>：</w:t>
      </w:r>
      <w:r>
        <w:rPr>
          <w:color w:val="auto"/>
          <w:position w:val="-3"/>
          <w:lang w:eastAsia="zh-CN"/>
        </w:rPr>
        <w:drawing>
          <wp:inline distT="0" distB="0" distL="0" distR="0">
            <wp:extent cx="935355" cy="63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84"/>
                    <a:stretch>
                      <a:fillRect/>
                    </a:stretch>
                  </pic:blipFill>
                  <pic:spPr>
                    <a:xfrm>
                      <a:off x="0" y="0"/>
                      <a:ext cx="935355" cy="6667"/>
                    </a:xfrm>
                    <a:prstGeom prst="rect">
                      <a:avLst/>
                    </a:prstGeom>
                  </pic:spPr>
                </pic:pic>
              </a:graphicData>
            </a:graphic>
          </wp:inline>
        </w:drawing>
      </w:r>
      <w:r>
        <w:rPr>
          <w:rFonts w:ascii="宋体" w:hAnsi="宋体" w:eastAsia="宋体" w:cs="宋体"/>
          <w:color w:val="auto"/>
          <w:spacing w:val="-6"/>
          <w:lang w:eastAsia="zh-CN"/>
        </w:rPr>
        <w:t>（</w:t>
      </w:r>
      <w:r>
        <w:rPr>
          <w:rFonts w:ascii="宋体" w:hAnsi="宋体" w:eastAsia="宋体" w:cs="宋体"/>
          <w:color w:val="auto"/>
          <w:spacing w:val="-4"/>
          <w:lang w:eastAsia="zh-CN"/>
        </w:rPr>
        <w:t>招标人）</w:t>
      </w:r>
    </w:p>
    <w:p w14:paraId="4027368C">
      <w:pPr>
        <w:pStyle w:val="8"/>
        <w:spacing w:line="311" w:lineRule="auto"/>
        <w:rPr>
          <w:lang w:eastAsia="zh-CN"/>
        </w:rPr>
      </w:pPr>
    </w:p>
    <w:p w14:paraId="42A0D219">
      <w:pPr>
        <w:pStyle w:val="8"/>
        <w:spacing w:line="312" w:lineRule="auto"/>
        <w:rPr>
          <w:lang w:eastAsia="zh-CN"/>
        </w:rPr>
      </w:pPr>
    </w:p>
    <w:p w14:paraId="37D032FB">
      <w:pPr>
        <w:spacing w:before="68" w:line="412" w:lineRule="auto"/>
        <w:ind w:left="1802" w:right="1604" w:firstLine="421"/>
        <w:rPr>
          <w:rFonts w:ascii="宋体" w:hAnsi="宋体" w:eastAsia="宋体" w:cs="宋体"/>
          <w:color w:val="auto"/>
          <w:lang w:eastAsia="zh-CN"/>
        </w:rPr>
      </w:pPr>
      <w:r>
        <w:rPr>
          <w:rFonts w:ascii="宋体" w:hAnsi="宋体" w:eastAsia="宋体" w:cs="宋体"/>
          <w:color w:val="auto"/>
          <w:spacing w:val="-4"/>
          <w:lang w:eastAsia="zh-CN"/>
        </w:rPr>
        <w:t>我单位（制造商名称）是按（国家／地区名称）</w:t>
      </w:r>
      <w:r>
        <w:rPr>
          <w:rFonts w:ascii="宋体" w:hAnsi="宋体" w:eastAsia="宋体" w:cs="宋体"/>
          <w:color w:val="auto"/>
          <w:spacing w:val="-5"/>
          <w:lang w:eastAsia="zh-CN"/>
        </w:rPr>
        <w:t>法律成立的一家</w:t>
      </w:r>
      <w:r>
        <w:rPr>
          <w:rFonts w:ascii="宋体" w:hAnsi="宋体" w:eastAsia="宋体" w:cs="宋体"/>
          <w:color w:val="auto"/>
          <w:spacing w:val="-3"/>
          <w:lang w:eastAsia="zh-CN"/>
        </w:rPr>
        <w:t>制造商，主要营业地点设在（制造商地址）。兹授权按（</w:t>
      </w:r>
      <w:r>
        <w:rPr>
          <w:rFonts w:ascii="宋体" w:hAnsi="宋体" w:eastAsia="宋体" w:cs="宋体"/>
          <w:color w:val="auto"/>
          <w:spacing w:val="-4"/>
          <w:lang w:eastAsia="zh-CN"/>
        </w:rPr>
        <w:t>国家/</w:t>
      </w:r>
      <w:r>
        <w:rPr>
          <w:rFonts w:ascii="宋体" w:hAnsi="宋体" w:eastAsia="宋体" w:cs="宋体"/>
          <w:color w:val="auto"/>
          <w:spacing w:val="-2"/>
          <w:lang w:eastAsia="zh-CN"/>
        </w:rPr>
        <w:t>地区名称）的法律正式成立的，主要营业地点设在</w:t>
      </w:r>
      <w:r>
        <w:rPr>
          <w:rFonts w:ascii="宋体" w:hAnsi="宋体" w:eastAsia="宋体" w:cs="宋体"/>
          <w:color w:val="auto"/>
          <w:spacing w:val="-3"/>
          <w:lang w:eastAsia="zh-CN"/>
        </w:rPr>
        <w:t>（投标人的单位地址）的（投标人名称）以我单位制造的（设备名称）进</w:t>
      </w:r>
      <w:r>
        <w:rPr>
          <w:rFonts w:ascii="宋体" w:hAnsi="宋体" w:eastAsia="宋体" w:cs="宋体"/>
          <w:color w:val="auto"/>
          <w:spacing w:val="-4"/>
          <w:lang w:eastAsia="zh-CN"/>
        </w:rPr>
        <w:t>行（标段名称）投标活动。我单位同意按照中</w:t>
      </w:r>
      <w:r>
        <w:rPr>
          <w:rFonts w:ascii="宋体" w:hAnsi="宋体" w:eastAsia="宋体" w:cs="宋体"/>
          <w:color w:val="auto"/>
          <w:spacing w:val="-5"/>
          <w:lang w:eastAsia="zh-CN"/>
        </w:rPr>
        <w:t>标合同供货，并对产品质量承担责任。</w:t>
      </w:r>
    </w:p>
    <w:p w14:paraId="71AEDBFB">
      <w:pPr>
        <w:pStyle w:val="8"/>
        <w:spacing w:line="274" w:lineRule="auto"/>
        <w:rPr>
          <w:lang w:eastAsia="zh-CN"/>
        </w:rPr>
      </w:pPr>
    </w:p>
    <w:p w14:paraId="3F709132">
      <w:pPr>
        <w:pStyle w:val="8"/>
        <w:spacing w:line="274" w:lineRule="auto"/>
        <w:rPr>
          <w:lang w:eastAsia="zh-CN"/>
        </w:rPr>
      </w:pPr>
    </w:p>
    <w:p w14:paraId="4AC13739">
      <w:pPr>
        <w:spacing w:before="68" w:line="220" w:lineRule="auto"/>
        <w:ind w:left="1801"/>
        <w:rPr>
          <w:rFonts w:ascii="宋体" w:hAnsi="宋体" w:eastAsia="宋体" w:cs="宋体"/>
          <w:color w:val="auto"/>
          <w:lang w:eastAsia="zh-CN"/>
        </w:rPr>
      </w:pPr>
      <w:r>
        <w:rPr>
          <w:rFonts w:ascii="宋体" w:hAnsi="宋体" w:eastAsia="宋体" w:cs="宋体"/>
          <w:color w:val="auto"/>
          <w:spacing w:val="-4"/>
          <w:lang w:eastAsia="zh-CN"/>
        </w:rPr>
        <w:t>授权期限：。</w:t>
      </w:r>
    </w:p>
    <w:p w14:paraId="03E2705F">
      <w:pPr>
        <w:pStyle w:val="8"/>
        <w:spacing w:line="257" w:lineRule="auto"/>
        <w:rPr>
          <w:lang w:eastAsia="zh-CN"/>
        </w:rPr>
      </w:pPr>
    </w:p>
    <w:p w14:paraId="5A6D8D62">
      <w:pPr>
        <w:pStyle w:val="8"/>
        <w:spacing w:line="257" w:lineRule="auto"/>
        <w:rPr>
          <w:lang w:eastAsia="zh-CN"/>
        </w:rPr>
      </w:pPr>
    </w:p>
    <w:p w14:paraId="6E71D191">
      <w:pPr>
        <w:pStyle w:val="8"/>
        <w:spacing w:line="257" w:lineRule="auto"/>
        <w:rPr>
          <w:lang w:eastAsia="zh-CN"/>
        </w:rPr>
      </w:pPr>
    </w:p>
    <w:p w14:paraId="67D9F18C">
      <w:pPr>
        <w:pStyle w:val="8"/>
        <w:spacing w:line="257" w:lineRule="auto"/>
        <w:rPr>
          <w:lang w:eastAsia="zh-CN"/>
        </w:rPr>
      </w:pPr>
    </w:p>
    <w:p w14:paraId="5E082C13">
      <w:pPr>
        <w:pStyle w:val="8"/>
        <w:spacing w:line="257" w:lineRule="auto"/>
        <w:rPr>
          <w:lang w:eastAsia="zh-CN"/>
        </w:rPr>
      </w:pPr>
    </w:p>
    <w:p w14:paraId="1D02CA94">
      <w:pPr>
        <w:pStyle w:val="8"/>
        <w:spacing w:line="258" w:lineRule="auto"/>
        <w:rPr>
          <w:lang w:eastAsia="zh-CN"/>
        </w:rPr>
      </w:pPr>
    </w:p>
    <w:p w14:paraId="584EFB57">
      <w:pPr>
        <w:spacing w:before="68" w:line="216" w:lineRule="auto"/>
        <w:ind w:left="2504"/>
        <w:rPr>
          <w:rFonts w:ascii="宋体" w:hAnsi="宋体" w:eastAsia="宋体" w:cs="宋体"/>
          <w:color w:val="auto"/>
          <w:lang w:eastAsia="zh-CN"/>
        </w:rPr>
      </w:pPr>
      <w:r>
        <w:rPr>
          <w:rFonts w:ascii="宋体" w:hAnsi="宋体" w:eastAsia="宋体" w:cs="宋体"/>
          <w:color w:val="auto"/>
          <w:spacing w:val="-1"/>
          <w:lang w:eastAsia="zh-CN"/>
        </w:rPr>
        <w:t>投标人名称</w:t>
      </w:r>
      <w:r>
        <w:rPr>
          <w:rFonts w:ascii="宋体" w:hAnsi="宋体" w:eastAsia="宋体" w:cs="宋体"/>
          <w:color w:val="auto"/>
          <w:lang w:eastAsia="zh-CN"/>
        </w:rPr>
        <w:t>：</w:t>
      </w:r>
      <w:r>
        <w:rPr>
          <w:color w:val="auto"/>
          <w:position w:val="-3"/>
          <w:lang w:eastAsia="zh-CN"/>
        </w:rPr>
        <w:drawing>
          <wp:inline distT="0" distB="0" distL="0" distR="0">
            <wp:extent cx="630555" cy="635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85"/>
                    <a:stretch>
                      <a:fillRect/>
                    </a:stretch>
                  </pic:blipFill>
                  <pic:spPr>
                    <a:xfrm>
                      <a:off x="0" y="0"/>
                      <a:ext cx="631189" cy="6667"/>
                    </a:xfrm>
                    <a:prstGeom prst="rect">
                      <a:avLst/>
                    </a:prstGeom>
                  </pic:spPr>
                </pic:pic>
              </a:graphicData>
            </a:graphic>
          </wp:inline>
        </w:drawing>
      </w:r>
      <w:r>
        <w:rPr>
          <w:rFonts w:ascii="宋体" w:hAnsi="宋体" w:eastAsia="宋体" w:cs="宋体"/>
          <w:color w:val="auto"/>
          <w:lang w:eastAsia="zh-CN"/>
        </w:rPr>
        <w:t>（</w:t>
      </w:r>
      <w:r>
        <w:rPr>
          <w:rFonts w:ascii="宋体" w:hAnsi="宋体" w:eastAsia="宋体" w:cs="宋体"/>
          <w:color w:val="auto"/>
          <w:spacing w:val="-1"/>
          <w:lang w:eastAsia="zh-CN"/>
        </w:rPr>
        <w:t>盖单位章）  制造商名称：__________（盖单位章）</w:t>
      </w:r>
    </w:p>
    <w:p w14:paraId="234B7E10">
      <w:pPr>
        <w:pStyle w:val="8"/>
        <w:spacing w:line="311" w:lineRule="auto"/>
        <w:rPr>
          <w:lang w:eastAsia="zh-CN"/>
        </w:rPr>
      </w:pPr>
    </w:p>
    <w:p w14:paraId="62367BD2">
      <w:pPr>
        <w:pStyle w:val="8"/>
        <w:spacing w:line="311" w:lineRule="auto"/>
        <w:rPr>
          <w:lang w:eastAsia="zh-CN"/>
        </w:rPr>
      </w:pPr>
    </w:p>
    <w:p w14:paraId="1C68BFBB">
      <w:pPr>
        <w:spacing w:before="68" w:line="216" w:lineRule="auto"/>
        <w:ind w:left="2502"/>
        <w:rPr>
          <w:rFonts w:ascii="宋体" w:hAnsi="宋体" w:eastAsia="宋体" w:cs="宋体"/>
          <w:color w:val="auto"/>
          <w:lang w:eastAsia="zh-CN"/>
        </w:rPr>
      </w:pPr>
      <w:r>
        <w:rPr>
          <w:rFonts w:ascii="宋体" w:hAnsi="宋体" w:eastAsia="宋体" w:cs="宋体"/>
          <w:color w:val="auto"/>
          <w:spacing w:val="-2"/>
          <w:lang w:eastAsia="zh-CN"/>
        </w:rPr>
        <w:t>签字人职务：</w:t>
      </w:r>
      <w:r>
        <w:rPr>
          <w:color w:val="auto"/>
          <w:position w:val="-3"/>
          <w:lang w:eastAsia="zh-CN"/>
        </w:rPr>
        <w:drawing>
          <wp:inline distT="0" distB="0" distL="0" distR="0">
            <wp:extent cx="1432560" cy="635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86"/>
                    <a:stretch>
                      <a:fillRect/>
                    </a:stretch>
                  </pic:blipFill>
                  <pic:spPr>
                    <a:xfrm>
                      <a:off x="0" y="0"/>
                      <a:ext cx="1433194" cy="6667"/>
                    </a:xfrm>
                    <a:prstGeom prst="rect">
                      <a:avLst/>
                    </a:prstGeom>
                  </pic:spPr>
                </pic:pic>
              </a:graphicData>
            </a:graphic>
          </wp:inline>
        </w:drawing>
      </w:r>
      <w:r>
        <w:rPr>
          <w:rFonts w:ascii="宋体" w:hAnsi="宋体" w:eastAsia="宋体" w:cs="宋体"/>
          <w:color w:val="auto"/>
          <w:spacing w:val="-2"/>
          <w:lang w:eastAsia="zh-CN"/>
        </w:rPr>
        <w:t>签字人职务：_____________</w:t>
      </w:r>
    </w:p>
    <w:p w14:paraId="6117180F">
      <w:pPr>
        <w:pStyle w:val="8"/>
        <w:spacing w:line="312" w:lineRule="auto"/>
        <w:rPr>
          <w:lang w:eastAsia="zh-CN"/>
        </w:rPr>
      </w:pPr>
    </w:p>
    <w:p w14:paraId="6E8A8297">
      <w:pPr>
        <w:pStyle w:val="8"/>
        <w:spacing w:line="313" w:lineRule="auto"/>
        <w:rPr>
          <w:lang w:eastAsia="zh-CN"/>
        </w:rPr>
      </w:pPr>
    </w:p>
    <w:p w14:paraId="59D1000D">
      <w:pPr>
        <w:spacing w:before="69" w:line="216" w:lineRule="auto"/>
        <w:ind w:left="2502"/>
        <w:rPr>
          <w:rFonts w:ascii="宋体" w:hAnsi="宋体" w:eastAsia="宋体" w:cs="宋体"/>
          <w:color w:val="auto"/>
          <w:lang w:eastAsia="zh-CN"/>
        </w:rPr>
      </w:pPr>
      <w:r>
        <w:rPr>
          <w:rFonts w:ascii="宋体" w:hAnsi="宋体" w:eastAsia="宋体" w:cs="宋体"/>
          <w:color w:val="auto"/>
          <w:spacing w:val="-2"/>
          <w:lang w:eastAsia="zh-CN"/>
        </w:rPr>
        <w:t>签字人姓名：</w:t>
      </w:r>
      <w:r>
        <w:rPr>
          <w:color w:val="auto"/>
          <w:position w:val="-3"/>
          <w:lang w:eastAsia="zh-CN"/>
        </w:rPr>
        <w:drawing>
          <wp:inline distT="0" distB="0" distL="0" distR="0">
            <wp:extent cx="1432560" cy="63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87"/>
                    <a:stretch>
                      <a:fillRect/>
                    </a:stretch>
                  </pic:blipFill>
                  <pic:spPr>
                    <a:xfrm>
                      <a:off x="0" y="0"/>
                      <a:ext cx="1433194" cy="6667"/>
                    </a:xfrm>
                    <a:prstGeom prst="rect">
                      <a:avLst/>
                    </a:prstGeom>
                  </pic:spPr>
                </pic:pic>
              </a:graphicData>
            </a:graphic>
          </wp:inline>
        </w:drawing>
      </w:r>
      <w:r>
        <w:rPr>
          <w:rFonts w:ascii="宋体" w:hAnsi="宋体" w:eastAsia="宋体" w:cs="宋体"/>
          <w:color w:val="auto"/>
          <w:spacing w:val="-2"/>
          <w:lang w:eastAsia="zh-CN"/>
        </w:rPr>
        <w:t>签字人姓名：_____________</w:t>
      </w:r>
    </w:p>
    <w:p w14:paraId="296D357B">
      <w:pPr>
        <w:pStyle w:val="8"/>
        <w:spacing w:line="311" w:lineRule="auto"/>
        <w:rPr>
          <w:lang w:eastAsia="zh-CN"/>
        </w:rPr>
      </w:pPr>
    </w:p>
    <w:p w14:paraId="6AF49B46">
      <w:pPr>
        <w:pStyle w:val="8"/>
        <w:spacing w:line="311" w:lineRule="auto"/>
        <w:rPr>
          <w:lang w:eastAsia="zh-CN"/>
        </w:rPr>
      </w:pPr>
    </w:p>
    <w:p w14:paraId="5A50F9B3">
      <w:pPr>
        <w:spacing w:before="68" w:line="216" w:lineRule="auto"/>
        <w:ind w:left="2502"/>
        <w:rPr>
          <w:rFonts w:ascii="宋体" w:hAnsi="宋体" w:eastAsia="宋体" w:cs="宋体"/>
          <w:color w:val="auto"/>
          <w:lang w:eastAsia="zh-CN"/>
        </w:rPr>
      </w:pPr>
      <w:r>
        <w:rPr>
          <w:rFonts w:ascii="宋体" w:hAnsi="宋体" w:eastAsia="宋体" w:cs="宋体"/>
          <w:color w:val="auto"/>
          <w:spacing w:val="-2"/>
          <w:lang w:eastAsia="zh-CN"/>
        </w:rPr>
        <w:t>签字人签名：</w:t>
      </w:r>
      <w:r>
        <w:rPr>
          <w:color w:val="auto"/>
          <w:position w:val="-3"/>
          <w:lang w:eastAsia="zh-CN"/>
        </w:rPr>
        <w:drawing>
          <wp:inline distT="0" distB="0" distL="0" distR="0">
            <wp:extent cx="1432560" cy="635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88"/>
                    <a:stretch>
                      <a:fillRect/>
                    </a:stretch>
                  </pic:blipFill>
                  <pic:spPr>
                    <a:xfrm>
                      <a:off x="0" y="0"/>
                      <a:ext cx="1433194" cy="6667"/>
                    </a:xfrm>
                    <a:prstGeom prst="rect">
                      <a:avLst/>
                    </a:prstGeom>
                  </pic:spPr>
                </pic:pic>
              </a:graphicData>
            </a:graphic>
          </wp:inline>
        </w:drawing>
      </w:r>
      <w:r>
        <w:rPr>
          <w:rFonts w:ascii="宋体" w:hAnsi="宋体" w:eastAsia="宋体" w:cs="宋体"/>
          <w:color w:val="auto"/>
          <w:spacing w:val="-2"/>
          <w:lang w:eastAsia="zh-CN"/>
        </w:rPr>
        <w:t>签字人签名：_____________</w:t>
      </w:r>
    </w:p>
    <w:p w14:paraId="11690E97">
      <w:pPr>
        <w:spacing w:line="216" w:lineRule="auto"/>
        <w:rPr>
          <w:rFonts w:ascii="宋体" w:hAnsi="宋体" w:eastAsia="宋体" w:cs="宋体"/>
          <w:color w:val="auto"/>
          <w:lang w:eastAsia="zh-CN"/>
        </w:rPr>
        <w:sectPr>
          <w:headerReference r:id="rId176" w:type="default"/>
          <w:footerReference r:id="rId177" w:type="default"/>
          <w:pgSz w:w="11906" w:h="16839"/>
          <w:pgMar w:top="400" w:right="0" w:bottom="1147" w:left="105" w:header="0" w:footer="987" w:gutter="0"/>
          <w:cols w:space="720" w:num="1"/>
        </w:sectPr>
      </w:pPr>
    </w:p>
    <w:p w14:paraId="72E9883E">
      <w:pPr>
        <w:pStyle w:val="8"/>
        <w:spacing w:line="246" w:lineRule="auto"/>
        <w:rPr>
          <w:lang w:eastAsia="zh-CN"/>
        </w:rPr>
      </w:pPr>
    </w:p>
    <w:p w14:paraId="6D4AA708">
      <w:pPr>
        <w:pStyle w:val="8"/>
        <w:spacing w:line="246" w:lineRule="auto"/>
        <w:rPr>
          <w:lang w:eastAsia="zh-CN"/>
        </w:rPr>
      </w:pPr>
    </w:p>
    <w:p w14:paraId="1C1A56A1">
      <w:pPr>
        <w:pStyle w:val="8"/>
        <w:spacing w:line="246" w:lineRule="auto"/>
        <w:rPr>
          <w:lang w:eastAsia="zh-CN"/>
        </w:rPr>
      </w:pPr>
    </w:p>
    <w:p w14:paraId="65E94BFD">
      <w:pPr>
        <w:pStyle w:val="8"/>
        <w:spacing w:line="246" w:lineRule="auto"/>
        <w:rPr>
          <w:lang w:eastAsia="zh-CN"/>
        </w:rPr>
      </w:pPr>
    </w:p>
    <w:p w14:paraId="1F6281AC">
      <w:pPr>
        <w:pStyle w:val="8"/>
        <w:spacing w:line="246" w:lineRule="auto"/>
        <w:rPr>
          <w:lang w:eastAsia="zh-CN"/>
        </w:rPr>
      </w:pPr>
    </w:p>
    <w:p w14:paraId="578FEF62">
      <w:pPr>
        <w:pStyle w:val="8"/>
        <w:spacing w:line="246" w:lineRule="auto"/>
        <w:rPr>
          <w:lang w:eastAsia="zh-CN"/>
        </w:rPr>
      </w:pPr>
    </w:p>
    <w:p w14:paraId="4199DDD4">
      <w:pPr>
        <w:pStyle w:val="8"/>
        <w:spacing w:line="246" w:lineRule="auto"/>
        <w:rPr>
          <w:lang w:eastAsia="zh-CN"/>
        </w:rPr>
      </w:pPr>
    </w:p>
    <w:p w14:paraId="7378F15E">
      <w:pPr>
        <w:pStyle w:val="8"/>
        <w:spacing w:line="246" w:lineRule="auto"/>
        <w:rPr>
          <w:lang w:eastAsia="zh-CN"/>
        </w:rPr>
      </w:pPr>
    </w:p>
    <w:p w14:paraId="025665DD">
      <w:pPr>
        <w:pStyle w:val="8"/>
        <w:spacing w:line="246" w:lineRule="auto"/>
        <w:rPr>
          <w:lang w:eastAsia="zh-CN"/>
        </w:rPr>
      </w:pPr>
    </w:p>
    <w:p w14:paraId="30BA8AB5">
      <w:pPr>
        <w:pStyle w:val="8"/>
        <w:spacing w:line="247" w:lineRule="auto"/>
        <w:rPr>
          <w:lang w:eastAsia="zh-CN"/>
        </w:rPr>
      </w:pPr>
    </w:p>
    <w:p w14:paraId="00047901">
      <w:pPr>
        <w:pStyle w:val="8"/>
        <w:spacing w:line="247" w:lineRule="auto"/>
        <w:rPr>
          <w:lang w:eastAsia="zh-CN"/>
        </w:rPr>
      </w:pPr>
    </w:p>
    <w:p w14:paraId="1BFFD8B9">
      <w:pPr>
        <w:pStyle w:val="8"/>
        <w:spacing w:line="247" w:lineRule="auto"/>
        <w:rPr>
          <w:lang w:eastAsia="zh-CN"/>
        </w:rPr>
      </w:pPr>
    </w:p>
    <w:p w14:paraId="7F75F8A6">
      <w:pPr>
        <w:pStyle w:val="8"/>
        <w:spacing w:line="247" w:lineRule="auto"/>
        <w:rPr>
          <w:lang w:eastAsia="zh-CN"/>
        </w:rPr>
      </w:pPr>
    </w:p>
    <w:p w14:paraId="177BB4EA">
      <w:pPr>
        <w:pStyle w:val="8"/>
        <w:spacing w:line="247" w:lineRule="auto"/>
        <w:rPr>
          <w:lang w:eastAsia="zh-CN"/>
        </w:rPr>
      </w:pPr>
    </w:p>
    <w:p w14:paraId="0260C0D4">
      <w:pPr>
        <w:pStyle w:val="8"/>
        <w:spacing w:line="247" w:lineRule="auto"/>
        <w:rPr>
          <w:lang w:eastAsia="zh-CN"/>
        </w:rPr>
      </w:pPr>
    </w:p>
    <w:p w14:paraId="2F653CC4">
      <w:pPr>
        <w:pStyle w:val="8"/>
        <w:spacing w:line="247" w:lineRule="auto"/>
        <w:rPr>
          <w:lang w:eastAsia="zh-CN"/>
        </w:rPr>
      </w:pPr>
    </w:p>
    <w:p w14:paraId="51009FDC">
      <w:pPr>
        <w:pStyle w:val="8"/>
        <w:spacing w:line="247" w:lineRule="auto"/>
        <w:rPr>
          <w:lang w:eastAsia="zh-CN"/>
        </w:rPr>
      </w:pPr>
    </w:p>
    <w:p w14:paraId="3C18A124">
      <w:pPr>
        <w:pStyle w:val="8"/>
        <w:spacing w:line="247" w:lineRule="auto"/>
        <w:rPr>
          <w:lang w:eastAsia="zh-CN"/>
        </w:rPr>
      </w:pPr>
    </w:p>
    <w:p w14:paraId="1AAA36AF">
      <w:pPr>
        <w:pStyle w:val="8"/>
        <w:spacing w:line="247" w:lineRule="auto"/>
        <w:rPr>
          <w:lang w:eastAsia="zh-CN"/>
        </w:rPr>
      </w:pPr>
    </w:p>
    <w:p w14:paraId="37F1E6D4">
      <w:pPr>
        <w:pStyle w:val="8"/>
        <w:spacing w:line="247" w:lineRule="auto"/>
        <w:rPr>
          <w:lang w:eastAsia="zh-CN"/>
        </w:rPr>
      </w:pPr>
    </w:p>
    <w:p w14:paraId="07583C60">
      <w:pPr>
        <w:pStyle w:val="8"/>
        <w:spacing w:line="247" w:lineRule="auto"/>
        <w:rPr>
          <w:lang w:eastAsia="zh-CN"/>
        </w:rPr>
      </w:pPr>
    </w:p>
    <w:p w14:paraId="571B507B">
      <w:pPr>
        <w:pStyle w:val="8"/>
        <w:spacing w:line="247" w:lineRule="auto"/>
        <w:rPr>
          <w:lang w:eastAsia="zh-CN"/>
        </w:rPr>
      </w:pPr>
    </w:p>
    <w:p w14:paraId="3D875909">
      <w:pPr>
        <w:pStyle w:val="8"/>
        <w:spacing w:line="247" w:lineRule="auto"/>
        <w:rPr>
          <w:lang w:eastAsia="zh-CN"/>
        </w:rPr>
      </w:pPr>
    </w:p>
    <w:p w14:paraId="08CBD3D8">
      <w:pPr>
        <w:spacing w:before="91" w:line="222" w:lineRule="auto"/>
        <w:ind w:left="3478"/>
        <w:outlineLvl w:val="1"/>
        <w:rPr>
          <w:rFonts w:ascii="黑体" w:hAnsi="黑体" w:eastAsia="黑体" w:cs="黑体"/>
          <w:color w:val="auto"/>
          <w:sz w:val="28"/>
          <w:szCs w:val="28"/>
          <w:lang w:eastAsia="zh-CN"/>
        </w:rPr>
      </w:pPr>
      <w:bookmarkStart w:id="468" w:name="bookmark204"/>
      <w:bookmarkEnd w:id="468"/>
      <w:bookmarkStart w:id="469" w:name="_Toc22408"/>
      <w:bookmarkStart w:id="470" w:name="_Toc29773"/>
      <w:bookmarkStart w:id="471" w:name="_Toc3849"/>
      <w:bookmarkStart w:id="472" w:name="_Toc21166"/>
      <w:bookmarkStart w:id="473" w:name="_Toc4598"/>
      <w:bookmarkStart w:id="474" w:name="_Toc24485"/>
      <w:r>
        <w:rPr>
          <w:rFonts w:ascii="黑体" w:hAnsi="黑体" w:eastAsia="黑体" w:cs="黑体"/>
          <w:color w:val="auto"/>
          <w:spacing w:val="-1"/>
          <w:sz w:val="28"/>
          <w:szCs w:val="28"/>
          <w:lang w:eastAsia="zh-CN"/>
        </w:rPr>
        <w:t>八、投标设备技术性能指标的详细描述</w:t>
      </w:r>
      <w:bookmarkEnd w:id="469"/>
      <w:bookmarkEnd w:id="470"/>
      <w:bookmarkEnd w:id="471"/>
      <w:bookmarkEnd w:id="472"/>
      <w:bookmarkEnd w:id="473"/>
      <w:bookmarkEnd w:id="474"/>
    </w:p>
    <w:p w14:paraId="3C80DA4C">
      <w:pPr>
        <w:spacing w:line="222" w:lineRule="auto"/>
        <w:rPr>
          <w:rFonts w:ascii="黑体" w:hAnsi="黑体" w:eastAsia="黑体" w:cs="黑体"/>
          <w:color w:val="auto"/>
          <w:sz w:val="28"/>
          <w:szCs w:val="28"/>
          <w:lang w:eastAsia="zh-CN"/>
        </w:rPr>
        <w:sectPr>
          <w:headerReference r:id="rId178" w:type="default"/>
          <w:footerReference r:id="rId179" w:type="default"/>
          <w:pgSz w:w="11906" w:h="16839"/>
          <w:pgMar w:top="400" w:right="0" w:bottom="1147" w:left="105" w:header="0" w:footer="987" w:gutter="0"/>
          <w:cols w:space="720" w:num="1"/>
        </w:sectPr>
      </w:pPr>
    </w:p>
    <w:p w14:paraId="23845C8A">
      <w:pPr>
        <w:pStyle w:val="8"/>
        <w:spacing w:line="246" w:lineRule="auto"/>
        <w:rPr>
          <w:lang w:eastAsia="zh-CN"/>
        </w:rPr>
      </w:pPr>
    </w:p>
    <w:p w14:paraId="34DB1475">
      <w:pPr>
        <w:pStyle w:val="8"/>
        <w:spacing w:line="246" w:lineRule="auto"/>
        <w:rPr>
          <w:lang w:eastAsia="zh-CN"/>
        </w:rPr>
      </w:pPr>
    </w:p>
    <w:p w14:paraId="676DEE88">
      <w:pPr>
        <w:pStyle w:val="8"/>
        <w:spacing w:line="246" w:lineRule="auto"/>
        <w:rPr>
          <w:lang w:eastAsia="zh-CN"/>
        </w:rPr>
      </w:pPr>
    </w:p>
    <w:p w14:paraId="340EDBCB">
      <w:pPr>
        <w:pStyle w:val="8"/>
        <w:spacing w:line="246" w:lineRule="auto"/>
        <w:rPr>
          <w:lang w:eastAsia="zh-CN"/>
        </w:rPr>
      </w:pPr>
    </w:p>
    <w:p w14:paraId="02035CA5">
      <w:pPr>
        <w:pStyle w:val="8"/>
        <w:spacing w:line="246" w:lineRule="auto"/>
        <w:rPr>
          <w:lang w:eastAsia="zh-CN"/>
        </w:rPr>
      </w:pPr>
    </w:p>
    <w:p w14:paraId="19361350">
      <w:pPr>
        <w:pStyle w:val="8"/>
        <w:spacing w:line="246" w:lineRule="auto"/>
        <w:rPr>
          <w:lang w:eastAsia="zh-CN"/>
        </w:rPr>
      </w:pPr>
    </w:p>
    <w:p w14:paraId="523206E5">
      <w:pPr>
        <w:pStyle w:val="8"/>
        <w:spacing w:line="246" w:lineRule="auto"/>
        <w:rPr>
          <w:lang w:eastAsia="zh-CN"/>
        </w:rPr>
      </w:pPr>
    </w:p>
    <w:p w14:paraId="12FA7F6B">
      <w:pPr>
        <w:pStyle w:val="8"/>
        <w:spacing w:line="246" w:lineRule="auto"/>
        <w:rPr>
          <w:lang w:eastAsia="zh-CN"/>
        </w:rPr>
      </w:pPr>
    </w:p>
    <w:p w14:paraId="0371724B">
      <w:pPr>
        <w:pStyle w:val="8"/>
        <w:spacing w:line="246" w:lineRule="auto"/>
        <w:rPr>
          <w:lang w:eastAsia="zh-CN"/>
        </w:rPr>
      </w:pPr>
    </w:p>
    <w:p w14:paraId="4943942D">
      <w:pPr>
        <w:pStyle w:val="8"/>
        <w:spacing w:line="247" w:lineRule="auto"/>
        <w:rPr>
          <w:lang w:eastAsia="zh-CN"/>
        </w:rPr>
      </w:pPr>
    </w:p>
    <w:p w14:paraId="716026F7">
      <w:pPr>
        <w:pStyle w:val="8"/>
        <w:spacing w:line="247" w:lineRule="auto"/>
        <w:rPr>
          <w:lang w:eastAsia="zh-CN"/>
        </w:rPr>
      </w:pPr>
    </w:p>
    <w:p w14:paraId="2808B6D6">
      <w:pPr>
        <w:pStyle w:val="8"/>
        <w:spacing w:line="247" w:lineRule="auto"/>
        <w:rPr>
          <w:lang w:eastAsia="zh-CN"/>
        </w:rPr>
      </w:pPr>
    </w:p>
    <w:p w14:paraId="09D32CC4">
      <w:pPr>
        <w:pStyle w:val="8"/>
        <w:spacing w:line="247" w:lineRule="auto"/>
        <w:rPr>
          <w:lang w:eastAsia="zh-CN"/>
        </w:rPr>
      </w:pPr>
    </w:p>
    <w:p w14:paraId="14691D21">
      <w:pPr>
        <w:pStyle w:val="8"/>
        <w:spacing w:line="247" w:lineRule="auto"/>
        <w:rPr>
          <w:lang w:eastAsia="zh-CN"/>
        </w:rPr>
      </w:pPr>
    </w:p>
    <w:p w14:paraId="395B0314">
      <w:pPr>
        <w:pStyle w:val="8"/>
        <w:spacing w:line="247" w:lineRule="auto"/>
        <w:rPr>
          <w:lang w:eastAsia="zh-CN"/>
        </w:rPr>
      </w:pPr>
    </w:p>
    <w:p w14:paraId="2B82D098">
      <w:pPr>
        <w:pStyle w:val="8"/>
        <w:spacing w:line="247" w:lineRule="auto"/>
        <w:rPr>
          <w:lang w:eastAsia="zh-CN"/>
        </w:rPr>
      </w:pPr>
    </w:p>
    <w:p w14:paraId="57AF1A56">
      <w:pPr>
        <w:pStyle w:val="8"/>
        <w:spacing w:line="247" w:lineRule="auto"/>
        <w:rPr>
          <w:lang w:eastAsia="zh-CN"/>
        </w:rPr>
      </w:pPr>
    </w:p>
    <w:p w14:paraId="74291A95">
      <w:pPr>
        <w:pStyle w:val="8"/>
        <w:spacing w:line="247" w:lineRule="auto"/>
        <w:rPr>
          <w:lang w:eastAsia="zh-CN"/>
        </w:rPr>
      </w:pPr>
    </w:p>
    <w:p w14:paraId="1F80E3D9">
      <w:pPr>
        <w:pStyle w:val="8"/>
        <w:spacing w:line="247" w:lineRule="auto"/>
        <w:rPr>
          <w:lang w:eastAsia="zh-CN"/>
        </w:rPr>
      </w:pPr>
    </w:p>
    <w:p w14:paraId="444B9AED">
      <w:pPr>
        <w:pStyle w:val="8"/>
        <w:spacing w:line="247" w:lineRule="auto"/>
        <w:rPr>
          <w:lang w:eastAsia="zh-CN"/>
        </w:rPr>
      </w:pPr>
    </w:p>
    <w:p w14:paraId="78748576">
      <w:pPr>
        <w:pStyle w:val="8"/>
        <w:spacing w:line="247" w:lineRule="auto"/>
        <w:rPr>
          <w:lang w:eastAsia="zh-CN"/>
        </w:rPr>
      </w:pPr>
    </w:p>
    <w:p w14:paraId="725600DC">
      <w:pPr>
        <w:pStyle w:val="8"/>
        <w:spacing w:line="247" w:lineRule="auto"/>
        <w:rPr>
          <w:lang w:eastAsia="zh-CN"/>
        </w:rPr>
      </w:pPr>
    </w:p>
    <w:p w14:paraId="28DA188A">
      <w:pPr>
        <w:pStyle w:val="8"/>
        <w:spacing w:line="247" w:lineRule="auto"/>
        <w:rPr>
          <w:lang w:eastAsia="zh-CN"/>
        </w:rPr>
      </w:pPr>
    </w:p>
    <w:p w14:paraId="42974093">
      <w:pPr>
        <w:spacing w:before="91" w:line="222" w:lineRule="auto"/>
        <w:ind w:left="4744"/>
        <w:outlineLvl w:val="1"/>
        <w:rPr>
          <w:rFonts w:ascii="黑体" w:hAnsi="黑体" w:eastAsia="黑体" w:cs="黑体"/>
          <w:color w:val="auto"/>
          <w:sz w:val="28"/>
          <w:szCs w:val="28"/>
          <w:lang w:eastAsia="zh-CN"/>
        </w:rPr>
      </w:pPr>
      <w:bookmarkStart w:id="475" w:name="bookmark205"/>
      <w:bookmarkEnd w:id="475"/>
      <w:bookmarkStart w:id="476" w:name="_Toc15755"/>
      <w:bookmarkStart w:id="477" w:name="_Toc27841"/>
      <w:bookmarkStart w:id="478" w:name="_Toc3346"/>
      <w:bookmarkStart w:id="479" w:name="_Toc32699"/>
      <w:bookmarkStart w:id="480" w:name="_Toc20656"/>
      <w:bookmarkStart w:id="481" w:name="_Toc28527"/>
      <w:r>
        <w:rPr>
          <w:rFonts w:ascii="黑体" w:hAnsi="黑体" w:eastAsia="黑体" w:cs="黑体"/>
          <w:color w:val="auto"/>
          <w:spacing w:val="-2"/>
          <w:sz w:val="28"/>
          <w:szCs w:val="28"/>
          <w:lang w:eastAsia="zh-CN"/>
        </w:rPr>
        <w:t>九、技术支持资料</w:t>
      </w:r>
      <w:bookmarkEnd w:id="476"/>
      <w:bookmarkEnd w:id="477"/>
      <w:bookmarkEnd w:id="478"/>
      <w:bookmarkEnd w:id="479"/>
      <w:bookmarkEnd w:id="480"/>
      <w:bookmarkEnd w:id="481"/>
    </w:p>
    <w:p w14:paraId="253C5AF8">
      <w:pPr>
        <w:spacing w:line="222" w:lineRule="auto"/>
        <w:rPr>
          <w:rFonts w:ascii="黑体" w:hAnsi="黑体" w:eastAsia="黑体" w:cs="黑体"/>
          <w:color w:val="auto"/>
          <w:sz w:val="28"/>
          <w:szCs w:val="28"/>
          <w:lang w:eastAsia="zh-CN"/>
        </w:rPr>
        <w:sectPr>
          <w:footerReference r:id="rId180" w:type="default"/>
          <w:pgSz w:w="11906" w:h="16839"/>
          <w:pgMar w:top="400" w:right="0" w:bottom="1147" w:left="105" w:header="0" w:footer="987" w:gutter="0"/>
          <w:cols w:space="720" w:num="1"/>
        </w:sectPr>
      </w:pPr>
    </w:p>
    <w:p w14:paraId="12232CE2">
      <w:pPr>
        <w:pStyle w:val="8"/>
        <w:rPr>
          <w:lang w:eastAsia="zh-CN"/>
        </w:rPr>
      </w:pPr>
    </w:p>
    <w:p w14:paraId="34488063">
      <w:pPr>
        <w:pStyle w:val="8"/>
        <w:rPr>
          <w:lang w:eastAsia="zh-CN"/>
        </w:rPr>
      </w:pPr>
    </w:p>
    <w:p w14:paraId="5884619C">
      <w:pPr>
        <w:pStyle w:val="8"/>
        <w:rPr>
          <w:lang w:eastAsia="zh-CN"/>
        </w:rPr>
      </w:pPr>
    </w:p>
    <w:p w14:paraId="07263CA6">
      <w:pPr>
        <w:pStyle w:val="8"/>
        <w:rPr>
          <w:lang w:eastAsia="zh-CN"/>
        </w:rPr>
      </w:pPr>
    </w:p>
    <w:p w14:paraId="649453A2">
      <w:pPr>
        <w:pStyle w:val="8"/>
        <w:rPr>
          <w:lang w:eastAsia="zh-CN"/>
        </w:rPr>
      </w:pPr>
    </w:p>
    <w:p w14:paraId="3CB1D6D0">
      <w:pPr>
        <w:pStyle w:val="8"/>
        <w:rPr>
          <w:lang w:eastAsia="zh-CN"/>
        </w:rPr>
      </w:pPr>
    </w:p>
    <w:p w14:paraId="33B9B45B">
      <w:pPr>
        <w:pStyle w:val="8"/>
        <w:rPr>
          <w:lang w:eastAsia="zh-CN"/>
        </w:rPr>
      </w:pPr>
    </w:p>
    <w:p w14:paraId="78E652DD">
      <w:pPr>
        <w:pStyle w:val="8"/>
        <w:rPr>
          <w:lang w:eastAsia="zh-CN"/>
        </w:rPr>
      </w:pPr>
    </w:p>
    <w:p w14:paraId="4F795D92">
      <w:pPr>
        <w:pStyle w:val="8"/>
        <w:spacing w:line="241" w:lineRule="auto"/>
        <w:rPr>
          <w:lang w:eastAsia="zh-CN"/>
        </w:rPr>
      </w:pPr>
    </w:p>
    <w:p w14:paraId="74CEB11B">
      <w:pPr>
        <w:pStyle w:val="8"/>
        <w:spacing w:line="241" w:lineRule="auto"/>
        <w:rPr>
          <w:lang w:eastAsia="zh-CN"/>
        </w:rPr>
      </w:pPr>
    </w:p>
    <w:p w14:paraId="7AF37434">
      <w:pPr>
        <w:pStyle w:val="8"/>
        <w:spacing w:line="241" w:lineRule="auto"/>
        <w:rPr>
          <w:lang w:eastAsia="zh-CN"/>
        </w:rPr>
      </w:pPr>
    </w:p>
    <w:p w14:paraId="3F7EC8E4">
      <w:pPr>
        <w:pStyle w:val="8"/>
        <w:spacing w:line="241" w:lineRule="auto"/>
        <w:rPr>
          <w:lang w:eastAsia="zh-CN"/>
        </w:rPr>
      </w:pPr>
    </w:p>
    <w:p w14:paraId="5A7BEF0F">
      <w:pPr>
        <w:pStyle w:val="8"/>
        <w:spacing w:line="241" w:lineRule="auto"/>
        <w:rPr>
          <w:lang w:eastAsia="zh-CN"/>
        </w:rPr>
      </w:pPr>
    </w:p>
    <w:p w14:paraId="0B564FF1">
      <w:pPr>
        <w:pStyle w:val="8"/>
        <w:spacing w:line="241" w:lineRule="auto"/>
        <w:rPr>
          <w:lang w:eastAsia="zh-CN"/>
        </w:rPr>
      </w:pPr>
    </w:p>
    <w:p w14:paraId="55850424">
      <w:pPr>
        <w:pStyle w:val="8"/>
        <w:spacing w:line="241" w:lineRule="auto"/>
        <w:rPr>
          <w:lang w:eastAsia="zh-CN"/>
        </w:rPr>
      </w:pPr>
    </w:p>
    <w:p w14:paraId="6594D2FC">
      <w:pPr>
        <w:pStyle w:val="8"/>
        <w:spacing w:line="241" w:lineRule="auto"/>
        <w:rPr>
          <w:lang w:eastAsia="zh-CN"/>
        </w:rPr>
      </w:pPr>
    </w:p>
    <w:p w14:paraId="2823A497">
      <w:pPr>
        <w:pStyle w:val="8"/>
        <w:spacing w:line="241" w:lineRule="auto"/>
        <w:rPr>
          <w:lang w:eastAsia="zh-CN"/>
        </w:rPr>
      </w:pPr>
    </w:p>
    <w:p w14:paraId="1BC6BEAC">
      <w:pPr>
        <w:pStyle w:val="8"/>
        <w:spacing w:line="241" w:lineRule="auto"/>
        <w:rPr>
          <w:lang w:eastAsia="zh-CN"/>
        </w:rPr>
      </w:pPr>
    </w:p>
    <w:p w14:paraId="509CD248">
      <w:pPr>
        <w:pStyle w:val="8"/>
        <w:spacing w:line="241" w:lineRule="auto"/>
        <w:rPr>
          <w:lang w:eastAsia="zh-CN"/>
        </w:rPr>
      </w:pPr>
    </w:p>
    <w:p w14:paraId="25820239">
      <w:pPr>
        <w:pStyle w:val="8"/>
        <w:spacing w:line="241" w:lineRule="auto"/>
        <w:rPr>
          <w:lang w:eastAsia="zh-CN"/>
        </w:rPr>
      </w:pPr>
    </w:p>
    <w:p w14:paraId="5636DE0B">
      <w:pPr>
        <w:pStyle w:val="8"/>
        <w:spacing w:line="241" w:lineRule="auto"/>
        <w:rPr>
          <w:lang w:eastAsia="zh-CN"/>
        </w:rPr>
      </w:pPr>
    </w:p>
    <w:p w14:paraId="13335A26">
      <w:pPr>
        <w:spacing w:before="91" w:line="221" w:lineRule="auto"/>
        <w:ind w:left="3901"/>
        <w:outlineLvl w:val="1"/>
        <w:rPr>
          <w:rFonts w:ascii="黑体" w:hAnsi="黑体" w:eastAsia="黑体" w:cs="黑体"/>
          <w:color w:val="auto"/>
          <w:sz w:val="28"/>
          <w:szCs w:val="28"/>
          <w:lang w:eastAsia="zh-CN"/>
        </w:rPr>
      </w:pPr>
      <w:bookmarkStart w:id="482" w:name="bookmark206"/>
      <w:bookmarkEnd w:id="482"/>
      <w:bookmarkStart w:id="483" w:name="_Toc24269"/>
      <w:bookmarkStart w:id="484" w:name="_Toc19480"/>
      <w:bookmarkStart w:id="485" w:name="_Toc19724"/>
      <w:bookmarkStart w:id="486" w:name="_Toc951"/>
      <w:bookmarkStart w:id="487" w:name="_Toc24197"/>
      <w:bookmarkStart w:id="488" w:name="_Toc31488"/>
      <w:r>
        <w:rPr>
          <w:rFonts w:ascii="黑体" w:hAnsi="黑体" w:eastAsia="黑体" w:cs="黑体"/>
          <w:color w:val="auto"/>
          <w:spacing w:val="-1"/>
          <w:sz w:val="28"/>
          <w:szCs w:val="28"/>
          <w:lang w:eastAsia="zh-CN"/>
        </w:rPr>
        <w:t>十、技术服务和质保期服务计划</w:t>
      </w:r>
      <w:bookmarkEnd w:id="483"/>
      <w:bookmarkEnd w:id="484"/>
      <w:bookmarkEnd w:id="485"/>
      <w:bookmarkEnd w:id="486"/>
      <w:bookmarkEnd w:id="487"/>
      <w:bookmarkEnd w:id="488"/>
    </w:p>
    <w:p w14:paraId="4BA1AB19">
      <w:pPr>
        <w:spacing w:line="221" w:lineRule="auto"/>
        <w:rPr>
          <w:rFonts w:ascii="黑体" w:hAnsi="黑体" w:eastAsia="黑体" w:cs="黑体"/>
          <w:color w:val="auto"/>
          <w:sz w:val="28"/>
          <w:szCs w:val="28"/>
          <w:lang w:eastAsia="zh-CN"/>
        </w:rPr>
        <w:sectPr>
          <w:footerReference r:id="rId181" w:type="default"/>
          <w:pgSz w:w="11906" w:h="16839"/>
          <w:pgMar w:top="400" w:right="0" w:bottom="1147" w:left="105" w:header="0" w:footer="987" w:gutter="0"/>
          <w:cols w:space="720" w:num="1"/>
        </w:sectPr>
      </w:pPr>
    </w:p>
    <w:p w14:paraId="2C918ACF">
      <w:pPr>
        <w:pStyle w:val="8"/>
        <w:spacing w:line="251" w:lineRule="auto"/>
        <w:rPr>
          <w:lang w:eastAsia="zh-CN"/>
        </w:rPr>
      </w:pPr>
    </w:p>
    <w:p w14:paraId="1E263A9D">
      <w:pPr>
        <w:pStyle w:val="8"/>
        <w:spacing w:line="251" w:lineRule="auto"/>
        <w:rPr>
          <w:lang w:eastAsia="zh-CN"/>
        </w:rPr>
      </w:pPr>
    </w:p>
    <w:p w14:paraId="5BDA44D2">
      <w:pPr>
        <w:pStyle w:val="8"/>
        <w:spacing w:line="251" w:lineRule="auto"/>
        <w:rPr>
          <w:lang w:eastAsia="zh-CN"/>
        </w:rPr>
      </w:pPr>
    </w:p>
    <w:p w14:paraId="1D786AA9">
      <w:pPr>
        <w:pStyle w:val="8"/>
        <w:spacing w:line="251" w:lineRule="auto"/>
        <w:rPr>
          <w:lang w:eastAsia="zh-CN"/>
        </w:rPr>
      </w:pPr>
    </w:p>
    <w:p w14:paraId="2A0E563A">
      <w:pPr>
        <w:pStyle w:val="8"/>
        <w:spacing w:line="251" w:lineRule="auto"/>
        <w:rPr>
          <w:lang w:eastAsia="zh-CN"/>
        </w:rPr>
      </w:pPr>
    </w:p>
    <w:p w14:paraId="012C7FBA">
      <w:pPr>
        <w:pStyle w:val="8"/>
        <w:spacing w:line="251" w:lineRule="auto"/>
        <w:rPr>
          <w:lang w:eastAsia="zh-CN"/>
        </w:rPr>
      </w:pPr>
    </w:p>
    <w:p w14:paraId="2FA109BD">
      <w:pPr>
        <w:pStyle w:val="8"/>
        <w:spacing w:line="251" w:lineRule="auto"/>
        <w:rPr>
          <w:lang w:eastAsia="zh-CN"/>
        </w:rPr>
      </w:pPr>
    </w:p>
    <w:p w14:paraId="3B6FE794">
      <w:pPr>
        <w:pStyle w:val="8"/>
        <w:spacing w:line="251" w:lineRule="auto"/>
        <w:rPr>
          <w:lang w:eastAsia="zh-CN"/>
        </w:rPr>
      </w:pPr>
    </w:p>
    <w:p w14:paraId="7AA2E633">
      <w:pPr>
        <w:pStyle w:val="8"/>
        <w:spacing w:line="251" w:lineRule="auto"/>
        <w:rPr>
          <w:lang w:eastAsia="zh-CN"/>
        </w:rPr>
      </w:pPr>
    </w:p>
    <w:p w14:paraId="4791A8E9">
      <w:pPr>
        <w:pStyle w:val="8"/>
        <w:spacing w:line="251" w:lineRule="auto"/>
        <w:rPr>
          <w:lang w:eastAsia="zh-CN"/>
        </w:rPr>
      </w:pPr>
    </w:p>
    <w:p w14:paraId="4B504EBF">
      <w:pPr>
        <w:pStyle w:val="8"/>
        <w:spacing w:line="251" w:lineRule="auto"/>
        <w:rPr>
          <w:lang w:eastAsia="zh-CN"/>
        </w:rPr>
      </w:pPr>
    </w:p>
    <w:p w14:paraId="61C52D17">
      <w:pPr>
        <w:pStyle w:val="8"/>
        <w:spacing w:line="251" w:lineRule="auto"/>
        <w:rPr>
          <w:lang w:eastAsia="zh-CN"/>
        </w:rPr>
      </w:pPr>
    </w:p>
    <w:p w14:paraId="15EA1745">
      <w:pPr>
        <w:pStyle w:val="8"/>
        <w:spacing w:line="251" w:lineRule="auto"/>
        <w:rPr>
          <w:lang w:eastAsia="zh-CN"/>
        </w:rPr>
      </w:pPr>
    </w:p>
    <w:p w14:paraId="48B3E567">
      <w:pPr>
        <w:pStyle w:val="8"/>
        <w:spacing w:line="252" w:lineRule="auto"/>
        <w:rPr>
          <w:lang w:eastAsia="zh-CN"/>
        </w:rPr>
      </w:pPr>
    </w:p>
    <w:p w14:paraId="4F4F014F">
      <w:pPr>
        <w:pStyle w:val="8"/>
        <w:spacing w:line="252" w:lineRule="auto"/>
        <w:rPr>
          <w:lang w:eastAsia="zh-CN"/>
        </w:rPr>
      </w:pPr>
    </w:p>
    <w:p w14:paraId="663B36CE">
      <w:pPr>
        <w:pStyle w:val="8"/>
        <w:spacing w:line="252" w:lineRule="auto"/>
        <w:rPr>
          <w:lang w:eastAsia="zh-CN"/>
        </w:rPr>
      </w:pPr>
    </w:p>
    <w:p w14:paraId="2C848309">
      <w:pPr>
        <w:pStyle w:val="8"/>
        <w:spacing w:line="252" w:lineRule="auto"/>
        <w:rPr>
          <w:lang w:eastAsia="zh-CN"/>
        </w:rPr>
      </w:pPr>
    </w:p>
    <w:p w14:paraId="0348ED70">
      <w:pPr>
        <w:pStyle w:val="8"/>
        <w:spacing w:line="252" w:lineRule="auto"/>
        <w:rPr>
          <w:lang w:eastAsia="zh-CN"/>
        </w:rPr>
      </w:pPr>
    </w:p>
    <w:p w14:paraId="244E73ED">
      <w:pPr>
        <w:pStyle w:val="8"/>
        <w:spacing w:line="252" w:lineRule="auto"/>
        <w:rPr>
          <w:lang w:eastAsia="zh-CN"/>
        </w:rPr>
      </w:pPr>
    </w:p>
    <w:p w14:paraId="73614B21">
      <w:pPr>
        <w:spacing w:before="91" w:line="222" w:lineRule="auto"/>
        <w:ind w:left="4881"/>
        <w:outlineLvl w:val="1"/>
        <w:rPr>
          <w:rFonts w:ascii="黑体" w:hAnsi="黑体" w:eastAsia="黑体" w:cs="黑体"/>
          <w:color w:val="auto"/>
          <w:sz w:val="28"/>
          <w:szCs w:val="28"/>
        </w:rPr>
      </w:pPr>
      <w:bookmarkStart w:id="489" w:name="bookmark207"/>
      <w:bookmarkEnd w:id="489"/>
      <w:bookmarkStart w:id="490" w:name="_Toc11205"/>
      <w:bookmarkStart w:id="491" w:name="_Toc6727"/>
      <w:bookmarkStart w:id="492" w:name="_Toc10833"/>
      <w:bookmarkStart w:id="493" w:name="_Toc23955"/>
      <w:bookmarkStart w:id="494" w:name="_Toc29797"/>
      <w:bookmarkStart w:id="495" w:name="_Toc2265"/>
      <w:r>
        <w:rPr>
          <w:rFonts w:ascii="黑体" w:hAnsi="黑体" w:eastAsia="黑体" w:cs="黑体"/>
          <w:color w:val="auto"/>
          <w:spacing w:val="-4"/>
          <w:sz w:val="28"/>
          <w:szCs w:val="28"/>
        </w:rPr>
        <w:t>十一、其他材料</w:t>
      </w:r>
      <w:bookmarkEnd w:id="490"/>
      <w:bookmarkEnd w:id="491"/>
      <w:bookmarkEnd w:id="492"/>
      <w:bookmarkEnd w:id="493"/>
      <w:bookmarkEnd w:id="494"/>
      <w:bookmarkEnd w:id="495"/>
    </w:p>
    <w:sectPr>
      <w:footerReference r:id="rId182" w:type="default"/>
      <w:pgSz w:w="11906" w:h="16839"/>
      <w:pgMar w:top="400" w:right="0" w:bottom="1147" w:left="105" w:header="0" w:footer="98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854C9F6-D239-4BCE-9405-8AD55AF33BEE}"/>
  </w:font>
  <w:font w:name="黑体">
    <w:panose1 w:val="02010609060101010101"/>
    <w:charset w:val="86"/>
    <w:family w:val="auto"/>
    <w:pitch w:val="default"/>
    <w:sig w:usb0="800002BF" w:usb1="38CF7CFA" w:usb2="00000016" w:usb3="00000000" w:csb0="00040001" w:csb1="00000000"/>
    <w:embedRegular r:id="rId2" w:fontKey="{40E46AFD-A634-4301-9365-978FED34118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embedRegular r:id="rId3" w:fontKey="{CC51D49F-545D-42F6-9FDC-ED9311AD61A4}"/>
  </w:font>
  <w:font w:name="方正仿宋_GBK">
    <w:panose1 w:val="02000000000000000000"/>
    <w:charset w:val="86"/>
    <w:family w:val="auto"/>
    <w:pitch w:val="default"/>
    <w:sig w:usb0="A00002BF" w:usb1="38CF7CFA" w:usb2="00082016" w:usb3="00000000" w:csb0="00040001" w:csb1="00000000"/>
    <w:embedRegular r:id="rId4" w:fontKey="{EB370905-4FAC-4927-8FCE-7E9DE1294B62}"/>
  </w:font>
  <w:font w:name="方正仿宋_GB18030">
    <w:panose1 w:val="02000000000000000000"/>
    <w:charset w:val="86"/>
    <w:family w:val="auto"/>
    <w:pitch w:val="default"/>
    <w:sig w:usb0="00000001" w:usb1="08000000" w:usb2="00000000" w:usb3="00000000" w:csb0="00040000" w:csb1="00000000"/>
    <w:embedRegular r:id="rId5" w:fontKey="{D1313E8E-9F7A-4600-B04F-B9BC94CE4114}"/>
  </w:font>
  <w:font w:name="Segoe UI Symbol">
    <w:panose1 w:val="020B0502040204020203"/>
    <w:charset w:val="00"/>
    <w:family w:val="swiss"/>
    <w:pitch w:val="default"/>
    <w:sig w:usb0="8000006F" w:usb1="1200FBEF" w:usb2="0064C000" w:usb3="00000002" w:csb0="00000001" w:csb1="40000000"/>
    <w:embedRegular r:id="rId6" w:fontKey="{B45FA5B2-9896-40BE-B074-97D470FE9BDE}"/>
  </w:font>
  <w:font w:name="仿宋">
    <w:panose1 w:val="02010609060101010101"/>
    <w:charset w:val="86"/>
    <w:family w:val="modern"/>
    <w:pitch w:val="default"/>
    <w:sig w:usb0="800002BF" w:usb1="38CF7CFA" w:usb2="00000016" w:usb3="00000000" w:csb0="00040001" w:csb1="00000000"/>
    <w:embedRegular r:id="rId7" w:fontKey="{9A0504DE-8C11-4FFC-8330-B433E440D184}"/>
  </w:font>
  <w:font w:name="楷体">
    <w:panose1 w:val="02010609060101010101"/>
    <w:charset w:val="86"/>
    <w:family w:val="modern"/>
    <w:pitch w:val="default"/>
    <w:sig w:usb0="800002BF" w:usb1="38CF7CFA" w:usb2="00000016" w:usb3="00000000" w:csb0="00040001" w:csb1="00000000"/>
    <w:embedRegular r:id="rId8" w:fontKey="{EDF8B538-59A8-4CE5-B259-0A248D384735}"/>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16F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5BBBD0">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95BBBD0">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453C4">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D135A66">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4D135A66">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67E00">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B07B1A">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3FB07B1A">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8305">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A49F32B">
                          <w:pPr>
                            <w:pStyle w:val="1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5A49F32B">
                    <w:pPr>
                      <w:pStyle w:val="1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D6E5">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5D2DC0">
                          <w:pPr>
                            <w:pStyle w:val="1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785D2DC0">
                    <w:pPr>
                      <w:pStyle w:val="1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A85E9">
    <w:pPr>
      <w:pStyle w:val="1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8F7DC5">
                          <w:pPr>
                            <w:pStyle w:val="1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738F7DC5">
                    <w:pPr>
                      <w:pStyle w:val="1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134C3">
    <w:pPr>
      <w:pStyle w:val="1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79D05F">
                          <w:pPr>
                            <w:pStyle w:val="1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D79D05F">
                    <w:pPr>
                      <w:pStyle w:val="1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40F91">
    <w:pPr>
      <w:pStyle w:val="1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83D7B2">
                          <w:pPr>
                            <w:pStyle w:val="1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4283D7B2">
                    <w:pPr>
                      <w:pStyle w:val="1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CECED">
    <w:pPr>
      <w:pStyle w:val="1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B9712BC">
                          <w:pPr>
                            <w:pStyle w:val="1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1B9712BC">
                    <w:pPr>
                      <w:pStyle w:val="1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424C5">
    <w:pPr>
      <w:pStyle w:val="1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45CFFA">
                          <w:pPr>
                            <w:pStyle w:val="1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3145CFFA">
                    <w:pPr>
                      <w:pStyle w:val="1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7F7EF">
    <w:pPr>
      <w:pStyle w:val="1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FDF6A1">
                          <w:pPr>
                            <w:pStyle w:val="1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08FDF6A1">
                    <w:pPr>
                      <w:pStyle w:val="13"/>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9D2D0">
    <w:pPr>
      <w:pStyle w:val="13"/>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12FD98">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7512FD98">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0BC6F">
    <w:pPr>
      <w:pStyle w:val="13"/>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4C7158D">
                          <w:pPr>
                            <w:pStyle w:val="1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54C7158D">
                    <w:pPr>
                      <w:pStyle w:val="1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09661">
    <w:pPr>
      <w:pStyle w:val="13"/>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CE1CF9">
                          <w:pPr>
                            <w:pStyle w:val="13"/>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70CE1CF9">
                    <w:pPr>
                      <w:pStyle w:val="13"/>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41027">
    <w:pPr>
      <w:pStyle w:val="13"/>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8A0101">
                          <w:pPr>
                            <w:pStyle w:val="13"/>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14:paraId="728A0101">
                    <w:pPr>
                      <w:pStyle w:val="1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C641">
    <w:pPr>
      <w:pStyle w:val="13"/>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85FB56">
                          <w:pPr>
                            <w:pStyle w:val="13"/>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4285FB56">
                    <w:pPr>
                      <w:pStyle w:val="13"/>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4ED89">
    <w:pPr>
      <w:pStyle w:val="13"/>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058992">
                          <w:pPr>
                            <w:pStyle w:val="1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42058992">
                    <w:pPr>
                      <w:pStyle w:val="1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14C1B">
    <w:pPr>
      <w:pStyle w:val="13"/>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70115E">
                          <w:pPr>
                            <w:pStyle w:val="1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ohX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DohXI5AgAAcQQAAA4AAAAAAAAAAQAgAAAAHwEAAGRycy9lMm9Eb2Mu&#10;eG1sUEsFBgAAAAAGAAYAWQEAAMoFAAAAAA==&#10;">
              <v:fill on="f" focussize="0,0"/>
              <v:stroke on="f" weight="0.5pt"/>
              <v:imagedata o:title=""/>
              <o:lock v:ext="edit" aspectratio="f"/>
              <v:textbox inset="0mm,0mm,0mm,0mm" style="mso-fit-shape-to-text:t;">
                <w:txbxContent>
                  <w:p w14:paraId="7970115E">
                    <w:pPr>
                      <w:pStyle w:val="1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9DDF4">
    <w:pPr>
      <w:pStyle w:val="13"/>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88C024">
                          <w:pPr>
                            <w:pStyle w:val="1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14:paraId="3688C024">
                    <w:pPr>
                      <w:pStyle w:val="1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70F1">
    <w:pPr>
      <w:pStyle w:val="13"/>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8CA2CF">
                          <w:pPr>
                            <w:pStyle w:val="1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148CA2CF">
                    <w:pPr>
                      <w:pStyle w:val="1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11015">
    <w:pPr>
      <w:pStyle w:val="13"/>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491E3B">
                          <w:pPr>
                            <w:pStyle w:val="1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bC8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KUmwvOgIAAHEEAAAOAAAAAAAAAAEAIAAAAB8BAABkcnMvZTJvRG9j&#10;LnhtbFBLBQYAAAAABgAGAFkBAADLBQAAAAA=&#10;">
              <v:fill on="f" focussize="0,0"/>
              <v:stroke on="f" weight="0.5pt"/>
              <v:imagedata o:title=""/>
              <o:lock v:ext="edit" aspectratio="f"/>
              <v:textbox inset="0mm,0mm,0mm,0mm" style="mso-fit-shape-to-text:t;">
                <w:txbxContent>
                  <w:p w14:paraId="4B491E3B">
                    <w:pPr>
                      <w:pStyle w:val="1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04BC">
    <w:pPr>
      <w:pStyle w:val="13"/>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44BC0C">
                          <w:pPr>
                            <w:pStyle w:val="1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2+aU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g2+aU5AgAAcQQAAA4AAAAAAAAAAQAgAAAAHwEAAGRycy9lMm9Eb2Mu&#10;eG1sUEsFBgAAAAAGAAYAWQEAAMoFAAAAAA==&#10;">
              <v:fill on="f" focussize="0,0"/>
              <v:stroke on="f" weight="0.5pt"/>
              <v:imagedata o:title=""/>
              <o:lock v:ext="edit" aspectratio="f"/>
              <v:textbox inset="0mm,0mm,0mm,0mm" style="mso-fit-shape-to-text:t;">
                <w:txbxContent>
                  <w:p w14:paraId="7244BC0C">
                    <w:pPr>
                      <w:pStyle w:val="1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B9061">
    <w:pPr>
      <w:pStyle w:val="13"/>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38B2289">
                          <w:pPr>
                            <w:pStyle w:val="1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1u+M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pbW74zgCAABxBAAADgAAAAAAAAABACAAAAAfAQAAZHJzL2Uyb0RvYy54&#10;bWxQSwUGAAAAAAYABgBZAQAAyQUAAAAA&#10;">
              <v:fill on="f" focussize="0,0"/>
              <v:stroke on="f" weight="0.5pt"/>
              <v:imagedata o:title=""/>
              <o:lock v:ext="edit" aspectratio="f"/>
              <v:textbox inset="0mm,0mm,0mm,0mm" style="mso-fit-shape-to-text:t;">
                <w:txbxContent>
                  <w:p w14:paraId="338B2289">
                    <w:pPr>
                      <w:pStyle w:val="1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66E4">
    <w:pPr>
      <w:pStyle w:val="13"/>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55369B">
                          <w:pPr>
                            <w:pStyle w:val="1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H8aY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QH8aY5AgAAcQQAAA4AAAAAAAAAAQAgAAAAHwEAAGRycy9lMm9Eb2Mu&#10;eG1sUEsFBgAAAAAGAAYAWQEAAMoFAAAAAA==&#10;">
              <v:fill on="f" focussize="0,0"/>
              <v:stroke on="f" weight="0.5pt"/>
              <v:imagedata o:title=""/>
              <o:lock v:ext="edit" aspectratio="f"/>
              <v:textbox inset="0mm,0mm,0mm,0mm" style="mso-fit-shape-to-text:t;">
                <w:txbxContent>
                  <w:p w14:paraId="6C55369B">
                    <w:pPr>
                      <w:pStyle w:val="1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077E">
    <w:pPr>
      <w:pStyle w:val="13"/>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5E7397">
                          <w:pPr>
                            <w:pStyle w:val="1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0Ueg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J0Ueg5AgAAcQQAAA4AAAAAAAAAAQAgAAAAHwEAAGRycy9lMm9Eb2Mu&#10;eG1sUEsFBgAAAAAGAAYAWQEAAMoFAAAAAA==&#10;">
              <v:fill on="f" focussize="0,0"/>
              <v:stroke on="f" weight="0.5pt"/>
              <v:imagedata o:title=""/>
              <o:lock v:ext="edit" aspectratio="f"/>
              <v:textbox inset="0mm,0mm,0mm,0mm" style="mso-fit-shape-to-text:t;">
                <w:txbxContent>
                  <w:p w14:paraId="445E7397">
                    <w:pPr>
                      <w:pStyle w:val="1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20EB2">
    <w:pPr>
      <w:pStyle w:val="13"/>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9DC3C75">
                          <w:pPr>
                            <w:pStyle w:val="1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GG605AgAAcQ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PGG605AgAAcQQAAA4AAAAAAAAAAQAgAAAAHwEAAGRycy9lMm9Eb2Mu&#10;eG1sUEsFBgAAAAAGAAYAWQEAAMoFAAAAAA==&#10;">
              <v:fill on="f" focussize="0,0"/>
              <v:stroke on="f" weight="0.5pt"/>
              <v:imagedata o:title=""/>
              <o:lock v:ext="edit" aspectratio="f"/>
              <v:textbox inset="0mm,0mm,0mm,0mm" style="mso-fit-shape-to-text:t;">
                <w:txbxContent>
                  <w:p w14:paraId="09DC3C75">
                    <w:pPr>
                      <w:pStyle w:val="1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DFB0E">
    <w:pPr>
      <w:pStyle w:val="13"/>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7BAD75E">
                          <w:pPr>
                            <w:pStyle w:val="1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QxGI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AEMRiOgIAAHEEAAAOAAAAAAAAAAEAIAAAAB8BAABkcnMvZTJvRG9j&#10;LnhtbFBLBQYAAAAABgAGAFkBAADLBQAAAAA=&#10;">
              <v:fill on="f" focussize="0,0"/>
              <v:stroke on="f" weight="0.5pt"/>
              <v:imagedata o:title=""/>
              <o:lock v:ext="edit" aspectratio="f"/>
              <v:textbox inset="0mm,0mm,0mm,0mm" style="mso-fit-shape-to-text:t;">
                <w:txbxContent>
                  <w:p w14:paraId="37BAD75E">
                    <w:pPr>
                      <w:pStyle w:val="1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D11EA">
    <w:pPr>
      <w:pStyle w:val="13"/>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936214">
                          <w:pPr>
                            <w:pStyle w:val="1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ijic5AgAAc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Gijic5AgAAcQQAAA4AAAAAAAAAAQAgAAAAHwEAAGRycy9lMm9Eb2Mu&#10;eG1sUEsFBgAAAAAGAAYAWQEAAMoFAAAAAA==&#10;">
              <v:fill on="f" focussize="0,0"/>
              <v:stroke on="f" weight="0.5pt"/>
              <v:imagedata o:title=""/>
              <o:lock v:ext="edit" aspectratio="f"/>
              <v:textbox inset="0mm,0mm,0mm,0mm" style="mso-fit-shape-to-text:t;">
                <w:txbxContent>
                  <w:p w14:paraId="44936214">
                    <w:pPr>
                      <w:pStyle w:val="1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210F">
    <w:pPr>
      <w:pStyle w:val="13"/>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BDC7D52">
                          <w:pPr>
                            <w:pStyle w:val="1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6CiY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p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HugomOgIAAHEEAAAOAAAAAAAAAAEAIAAAAB8BAABkcnMvZTJvRG9j&#10;LnhtbFBLBQYAAAAABgAGAFkBAADLBQAAAAA=&#10;">
              <v:fill on="f" focussize="0,0"/>
              <v:stroke on="f" weight="0.5pt"/>
              <v:imagedata o:title=""/>
              <o:lock v:ext="edit" aspectratio="f"/>
              <v:textbox inset="0mm,0mm,0mm,0mm" style="mso-fit-shape-to-text:t;">
                <w:txbxContent>
                  <w:p w14:paraId="2BDC7D52">
                    <w:pPr>
                      <w:pStyle w:val="1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6F5E9">
    <w:pPr>
      <w:pStyle w:val="13"/>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79E532">
                          <w:pPr>
                            <w:pStyle w:val="1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IQGM6AgAAc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Ora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R0sK7e&#10;V90DzKFlYasfLY9polTerg4B0ibFo0CdKuhUPGASU8/6rYmj/uc5RT39U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mCEBjOgIAAHEEAAAOAAAAAAAAAAEAIAAAAB8BAABkcnMvZTJvRG9j&#10;LnhtbFBLBQYAAAAABgAGAFkBAADLBQAAAAA=&#10;">
              <v:fill on="f" focussize="0,0"/>
              <v:stroke on="f" weight="0.5pt"/>
              <v:imagedata o:title=""/>
              <o:lock v:ext="edit" aspectratio="f"/>
              <v:textbox inset="0mm,0mm,0mm,0mm" style="mso-fit-shape-to-text:t;">
                <w:txbxContent>
                  <w:p w14:paraId="6379E532">
                    <w:pPr>
                      <w:pStyle w:val="1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8F81E">
    <w:pPr>
      <w:pStyle w:val="13"/>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F77978">
                          <w:pPr>
                            <w:pStyle w:val="1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en6w5AgAAcQQAAA4AAABkcnMvZTJvRG9jLnhtbK1UzY7aMBC+V+o7&#10;WL6XAKs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dy8H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Xen6w5AgAAcQQAAA4AAAAAAAAAAQAgAAAAHwEAAGRycy9lMm9Eb2Mu&#10;eG1sUEsFBgAAAAAGAAYAWQEAAMoFAAAAAA==&#10;">
              <v:fill on="f" focussize="0,0"/>
              <v:stroke on="f" weight="0.5pt"/>
              <v:imagedata o:title=""/>
              <o:lock v:ext="edit" aspectratio="f"/>
              <v:textbox inset="0mm,0mm,0mm,0mm" style="mso-fit-shape-to-text:t;">
                <w:txbxContent>
                  <w:p w14:paraId="0CF77978">
                    <w:pPr>
                      <w:pStyle w:val="1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B227A">
    <w:pPr>
      <w:pStyle w:val="13"/>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051117">
                          <w:pPr>
                            <w:pStyle w:val="13"/>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Rs1ek6AgAAcQ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kbNXpOgIAAHEEAAAOAAAAAAAAAAEAIAAAAB8BAABkcnMvZTJvRG9j&#10;LnhtbFBLBQYAAAAABgAGAFkBAADLBQAAAAA=&#10;">
              <v:fill on="f" focussize="0,0"/>
              <v:stroke on="f" weight="0.5pt"/>
              <v:imagedata o:title=""/>
              <o:lock v:ext="edit" aspectratio="f"/>
              <v:textbox inset="0mm,0mm,0mm,0mm" style="mso-fit-shape-to-text:t;">
                <w:txbxContent>
                  <w:p w14:paraId="72051117">
                    <w:pPr>
                      <w:pStyle w:val="1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1262">
    <w:pPr>
      <w:pStyle w:val="13"/>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A23606">
                          <w:pPr>
                            <w:pStyle w:val="1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vl6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nvl685AgAAcQQAAA4AAAAAAAAAAQAgAAAAHwEAAGRycy9lMm9Eb2Mu&#10;eG1sUEsFBgAAAAAGAAYAWQEAAMoFAAAAAA==&#10;">
              <v:fill on="f" focussize="0,0"/>
              <v:stroke on="f" weight="0.5pt"/>
              <v:imagedata o:title=""/>
              <o:lock v:ext="edit" aspectratio="f"/>
              <v:textbox inset="0mm,0mm,0mm,0mm" style="mso-fit-shape-to-text:t;">
                <w:txbxContent>
                  <w:p w14:paraId="78A23606">
                    <w:pPr>
                      <w:pStyle w:val="1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9497F">
    <w:pPr>
      <w:pStyle w:val="13"/>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978650">
                          <w:pPr>
                            <w:pStyle w:val="13"/>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hd3eo6AgAAc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oXd3qOgIAAHEEAAAOAAAAAAAAAAEAIAAAAB8BAABkcnMvZTJvRG9j&#10;LnhtbFBLBQYAAAAABgAGAFkBAADLBQAAAAA=&#10;">
              <v:fill on="f" focussize="0,0"/>
              <v:stroke on="f" weight="0.5pt"/>
              <v:imagedata o:title=""/>
              <o:lock v:ext="edit" aspectratio="f"/>
              <v:textbox inset="0mm,0mm,0mm,0mm" style="mso-fit-shape-to-text:t;">
                <w:txbxContent>
                  <w:p w14:paraId="3A978650">
                    <w:pPr>
                      <w:pStyle w:val="13"/>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8F0A5">
    <w:pPr>
      <w:pStyle w:val="13"/>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77ACD1">
                          <w:pPr>
                            <w:pStyle w:val="1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5dc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25dc5AgAAcQQAAA4AAAAAAAAAAQAgAAAAHwEAAGRycy9lMm9Eb2Mu&#10;eG1sUEsFBgAAAAAGAAYAWQEAAMoFAAAAAA==&#10;">
              <v:fill on="f" focussize="0,0"/>
              <v:stroke on="f" weight="0.5pt"/>
              <v:imagedata o:title=""/>
              <o:lock v:ext="edit" aspectratio="f"/>
              <v:textbox inset="0mm,0mm,0mm,0mm" style="mso-fit-shape-to-text:t;">
                <w:txbxContent>
                  <w:p w14:paraId="4977ACD1">
                    <w:pPr>
                      <w:pStyle w:val="13"/>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9D62">
    <w:pPr>
      <w:pStyle w:val="13"/>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7E21BE">
                          <w:pPr>
                            <w:pStyle w:val="1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Er5I5AgAAc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ZEr5I5AgAAcQQAAA4AAAAAAAAAAQAgAAAAHwEAAGRycy9lMm9Eb2Mu&#10;eG1sUEsFBgAAAAAGAAYAWQEAAMoFAAAAAA==&#10;">
              <v:fill on="f" focussize="0,0"/>
              <v:stroke on="f" weight="0.5pt"/>
              <v:imagedata o:title=""/>
              <o:lock v:ext="edit" aspectratio="f"/>
              <v:textbox inset="0mm,0mm,0mm,0mm" style="mso-fit-shape-to-text:t;">
                <w:txbxContent>
                  <w:p w14:paraId="497E21BE">
                    <w:pPr>
                      <w:pStyle w:val="1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4AE40">
    <w:pPr>
      <w:pStyle w:val="13"/>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B472E72">
                          <w:pPr>
                            <w:pStyle w:val="1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ScF0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Z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WScF05AgAAcQQAAA4AAAAAAAAAAQAgAAAAHwEAAGRycy9lMm9Eb2Mu&#10;eG1sUEsFBgAAAAAGAAYAWQEAAMoFAAAAAA==&#10;">
              <v:fill on="f" focussize="0,0"/>
              <v:stroke on="f" weight="0.5pt"/>
              <v:imagedata o:title=""/>
              <o:lock v:ext="edit" aspectratio="f"/>
              <v:textbox inset="0mm,0mm,0mm,0mm" style="mso-fit-shape-to-text:t;">
                <w:txbxContent>
                  <w:p w14:paraId="7B472E72">
                    <w:pPr>
                      <w:pStyle w:val="1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0270B">
    <w:pPr>
      <w:pStyle w:val="13"/>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0E45CA">
                          <w:pPr>
                            <w:pStyle w:val="13"/>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gOhg6AgAAcQ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okQzhY6fvn87&#10;/fh1+vmV4A4CtdbPEPdgERm6t6bD2Az3HpeRd1c5FX/BiMAPeY8XeUUXCI+PppPpNIeLwzccgJ89&#10;PrfOh3fCKBKNgjr0L8nKDhsf+tAhJGbTZt1ImXooNWkLen31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kIDoYOgIAAHEEAAAOAAAAAAAAAAEAIAAAAB8BAABkcnMvZTJvRG9j&#10;LnhtbFBLBQYAAAAABgAGAFkBAADLBQAAAAA=&#10;">
              <v:fill on="f" focussize="0,0"/>
              <v:stroke on="f" weight="0.5pt"/>
              <v:imagedata o:title=""/>
              <o:lock v:ext="edit" aspectratio="f"/>
              <v:textbox inset="0mm,0mm,0mm,0mm" style="mso-fit-shape-to-text:t;">
                <w:txbxContent>
                  <w:p w14:paraId="0F0E45CA">
                    <w:pPr>
                      <w:pStyle w:val="1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7D90">
    <w:pPr>
      <w:pStyle w:val="13"/>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9CFFC3">
                          <w:pPr>
                            <w:pStyle w:val="13"/>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4vhk6AgAAc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dUaKZQsdP37+d&#10;fvw6/fxKcAeBWutniHuwiAzdW9NhbIZ7j8vIu6ucir9gROCHvMeLvKILhMdH08l0msPF4RsOwM8e&#10;n1vnwzthFIlGQR36l2Rlh40PfegQErNps26kTD2UmrQFvX79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COL4ZOgIAAHEEAAAOAAAAAAAAAAEAIAAAAB8BAABkcnMvZTJvRG9j&#10;LnhtbFBLBQYAAAAABgAGAFkBAADLBQAAAAA=&#10;">
              <v:fill on="f" focussize="0,0"/>
              <v:stroke on="f" weight="0.5pt"/>
              <v:imagedata o:title=""/>
              <o:lock v:ext="edit" aspectratio="f"/>
              <v:textbox inset="0mm,0mm,0mm,0mm" style="mso-fit-shape-to-text:t;">
                <w:txbxContent>
                  <w:p w14:paraId="089CFFC3">
                    <w:pPr>
                      <w:pStyle w:val="13"/>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E1920">
    <w:pPr>
      <w:pStyle w:val="13"/>
    </w:pPr>
    <w: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DA8A33">
                          <w:pPr>
                            <w:pStyle w:val="1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OK9Fw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jivRcOgIAAHEEAAAOAAAAAAAAAAEAIAAAAB8BAABkcnMvZTJvRG9j&#10;LnhtbFBLBQYAAAAABgAGAFkBAADLBQAAAAA=&#10;">
              <v:fill on="f" focussize="0,0"/>
              <v:stroke on="f" weight="0.5pt"/>
              <v:imagedata o:title=""/>
              <o:lock v:ext="edit" aspectratio="f"/>
              <v:textbox inset="0mm,0mm,0mm,0mm" style="mso-fit-shape-to-text:t;">
                <w:txbxContent>
                  <w:p w14:paraId="03DA8A33">
                    <w:pPr>
                      <w:pStyle w:val="13"/>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F47BC">
    <w:pPr>
      <w:pStyle w:val="13"/>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55C1DD">
                          <w:pPr>
                            <w:pStyle w:val="13"/>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cK5M5AgAAc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BcK5M5AgAAcQQAAA4AAAAAAAAAAQAgAAAAHwEAAGRycy9lMm9Eb2Mu&#10;eG1sUEsFBgAAAAAGAAYAWQEAAMoFAAAAAA==&#10;">
              <v:fill on="f" focussize="0,0"/>
              <v:stroke on="f" weight="0.5pt"/>
              <v:imagedata o:title=""/>
              <o:lock v:ext="edit" aspectratio="f"/>
              <v:textbox inset="0mm,0mm,0mm,0mm" style="mso-fit-shape-to-text:t;">
                <w:txbxContent>
                  <w:p w14:paraId="1D55C1DD">
                    <w:pPr>
                      <w:pStyle w:val="13"/>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58360">
    <w:pPr>
      <w:pStyle w:val="13"/>
    </w:pPr>
    <w: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B8F3D07">
                          <w:pPr>
                            <w:pStyle w:val="1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uYdY5AgAAc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HuYdY5AgAAcQQAAA4AAAAAAAAAAQAgAAAAHwEAAGRycy9lMm9Eb2Mu&#10;eG1sUEsFBgAAAAAGAAYAWQEAAMoFAAAAAA==&#10;">
              <v:fill on="f" focussize="0,0"/>
              <v:stroke on="f" weight="0.5pt"/>
              <v:imagedata o:title=""/>
              <o:lock v:ext="edit" aspectratio="f"/>
              <v:textbox inset="0mm,0mm,0mm,0mm" style="mso-fit-shape-to-text:t;">
                <w:txbxContent>
                  <w:p w14:paraId="3B8F3D07">
                    <w:pPr>
                      <w:pStyle w:val="13"/>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85BA4">
    <w:pPr>
      <w:pStyle w:val="13"/>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01B7CA">
                          <w:pPr>
                            <w:pStyle w:val="13"/>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xtI5A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xtI5A5AgAAcQQAAA4AAAAAAAAAAQAgAAAAHwEAAGRycy9lMm9Eb2Mu&#10;eG1sUEsFBgAAAAAGAAYAWQEAAMoFAAAAAA==&#10;">
              <v:fill on="f" focussize="0,0"/>
              <v:stroke on="f" weight="0.5pt"/>
              <v:imagedata o:title=""/>
              <o:lock v:ext="edit" aspectratio="f"/>
              <v:textbox inset="0mm,0mm,0mm,0mm" style="mso-fit-shape-to-text:t;">
                <w:txbxContent>
                  <w:p w14:paraId="6D01B7CA">
                    <w:pPr>
                      <w:pStyle w:val="13"/>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E0E4">
    <w:pPr>
      <w:pStyle w:val="13"/>
    </w:pPr>
    <w: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03E43A">
                          <w:pPr>
                            <w:pStyle w:val="13"/>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fadU5AgAAc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Ks3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3fadU5AgAAcQQAAA4AAAAAAAAAAQAgAAAAHwEAAGRycy9lMm9Eb2Mu&#10;eG1sUEsFBgAAAAAGAAYAWQEAAMoFAAAAAA==&#10;">
              <v:fill on="f" focussize="0,0"/>
              <v:stroke on="f" weight="0.5pt"/>
              <v:imagedata o:title=""/>
              <o:lock v:ext="edit" aspectratio="f"/>
              <v:textbox inset="0mm,0mm,0mm,0mm" style="mso-fit-shape-to-text:t;">
                <w:txbxContent>
                  <w:p w14:paraId="6D03E43A">
                    <w:pPr>
                      <w:pStyle w:val="13"/>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7EDF9">
    <w:pPr>
      <w:pStyle w:val="13"/>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33962F">
                          <w:pPr>
                            <w:pStyle w:val="1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rMmbNwIAAHEEAAAOAAAAAAAAAAEAIAAAAB8BAABkcnMvZTJvRG9jLnht&#10;bFBLBQYAAAAABgAGAFkBAADIBQAAAAA=&#10;">
              <v:fill on="f" focussize="0,0"/>
              <v:stroke on="f" weight="0.5pt"/>
              <v:imagedata o:title=""/>
              <o:lock v:ext="edit" aspectratio="f"/>
              <v:textbox inset="0mm,0mm,0mm,0mm" style="mso-fit-shape-to-text:t;">
                <w:txbxContent>
                  <w:p w14:paraId="1433962F">
                    <w:pPr>
                      <w:pStyle w:val="1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AD0C9">
    <w:pPr>
      <w:pStyle w:val="13"/>
    </w:pPr>
    <w: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9A27A9">
                          <w:pPr>
                            <w:pStyle w:val="13"/>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eg945AgAAc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oeg945AgAAcQQAAA4AAAAAAAAAAQAgAAAAHwEAAGRycy9lMm9Eb2Mu&#10;eG1sUEsFBgAAAAAGAAYAWQEAAMoFAAAAAA==&#10;">
              <v:fill on="f" focussize="0,0"/>
              <v:stroke on="f" weight="0.5pt"/>
              <v:imagedata o:title=""/>
              <o:lock v:ext="edit" aspectratio="f"/>
              <v:textbox inset="0mm,0mm,0mm,0mm" style="mso-fit-shape-to-text:t;">
                <w:txbxContent>
                  <w:p w14:paraId="659A27A9">
                    <w:pPr>
                      <w:pStyle w:val="13"/>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CF940">
    <w:pPr>
      <w:pStyle w:val="13"/>
    </w:pPr>
    <w: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53900D">
                          <w:pPr>
                            <w:pStyle w:val="13"/>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IXBE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pyFwROgIAAHEEAAAOAAAAAAAAAAEAIAAAAB8BAABkcnMvZTJvRG9j&#10;LnhtbFBLBQYAAAAABgAGAFkBAADLBQAAAAA=&#10;">
              <v:fill on="f" focussize="0,0"/>
              <v:stroke on="f" weight="0.5pt"/>
              <v:imagedata o:title=""/>
              <o:lock v:ext="edit" aspectratio="f"/>
              <v:textbox inset="0mm,0mm,0mm,0mm" style="mso-fit-shape-to-text:t;">
                <w:txbxContent>
                  <w:p w14:paraId="6A53900D">
                    <w:pPr>
                      <w:pStyle w:val="13"/>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11C1">
    <w:pPr>
      <w:pStyle w:val="13"/>
    </w:pPr>
    <w: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744F3A6">
                          <w:pPr>
                            <w:pStyle w:val="13"/>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6FlQ6AgAAc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PrK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R0sK7e&#10;V90DzKFlYasfLY9polTerg4B0ibFo0CdKuhUPGASU8/6rYmj/uc5RT39U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IehZUOgIAAHEEAAAOAAAAAAAAAAEAIAAAAB8BAABkcnMvZTJvRG9j&#10;LnhtbFBLBQYAAAAABgAGAFkBAADLBQAAAAA=&#10;">
              <v:fill on="f" focussize="0,0"/>
              <v:stroke on="f" weight="0.5pt"/>
              <v:imagedata o:title=""/>
              <o:lock v:ext="edit" aspectratio="f"/>
              <v:textbox inset="0mm,0mm,0mm,0mm" style="mso-fit-shape-to-text:t;">
                <w:txbxContent>
                  <w:p w14:paraId="3744F3A6">
                    <w:pPr>
                      <w:pStyle w:val="13"/>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868A">
    <w:pPr>
      <w:pStyle w:val="13"/>
    </w:pPr>
    <w: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84B6643">
                          <w:pPr>
                            <w:pStyle w:val="13"/>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5iklU6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uYpJVOgIAAHEEAAAOAAAAAAAAAAEAIAAAAB8BAABkcnMvZTJvRG9j&#10;LnhtbFBLBQYAAAAABgAGAFkBAADLBQAAAAA=&#10;">
              <v:fill on="f" focussize="0,0"/>
              <v:stroke on="f" weight="0.5pt"/>
              <v:imagedata o:title=""/>
              <o:lock v:ext="edit" aspectratio="f"/>
              <v:textbox inset="0mm,0mm,0mm,0mm" style="mso-fit-shape-to-text:t;">
                <w:txbxContent>
                  <w:p w14:paraId="484B6643">
                    <w:pPr>
                      <w:pStyle w:val="13"/>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B12A1">
    <w:pPr>
      <w:pStyle w:val="13"/>
    </w:pPr>
    <w: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8A2678">
                          <w:pPr>
                            <w:pStyle w:val="1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2BA5AgAAcQ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ZUKKZQsfPP76f&#10;f/4+//pGcAeBGutniNtaRIb2nWkxNv29x2Xk3ZZOxV8wIvBD3tNVXtEGwuOj6Xg6HcLF4esPwM+e&#10;nlvnw3thFIlGTh36l2Rlx40PXWgfErNps66lTD2UmjQ5vXk7G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Q2BA5AgAAcQQAAA4AAAAAAAAAAQAgAAAAHwEAAGRycy9lMm9Eb2Mu&#10;eG1sUEsFBgAAAAAGAAYAWQEAAMoFAAAAAA==&#10;">
              <v:fill on="f" focussize="0,0"/>
              <v:stroke on="f" weight="0.5pt"/>
              <v:imagedata o:title=""/>
              <o:lock v:ext="edit" aspectratio="f"/>
              <v:textbox inset="0mm,0mm,0mm,0mm" style="mso-fit-shape-to-text:t;">
                <w:txbxContent>
                  <w:p w14:paraId="578A2678">
                    <w:pPr>
                      <w:pStyle w:val="1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5B026">
    <w:pPr>
      <w:pStyle w:val="13"/>
    </w:pPr>
    <w: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629F58">
                          <w:pPr>
                            <w:pStyle w:val="13"/>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wGB985AgAAcQ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CwGB985AgAAcQQAAA4AAAAAAAAAAQAgAAAAHwEAAGRycy9lMm9Eb2Mu&#10;eG1sUEsFBgAAAAAGAAYAWQEAAMoFAAAAAA==&#10;">
              <v:fill on="f" focussize="0,0"/>
              <v:stroke on="f" weight="0.5pt"/>
              <v:imagedata o:title=""/>
              <o:lock v:ext="edit" aspectratio="f"/>
              <v:textbox inset="0mm,0mm,0mm,0mm" style="mso-fit-shape-to-text:t;">
                <w:txbxContent>
                  <w:p w14:paraId="0A629F58">
                    <w:pPr>
                      <w:pStyle w:val="13"/>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C352E">
    <w:pPr>
      <w:pStyle w:val="13"/>
    </w:pPr>
    <w: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35B1BE">
                          <w:pPr>
                            <w:pStyle w:val="13"/>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0TZo6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tE2aOgIAAHEEAAAOAAAAAAAAAAEAIAAAAB8BAABkcnMvZTJvRG9j&#10;LnhtbFBLBQYAAAAABgAGAFkBAADLBQAAAAA=&#10;">
              <v:fill on="f" focussize="0,0"/>
              <v:stroke on="f" weight="0.5pt"/>
              <v:imagedata o:title=""/>
              <o:lock v:ext="edit" aspectratio="f"/>
              <v:textbox inset="0mm,0mm,0mm,0mm" style="mso-fit-shape-to-text:t;">
                <w:txbxContent>
                  <w:p w14:paraId="5F35B1BE">
                    <w:pPr>
                      <w:pStyle w:val="13"/>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0FFE9">
    <w:pPr>
      <w:pStyle w:val="13"/>
    </w:pPr>
    <w: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903222">
                          <w:pPr>
                            <w:pStyle w:val="13"/>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A3D9w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A3D9w5AgAAcQQAAA4AAAAAAAAAAQAgAAAAHwEAAGRycy9lMm9Eb2Mu&#10;eG1sUEsFBgAAAAAGAAYAWQEAAMoFAAAAAA==&#10;">
              <v:fill on="f" focussize="0,0"/>
              <v:stroke on="f" weight="0.5pt"/>
              <v:imagedata o:title=""/>
              <o:lock v:ext="edit" aspectratio="f"/>
              <v:textbox inset="0mm,0mm,0mm,0mm" style="mso-fit-shape-to-text:t;">
                <w:txbxContent>
                  <w:p w14:paraId="75903222">
                    <w:pPr>
                      <w:pStyle w:val="13"/>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257CA">
    <w:pPr>
      <w:pStyle w:val="13"/>
    </w:pPr>
    <w: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44E013">
                          <w:pPr>
                            <w:pStyle w:val="13"/>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GFRZk6AgAAcQQAAA4AAABkcnMvZTJvRG9jLnhtbK1UzY7TMBC+I/EO&#10;lu80adGu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BhUWZOgIAAHEEAAAOAAAAAAAAAAEAIAAAAB8BAABkcnMvZTJvRG9j&#10;LnhtbFBLBQYAAAAABgAGAFkBAADLBQAAAAA=&#10;">
              <v:fill on="f" focussize="0,0"/>
              <v:stroke on="f" weight="0.5pt"/>
              <v:imagedata o:title=""/>
              <o:lock v:ext="edit" aspectratio="f"/>
              <v:textbox inset="0mm,0mm,0mm,0mm" style="mso-fit-shape-to-text:t;">
                <w:txbxContent>
                  <w:p w14:paraId="1D44E013">
                    <w:pPr>
                      <w:pStyle w:val="13"/>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9B980">
    <w:pPr>
      <w:pStyle w:val="13"/>
    </w:pPr>
    <w: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45EC40">
                          <w:pPr>
                            <w:pStyle w:val="13"/>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9DvU8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fQ71PNwIAAHEEAAAOAAAAAAAAAAEAIAAAAB8BAABkcnMvZTJvRG9jLnht&#10;bFBLBQYAAAAABgAGAFkBAADIBQAAAAA=&#10;">
              <v:fill on="f" focussize="0,0"/>
              <v:stroke on="f" weight="0.5pt"/>
              <v:imagedata o:title=""/>
              <o:lock v:ext="edit" aspectratio="f"/>
              <v:textbox inset="0mm,0mm,0mm,0mm" style="mso-fit-shape-to-text:t;">
                <w:txbxContent>
                  <w:p w14:paraId="2C45EC40">
                    <w:pPr>
                      <w:pStyle w:val="13"/>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60E85">
    <w:pPr>
      <w:pStyle w:val="13"/>
    </w:pPr>
    <w: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5B22FB">
                          <w:pPr>
                            <w:pStyle w:val="13"/>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7x9wo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MVakaehhIqWu9GiFdt/2&#10;PPemOIOmM92keMs3NUrZMh8emMNooHw8nnCPpZQGKU1vUVIZ9+Vf5zEeHYOXkgajllONl0WJfK/R&#10;SQCGwXCDsR8MfVR3BrOL5qCWZOKCC3IwS2fUZ7yoVcwBF9McmXIaBvMudOOOF8nFapWCjtbVh6q7&#10;gDm0LGz1zvKYJkrl7eoYIG1SPArUqYJOxQ0mMfWsfzVx1P/cp6jHP8X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8fcKNwIAAHEEAAAOAAAAAAAAAAEAIAAAAB8BAABkcnMvZTJvRG9jLnht&#10;bFBLBQYAAAAABgAGAFkBAADIBQAAAAA=&#10;">
              <v:fill on="f" focussize="0,0"/>
              <v:stroke on="f" weight="0.5pt"/>
              <v:imagedata o:title=""/>
              <o:lock v:ext="edit" aspectratio="f"/>
              <v:textbox inset="0mm,0mm,0mm,0mm" style="mso-fit-shape-to-text:t;">
                <w:txbxContent>
                  <w:p w14:paraId="3E5B22FB">
                    <w:pPr>
                      <w:pStyle w:val="13"/>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0BFB9">
    <w:pPr>
      <w:pStyle w:val="13"/>
    </w:pPr>
    <w: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6B0D1AC">
                          <w:pPr>
                            <w:pStyle w:val="1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nKMU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mlGim0PHL92+X&#10;H78uP78S3EGgxvo54nYWkaF9a1qMzXDvcRl5t6VT8ReMCPyQ93yVV7SB8PhoNp3NxnBx+IYD8LPH&#10;59b58E4YRaKRU4f+JVnZaetDFzqExGzabGopUw+lJg1I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ScoxTgCAABxBAAADgAAAAAAAAABACAAAAAfAQAAZHJzL2Uyb0RvYy54&#10;bWxQSwUGAAAAAAYABgBZAQAAyQUAAAAA&#10;">
              <v:fill on="f" focussize="0,0"/>
              <v:stroke on="f" weight="0.5pt"/>
              <v:imagedata o:title=""/>
              <o:lock v:ext="edit" aspectratio="f"/>
              <v:textbox inset="0mm,0mm,0mm,0mm" style="mso-fit-shape-to-text:t;">
                <w:txbxContent>
                  <w:p w14:paraId="56B0D1AC">
                    <w:pPr>
                      <w:pStyle w:val="1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F5ECD">
    <w:pPr>
      <w:pStyle w:val="13"/>
    </w:pPr>
    <w: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02A77C">
                          <w:pPr>
                            <w:pStyle w:val="13"/>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VYo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8lWKANwIAAHEEAAAOAAAAAAAAAAEAIAAAAB8BAABkcnMvZTJvRG9jLnht&#10;bFBLBQYAAAAABgAGAFkBAADIBQAAAAA=&#10;">
              <v:fill on="f" focussize="0,0"/>
              <v:stroke on="f" weight="0.5pt"/>
              <v:imagedata o:title=""/>
              <o:lock v:ext="edit" aspectratio="f"/>
              <v:textbox inset="0mm,0mm,0mm,0mm" style="mso-fit-shape-to-text:t;">
                <w:txbxContent>
                  <w:p w14:paraId="7A02A77C">
                    <w:pPr>
                      <w:pStyle w:val="13"/>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013D0">
    <w:pPr>
      <w:pStyle w:val="13"/>
    </w:pPr>
    <w: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9543885">
                          <w:pPr>
                            <w:pStyle w:val="13"/>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qN5oE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l69oUQzhY6ffnw/&#10;/Xw4/fpGcAeBWutniLu3iAzdO9NhbIZ7j8vIu6ucir9gROCHvMeLvKILhMdH08l0msPF4RsOwM8e&#10;n1vnw3thFIlGQR36l2Rlh40PfegQErNps26kTD2UmrQg8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qN5oE5AgAAcQQAAA4AAAAAAAAAAQAgAAAAHwEAAGRycy9lMm9Eb2Mu&#10;eG1sUEsFBgAAAAAGAAYAWQEAAMoFAAAAAA==&#10;">
              <v:fill on="f" focussize="0,0"/>
              <v:stroke on="f" weight="0.5pt"/>
              <v:imagedata o:title=""/>
              <o:lock v:ext="edit" aspectratio="f"/>
              <v:textbox inset="0mm,0mm,0mm,0mm" style="mso-fit-shape-to-text:t;">
                <w:txbxContent>
                  <w:p w14:paraId="59543885">
                    <w:pPr>
                      <w:pStyle w:val="13"/>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19108">
    <w:pPr>
      <w:pStyle w:val="13"/>
    </w:pPr>
    <w: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CDB5AC">
                          <w:pPr>
                            <w:pStyle w:val="13"/>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rMQ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Hs/rMQ5AgAAcQQAAA4AAAAAAAAAAQAgAAAAHwEAAGRycy9lMm9Eb2Mu&#10;eG1sUEsFBgAAAAAGAAYAWQEAAMoFAAAAAA==&#10;">
              <v:fill on="f" focussize="0,0"/>
              <v:stroke on="f" weight="0.5pt"/>
              <v:imagedata o:title=""/>
              <o:lock v:ext="edit" aspectratio="f"/>
              <v:textbox inset="0mm,0mm,0mm,0mm" style="mso-fit-shape-to-text:t;">
                <w:txbxContent>
                  <w:p w14:paraId="41CDB5AC">
                    <w:pPr>
                      <w:pStyle w:val="13"/>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6D005">
    <w:pPr>
      <w:pStyle w:val="13"/>
    </w:pPr>
    <w: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4150FB">
                          <w:pPr>
                            <w:pStyle w:val="13"/>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jpcws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OlzCzgCAABxBAAADgAAAAAAAAABACAAAAAfAQAAZHJzL2Uyb0RvYy54&#10;bWxQSwUGAAAAAAYABgBZAQAAyQUAAAAA&#10;">
              <v:fill on="f" focussize="0,0"/>
              <v:stroke on="f" weight="0.5pt"/>
              <v:imagedata o:title=""/>
              <o:lock v:ext="edit" aspectratio="f"/>
              <v:textbox inset="0mm,0mm,0mm,0mm" style="mso-fit-shape-to-text:t;">
                <w:txbxContent>
                  <w:p w14:paraId="494150FB">
                    <w:pPr>
                      <w:pStyle w:val="13"/>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738EE">
    <w:pPr>
      <w:pStyle w:val="13"/>
    </w:pPr>
    <w: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EF3D25">
                          <w:pPr>
                            <w:pStyle w:val="13"/>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bOU4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l69pUQzhY6ffnw/&#10;/Xw4/fpGcAeBWutniLu3iAzdO9NhbIZ7j8vIu6ucir9gROCHvMeLvKILhMdH08l0msPF4RsOwM8e&#10;n1vnw3thFIlGQR36l2Rlh40PfegQErNps26kTD2UmrQg8fpN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lbOU45AgAAcQQAAA4AAAAAAAAAAQAgAAAAHwEAAGRycy9lMm9Eb2Mu&#10;eG1sUEsFBgAAAAAGAAYAWQEAAMoFAAAAAA==&#10;">
              <v:fill on="f" focussize="0,0"/>
              <v:stroke on="f" weight="0.5pt"/>
              <v:imagedata o:title=""/>
              <o:lock v:ext="edit" aspectratio="f"/>
              <v:textbox inset="0mm,0mm,0mm,0mm" style="mso-fit-shape-to-text:t;">
                <w:txbxContent>
                  <w:p w14:paraId="27EF3D25">
                    <w:pPr>
                      <w:pStyle w:val="13"/>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C9436">
    <w:pPr>
      <w:pStyle w:val="13"/>
    </w:pPr>
    <w: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049FA9">
                          <w:pPr>
                            <w:pStyle w:val="13"/>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TYewg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VNh7CDgCAABxBAAADgAAAAAAAAABACAAAAAfAQAAZHJzL2Uyb0RvYy54&#10;bWxQSwUGAAAAAAYABgBZAQAAyQUAAAAA&#10;">
              <v:fill on="f" focussize="0,0"/>
              <v:stroke on="f" weight="0.5pt"/>
              <v:imagedata o:title=""/>
              <o:lock v:ext="edit" aspectratio="f"/>
              <v:textbox inset="0mm,0mm,0mm,0mm" style="mso-fit-shape-to-text:t;">
                <w:txbxContent>
                  <w:p w14:paraId="70049FA9">
                    <w:pPr>
                      <w:pStyle w:val="13"/>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B2E52">
    <w:pPr>
      <w:pStyle w:val="13"/>
    </w:pPr>
    <w: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EA31C5">
                          <w:pPr>
                            <w:pStyle w:val="13"/>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qMU0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l69pUQzhY6ffnw/&#10;/Xw4/fpGcAeBWutniLu3iAzdO9NhbIZ7j8vIu6ucir9gROCHvMeLvKILhMdH08l0msPF4RsOwM8e&#10;n1vnw3thFIlGQR36l2Rlh40PfegQErNps26kTD2UmrQg8fpN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HVqMU05AgAAcQQAAA4AAAAAAAAAAQAgAAAAHwEAAGRycy9lMm9Eb2Mu&#10;eG1sUEsFBgAAAAAGAAYAWQEAAMoFAAAAAA==&#10;">
              <v:fill on="f" focussize="0,0"/>
              <v:stroke on="f" weight="0.5pt"/>
              <v:imagedata o:title=""/>
              <o:lock v:ext="edit" aspectratio="f"/>
              <v:textbox inset="0mm,0mm,0mm,0mm" style="mso-fit-shape-to-text:t;">
                <w:txbxContent>
                  <w:p w14:paraId="3EEA31C5">
                    <w:pPr>
                      <w:pStyle w:val="13"/>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0C8C5">
    <w:pPr>
      <w:pStyle w:val="8"/>
      <w:spacing w:line="235" w:lineRule="exact"/>
      <w:ind w:left="4578"/>
      <w:rPr>
        <w:sz w:val="18"/>
        <w:szCs w:val="18"/>
      </w:rPr>
    </w:pPr>
    <w:r>
      <w:rPr>
        <w:sz w:val="18"/>
      </w:rPr>
      <mc:AlternateContent>
        <mc:Choice Requires="wps">
          <w:drawing>
            <wp:anchor distT="0" distB="0" distL="114300" distR="114300" simplePos="0" relativeHeight="251782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9C2014F">
                          <w:pPr>
                            <w:pStyle w:val="13"/>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82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ctWs4AgAAc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vNy1azgCAABzBAAADgAAAAAAAAABACAAAAAfAQAAZHJzL2Uyb0RvYy54&#10;bWxQSwUGAAAAAAYABgBZAQAAyQUAAAAA&#10;">
              <v:fill on="f" focussize="0,0"/>
              <v:stroke on="f" weight="0.5pt"/>
              <v:imagedata o:title=""/>
              <o:lock v:ext="edit" aspectratio="f"/>
              <v:textbox inset="0mm,0mm,0mm,0mm" style="mso-fit-shape-to-text:t;">
                <w:txbxContent>
                  <w:p w14:paraId="19C2014F">
                    <w:pPr>
                      <w:pStyle w:val="13"/>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A38E0">
    <w:pPr>
      <w:pStyle w:val="13"/>
    </w:pPr>
    <w: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F945358">
                          <w:pPr>
                            <w:pStyle w:val="13"/>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ZkQM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FJJopdPz04/vp&#10;58Pp1zeCOwjUWj9D3L1FZOjemQ5jM9x7XEbeXeVU/AUjAj+wjhd5RRcIj4+mk+k0h4vDNxyAnz0+&#10;t86H98IoEo2COvQvycoOGx/60CEkZtNm3UiZeig1aQt69fpN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HMZkQM5AgAAcQQAAA4AAAAAAAAAAQAgAAAAHwEAAGRycy9lMm9Eb2Mu&#10;eG1sUEsFBgAAAAAGAAYAWQEAAMoFAAAAAA==&#10;">
              <v:fill on="f" focussize="0,0"/>
              <v:stroke on="f" weight="0.5pt"/>
              <v:imagedata o:title=""/>
              <o:lock v:ext="edit" aspectratio="f"/>
              <v:textbox inset="0mm,0mm,0mm,0mm" style="mso-fit-shape-to-text:t;">
                <w:txbxContent>
                  <w:p w14:paraId="7F945358">
                    <w:pPr>
                      <w:pStyle w:val="13"/>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45DDB">
    <w:pPr>
      <w:pStyle w:val="13"/>
    </w:pPr>
    <w: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137923">
                          <w:pPr>
                            <w:pStyle w:val="13"/>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Kr20Y5AgAAcQQAAA4AAABkcnMvZTJvRG9jLnhtbK1UzY7TMBC+I/EO&#10;lu80aRFL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LdjSjRT6Pjpx/fT&#10;z4fTr28EZxCotX6GuHuLyNC9Mx3GZjj3OIy8u8qp+AUjAj/kPV7kFV0gPF6aTqbTHC4O37ABfvZ4&#10;3Tof3gujSDQK6tC/JCs7bHzoQ4eQmE2bdSNl6qHUpC3o1es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Kr20Y5AgAAcQQAAA4AAAAAAAAAAQAgAAAAHwEAAGRycy9lMm9Eb2Mu&#10;eG1sUEsFBgAAAAAGAAYAWQEAAMoFAAAAAA==&#10;">
              <v:fill on="f" focussize="0,0"/>
              <v:stroke on="f" weight="0.5pt"/>
              <v:imagedata o:title=""/>
              <o:lock v:ext="edit" aspectratio="f"/>
              <v:textbox inset="0mm,0mm,0mm,0mm" style="mso-fit-shape-to-text:t;">
                <w:txbxContent>
                  <w:p w14:paraId="3A137923">
                    <w:pPr>
                      <w:pStyle w:val="13"/>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187C9">
    <w:pPr>
      <w:pStyle w:val="13"/>
    </w:pPr>
    <w: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2A50CC">
                          <w:pPr>
                            <w:pStyle w:val="13"/>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F9BIk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dUK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F9BIk5AgAAcQQAAA4AAAAAAAAAAQAgAAAAHwEAAGRycy9lMm9Eb2Mu&#10;eG1sUEsFBgAAAAAGAAYAWQEAAMoFAAAAAA==&#10;">
              <v:fill on="f" focussize="0,0"/>
              <v:stroke on="f" weight="0.5pt"/>
              <v:imagedata o:title=""/>
              <o:lock v:ext="edit" aspectratio="f"/>
              <v:textbox inset="0mm,0mm,0mm,0mm" style="mso-fit-shape-to-text:t;">
                <w:txbxContent>
                  <w:p w14:paraId="632A50CC">
                    <w:pPr>
                      <w:pStyle w:val="13"/>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B6515">
    <w:pPr>
      <w:pStyle w:val="13"/>
    </w:pPr>
    <w: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F63541">
                          <w:pPr>
                            <w:pStyle w:val="13"/>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DPTsw6AgAAcQ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Qz07MOgIAAHEEAAAOAAAAAAAAAAEAIAAAAB8BAABkcnMvZTJvRG9j&#10;LnhtbFBLBQYAAAAABgAGAFkBAADLBQAAAAA=&#10;">
              <v:fill on="f" focussize="0,0"/>
              <v:stroke on="f" weight="0.5pt"/>
              <v:imagedata o:title=""/>
              <o:lock v:ext="edit" aspectratio="f"/>
              <v:textbox inset="0mm,0mm,0mm,0mm" style="mso-fit-shape-to-text:t;">
                <w:txbxContent>
                  <w:p w14:paraId="79F63541">
                    <w:pPr>
                      <w:pStyle w:val="13"/>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0A1C">
    <w:pPr>
      <w:pStyle w:val="13"/>
    </w:pPr>
    <w: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E53ADE">
                          <w:pPr>
                            <w:pStyle w:val="13"/>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Xys05AgAAcQ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tX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bXys05AgAAcQQAAA4AAAAAAAAAAQAgAAAAHwEAAGRycy9lMm9Eb2Mu&#10;eG1sUEsFBgAAAAAGAAYAWQEAAMoFAAAAAA==&#10;">
              <v:fill on="f" focussize="0,0"/>
              <v:stroke on="f" weight="0.5pt"/>
              <v:imagedata o:title=""/>
              <o:lock v:ext="edit" aspectratio="f"/>
              <v:textbox inset="0mm,0mm,0mm,0mm" style="mso-fit-shape-to-text:t;">
                <w:txbxContent>
                  <w:p w14:paraId="40E53ADE">
                    <w:pPr>
                      <w:pStyle w:val="13"/>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B87E">
    <w:pPr>
      <w:pStyle w:val="13"/>
    </w:pPr>
    <w: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14B55C">
                          <w:pPr>
                            <w:pStyle w:val="13"/>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lgIg6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XZYCIOgIAAHEEAAAOAAAAAAAAAAEAIAAAAB8BAABkcnMvZTJvRG9j&#10;LnhtbFBLBQYAAAAABgAGAFkBAADLBQAAAAA=&#10;">
              <v:fill on="f" focussize="0,0"/>
              <v:stroke on="f" weight="0.5pt"/>
              <v:imagedata o:title=""/>
              <o:lock v:ext="edit" aspectratio="f"/>
              <v:textbox inset="0mm,0mm,0mm,0mm" style="mso-fit-shape-to-text:t;">
                <w:txbxContent>
                  <w:p w14:paraId="3514B55C">
                    <w:pPr>
                      <w:pStyle w:val="13"/>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A64F">
    <w:pPr>
      <w:pStyle w:val="13"/>
    </w:pPr>
    <w: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179BEDA">
                          <w:pPr>
                            <w:pStyle w:val="13"/>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SzX0c5AgAAcQQAAA4AAABkcnMvZTJvRG9jLnhtbK1UzY7TMBC+I/EO&#10;lu80bRGl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SzX0c5AgAAcQQAAA4AAAAAAAAAAQAgAAAAHwEAAGRycy9lMm9Eb2Mu&#10;eG1sUEsFBgAAAAAGAAYAWQEAAMoFAAAAAA==&#10;">
              <v:fill on="f" focussize="0,0"/>
              <v:stroke on="f" weight="0.5pt"/>
              <v:imagedata o:title=""/>
              <o:lock v:ext="edit" aspectratio="f"/>
              <v:textbox inset="0mm,0mm,0mm,0mm" style="mso-fit-shape-to-text:t;">
                <w:txbxContent>
                  <w:p w14:paraId="0179BEDA">
                    <w:pPr>
                      <w:pStyle w:val="13"/>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5A661">
    <w:pPr>
      <w:pStyle w:val="13"/>
    </w:pPr>
    <w: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47EE41">
                          <w:pPr>
                            <w:pStyle w:val="13"/>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BFQI6AgAAcQ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fU6KZQsdP37+d&#10;fvw6/fxKcAeBWutniHuwiAzdW9NhbIZ7j8vIu6ucir9gROCHvMeLvKILhMdH08l0msPF4RsOwM8e&#10;n1vnwzthFIlGQR36l2Rlh40PfegQErNps26kTD2UmrQFvXr9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VARUCOgIAAHEEAAAOAAAAAAAAAAEAIAAAAB8BAABkcnMvZTJvRG9j&#10;LnhtbFBLBQYAAAAABgAGAFkBAADLBQAAAAA=&#10;">
              <v:fill on="f" focussize="0,0"/>
              <v:stroke on="f" weight="0.5pt"/>
              <v:imagedata o:title=""/>
              <o:lock v:ext="edit" aspectratio="f"/>
              <v:textbox inset="0mm,0mm,0mm,0mm" style="mso-fit-shape-to-text:t;">
                <w:txbxContent>
                  <w:p w14:paraId="2E47EE41">
                    <w:pPr>
                      <w:pStyle w:val="13"/>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AC144">
    <w:pPr>
      <w:pStyle w:val="13"/>
    </w:pPr>
    <w: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CF11E79">
                          <w:pPr>
                            <w:pStyle w:val="13"/>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iCV0Q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iCV0Q5AgAAcQQAAA4AAAAAAAAAAQAgAAAAHwEAAGRycy9lMm9Eb2Mu&#10;eG1sUEsFBgAAAAAGAAYAWQEAAMoFAAAAAA==&#10;">
              <v:fill on="f" focussize="0,0"/>
              <v:stroke on="f" weight="0.5pt"/>
              <v:imagedata o:title=""/>
              <o:lock v:ext="edit" aspectratio="f"/>
              <v:textbox inset="0mm,0mm,0mm,0mm" style="mso-fit-shape-to-text:t;">
                <w:txbxContent>
                  <w:p w14:paraId="7CF11E79">
                    <w:pPr>
                      <w:pStyle w:val="13"/>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68A2B">
    <w:pPr>
      <w:pStyle w:val="13"/>
    </w:pPr>
    <w: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96F5F0">
                          <w:pPr>
                            <w:pStyle w:val="13"/>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wHQE5AgAAc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Os3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kwHQE5AgAAcQQAAA4AAAAAAAAAAQAgAAAAHwEAAGRycy9lMm9Eb2Mu&#10;eG1sUEsFBgAAAAAGAAYAWQEAAMoFAAAAAA==&#10;">
              <v:fill on="f" focussize="0,0"/>
              <v:stroke on="f" weight="0.5pt"/>
              <v:imagedata o:title=""/>
              <o:lock v:ext="edit" aspectratio="f"/>
              <v:textbox inset="0mm,0mm,0mm,0mm" style="mso-fit-shape-to-text:t;">
                <w:txbxContent>
                  <w:p w14:paraId="4496F5F0">
                    <w:pPr>
                      <w:pStyle w:val="13"/>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E393">
    <w:pPr>
      <w:pStyle w:val="13"/>
    </w:pPr>
    <w: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AC3104">
                          <w:pPr>
                            <w:pStyle w:val="13"/>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G1DA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FUbUMDgCAABxBAAADgAAAAAAAAABACAAAAAfAQAAZHJzL2Uyb0RvYy54&#10;bWxQSwUGAAAAAAYABgBZAQAAyQUAAAAA&#10;">
              <v:fill on="f" focussize="0,0"/>
              <v:stroke on="f" weight="0.5pt"/>
              <v:imagedata o:title=""/>
              <o:lock v:ext="edit" aspectratio="f"/>
              <v:textbox inset="0mm,0mm,0mm,0mm" style="mso-fit-shape-to-text:t;">
                <w:txbxContent>
                  <w:p w14:paraId="39AC3104">
                    <w:pPr>
                      <w:pStyle w:val="13"/>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B5F55">
    <w:pPr>
      <w:pStyle w:val="13"/>
    </w:pPr>
    <w: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BF81490">
                          <w:pPr>
                            <w:pStyle w:val="13"/>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T0nnU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Wx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PSedTgCAABxBAAADgAAAAAAAAABACAAAAAfAQAAZHJzL2Uyb0RvYy54&#10;bWxQSwUGAAAAAAYABgBZAQAAyQUAAAAA&#10;">
              <v:fill on="f" focussize="0,0"/>
              <v:stroke on="f" weight="0.5pt"/>
              <v:imagedata o:title=""/>
              <o:lock v:ext="edit" aspectratio="f"/>
              <v:textbox inset="0mm,0mm,0mm,0mm" style="mso-fit-shape-to-text:t;">
                <w:txbxContent>
                  <w:p w14:paraId="7BF81490">
                    <w:pPr>
                      <w:pStyle w:val="13"/>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F46E4">
    <w:pPr>
      <w:pStyle w:val="13"/>
    </w:pPr>
    <w: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CCF78F5">
                          <w:pPr>
                            <w:pStyle w:val="13"/>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ciQbo5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ciQbo5AgAAcQQAAA4AAAAAAAAAAQAgAAAAHwEAAGRycy9lMm9Eb2Mu&#10;eG1sUEsFBgAAAAAGAAYAWQEAAMoFAAAAAA==&#10;">
              <v:fill on="f" focussize="0,0"/>
              <v:stroke on="f" weight="0.5pt"/>
              <v:imagedata o:title=""/>
              <o:lock v:ext="edit" aspectratio="f"/>
              <v:textbox inset="0mm,0mm,0mm,0mm" style="mso-fit-shape-to-text:t;">
                <w:txbxContent>
                  <w:p w14:paraId="4CCF78F5">
                    <w:pPr>
                      <w:pStyle w:val="13"/>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1320F">
    <w:pPr>
      <w:pStyle w:val="13"/>
    </w:pPr>
    <w: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4CB845">
                          <w:pPr>
                            <w:pStyle w:val="13"/>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QC/8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Z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2kAv/OgIAAHEEAAAOAAAAAAAAAAEAIAAAAB8BAABkcnMvZTJvRG9j&#10;LnhtbFBLBQYAAAAABgAGAFkBAADLBQAAAAA=&#10;">
              <v:fill on="f" focussize="0,0"/>
              <v:stroke on="f" weight="0.5pt"/>
              <v:imagedata o:title=""/>
              <o:lock v:ext="edit" aspectratio="f"/>
              <v:textbox inset="0mm,0mm,0mm,0mm" style="mso-fit-shape-to-text:t;">
                <w:txbxContent>
                  <w:p w14:paraId="154CB845">
                    <w:pPr>
                      <w:pStyle w:val="13"/>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C33C">
    <w:pPr>
      <w:pStyle w:val="13"/>
    </w:pPr>
    <w: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AD9CE">
                          <w:pPr>
                            <w:pStyle w:val="13"/>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CIj/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f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NCIj/45AgAAcQQAAA4AAAAAAAAAAQAgAAAAHwEAAGRycy9lMm9Eb2Mu&#10;eG1sUEsFBgAAAAAGAAYAWQEAAMoFAAAAAA==&#10;">
              <v:fill on="f" focussize="0,0"/>
              <v:stroke on="f" weight="0.5pt"/>
              <v:imagedata o:title=""/>
              <o:lock v:ext="edit" aspectratio="f"/>
              <v:textbox inset="0mm,0mm,0mm,0mm" style="mso-fit-shape-to-text:t;">
                <w:txbxContent>
                  <w:p w14:paraId="072AD9CE">
                    <w:pPr>
                      <w:pStyle w:val="13"/>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E3AC">
    <w:pPr>
      <w:pStyle w:val="13"/>
    </w:pPr>
    <w: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9D66B0">
                          <w:pPr>
                            <w:pStyle w:val="13"/>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E6xbs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Z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xOsW7OgIAAHEEAAAOAAAAAAAAAAEAIAAAAB8BAABkcnMvZTJvRG9j&#10;LnhtbFBLBQYAAAAABgAGAFkBAADLBQAAAAA=&#10;">
              <v:fill on="f" focussize="0,0"/>
              <v:stroke on="f" weight="0.5pt"/>
              <v:imagedata o:title=""/>
              <o:lock v:ext="edit" aspectratio="f"/>
              <v:textbox inset="0mm,0mm,0mm,0mm" style="mso-fit-shape-to-text:t;">
                <w:txbxContent>
                  <w:p w14:paraId="2A9D66B0">
                    <w:pPr>
                      <w:pStyle w:val="13"/>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93C81">
    <w:pPr>
      <w:pStyle w:val="13"/>
    </w:pPr>
    <w: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6E315D">
                          <w:pPr>
                            <w:pStyle w:val="13"/>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sGnQ5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LsGnQ5AgAAcQQAAA4AAAAAAAAAAQAgAAAAHwEAAGRycy9lMm9Eb2Mu&#10;eG1sUEsFBgAAAAAGAAYAWQEAAMoFAAAAAA==&#10;">
              <v:fill on="f" focussize="0,0"/>
              <v:stroke on="f" weight="0.5pt"/>
              <v:imagedata o:title=""/>
              <o:lock v:ext="edit" aspectratio="f"/>
              <v:textbox inset="0mm,0mm,0mm,0mm" style="mso-fit-shape-to-text:t;">
                <w:txbxContent>
                  <w:p w14:paraId="6D6E315D">
                    <w:pPr>
                      <w:pStyle w:val="13"/>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1E3AD">
    <w:pPr>
      <w:pStyle w:val="13"/>
    </w:pPr>
    <w: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1E71D0">
                          <w:pPr>
                            <w:pStyle w:val="13"/>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eUD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f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NeUDE5AgAAcQQAAA4AAAAAAAAAAQAgAAAAHwEAAGRycy9lMm9Eb2Mu&#10;eG1sUEsFBgAAAAAGAAYAWQEAAMoFAAAAAA==&#10;">
              <v:fill on="f" focussize="0,0"/>
              <v:stroke on="f" weight="0.5pt"/>
              <v:imagedata o:title=""/>
              <o:lock v:ext="edit" aspectratio="f"/>
              <v:textbox inset="0mm,0mm,0mm,0mm" style="mso-fit-shape-to-text:t;">
                <w:txbxContent>
                  <w:p w14:paraId="651E71D0">
                    <w:pPr>
                      <w:pStyle w:val="13"/>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D634">
    <w:pPr>
      <w:pStyle w:val="13"/>
    </w:pPr>
    <w: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EDBC79">
                          <w:pPr>
                            <w:pStyle w:val="13"/>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7dEnc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t0SdzgCAABxBAAADgAAAAAAAAABACAAAAAfAQAAZHJzL2Uyb0RvYy54&#10;bWxQSwUGAAAAAAYABgBZAQAAyQUAAAAA&#10;">
              <v:fill on="f" focussize="0,0"/>
              <v:stroke on="f" weight="0.5pt"/>
              <v:imagedata o:title=""/>
              <o:lock v:ext="edit" aspectratio="f"/>
              <v:textbox inset="0mm,0mm,0mm,0mm" style="mso-fit-shape-to-text:t;">
                <w:txbxContent>
                  <w:p w14:paraId="43EDBC79">
                    <w:pPr>
                      <w:pStyle w:val="13"/>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3AC9E">
    <w:pPr>
      <w:pStyle w:val="13"/>
    </w:pPr>
    <w: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721DB3">
                          <w:pPr>
                            <w:pStyle w:val="13"/>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vWDI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f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9vWDI5AgAAcQQAAA4AAAAAAAAAAQAgAAAAHwEAAGRycy9lMm9Eb2Mu&#10;eG1sUEsFBgAAAAAGAAYAWQEAAMoFAAAAAA==&#10;">
              <v:fill on="f" focussize="0,0"/>
              <v:stroke on="f" weight="0.5pt"/>
              <v:imagedata o:title=""/>
              <o:lock v:ext="edit" aspectratio="f"/>
              <v:textbox inset="0mm,0mm,0mm,0mm" style="mso-fit-shape-to-text:t;">
                <w:txbxContent>
                  <w:p w14:paraId="23721DB3">
                    <w:pPr>
                      <w:pStyle w:val="13"/>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12ADB">
    <w:pPr>
      <w:pStyle w:val="13"/>
    </w:pPr>
    <w: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EAA6C0">
                          <w:pPr>
                            <w:pStyle w:val="13"/>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kc+Hw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FJJopdPz04/vp&#10;58Pp1zeCOwjUWj9D3L1FZOjemQ5jM9x7XEbeXeVU/AUjAj+wjhd5RRcIj4+mk+k0h4vDNxyAnz0+&#10;t86H98IoEo2COvQvycoOGx/60CEkZtNm3UiZeig1aQt69fpN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kc+Hw5AgAAcQQAAA4AAAAAAAAAAQAgAAAAHwEAAGRycy9lMm9Eb2Mu&#10;eG1sUEsFBgAAAAAGAAYAWQEAAMoFAAAAAA==&#10;">
              <v:fill on="f" focussize="0,0"/>
              <v:stroke on="f" weight="0.5pt"/>
              <v:imagedata o:title=""/>
              <o:lock v:ext="edit" aspectratio="f"/>
              <v:textbox inset="0mm,0mm,0mm,0mm" style="mso-fit-shape-to-text:t;">
                <w:txbxContent>
                  <w:p w14:paraId="36EAA6C0">
                    <w:pPr>
                      <w:pStyle w:val="13"/>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2AA15">
    <w:pPr>
      <w:pStyle w:val="13"/>
    </w:pPr>
    <w: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3DB2097">
                          <w:pPr>
                            <w:pStyle w:val="13"/>
                          </w:pPr>
                          <w:r>
                            <w:fldChar w:fldCharType="begin"/>
                          </w:r>
                          <w:r>
                            <w:instrText xml:space="preserve"> PAGE  \* MERGEFORMAT </w:instrText>
                          </w:r>
                          <w:r>
                            <w:fldChar w:fldCharType="separate"/>
                          </w:r>
                          <w:r>
                            <w:t>132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iusjk5AgAAcQQAAA4AAABkcnMvZTJvRG9jLnhtbK1UzY7TMBC+I/EO&#10;lu80aRGrUj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LdjSjRT6Pjpx/fT&#10;z4fTr28EZxCotX6GuHuLyNC9Mx3GZjj3OIy8u8qp+AUjAj/kPV7kFV0gPF6aTqbTHC4O37ABfvZ4&#10;3Tof3gujSDQK6tC/JCs7bHzoQ4eQmE2bdSNl6qHUpC3o1es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Niusjk5AgAAcQQAAA4AAAAAAAAAAQAgAAAAHwEAAGRycy9lMm9Eb2Mu&#10;eG1sUEsFBgAAAAAGAAYAWQEAAMoFAAAAAA==&#10;">
              <v:fill on="f" focussize="0,0"/>
              <v:stroke on="f" weight="0.5pt"/>
              <v:imagedata o:title=""/>
              <o:lock v:ext="edit" aspectratio="f"/>
              <v:textbox inset="0mm,0mm,0mm,0mm" style="mso-fit-shape-to-text:t;">
                <w:txbxContent>
                  <w:p w14:paraId="33DB2097">
                    <w:pPr>
                      <w:pStyle w:val="13"/>
                    </w:pPr>
                    <w:r>
                      <w:fldChar w:fldCharType="begin"/>
                    </w:r>
                    <w:r>
                      <w:instrText xml:space="preserve"> PAGE  \* MERGEFORMAT </w:instrText>
                    </w:r>
                    <w:r>
                      <w:fldChar w:fldCharType="separate"/>
                    </w:r>
                    <w:r>
                      <w:t>132</w:t>
                    </w:r>
                    <w:r>
                      <w:fldChar w:fldCharType="end"/>
                    </w:r>
                  </w:p>
                </w:txbxContent>
              </v:textbox>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DCB37">
    <w:pPr>
      <w:pStyle w:val="13"/>
    </w:pPr>
    <w: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38A0D9">
                          <w:pPr>
                            <w:pStyle w:val="13"/>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4bfY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dUK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t4bfY5AgAAcQQAAA4AAAAAAAAAAQAgAAAAHwEAAGRycy9lMm9Eb2Mu&#10;eG1sUEsFBgAAAAAGAAYAWQEAAMoFAAAAAA==&#10;">
              <v:fill on="f" focussize="0,0"/>
              <v:stroke on="f" weight="0.5pt"/>
              <v:imagedata o:title=""/>
              <o:lock v:ext="edit" aspectratio="f"/>
              <v:textbox inset="0mm,0mm,0mm,0mm" style="mso-fit-shape-to-text:t;">
                <w:txbxContent>
                  <w:p w14:paraId="2F38A0D9">
                    <w:pPr>
                      <w:pStyle w:val="13"/>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54735">
    <w:pPr>
      <w:pStyle w:val="13"/>
    </w:pPr>
    <w: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5ADF41">
                          <w:pPr>
                            <w:pStyle w:val="13"/>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KJ7M6AgAAc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n31O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ayiezOgIAAHEEAAAOAAAAAAAAAAEAIAAAAB8BAABkcnMvZTJvRG9j&#10;LnhtbFBLBQYAAAAABgAGAFkBAADLBQAAAAA=&#10;">
              <v:fill on="f" focussize="0,0"/>
              <v:stroke on="f" weight="0.5pt"/>
              <v:imagedata o:title=""/>
              <o:lock v:ext="edit" aspectratio="f"/>
              <v:textbox inset="0mm,0mm,0mm,0mm" style="mso-fit-shape-to-text:t;">
                <w:txbxContent>
                  <w:p w14:paraId="3A5ADF41">
                    <w:pPr>
                      <w:pStyle w:val="13"/>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618F0">
    <w:pPr>
      <w:pStyle w:val="13"/>
    </w:pPr>
    <w: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4FBF62">
                          <w:pPr>
                            <w:pStyle w:val="13"/>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zSo7I5AgAAc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tXlGim0PHT92+n&#10;H79OP78S3EGg1voZ4jYWkaF7azqMzXDvcRl5d5VT8ReMCPyQ93iRV3SB8PhoOplOc7g4fMMB+NnD&#10;c+t8eCeMItEoqEP/kqzscOtDHzqExGzarBspUw+lJm1Br16+z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zSo7I5AgAAcQQAAA4AAAAAAAAAAQAgAAAAHwEAAGRycy9lMm9Eb2Mu&#10;eG1sUEsFBgAAAAAGAAYAWQEAAMoFAAAAAA==&#10;">
              <v:fill on="f" focussize="0,0"/>
              <v:stroke on="f" weight="0.5pt"/>
              <v:imagedata o:title=""/>
              <o:lock v:ext="edit" aspectratio="f"/>
              <v:textbox inset="0mm,0mm,0mm,0mm" style="mso-fit-shape-to-text:t;">
                <w:txbxContent>
                  <w:p w14:paraId="6E4FBF62">
                    <w:pPr>
                      <w:pStyle w:val="13"/>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8C475">
    <w:pPr>
      <w:pStyle w:val="13"/>
    </w:pPr>
    <w: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835D9F">
                          <w:pPr>
                            <w:pStyle w:val="13"/>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1g6fc6AgAAcQQAAA4AAABkcnMvZTJvRG9jLnhtbK1UzY7TMBC+I/EO&#10;lu80adGu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5ok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dYOn3OgIAAHEEAAAOAAAAAAAAAAEAIAAAAB8BAABkcnMvZTJvRG9j&#10;LnhtbFBLBQYAAAAABgAGAFkBAADLBQAAAAA=&#10;">
              <v:fill on="f" focussize="0,0"/>
              <v:stroke on="f" weight="0.5pt"/>
              <v:imagedata o:title=""/>
              <o:lock v:ext="edit" aspectratio="f"/>
              <v:textbox inset="0mm,0mm,0mm,0mm" style="mso-fit-shape-to-text:t;">
                <w:txbxContent>
                  <w:p w14:paraId="06835D9F">
                    <w:pPr>
                      <w:pStyle w:val="13"/>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3686">
    <w:pPr>
      <w:pStyle w:val="13"/>
    </w:pPr>
    <w: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FE9C42">
                          <w:pPr>
                            <w:pStyle w:val="13"/>
                          </w:pPr>
                          <w:r>
                            <w:fldChar w:fldCharType="begin"/>
                          </w:r>
                          <w:r>
                            <w:instrText xml:space="preserve"> PAGE  \* MERGEFORMAT </w:instrText>
                          </w:r>
                          <w:r>
                            <w:fldChar w:fldCharType="separate"/>
                          </w:r>
                          <w:r>
                            <w:t>137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2Njg5AgAAcQQAAA4AAABkcnMvZTJvRG9jLnhtbK1UzY7TMBC+I/EO&#10;lu80bRFVqZ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H62Njg5AgAAcQQAAA4AAAAAAAAAAQAgAAAAHwEAAGRycy9lMm9Eb2Mu&#10;eG1sUEsFBgAAAAAGAAYAWQEAAMoFAAAAAA==&#10;">
              <v:fill on="f" focussize="0,0"/>
              <v:stroke on="f" weight="0.5pt"/>
              <v:imagedata o:title=""/>
              <o:lock v:ext="edit" aspectratio="f"/>
              <v:textbox inset="0mm,0mm,0mm,0mm" style="mso-fit-shape-to-text:t;">
                <w:txbxContent>
                  <w:p w14:paraId="61FE9C42">
                    <w:pPr>
                      <w:pStyle w:val="13"/>
                    </w:pPr>
                    <w:r>
                      <w:fldChar w:fldCharType="begin"/>
                    </w:r>
                    <w:r>
                      <w:instrText xml:space="preserve"> PAGE  \* MERGEFORMAT </w:instrText>
                    </w:r>
                    <w:r>
                      <w:fldChar w:fldCharType="separate"/>
                    </w:r>
                    <w:r>
                      <w:t>137</w:t>
                    </w:r>
                    <w:r>
                      <w:fldChar w:fldCharType="end"/>
                    </w:r>
                  </w:p>
                </w:txbxContent>
              </v:textbox>
            </v:shape>
          </w:pict>
        </mc:Fallback>
      </mc:AlternateConten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9DEF">
    <w:pPr>
      <w:pStyle w:val="13"/>
    </w:pPr>
    <w: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7E0278">
                          <w:pPr>
                            <w:pStyle w:val="13"/>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8EfH05AgAAc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8EfH05AgAAcQQAAA4AAAAAAAAAAQAgAAAAHwEAAGRycy9lMm9Eb2Mu&#10;eG1sUEsFBgAAAAAGAAYAWQEAAMoFAAAAAA==&#10;">
              <v:fill on="f" focussize="0,0"/>
              <v:stroke on="f" weight="0.5pt"/>
              <v:imagedata o:title=""/>
              <o:lock v:ext="edit" aspectratio="f"/>
              <v:textbox inset="0mm,0mm,0mm,0mm" style="mso-fit-shape-to-text:t;">
                <w:txbxContent>
                  <w:p w14:paraId="707E0278">
                    <w:pPr>
                      <w:pStyle w:val="13"/>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1B6E0">
    <w:pPr>
      <w:pStyle w:val="13"/>
    </w:pPr>
    <w: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938272">
                          <w:pPr>
                            <w:pStyle w:val="13"/>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HPjs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HPjs5AgAAcQQAAA4AAAAAAAAAAQAgAAAAHwEAAGRycy9lMm9Eb2Mu&#10;eG1sUEsFBgAAAAAGAAYAWQEAAMoFAAAAAA==&#10;">
              <v:fill on="f" focussize="0,0"/>
              <v:stroke on="f" weight="0.5pt"/>
              <v:imagedata o:title=""/>
              <o:lock v:ext="edit" aspectratio="f"/>
              <v:textbox inset="0mm,0mm,0mm,0mm" style="mso-fit-shape-to-text:t;">
                <w:txbxContent>
                  <w:p w14:paraId="55938272">
                    <w:pPr>
                      <w:pStyle w:val="13"/>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ABDE">
    <w:pPr>
      <w:pStyle w:val="13"/>
    </w:pPr>
    <w: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857201">
                          <w:pPr>
                            <w:pStyle w:val="13"/>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M1dH46AgAAcQ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fU6KZQsdP37+d&#10;fvw6/fxKcAeBWutniHuwiAzdW9NhbIZ7j8vIu6ucir9gROCHvMeLvKILhMdH08l0msPF4RsOwM8e&#10;n1vnwzthFIlGQR36l2Rlh40PfegQErNps26kTD2UmrQFvXr9J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TNXR+OgIAAHEEAAAOAAAAAAAAAAEAIAAAAB8BAABkcnMvZTJvRG9j&#10;LnhtbFBLBQYAAAAABgAGAFkBAADLBQAAAAA=&#10;">
              <v:fill on="f" focussize="0,0"/>
              <v:stroke on="f" weight="0.5pt"/>
              <v:imagedata o:title=""/>
              <o:lock v:ext="edit" aspectratio="f"/>
              <v:textbox inset="0mm,0mm,0mm,0mm" style="mso-fit-shape-to-text:t;">
                <w:txbxContent>
                  <w:p w14:paraId="55857201">
                    <w:pPr>
                      <w:pStyle w:val="13"/>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4BD9D">
    <w:pPr>
      <w:pStyle w:val="13"/>
    </w:pPr>
    <w: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FDEC3CA">
                          <w:pPr>
                            <w:pStyle w:val="13"/>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FcXI4AgAAc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kVxcjgCAABzBAAADgAAAAAAAAABACAAAAAfAQAAZHJzL2Uyb0RvYy54&#10;bWxQSwUGAAAAAAYABgBZAQAAyQUAAAAA&#10;">
              <v:fill on="f" focussize="0,0"/>
              <v:stroke on="f" weight="0.5pt"/>
              <v:imagedata o:title=""/>
              <o:lock v:ext="edit" aspectratio="f"/>
              <v:textbox inset="0mm,0mm,0mm,0mm" style="mso-fit-shape-to-text:t;">
                <w:txbxContent>
                  <w:p w14:paraId="4FDEC3CA">
                    <w:pPr>
                      <w:pStyle w:val="13"/>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B85C8">
    <w:pPr>
      <w:pStyle w:val="13"/>
    </w:pPr>
    <w:r>
      <mc:AlternateContent>
        <mc:Choice Requires="wps">
          <w:drawing>
            <wp:anchor distT="0" distB="0" distL="114300" distR="114300" simplePos="0" relativeHeight="2517565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CCFC15">
                          <w:pPr>
                            <w:pStyle w:val="13"/>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65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y3to4AgAAcw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jrEizcMFJlLqS49W6Hbd&#10;hefOlCfQdKafFW/5ukEpG+bDA3MYDpSP5xPusVTSIKW5WJTUxn3513mMR8/gpaTFsBVU421RIt9r&#10;9BKAYTDcYOwGQx/UncH0ojuoJZm44IIczMoZ9RlvahlzwMU0R6aChsG8C/3A401ysVymoIN1zb7u&#10;L2ASLQsbvbU8polSebs8BEibFI8C9aqgU3GDWUw9u7ybOOx/7lPU479i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LLe2jgCAABzBAAADgAAAAAAAAABACAAAAAfAQAAZHJzL2Uyb0RvYy54&#10;bWxQSwUGAAAAAAYABgBZAQAAyQUAAAAA&#10;">
              <v:fill on="f" focussize="0,0"/>
              <v:stroke on="f" weight="0.5pt"/>
              <v:imagedata o:title=""/>
              <o:lock v:ext="edit" aspectratio="f"/>
              <v:textbox inset="0mm,0mm,0mm,0mm" style="mso-fit-shape-to-text:t;">
                <w:txbxContent>
                  <w:p w14:paraId="77CCFC15">
                    <w:pPr>
                      <w:pStyle w:val="13"/>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E1E7">
    <w:pPr>
      <w:pStyle w:val="13"/>
    </w:pPr>
    <w:r>
      <mc:AlternateContent>
        <mc:Choice Requires="wps">
          <w:drawing>
            <wp:anchor distT="0" distB="0" distL="114300" distR="114300" simplePos="0" relativeHeight="2517575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0AAD86">
                          <w:pPr>
                            <w:pStyle w:val="13"/>
                          </w:pPr>
                          <w:r>
                            <w:fldChar w:fldCharType="begin"/>
                          </w:r>
                          <w:r>
                            <w:instrText xml:space="preserve"> PAGE  \* MERGEFORMAT </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75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esX/g5AgAAcwQAAA4AAAAAAAAAAQAgAAAAHwEAAGRycy9lMm9Eb2Mu&#10;eG1sUEsFBgAAAAAGAAYAWQEAAMoFAAAAAA==&#10;">
              <v:fill on="f" focussize="0,0"/>
              <v:stroke on="f" weight="0.5pt"/>
              <v:imagedata o:title=""/>
              <o:lock v:ext="edit" aspectratio="f"/>
              <v:textbox inset="0mm,0mm,0mm,0mm" style="mso-fit-shape-to-text:t;">
                <w:txbxContent>
                  <w:p w14:paraId="1F0AAD86">
                    <w:pPr>
                      <w:pStyle w:val="13"/>
                    </w:pPr>
                    <w:r>
                      <w:fldChar w:fldCharType="begin"/>
                    </w:r>
                    <w:r>
                      <w:instrText xml:space="preserve"> PAGE  \* MERGEFORMAT </w:instrText>
                    </w:r>
                    <w:r>
                      <w:fldChar w:fldCharType="separate"/>
                    </w:r>
                    <w:r>
                      <w:t>143</w:t>
                    </w:r>
                    <w:r>
                      <w:fldChar w:fldCharType="end"/>
                    </w:r>
                  </w:p>
                </w:txbxContent>
              </v:textbox>
            </v:shape>
          </w:pict>
        </mc:Fallback>
      </mc:AlternateConten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F46EF">
    <w:pPr>
      <w:pStyle w:val="13"/>
    </w:pPr>
    <w:r>
      <mc:AlternateContent>
        <mc:Choice Requires="wps">
          <w:drawing>
            <wp:anchor distT="0" distB="0" distL="114300" distR="114300" simplePos="0" relativeHeight="2517585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55DED5">
                          <w:pPr>
                            <w:pStyle w:val="13"/>
                          </w:pPr>
                          <w:r>
                            <w:fldChar w:fldCharType="begin"/>
                          </w:r>
                          <w:r>
                            <w:instrText xml:space="preserve"> PAGE  \* MERGEFORMAT </w:instrText>
                          </w:r>
                          <w:r>
                            <w:fldChar w:fldCharType="separate"/>
                          </w:r>
                          <w:r>
                            <w:t>144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85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BW/BQOgIAAHMEAAAOAAAAAAAAAAEAIAAAAB8BAABkcnMvZTJvRG9j&#10;LnhtbFBLBQYAAAAABgAGAFkBAADLBQAAAAA=&#10;">
              <v:fill on="f" focussize="0,0"/>
              <v:stroke on="f" weight="0.5pt"/>
              <v:imagedata o:title=""/>
              <o:lock v:ext="edit" aspectratio="f"/>
              <v:textbox inset="0mm,0mm,0mm,0mm" style="mso-fit-shape-to-text:t;">
                <w:txbxContent>
                  <w:p w14:paraId="3D55DED5">
                    <w:pPr>
                      <w:pStyle w:val="13"/>
                    </w:pPr>
                    <w:r>
                      <w:fldChar w:fldCharType="begin"/>
                    </w:r>
                    <w:r>
                      <w:instrText xml:space="preserve"> PAGE  \* MERGEFORMAT </w:instrText>
                    </w:r>
                    <w:r>
                      <w:fldChar w:fldCharType="separate"/>
                    </w:r>
                    <w:r>
                      <w:t>144</w:t>
                    </w:r>
                    <w:r>
                      <w:fldChar w:fldCharType="end"/>
                    </w:r>
                  </w:p>
                </w:txbxContent>
              </v:textbox>
            </v:shape>
          </w:pict>
        </mc:Fallback>
      </mc:AlternateConten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62E03">
    <w:pPr>
      <w:pStyle w:val="13"/>
    </w:pPr>
    <w: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27E3C6">
                          <w:pPr>
                            <w:pStyle w:val="13"/>
                          </w:pPr>
                          <w:r>
                            <w:fldChar w:fldCharType="begin"/>
                          </w:r>
                          <w:r>
                            <w:instrText xml:space="preserve"> PAGE  \* MERGEFORMAT </w:instrText>
                          </w:r>
                          <w:r>
                            <w:fldChar w:fldCharType="separate"/>
                          </w:r>
                          <w:r>
                            <w:t>145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96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RXb06AgAAc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hkV29OgIAAHMEAAAOAAAAAAAAAAEAIAAAAB8BAABkcnMvZTJvRG9j&#10;LnhtbFBLBQYAAAAABgAGAFkBAADLBQAAAAA=&#10;">
              <v:fill on="f" focussize="0,0"/>
              <v:stroke on="f" weight="0.5pt"/>
              <v:imagedata o:title=""/>
              <o:lock v:ext="edit" aspectratio="f"/>
              <v:textbox inset="0mm,0mm,0mm,0mm" style="mso-fit-shape-to-text:t;">
                <w:txbxContent>
                  <w:p w14:paraId="7927E3C6">
                    <w:pPr>
                      <w:pStyle w:val="13"/>
                    </w:pPr>
                    <w:r>
                      <w:fldChar w:fldCharType="begin"/>
                    </w:r>
                    <w:r>
                      <w:instrText xml:space="preserve"> PAGE  \* MERGEFORMAT </w:instrText>
                    </w:r>
                    <w:r>
                      <w:fldChar w:fldCharType="separate"/>
                    </w:r>
                    <w:r>
                      <w:t>145</w:t>
                    </w:r>
                    <w:r>
                      <w:fldChar w:fldCharType="end"/>
                    </w:r>
                  </w:p>
                </w:txbxContent>
              </v:textbox>
            </v:shape>
          </w:pict>
        </mc:Fallback>
      </mc:AlternateConten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01CF3">
    <w:pPr>
      <w:pStyle w:val="13"/>
    </w:pPr>
    <w:r>
      <mc:AlternateContent>
        <mc:Choice Requires="wps">
          <w:drawing>
            <wp:anchor distT="0" distB="0" distL="114300" distR="114300" simplePos="0" relativeHeight="2517606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93F54D">
                          <w:pPr>
                            <w:pStyle w:val="13"/>
                          </w:pPr>
                          <w:r>
                            <w:fldChar w:fldCharType="begin"/>
                          </w:r>
                          <w:r>
                            <w:instrText xml:space="preserve"> PAGE  \* MERGEFORMAT </w:instrText>
                          </w:r>
                          <w:r>
                            <w:fldChar w:fldCharType="separate"/>
                          </w:r>
                          <w:r>
                            <w:t>146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06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3ZvIVOgIAAHMEAAAOAAAAAAAAAAEAIAAAAB8BAABkcnMvZTJvRG9j&#10;LnhtbFBLBQYAAAAABgAGAFkBAADLBQAAAAA=&#10;">
              <v:fill on="f" focussize="0,0"/>
              <v:stroke on="f" weight="0.5pt"/>
              <v:imagedata o:title=""/>
              <o:lock v:ext="edit" aspectratio="f"/>
              <v:textbox inset="0mm,0mm,0mm,0mm" style="mso-fit-shape-to-text:t;">
                <w:txbxContent>
                  <w:p w14:paraId="3493F54D">
                    <w:pPr>
                      <w:pStyle w:val="13"/>
                    </w:pPr>
                    <w:r>
                      <w:fldChar w:fldCharType="begin"/>
                    </w:r>
                    <w:r>
                      <w:instrText xml:space="preserve"> PAGE  \* MERGEFORMAT </w:instrText>
                    </w:r>
                    <w:r>
                      <w:fldChar w:fldCharType="separate"/>
                    </w:r>
                    <w:r>
                      <w:t>146</w:t>
                    </w:r>
                    <w:r>
                      <w:fldChar w:fldCharType="end"/>
                    </w:r>
                  </w:p>
                </w:txbxContent>
              </v:textbox>
            </v:shape>
          </w:pict>
        </mc:Fallback>
      </mc:AlternateConten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64C37">
    <w:pPr>
      <w:pStyle w:val="13"/>
    </w:pPr>
    <w:r>
      <mc:AlternateContent>
        <mc:Choice Requires="wps">
          <w:drawing>
            <wp:anchor distT="0" distB="0" distL="114300" distR="114300" simplePos="0" relativeHeight="2517616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BDADFE">
                          <w:pPr>
                            <w:pStyle w:val="13"/>
                          </w:pPr>
                          <w:r>
                            <w:fldChar w:fldCharType="begin"/>
                          </w:r>
                          <w:r>
                            <w:instrText xml:space="preserve"> PAGE  \* MERGEFORMAT </w:instrText>
                          </w:r>
                          <w:r>
                            <w:fldChar w:fldCharType="separate"/>
                          </w:r>
                          <w:r>
                            <w:t>147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16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x4czc5AgAAcwQAAA4AAAAAAAAAAQAgAAAAHwEAAGRycy9lMm9Eb2Mu&#10;eG1sUEsFBgAAAAAGAAYAWQEAAMoFAAAAAA==&#10;">
              <v:fill on="f" focussize="0,0"/>
              <v:stroke on="f" weight="0.5pt"/>
              <v:imagedata o:title=""/>
              <o:lock v:ext="edit" aspectratio="f"/>
              <v:textbox inset="0mm,0mm,0mm,0mm" style="mso-fit-shape-to-text:t;">
                <w:txbxContent>
                  <w:p w14:paraId="3EBDADFE">
                    <w:pPr>
                      <w:pStyle w:val="13"/>
                    </w:pPr>
                    <w:r>
                      <w:fldChar w:fldCharType="begin"/>
                    </w:r>
                    <w:r>
                      <w:instrText xml:space="preserve"> PAGE  \* MERGEFORMAT </w:instrText>
                    </w:r>
                    <w:r>
                      <w:fldChar w:fldCharType="separate"/>
                    </w:r>
                    <w:r>
                      <w:t>147</w:t>
                    </w:r>
                    <w:r>
                      <w:fldChar w:fldCharType="end"/>
                    </w:r>
                  </w:p>
                </w:txbxContent>
              </v:textbox>
            </v:shape>
          </w:pict>
        </mc:Fallback>
      </mc:AlternateConten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D1276">
    <w:pPr>
      <w:pStyle w:val="13"/>
    </w:pPr>
    <w:r>
      <mc:AlternateContent>
        <mc:Choice Requires="wps">
          <w:drawing>
            <wp:anchor distT="0" distB="0" distL="114300" distR="114300" simplePos="0" relativeHeight="2517626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179CB96">
                          <w:pPr>
                            <w:pStyle w:val="13"/>
                          </w:pPr>
                          <w:r>
                            <w:fldChar w:fldCharType="begin"/>
                          </w:r>
                          <w:r>
                            <w:instrText xml:space="preserve"> PAGE  \* MERGEFORMAT </w:instrText>
                          </w:r>
                          <w:r>
                            <w:fldChar w:fldCharType="separate"/>
                          </w:r>
                          <w:r>
                            <w:t>148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26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qP3J86AgAAc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aj9yfOgIAAHMEAAAOAAAAAAAAAAEAIAAAAB8BAABkcnMvZTJvRG9j&#10;LnhtbFBLBQYAAAAABgAGAFkBAADLBQAAAAA=&#10;">
              <v:fill on="f" focussize="0,0"/>
              <v:stroke on="f" weight="0.5pt"/>
              <v:imagedata o:title=""/>
              <o:lock v:ext="edit" aspectratio="f"/>
              <v:textbox inset="0mm,0mm,0mm,0mm" style="mso-fit-shape-to-text:t;">
                <w:txbxContent>
                  <w:p w14:paraId="1179CB96">
                    <w:pPr>
                      <w:pStyle w:val="13"/>
                    </w:pPr>
                    <w:r>
                      <w:fldChar w:fldCharType="begin"/>
                    </w:r>
                    <w:r>
                      <w:instrText xml:space="preserve"> PAGE  \* MERGEFORMAT </w:instrText>
                    </w:r>
                    <w:r>
                      <w:fldChar w:fldCharType="separate"/>
                    </w:r>
                    <w:r>
                      <w:t>148</w:t>
                    </w:r>
                    <w:r>
                      <w:fldChar w:fldCharType="end"/>
                    </w:r>
                  </w:p>
                </w:txbxContent>
              </v:textbox>
            </v:shape>
          </w:pict>
        </mc:Fallback>
      </mc:AlternateConten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7321C">
    <w:pPr>
      <w:pStyle w:val="13"/>
    </w:pPr>
    <w:r>
      <mc:AlternateContent>
        <mc:Choice Requires="wps">
          <w:drawing>
            <wp:anchor distT="0" distB="0" distL="114300" distR="114300" simplePos="0" relativeHeight="2517637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7E89CB8">
                          <w:pPr>
                            <w:pStyle w:val="13"/>
                          </w:pPr>
                          <w:r>
                            <w:fldChar w:fldCharType="begin"/>
                          </w:r>
                          <w:r>
                            <w:instrText xml:space="preserve"> PAGE  \* MERGEFORMAT </w:instrText>
                          </w:r>
                          <w:r>
                            <w:fldChar w:fldCharType="separate"/>
                          </w:r>
                          <w:r>
                            <w:t>149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37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epZNzgCAABzBAAADgAAAAAAAAABACAAAAAfAQAAZHJzL2Uyb0RvYy54&#10;bWxQSwUGAAAAAAYABgBZAQAAyQUAAAAA&#10;">
              <v:fill on="f" focussize="0,0"/>
              <v:stroke on="f" weight="0.5pt"/>
              <v:imagedata o:title=""/>
              <o:lock v:ext="edit" aspectratio="f"/>
              <v:textbox inset="0mm,0mm,0mm,0mm" style="mso-fit-shape-to-text:t;">
                <w:txbxContent>
                  <w:p w14:paraId="77E89CB8">
                    <w:pPr>
                      <w:pStyle w:val="13"/>
                    </w:pPr>
                    <w:r>
                      <w:fldChar w:fldCharType="begin"/>
                    </w:r>
                    <w:r>
                      <w:instrText xml:space="preserve"> PAGE  \* MERGEFORMAT </w:instrText>
                    </w:r>
                    <w:r>
                      <w:fldChar w:fldCharType="separate"/>
                    </w:r>
                    <w:r>
                      <w:t>149</w:t>
                    </w:r>
                    <w:r>
                      <w:fldChar w:fldCharType="end"/>
                    </w:r>
                  </w:p>
                </w:txbxContent>
              </v:textbox>
            </v:shape>
          </w:pict>
        </mc:Fallback>
      </mc:AlternateConten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EEC02">
    <w:pPr>
      <w:pStyle w:val="13"/>
    </w:pPr>
    <w:r>
      <mc:AlternateContent>
        <mc:Choice Requires="wps">
          <w:drawing>
            <wp:anchor distT="0" distB="0" distL="114300" distR="114300" simplePos="0" relativeHeight="2517647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166E91">
                          <w:pPr>
                            <w:pStyle w:val="13"/>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647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d9p86AgAAcw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bHfafOgIAAHMEAAAOAAAAAAAAAAEAIAAAAB8BAABkcnMvZTJvRG9j&#10;LnhtbFBLBQYAAAAABgAGAFkBAADLBQAAAAA=&#10;">
              <v:fill on="f" focussize="0,0"/>
              <v:stroke on="f" weight="0.5pt"/>
              <v:imagedata o:title=""/>
              <o:lock v:ext="edit" aspectratio="f"/>
              <v:textbox inset="0mm,0mm,0mm,0mm" style="mso-fit-shape-to-text:t;">
                <w:txbxContent>
                  <w:p w14:paraId="31166E91">
                    <w:pPr>
                      <w:pStyle w:val="13"/>
                    </w:pPr>
                    <w:r>
                      <w:fldChar w:fldCharType="begin"/>
                    </w:r>
                    <w:r>
                      <w:instrText xml:space="preserve"> PAGE  \* MERGEFORMAT </w:instrText>
                    </w:r>
                    <w:r>
                      <w:fldChar w:fldCharType="separate"/>
                    </w:r>
                    <w:r>
                      <w:t>150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7BC04">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CA743">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6A186">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9CEE8">
    <w:pPr>
      <w:pStyle w:val="1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CAC1">
    <w:pPr>
      <w:pStyle w:val="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5144D">
    <w:pPr>
      <w:pStyle w:val="1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9DC46">
    <w:pPr>
      <w:pStyle w:val="1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21AE9">
    <w:pPr>
      <w:pStyle w:val="1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1EA3F">
    <w:pPr>
      <w:pStyle w:val="1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A45D5">
    <w:pPr>
      <w:pStyle w:val="1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1E476">
    <w:pPr>
      <w:pStyle w:val="14"/>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720FE">
    <w:pPr>
      <w:pStyle w:val="14"/>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D95E">
    <w:pPr>
      <w:pStyle w:val="14"/>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CAE40">
    <w:pPr>
      <w:pStyle w:val="14"/>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B331D">
    <w:pPr>
      <w:pStyle w:val="14"/>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9D6C">
    <w:pPr>
      <w:pStyle w:val="14"/>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5222E">
    <w:pPr>
      <w:pStyle w:val="14"/>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D3452">
    <w:pPr>
      <w:pStyle w:val="14"/>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1D953">
    <w:pPr>
      <w:pStyle w:val="14"/>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512CC">
    <w:pPr>
      <w:pStyle w:val="14"/>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354E6">
    <w:pPr>
      <w:pStyle w:val="14"/>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F6DF8">
    <w:pPr>
      <w:pStyle w:val="14"/>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7BC60">
    <w:pPr>
      <w:pStyle w:val="14"/>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A740D">
    <w:pPr>
      <w:pStyle w:val="14"/>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A6B">
    <w:pPr>
      <w:pStyle w:val="14"/>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7F1C6">
    <w:pPr>
      <w:pStyle w:val="14"/>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FBCEC">
    <w:pPr>
      <w:pStyle w:val="14"/>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F9650">
    <w:pPr>
      <w:pStyle w:val="14"/>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9B5A9">
    <w:pPr>
      <w:pStyle w:val="14"/>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825C1">
    <w:pPr>
      <w:pStyle w:val="14"/>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CBEFD">
    <w:pPr>
      <w:pStyle w:val="14"/>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3CB55">
    <w:pPr>
      <w:pStyle w:val="14"/>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292A0">
    <w:pPr>
      <w:pStyle w:val="14"/>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629ED">
    <w:pPr>
      <w:pStyle w:val="14"/>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C45B">
    <w:pPr>
      <w:pStyle w:val="14"/>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5903">
    <w:pPr>
      <w:pStyle w:val="14"/>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D5ED9">
    <w:pPr>
      <w:pStyle w:val="14"/>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0DCF1">
    <w:pPr>
      <w:pStyle w:val="14"/>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1B6E">
    <w:pPr>
      <w:pStyle w:val="14"/>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E9F17">
    <w:pPr>
      <w:pStyle w:val="14"/>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86289">
    <w:pPr>
      <w:pStyle w:val="14"/>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3C1A">
    <w:pPr>
      <w:pStyle w:val="14"/>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7A2F2">
    <w:pPr>
      <w:pStyle w:val="14"/>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1BD5">
    <w:pPr>
      <w:pStyle w:val="14"/>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22761">
    <w:pPr>
      <w:pStyle w:val="14"/>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0CB2">
    <w:pPr>
      <w:pStyle w:val="14"/>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289CB">
    <w:pPr>
      <w:pStyle w:val="14"/>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97BE0">
    <w:pPr>
      <w:pStyle w:val="14"/>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31E3">
    <w:pPr>
      <w:pStyle w:val="14"/>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243E4">
    <w:pPr>
      <w:pStyle w:val="14"/>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79F03">
    <w:pPr>
      <w:pStyle w:val="14"/>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EF7C">
    <w:pPr>
      <w:pStyle w:val="14"/>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3BC9">
    <w:pPr>
      <w:pStyle w:val="14"/>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A685">
    <w:pPr>
      <w:pStyle w:val="14"/>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E11A5">
    <w:pPr>
      <w:pStyle w:val="14"/>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F59D">
    <w:pPr>
      <w:pStyle w:val="14"/>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A54E7">
    <w:pPr>
      <w:pStyle w:val="14"/>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E640F">
    <w:pPr>
      <w:pStyle w:val="14"/>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5EF6">
    <w:pPr>
      <w:pStyle w:val="14"/>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CE343">
    <w:pPr>
      <w:pStyle w:val="14"/>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EDE11">
    <w:pPr>
      <w:pStyle w:val="14"/>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662E">
    <w:pPr>
      <w:pStyle w:val="14"/>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A807B">
    <w:pPr>
      <w:pStyle w:val="14"/>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80912">
    <w:pPr>
      <w:pStyle w:val="14"/>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D5A14">
    <w:pPr>
      <w:pStyle w:val="14"/>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6982D">
    <w:pPr>
      <w:pStyle w:val="14"/>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B8E9">
    <w:pPr>
      <w:pStyle w:val="14"/>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E03D9">
    <w:pPr>
      <w:pStyle w:val="14"/>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97C4C">
    <w:pPr>
      <w:pStyle w:val="14"/>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4C782">
    <w:pPr>
      <w:pStyle w:val="14"/>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E3F08">
    <w:pPr>
      <w:pStyle w:val="14"/>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C0DD">
    <w:pPr>
      <w:pStyle w:val="14"/>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A8D7">
    <w:pPr>
      <w:pStyle w:val="14"/>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9891">
    <w:pPr>
      <w:pStyle w:val="14"/>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E008">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hideSpellingErrors/>
  <w:documentProtection w:enforcement="0"/>
  <w:defaultTabStop w:val="420"/>
  <w:noPunctuationKerning w:val="1"/>
  <w:characterSpacingControl w:val="doNotCompress"/>
  <w:hdrShapeDefaults>
    <o:shapelayout v:ext="edit">
      <o:idmap v:ext="edit" data="2"/>
    </o:shapelayout>
  </w:hdrShapeDefault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13F"/>
    <w:rsid w:val="00004BF3"/>
    <w:rsid w:val="000C0FC3"/>
    <w:rsid w:val="00210F9A"/>
    <w:rsid w:val="0021371E"/>
    <w:rsid w:val="003B5C6E"/>
    <w:rsid w:val="00520465"/>
    <w:rsid w:val="007E6035"/>
    <w:rsid w:val="007F0A1D"/>
    <w:rsid w:val="00A1216E"/>
    <w:rsid w:val="00A665BE"/>
    <w:rsid w:val="00AC2F0E"/>
    <w:rsid w:val="00AD113F"/>
    <w:rsid w:val="00AF4607"/>
    <w:rsid w:val="00B92F16"/>
    <w:rsid w:val="00BE1704"/>
    <w:rsid w:val="00CD6089"/>
    <w:rsid w:val="00DC3CF2"/>
    <w:rsid w:val="00EA588E"/>
    <w:rsid w:val="00F020E3"/>
    <w:rsid w:val="00F17F27"/>
    <w:rsid w:val="010D15E6"/>
    <w:rsid w:val="0147153B"/>
    <w:rsid w:val="01CA5CC8"/>
    <w:rsid w:val="0205655E"/>
    <w:rsid w:val="02337D11"/>
    <w:rsid w:val="02D45932"/>
    <w:rsid w:val="030D7749"/>
    <w:rsid w:val="03B94246"/>
    <w:rsid w:val="04025BA8"/>
    <w:rsid w:val="043232F0"/>
    <w:rsid w:val="04881B00"/>
    <w:rsid w:val="051931EE"/>
    <w:rsid w:val="05907240"/>
    <w:rsid w:val="065A3F7A"/>
    <w:rsid w:val="0702568C"/>
    <w:rsid w:val="071333A8"/>
    <w:rsid w:val="07C5765D"/>
    <w:rsid w:val="081163FE"/>
    <w:rsid w:val="08901A19"/>
    <w:rsid w:val="089D2EAF"/>
    <w:rsid w:val="08A3063C"/>
    <w:rsid w:val="093446A7"/>
    <w:rsid w:val="09414AC1"/>
    <w:rsid w:val="095D7A6A"/>
    <w:rsid w:val="096802A0"/>
    <w:rsid w:val="09C13E54"/>
    <w:rsid w:val="0A1C72DC"/>
    <w:rsid w:val="0AA93D59"/>
    <w:rsid w:val="0AC97464"/>
    <w:rsid w:val="0AFA761E"/>
    <w:rsid w:val="0C9D2956"/>
    <w:rsid w:val="0CAC725E"/>
    <w:rsid w:val="0DC21F49"/>
    <w:rsid w:val="0DDF6F9F"/>
    <w:rsid w:val="0DFD27BD"/>
    <w:rsid w:val="0E6352A9"/>
    <w:rsid w:val="0E7B2A1F"/>
    <w:rsid w:val="0E96765D"/>
    <w:rsid w:val="0E9C6708"/>
    <w:rsid w:val="0EBF433E"/>
    <w:rsid w:val="0EDD34DE"/>
    <w:rsid w:val="0EFD76DC"/>
    <w:rsid w:val="0F021BF1"/>
    <w:rsid w:val="0F0A1DF9"/>
    <w:rsid w:val="0F7F477C"/>
    <w:rsid w:val="101504F3"/>
    <w:rsid w:val="10337AA3"/>
    <w:rsid w:val="1057106E"/>
    <w:rsid w:val="105B067E"/>
    <w:rsid w:val="10BE4C49"/>
    <w:rsid w:val="10C1060B"/>
    <w:rsid w:val="10C81F6C"/>
    <w:rsid w:val="11073A32"/>
    <w:rsid w:val="11164A85"/>
    <w:rsid w:val="11716160"/>
    <w:rsid w:val="11867E5D"/>
    <w:rsid w:val="11C0052E"/>
    <w:rsid w:val="12042B30"/>
    <w:rsid w:val="12134DE9"/>
    <w:rsid w:val="121C2E46"/>
    <w:rsid w:val="12967F3A"/>
    <w:rsid w:val="12B5207C"/>
    <w:rsid w:val="131D4BE7"/>
    <w:rsid w:val="13553E48"/>
    <w:rsid w:val="136A10B9"/>
    <w:rsid w:val="13A445CA"/>
    <w:rsid w:val="13C7650B"/>
    <w:rsid w:val="14795D66"/>
    <w:rsid w:val="147B03A7"/>
    <w:rsid w:val="15123DD5"/>
    <w:rsid w:val="16CE5378"/>
    <w:rsid w:val="16EE32FB"/>
    <w:rsid w:val="17872239"/>
    <w:rsid w:val="178C784F"/>
    <w:rsid w:val="178F7DBD"/>
    <w:rsid w:val="17942BA8"/>
    <w:rsid w:val="17DD1CB2"/>
    <w:rsid w:val="185C0633"/>
    <w:rsid w:val="18CB2A6F"/>
    <w:rsid w:val="18DC2EDA"/>
    <w:rsid w:val="193F53C1"/>
    <w:rsid w:val="196D5298"/>
    <w:rsid w:val="198F61E4"/>
    <w:rsid w:val="19AB6A2A"/>
    <w:rsid w:val="1A587EBD"/>
    <w:rsid w:val="1A7E33A3"/>
    <w:rsid w:val="1B6202FA"/>
    <w:rsid w:val="1B7A37A3"/>
    <w:rsid w:val="1BC81072"/>
    <w:rsid w:val="1BD143CB"/>
    <w:rsid w:val="1C3C189A"/>
    <w:rsid w:val="1C746B04"/>
    <w:rsid w:val="1C99656B"/>
    <w:rsid w:val="1CF5727B"/>
    <w:rsid w:val="1CF83C14"/>
    <w:rsid w:val="1D266CE1"/>
    <w:rsid w:val="1DA67191"/>
    <w:rsid w:val="1DD65CC8"/>
    <w:rsid w:val="1DFF69C5"/>
    <w:rsid w:val="1E036392"/>
    <w:rsid w:val="1E360515"/>
    <w:rsid w:val="1EA00084"/>
    <w:rsid w:val="1EB3600A"/>
    <w:rsid w:val="1EEC5348"/>
    <w:rsid w:val="1EF5217E"/>
    <w:rsid w:val="1F882B80"/>
    <w:rsid w:val="20124FB2"/>
    <w:rsid w:val="20656D9A"/>
    <w:rsid w:val="214B2529"/>
    <w:rsid w:val="21BA76AF"/>
    <w:rsid w:val="22E646A2"/>
    <w:rsid w:val="23166B67"/>
    <w:rsid w:val="231A0926"/>
    <w:rsid w:val="232124DE"/>
    <w:rsid w:val="233627D5"/>
    <w:rsid w:val="234B4D59"/>
    <w:rsid w:val="24482D50"/>
    <w:rsid w:val="248024EA"/>
    <w:rsid w:val="249B37C8"/>
    <w:rsid w:val="25672D6C"/>
    <w:rsid w:val="25981AB5"/>
    <w:rsid w:val="25D4529B"/>
    <w:rsid w:val="260D1F7D"/>
    <w:rsid w:val="26372DC2"/>
    <w:rsid w:val="268705C2"/>
    <w:rsid w:val="27271343"/>
    <w:rsid w:val="2731716C"/>
    <w:rsid w:val="273F11D4"/>
    <w:rsid w:val="279C5F0C"/>
    <w:rsid w:val="288D78CB"/>
    <w:rsid w:val="29065207"/>
    <w:rsid w:val="293A0730"/>
    <w:rsid w:val="294007BB"/>
    <w:rsid w:val="294837F2"/>
    <w:rsid w:val="29546B9B"/>
    <w:rsid w:val="2AB90504"/>
    <w:rsid w:val="2ABB39C8"/>
    <w:rsid w:val="2ACB46DB"/>
    <w:rsid w:val="2B7F799F"/>
    <w:rsid w:val="2B8F3FDB"/>
    <w:rsid w:val="2C1520B2"/>
    <w:rsid w:val="2C291503"/>
    <w:rsid w:val="2C7843EE"/>
    <w:rsid w:val="2CE1542E"/>
    <w:rsid w:val="2CE72BBB"/>
    <w:rsid w:val="2CEF011B"/>
    <w:rsid w:val="2D426ED6"/>
    <w:rsid w:val="2D630BFB"/>
    <w:rsid w:val="2D665687"/>
    <w:rsid w:val="2D83129D"/>
    <w:rsid w:val="2D954DFF"/>
    <w:rsid w:val="2E990003"/>
    <w:rsid w:val="2F00322A"/>
    <w:rsid w:val="2F3F2A43"/>
    <w:rsid w:val="2F8B4182"/>
    <w:rsid w:val="2FA14FB2"/>
    <w:rsid w:val="2FC51CEF"/>
    <w:rsid w:val="3094583F"/>
    <w:rsid w:val="30B67078"/>
    <w:rsid w:val="30F2476F"/>
    <w:rsid w:val="316B62D0"/>
    <w:rsid w:val="31765E32"/>
    <w:rsid w:val="319544E8"/>
    <w:rsid w:val="319566E7"/>
    <w:rsid w:val="31C61758"/>
    <w:rsid w:val="31F44FCD"/>
    <w:rsid w:val="3297758E"/>
    <w:rsid w:val="329D070B"/>
    <w:rsid w:val="331B77E7"/>
    <w:rsid w:val="335608C6"/>
    <w:rsid w:val="33B36A61"/>
    <w:rsid w:val="33D72119"/>
    <w:rsid w:val="33E74334"/>
    <w:rsid w:val="341744ED"/>
    <w:rsid w:val="3473361C"/>
    <w:rsid w:val="358931C8"/>
    <w:rsid w:val="359A53D6"/>
    <w:rsid w:val="35AA241A"/>
    <w:rsid w:val="35D02D98"/>
    <w:rsid w:val="36EF19E3"/>
    <w:rsid w:val="37B56C38"/>
    <w:rsid w:val="37E636B4"/>
    <w:rsid w:val="380354B4"/>
    <w:rsid w:val="3825367C"/>
    <w:rsid w:val="38FE5C7B"/>
    <w:rsid w:val="39BF365D"/>
    <w:rsid w:val="39F74BA5"/>
    <w:rsid w:val="3A3D2D97"/>
    <w:rsid w:val="3A4D6EBA"/>
    <w:rsid w:val="3A7A7584"/>
    <w:rsid w:val="3A853642"/>
    <w:rsid w:val="3BAC7AF6"/>
    <w:rsid w:val="3BC136BC"/>
    <w:rsid w:val="3C1F45B2"/>
    <w:rsid w:val="3C2F3A27"/>
    <w:rsid w:val="3C670446"/>
    <w:rsid w:val="3C6A11AE"/>
    <w:rsid w:val="3CCC056A"/>
    <w:rsid w:val="3CCD7E3F"/>
    <w:rsid w:val="3CDD7E68"/>
    <w:rsid w:val="3D400B07"/>
    <w:rsid w:val="3DB14A2F"/>
    <w:rsid w:val="3DD81385"/>
    <w:rsid w:val="3DF17D30"/>
    <w:rsid w:val="3E03620E"/>
    <w:rsid w:val="3E6B4F1A"/>
    <w:rsid w:val="3E79568B"/>
    <w:rsid w:val="3E8250E7"/>
    <w:rsid w:val="3EEC7BC8"/>
    <w:rsid w:val="3F0D62C2"/>
    <w:rsid w:val="3F433E5A"/>
    <w:rsid w:val="3F571FA5"/>
    <w:rsid w:val="3F6820A1"/>
    <w:rsid w:val="40DA0D7C"/>
    <w:rsid w:val="40DE31B0"/>
    <w:rsid w:val="40DF387B"/>
    <w:rsid w:val="41375F72"/>
    <w:rsid w:val="41F9564C"/>
    <w:rsid w:val="424566C9"/>
    <w:rsid w:val="435117C9"/>
    <w:rsid w:val="43E02B4D"/>
    <w:rsid w:val="44663053"/>
    <w:rsid w:val="44703AD7"/>
    <w:rsid w:val="44703ED1"/>
    <w:rsid w:val="44AB2637"/>
    <w:rsid w:val="44EE4045"/>
    <w:rsid w:val="450B4839"/>
    <w:rsid w:val="45525385"/>
    <w:rsid w:val="45804420"/>
    <w:rsid w:val="4588349D"/>
    <w:rsid w:val="45A007E6"/>
    <w:rsid w:val="45E32240"/>
    <w:rsid w:val="46534F71"/>
    <w:rsid w:val="46841EBD"/>
    <w:rsid w:val="47105324"/>
    <w:rsid w:val="47217705"/>
    <w:rsid w:val="4779309D"/>
    <w:rsid w:val="47C65D4C"/>
    <w:rsid w:val="48180B08"/>
    <w:rsid w:val="481E59F2"/>
    <w:rsid w:val="486A50DB"/>
    <w:rsid w:val="48A4239B"/>
    <w:rsid w:val="48CE566A"/>
    <w:rsid w:val="48D04F3E"/>
    <w:rsid w:val="491017DF"/>
    <w:rsid w:val="49FE1C92"/>
    <w:rsid w:val="4A195039"/>
    <w:rsid w:val="4AA015E9"/>
    <w:rsid w:val="4ABA1BCB"/>
    <w:rsid w:val="4AC76815"/>
    <w:rsid w:val="4B38326F"/>
    <w:rsid w:val="4B5300A9"/>
    <w:rsid w:val="4BC845F3"/>
    <w:rsid w:val="4C017B05"/>
    <w:rsid w:val="4CD86DD9"/>
    <w:rsid w:val="4D4221BA"/>
    <w:rsid w:val="4D783C62"/>
    <w:rsid w:val="4E165AE9"/>
    <w:rsid w:val="4E1A7B6F"/>
    <w:rsid w:val="4E726A98"/>
    <w:rsid w:val="4EA50C1B"/>
    <w:rsid w:val="4EA8761A"/>
    <w:rsid w:val="4EDE4270"/>
    <w:rsid w:val="4EFD45B3"/>
    <w:rsid w:val="4F442D1B"/>
    <w:rsid w:val="4FC11A85"/>
    <w:rsid w:val="500C09F5"/>
    <w:rsid w:val="502B33A2"/>
    <w:rsid w:val="50574197"/>
    <w:rsid w:val="50824921"/>
    <w:rsid w:val="50EC1DD2"/>
    <w:rsid w:val="510F580A"/>
    <w:rsid w:val="512027DB"/>
    <w:rsid w:val="512A365A"/>
    <w:rsid w:val="51611D91"/>
    <w:rsid w:val="517174DB"/>
    <w:rsid w:val="51A11943"/>
    <w:rsid w:val="51A76A58"/>
    <w:rsid w:val="51EE35CE"/>
    <w:rsid w:val="52410C5B"/>
    <w:rsid w:val="524F1A19"/>
    <w:rsid w:val="529B0326"/>
    <w:rsid w:val="52A02906"/>
    <w:rsid w:val="53650A5D"/>
    <w:rsid w:val="536C1D08"/>
    <w:rsid w:val="537B5903"/>
    <w:rsid w:val="53B50F60"/>
    <w:rsid w:val="541127AE"/>
    <w:rsid w:val="544467E1"/>
    <w:rsid w:val="545C6276"/>
    <w:rsid w:val="557430F6"/>
    <w:rsid w:val="55D33557"/>
    <w:rsid w:val="56016118"/>
    <w:rsid w:val="57335A1F"/>
    <w:rsid w:val="57483BEB"/>
    <w:rsid w:val="5774562F"/>
    <w:rsid w:val="58160494"/>
    <w:rsid w:val="581D341E"/>
    <w:rsid w:val="585A2A77"/>
    <w:rsid w:val="58916785"/>
    <w:rsid w:val="58935F89"/>
    <w:rsid w:val="58F033DB"/>
    <w:rsid w:val="59001493"/>
    <w:rsid w:val="590E402B"/>
    <w:rsid w:val="595509E6"/>
    <w:rsid w:val="5A750FF4"/>
    <w:rsid w:val="5ADF7263"/>
    <w:rsid w:val="5B150ED7"/>
    <w:rsid w:val="5BEF797A"/>
    <w:rsid w:val="5C641337"/>
    <w:rsid w:val="5C653D22"/>
    <w:rsid w:val="5C6C36AD"/>
    <w:rsid w:val="5CA442C0"/>
    <w:rsid w:val="5D015BB7"/>
    <w:rsid w:val="5D2850E5"/>
    <w:rsid w:val="5D6A375C"/>
    <w:rsid w:val="5D9A3915"/>
    <w:rsid w:val="5DBD55D9"/>
    <w:rsid w:val="5E977128"/>
    <w:rsid w:val="5EFF7ED4"/>
    <w:rsid w:val="5F267129"/>
    <w:rsid w:val="5F3E6C4E"/>
    <w:rsid w:val="5F983BE5"/>
    <w:rsid w:val="5F9A7BFD"/>
    <w:rsid w:val="605459E8"/>
    <w:rsid w:val="60760912"/>
    <w:rsid w:val="607B36A0"/>
    <w:rsid w:val="61846B5B"/>
    <w:rsid w:val="619523A6"/>
    <w:rsid w:val="61AB234B"/>
    <w:rsid w:val="61B451D9"/>
    <w:rsid w:val="6277079A"/>
    <w:rsid w:val="62A80F69"/>
    <w:rsid w:val="62CD7EA4"/>
    <w:rsid w:val="62E010C3"/>
    <w:rsid w:val="631657EC"/>
    <w:rsid w:val="649E1424"/>
    <w:rsid w:val="65076907"/>
    <w:rsid w:val="652C450B"/>
    <w:rsid w:val="661850E9"/>
    <w:rsid w:val="661D1895"/>
    <w:rsid w:val="66383CCB"/>
    <w:rsid w:val="66714252"/>
    <w:rsid w:val="667C18AF"/>
    <w:rsid w:val="669729F9"/>
    <w:rsid w:val="66F45E44"/>
    <w:rsid w:val="6715402C"/>
    <w:rsid w:val="6746007E"/>
    <w:rsid w:val="674D6AE7"/>
    <w:rsid w:val="678216A2"/>
    <w:rsid w:val="67EC7EAC"/>
    <w:rsid w:val="67F76A84"/>
    <w:rsid w:val="680E2F36"/>
    <w:rsid w:val="681A055A"/>
    <w:rsid w:val="686471D1"/>
    <w:rsid w:val="68800411"/>
    <w:rsid w:val="6881195A"/>
    <w:rsid w:val="68981FA9"/>
    <w:rsid w:val="690A7BA1"/>
    <w:rsid w:val="69A55B1C"/>
    <w:rsid w:val="69C441F4"/>
    <w:rsid w:val="6AA45DD3"/>
    <w:rsid w:val="6AD3024F"/>
    <w:rsid w:val="6B301415"/>
    <w:rsid w:val="6BDF32A7"/>
    <w:rsid w:val="6BFB5EC7"/>
    <w:rsid w:val="6C010CC1"/>
    <w:rsid w:val="6C73539D"/>
    <w:rsid w:val="6D3E48A2"/>
    <w:rsid w:val="6D667370"/>
    <w:rsid w:val="6DC1541F"/>
    <w:rsid w:val="6EB9255F"/>
    <w:rsid w:val="6ED74F67"/>
    <w:rsid w:val="6F196CD5"/>
    <w:rsid w:val="6F484F7F"/>
    <w:rsid w:val="6F784AF0"/>
    <w:rsid w:val="6FBC2D74"/>
    <w:rsid w:val="70585696"/>
    <w:rsid w:val="70647BF1"/>
    <w:rsid w:val="70B054D2"/>
    <w:rsid w:val="71200D31"/>
    <w:rsid w:val="71BE59CD"/>
    <w:rsid w:val="72357E6C"/>
    <w:rsid w:val="724E4FA2"/>
    <w:rsid w:val="729130E1"/>
    <w:rsid w:val="729A01E8"/>
    <w:rsid w:val="72C93215"/>
    <w:rsid w:val="737733D7"/>
    <w:rsid w:val="73A66A49"/>
    <w:rsid w:val="73F43927"/>
    <w:rsid w:val="741A4809"/>
    <w:rsid w:val="745558E8"/>
    <w:rsid w:val="746960C4"/>
    <w:rsid w:val="75355E65"/>
    <w:rsid w:val="75842A89"/>
    <w:rsid w:val="75EA1201"/>
    <w:rsid w:val="761D53B8"/>
    <w:rsid w:val="7624747A"/>
    <w:rsid w:val="76294569"/>
    <w:rsid w:val="76AA4771"/>
    <w:rsid w:val="77071BC4"/>
    <w:rsid w:val="772B58B2"/>
    <w:rsid w:val="77966CBE"/>
    <w:rsid w:val="78AD4288"/>
    <w:rsid w:val="791D2D6A"/>
    <w:rsid w:val="795F1843"/>
    <w:rsid w:val="79FA3F2A"/>
    <w:rsid w:val="7A1E0C67"/>
    <w:rsid w:val="7A287E87"/>
    <w:rsid w:val="7A434CC1"/>
    <w:rsid w:val="7AE77D42"/>
    <w:rsid w:val="7B302ED7"/>
    <w:rsid w:val="7B9E45DB"/>
    <w:rsid w:val="7BA14395"/>
    <w:rsid w:val="7BB42002"/>
    <w:rsid w:val="7BC4481A"/>
    <w:rsid w:val="7BE349AD"/>
    <w:rsid w:val="7C6929D9"/>
    <w:rsid w:val="7C8C7AE7"/>
    <w:rsid w:val="7CC04CEF"/>
    <w:rsid w:val="7CD90FE7"/>
    <w:rsid w:val="7DD56578"/>
    <w:rsid w:val="7E3808B5"/>
    <w:rsid w:val="7EED3EF0"/>
    <w:rsid w:val="7EF90044"/>
    <w:rsid w:val="7F10538E"/>
    <w:rsid w:val="7F392BC8"/>
    <w:rsid w:val="7F594F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keepNext/>
      <w:keepLines/>
      <w:widowControl w:val="0"/>
      <w:spacing w:before="140" w:after="140" w:line="412" w:lineRule="auto"/>
      <w:jc w:val="center"/>
      <w:outlineLvl w:val="1"/>
    </w:pPr>
    <w:rPr>
      <w:b/>
      <w:sz w:val="28"/>
    </w:rPr>
  </w:style>
  <w:style w:type="paragraph" w:styleId="3">
    <w:name w:val="heading 3"/>
    <w:basedOn w:val="4"/>
    <w:next w:val="4"/>
    <w:qFormat/>
    <w:uiPriority w:val="0"/>
    <w:pPr>
      <w:ind w:left="100"/>
      <w:outlineLvl w:val="2"/>
    </w:pPr>
    <w:rPr>
      <w:rFonts w:ascii="Microsoft JhengHei" w:hAnsi="Microsoft JhengHei" w:eastAsia="Microsoft JhengHei"/>
      <w:b/>
      <w:bCs/>
      <w:sz w:val="32"/>
      <w:szCs w:val="32"/>
    </w:rPr>
  </w:style>
  <w:style w:type="paragraph" w:styleId="7">
    <w:name w:val="heading 4"/>
    <w:basedOn w:val="1"/>
    <w:next w:val="1"/>
    <w:qFormat/>
    <w:uiPriority w:val="0"/>
    <w:pPr>
      <w:ind w:left="237"/>
      <w:outlineLvl w:val="3"/>
    </w:pPr>
    <w:rPr>
      <w:rFonts w:ascii="宋体" w:hAnsi="宋体" w:eastAsia="宋体" w:cs="Times New Roman"/>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4">
    <w:name w:val="Normal_1"/>
    <w:next w:val="5"/>
    <w:qFormat/>
    <w:uiPriority w:val="0"/>
    <w:pPr>
      <w:widowControl w:val="0"/>
    </w:pPr>
    <w:rPr>
      <w:rFonts w:ascii="Calibri" w:hAnsi="Calibri" w:eastAsia="宋体" w:cs="Times New Roman"/>
      <w:sz w:val="22"/>
      <w:szCs w:val="22"/>
      <w:lang w:val="en-US" w:eastAsia="en-US" w:bidi="ar-SA"/>
    </w:rPr>
  </w:style>
  <w:style w:type="paragraph" w:customStyle="1" w:styleId="5">
    <w:name w:val="首行缩进"/>
    <w:basedOn w:val="6"/>
    <w:qFormat/>
    <w:uiPriority w:val="0"/>
    <w:pPr>
      <w:spacing w:line="360" w:lineRule="auto"/>
      <w:ind w:firstLine="480" w:firstLineChars="200"/>
    </w:pPr>
    <w:rPr>
      <w:rFonts w:ascii="等线" w:hAnsi="等线" w:eastAsia="等线"/>
      <w:sz w:val="24"/>
      <w:szCs w:val="24"/>
      <w:lang w:val="zh-CN"/>
    </w:rPr>
  </w:style>
  <w:style w:type="paragraph" w:customStyle="1" w:styleId="6">
    <w:name w:val="Normal_0"/>
    <w:next w:val="5"/>
    <w:qFormat/>
    <w:uiPriority w:val="0"/>
    <w:pPr>
      <w:widowControl w:val="0"/>
      <w:jc w:val="both"/>
    </w:pPr>
    <w:rPr>
      <w:rFonts w:ascii="Calibri" w:hAnsi="Calibri" w:eastAsia="宋体" w:cs="Times New Roman"/>
      <w:kern w:val="2"/>
      <w:sz w:val="21"/>
      <w:szCs w:val="22"/>
      <w:lang w:val="en-US" w:eastAsia="zh-CN" w:bidi="ar-SA"/>
    </w:rPr>
  </w:style>
  <w:style w:type="paragraph" w:styleId="8">
    <w:name w:val="Body Text"/>
    <w:basedOn w:val="1"/>
    <w:semiHidden/>
    <w:qFormat/>
    <w:uiPriority w:val="0"/>
  </w:style>
  <w:style w:type="paragraph" w:styleId="9">
    <w:name w:val="toc 3"/>
    <w:basedOn w:val="1"/>
    <w:next w:val="1"/>
    <w:qFormat/>
    <w:uiPriority w:val="0"/>
    <w:pPr>
      <w:ind w:left="840" w:leftChars="400"/>
    </w:pPr>
  </w:style>
  <w:style w:type="paragraph" w:styleId="10">
    <w:name w:val="Date"/>
    <w:basedOn w:val="11"/>
    <w:next w:val="11"/>
    <w:qFormat/>
    <w:uiPriority w:val="0"/>
    <w:pPr>
      <w:adjustRightInd w:val="0"/>
      <w:spacing w:line="360" w:lineRule="atLeast"/>
    </w:pPr>
    <w:rPr>
      <w:rFonts w:ascii="宋体" w:hAnsi="等线" w:eastAsia="等线"/>
      <w:kern w:val="0"/>
      <w:sz w:val="24"/>
      <w:szCs w:val="20"/>
    </w:rPr>
  </w:style>
  <w:style w:type="paragraph" w:customStyle="1" w:styleId="11">
    <w:name w:val="正文_1"/>
    <w:qFormat/>
    <w:uiPriority w:val="0"/>
    <w:pPr>
      <w:widowControl w:val="0"/>
      <w:jc w:val="both"/>
    </w:pPr>
    <w:rPr>
      <w:rFonts w:ascii="Calibri" w:hAnsi="Calibri" w:eastAsia="宋体" w:cs="Times New Roman"/>
      <w:kern w:val="2"/>
      <w:sz w:val="21"/>
      <w:szCs w:val="22"/>
      <w:lang w:val="en-US" w:eastAsia="zh-CN" w:bidi="ar-SA"/>
    </w:rPr>
  </w:style>
  <w:style w:type="paragraph" w:styleId="12">
    <w:name w:val="Balloon Text"/>
    <w:basedOn w:val="1"/>
    <w:link w:val="30"/>
    <w:qFormat/>
    <w:uiPriority w:val="0"/>
    <w:rPr>
      <w:sz w:val="18"/>
      <w:szCs w:val="18"/>
    </w:rPr>
  </w:style>
  <w:style w:type="paragraph" w:styleId="13">
    <w:name w:val="footer"/>
    <w:basedOn w:val="1"/>
    <w:qFormat/>
    <w:uiPriority w:val="0"/>
    <w:pPr>
      <w:tabs>
        <w:tab w:val="center" w:pos="4153"/>
        <w:tab w:val="right" w:pos="8306"/>
      </w:tabs>
    </w:pPr>
    <w:rPr>
      <w:sz w:val="18"/>
    </w:rPr>
  </w:style>
  <w:style w:type="paragraph" w:styleId="14">
    <w:name w:val="header"/>
    <w:basedOn w:val="1"/>
    <w:link w:val="29"/>
    <w:qFormat/>
    <w:uiPriority w:val="0"/>
    <w:pPr>
      <w:tabs>
        <w:tab w:val="center" w:pos="4153"/>
        <w:tab w:val="right" w:pos="8306"/>
      </w:tabs>
      <w:jc w:val="center"/>
    </w:pPr>
    <w:rPr>
      <w:sz w:val="18"/>
      <w:szCs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rPr>
  </w:style>
  <w:style w:type="paragraph" w:customStyle="1" w:styleId="22">
    <w:name w:val="Table Paragraph"/>
    <w:basedOn w:val="1"/>
    <w:qFormat/>
    <w:uiPriority w:val="0"/>
    <w:rPr>
      <w:rFonts w:ascii="宋体" w:eastAsia="宋体" w:cs="宋体"/>
      <w:lang w:val="zh-CN" w:eastAsia="zh-CN" w:bidi="zh-CN"/>
    </w:rPr>
  </w:style>
  <w:style w:type="paragraph" w:styleId="23">
    <w:name w:val="List Paragraph"/>
    <w:basedOn w:val="1"/>
    <w:qFormat/>
    <w:uiPriority w:val="0"/>
    <w:pPr>
      <w:ind w:firstLine="200" w:firstLineChars="200"/>
    </w:pPr>
  </w:style>
  <w:style w:type="character" w:customStyle="1" w:styleId="24">
    <w:name w:val="font31"/>
    <w:basedOn w:val="19"/>
    <w:qFormat/>
    <w:uiPriority w:val="0"/>
    <w:rPr>
      <w:rFonts w:hint="eastAsia" w:ascii="宋体" w:hAnsi="宋体" w:eastAsia="宋体" w:cs="宋体"/>
      <w:color w:val="000000"/>
      <w:sz w:val="20"/>
      <w:szCs w:val="20"/>
      <w:u w:val="none"/>
    </w:rPr>
  </w:style>
  <w:style w:type="character" w:customStyle="1" w:styleId="25">
    <w:name w:val="font51"/>
    <w:basedOn w:val="19"/>
    <w:qFormat/>
    <w:uiPriority w:val="0"/>
    <w:rPr>
      <w:rFonts w:hint="eastAsia" w:ascii="宋体" w:hAnsi="宋体" w:eastAsia="宋体" w:cs="宋体"/>
      <w:color w:val="00CCFF"/>
      <w:sz w:val="20"/>
      <w:szCs w:val="20"/>
      <w:u w:val="none"/>
    </w:rPr>
  </w:style>
  <w:style w:type="character" w:customStyle="1" w:styleId="26">
    <w:name w:val="font41"/>
    <w:basedOn w:val="19"/>
    <w:qFormat/>
    <w:uiPriority w:val="0"/>
    <w:rPr>
      <w:rFonts w:hint="eastAsia" w:ascii="宋体" w:hAnsi="宋体" w:eastAsia="宋体" w:cs="宋体"/>
      <w:color w:val="FF0000"/>
      <w:sz w:val="20"/>
      <w:szCs w:val="20"/>
      <w:u w:val="none"/>
    </w:rPr>
  </w:style>
  <w:style w:type="character" w:customStyle="1" w:styleId="27">
    <w:name w:val="font21"/>
    <w:basedOn w:val="19"/>
    <w:qFormat/>
    <w:uiPriority w:val="0"/>
    <w:rPr>
      <w:rFonts w:hint="eastAsia" w:ascii="宋体" w:hAnsi="宋体" w:eastAsia="宋体" w:cs="宋体"/>
      <w:b/>
      <w:bCs/>
      <w:color w:val="000000"/>
      <w:sz w:val="20"/>
      <w:szCs w:val="20"/>
      <w:u w:val="none"/>
    </w:rPr>
  </w:style>
  <w:style w:type="character" w:customStyle="1" w:styleId="28">
    <w:name w:val="font11"/>
    <w:basedOn w:val="19"/>
    <w:qFormat/>
    <w:uiPriority w:val="0"/>
    <w:rPr>
      <w:rFonts w:hint="eastAsia" w:ascii="宋体" w:hAnsi="宋体" w:eastAsia="宋体" w:cs="宋体"/>
      <w:b/>
      <w:bCs/>
      <w:color w:val="000000"/>
      <w:sz w:val="21"/>
      <w:szCs w:val="21"/>
      <w:u w:val="none"/>
    </w:rPr>
  </w:style>
  <w:style w:type="character" w:customStyle="1" w:styleId="29">
    <w:name w:val="页眉 Char"/>
    <w:basedOn w:val="19"/>
    <w:link w:val="14"/>
    <w:qFormat/>
    <w:uiPriority w:val="0"/>
    <w:rPr>
      <w:rFonts w:ascii="Arial" w:hAnsi="Arial" w:eastAsia="Arial" w:cs="Arial"/>
      <w:snapToGrid w:val="0"/>
      <w:color w:val="000000"/>
      <w:sz w:val="18"/>
      <w:szCs w:val="18"/>
      <w:lang w:eastAsia="en-US"/>
    </w:rPr>
  </w:style>
  <w:style w:type="character" w:customStyle="1" w:styleId="30">
    <w:name w:val="批注框文本 Char"/>
    <w:basedOn w:val="19"/>
    <w:link w:val="12"/>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9" Type="http://schemas.openxmlformats.org/officeDocument/2006/relationships/header" Target="header41.xml"/><Relationship Id="rId98" Type="http://schemas.openxmlformats.org/officeDocument/2006/relationships/footer" Target="footer56.xml"/><Relationship Id="rId97" Type="http://schemas.openxmlformats.org/officeDocument/2006/relationships/footer" Target="footer55.xml"/><Relationship Id="rId96" Type="http://schemas.openxmlformats.org/officeDocument/2006/relationships/footer" Target="footer54.xml"/><Relationship Id="rId95" Type="http://schemas.openxmlformats.org/officeDocument/2006/relationships/header" Target="header40.xml"/><Relationship Id="rId94" Type="http://schemas.openxmlformats.org/officeDocument/2006/relationships/footer" Target="footer53.xml"/><Relationship Id="rId93" Type="http://schemas.openxmlformats.org/officeDocument/2006/relationships/header" Target="header39.xml"/><Relationship Id="rId92" Type="http://schemas.openxmlformats.org/officeDocument/2006/relationships/footer" Target="footer52.xml"/><Relationship Id="rId91" Type="http://schemas.openxmlformats.org/officeDocument/2006/relationships/header" Target="header38.xml"/><Relationship Id="rId90" Type="http://schemas.openxmlformats.org/officeDocument/2006/relationships/footer" Target="footer51.xml"/><Relationship Id="rId9" Type="http://schemas.openxmlformats.org/officeDocument/2006/relationships/footer" Target="footer4.xml"/><Relationship Id="rId89" Type="http://schemas.openxmlformats.org/officeDocument/2006/relationships/header" Target="header37.xml"/><Relationship Id="rId88" Type="http://schemas.openxmlformats.org/officeDocument/2006/relationships/footer" Target="footer50.xml"/><Relationship Id="rId87" Type="http://schemas.openxmlformats.org/officeDocument/2006/relationships/header" Target="header36.xml"/><Relationship Id="rId86" Type="http://schemas.openxmlformats.org/officeDocument/2006/relationships/footer" Target="footer49.xml"/><Relationship Id="rId85" Type="http://schemas.openxmlformats.org/officeDocument/2006/relationships/footer" Target="footer48.xml"/><Relationship Id="rId84" Type="http://schemas.openxmlformats.org/officeDocument/2006/relationships/header" Target="header35.xml"/><Relationship Id="rId83" Type="http://schemas.openxmlformats.org/officeDocument/2006/relationships/footer" Target="footer47.xml"/><Relationship Id="rId82" Type="http://schemas.openxmlformats.org/officeDocument/2006/relationships/header" Target="header34.xml"/><Relationship Id="rId81" Type="http://schemas.openxmlformats.org/officeDocument/2006/relationships/footer" Target="footer46.xml"/><Relationship Id="rId80" Type="http://schemas.openxmlformats.org/officeDocument/2006/relationships/header" Target="header33.xml"/><Relationship Id="rId8" Type="http://schemas.openxmlformats.org/officeDocument/2006/relationships/header" Target="header3.xml"/><Relationship Id="rId79" Type="http://schemas.openxmlformats.org/officeDocument/2006/relationships/footer" Target="footer45.xml"/><Relationship Id="rId78" Type="http://schemas.openxmlformats.org/officeDocument/2006/relationships/header" Target="header32.xml"/><Relationship Id="rId77" Type="http://schemas.openxmlformats.org/officeDocument/2006/relationships/footer" Target="footer44.xml"/><Relationship Id="rId76" Type="http://schemas.openxmlformats.org/officeDocument/2006/relationships/header" Target="header31.xml"/><Relationship Id="rId75" Type="http://schemas.openxmlformats.org/officeDocument/2006/relationships/footer" Target="footer43.xml"/><Relationship Id="rId74" Type="http://schemas.openxmlformats.org/officeDocument/2006/relationships/header" Target="header30.xml"/><Relationship Id="rId73" Type="http://schemas.openxmlformats.org/officeDocument/2006/relationships/footer" Target="footer42.xml"/><Relationship Id="rId72" Type="http://schemas.openxmlformats.org/officeDocument/2006/relationships/header" Target="header29.xml"/><Relationship Id="rId71" Type="http://schemas.openxmlformats.org/officeDocument/2006/relationships/footer" Target="footer41.xml"/><Relationship Id="rId70" Type="http://schemas.openxmlformats.org/officeDocument/2006/relationships/footer" Target="footer40.xml"/><Relationship Id="rId7" Type="http://schemas.openxmlformats.org/officeDocument/2006/relationships/footer" Target="footer3.xml"/><Relationship Id="rId69" Type="http://schemas.openxmlformats.org/officeDocument/2006/relationships/footer" Target="footer39.xml"/><Relationship Id="rId68" Type="http://schemas.openxmlformats.org/officeDocument/2006/relationships/footer" Target="footer38.xml"/><Relationship Id="rId67" Type="http://schemas.openxmlformats.org/officeDocument/2006/relationships/footer" Target="footer37.xml"/><Relationship Id="rId66" Type="http://schemas.openxmlformats.org/officeDocument/2006/relationships/footer" Target="footer36.xml"/><Relationship Id="rId65" Type="http://schemas.openxmlformats.org/officeDocument/2006/relationships/footer" Target="footer35.xml"/><Relationship Id="rId64" Type="http://schemas.openxmlformats.org/officeDocument/2006/relationships/footer" Target="footer34.xml"/><Relationship Id="rId63" Type="http://schemas.openxmlformats.org/officeDocument/2006/relationships/footer" Target="footer33.xml"/><Relationship Id="rId62" Type="http://schemas.openxmlformats.org/officeDocument/2006/relationships/header" Target="header28.xml"/><Relationship Id="rId61" Type="http://schemas.openxmlformats.org/officeDocument/2006/relationships/footer" Target="footer32.xml"/><Relationship Id="rId60" Type="http://schemas.openxmlformats.org/officeDocument/2006/relationships/header" Target="header27.xml"/><Relationship Id="rId6" Type="http://schemas.openxmlformats.org/officeDocument/2006/relationships/footer" Target="footer2.xml"/><Relationship Id="rId59" Type="http://schemas.openxmlformats.org/officeDocument/2006/relationships/footer" Target="footer31.xml"/><Relationship Id="rId58" Type="http://schemas.openxmlformats.org/officeDocument/2006/relationships/header" Target="header26.xml"/><Relationship Id="rId57" Type="http://schemas.openxmlformats.org/officeDocument/2006/relationships/footer" Target="footer30.xml"/><Relationship Id="rId56" Type="http://schemas.openxmlformats.org/officeDocument/2006/relationships/header" Target="header25.xml"/><Relationship Id="rId55" Type="http://schemas.openxmlformats.org/officeDocument/2006/relationships/footer" Target="footer29.xml"/><Relationship Id="rId54" Type="http://schemas.openxmlformats.org/officeDocument/2006/relationships/header" Target="header24.xml"/><Relationship Id="rId53" Type="http://schemas.openxmlformats.org/officeDocument/2006/relationships/footer" Target="footer28.xml"/><Relationship Id="rId52" Type="http://schemas.openxmlformats.org/officeDocument/2006/relationships/header" Target="header23.xml"/><Relationship Id="rId51" Type="http://schemas.openxmlformats.org/officeDocument/2006/relationships/footer" Target="footer27.xml"/><Relationship Id="rId50" Type="http://schemas.openxmlformats.org/officeDocument/2006/relationships/footer" Target="footer26.xml"/><Relationship Id="rId5" Type="http://schemas.openxmlformats.org/officeDocument/2006/relationships/header" Target="header2.xml"/><Relationship Id="rId49" Type="http://schemas.openxmlformats.org/officeDocument/2006/relationships/header" Target="header22.xml"/><Relationship Id="rId48" Type="http://schemas.openxmlformats.org/officeDocument/2006/relationships/footer" Target="footer25.xml"/><Relationship Id="rId47" Type="http://schemas.openxmlformats.org/officeDocument/2006/relationships/header" Target="header21.xml"/><Relationship Id="rId46" Type="http://schemas.openxmlformats.org/officeDocument/2006/relationships/footer" Target="footer24.xml"/><Relationship Id="rId45" Type="http://schemas.openxmlformats.org/officeDocument/2006/relationships/header" Target="header20.xml"/><Relationship Id="rId44" Type="http://schemas.openxmlformats.org/officeDocument/2006/relationships/footer" Target="footer23.xml"/><Relationship Id="rId43" Type="http://schemas.openxmlformats.org/officeDocument/2006/relationships/header" Target="header19.xml"/><Relationship Id="rId42" Type="http://schemas.openxmlformats.org/officeDocument/2006/relationships/footer" Target="footer22.xml"/><Relationship Id="rId41" Type="http://schemas.openxmlformats.org/officeDocument/2006/relationships/header" Target="header18.xml"/><Relationship Id="rId40" Type="http://schemas.openxmlformats.org/officeDocument/2006/relationships/footer" Target="footer21.xml"/><Relationship Id="rId4" Type="http://schemas.openxmlformats.org/officeDocument/2006/relationships/header" Target="header1.xml"/><Relationship Id="rId39" Type="http://schemas.openxmlformats.org/officeDocument/2006/relationships/header" Target="header17.xml"/><Relationship Id="rId38" Type="http://schemas.openxmlformats.org/officeDocument/2006/relationships/footer" Target="footer20.xml"/><Relationship Id="rId37" Type="http://schemas.openxmlformats.org/officeDocument/2006/relationships/header" Target="header16.xml"/><Relationship Id="rId36" Type="http://schemas.openxmlformats.org/officeDocument/2006/relationships/footer" Target="footer19.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header" Target="header15.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footer" Target="foot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header" Target="header8.xml"/><Relationship Id="rId189" Type="http://schemas.openxmlformats.org/officeDocument/2006/relationships/customXml" Target="../customXml/item1.xml"/><Relationship Id="rId188" Type="http://schemas.openxmlformats.org/officeDocument/2006/relationships/image" Target="media/image5.png"/><Relationship Id="rId187" Type="http://schemas.openxmlformats.org/officeDocument/2006/relationships/image" Target="media/image4.png"/><Relationship Id="rId186" Type="http://schemas.openxmlformats.org/officeDocument/2006/relationships/image" Target="media/image3.png"/><Relationship Id="rId185" Type="http://schemas.openxmlformats.org/officeDocument/2006/relationships/image" Target="media/image2.png"/><Relationship Id="rId184" Type="http://schemas.openxmlformats.org/officeDocument/2006/relationships/image" Target="media/image1.png"/><Relationship Id="rId183" Type="http://schemas.openxmlformats.org/officeDocument/2006/relationships/theme" Target="theme/theme1.xml"/><Relationship Id="rId182" Type="http://schemas.openxmlformats.org/officeDocument/2006/relationships/footer" Target="footer105.xml"/><Relationship Id="rId181" Type="http://schemas.openxmlformats.org/officeDocument/2006/relationships/footer" Target="footer104.xml"/><Relationship Id="rId180" Type="http://schemas.openxmlformats.org/officeDocument/2006/relationships/footer" Target="footer103.xml"/><Relationship Id="rId18" Type="http://schemas.openxmlformats.org/officeDocument/2006/relationships/footer" Target="footer9.xml"/><Relationship Id="rId179" Type="http://schemas.openxmlformats.org/officeDocument/2006/relationships/footer" Target="footer102.xml"/><Relationship Id="rId178" Type="http://schemas.openxmlformats.org/officeDocument/2006/relationships/header" Target="header75.xml"/><Relationship Id="rId177" Type="http://schemas.openxmlformats.org/officeDocument/2006/relationships/footer" Target="footer101.xml"/><Relationship Id="rId176" Type="http://schemas.openxmlformats.org/officeDocument/2006/relationships/header" Target="header74.xml"/><Relationship Id="rId175" Type="http://schemas.openxmlformats.org/officeDocument/2006/relationships/footer" Target="footer100.xml"/><Relationship Id="rId174" Type="http://schemas.openxmlformats.org/officeDocument/2006/relationships/footer" Target="footer99.xml"/><Relationship Id="rId173" Type="http://schemas.openxmlformats.org/officeDocument/2006/relationships/footer" Target="footer98.xml"/><Relationship Id="rId172" Type="http://schemas.openxmlformats.org/officeDocument/2006/relationships/header" Target="header73.xml"/><Relationship Id="rId171" Type="http://schemas.openxmlformats.org/officeDocument/2006/relationships/footer" Target="footer97.xml"/><Relationship Id="rId170" Type="http://schemas.openxmlformats.org/officeDocument/2006/relationships/header" Target="header72.xml"/><Relationship Id="rId17" Type="http://schemas.openxmlformats.org/officeDocument/2006/relationships/header" Target="header7.xml"/><Relationship Id="rId169" Type="http://schemas.openxmlformats.org/officeDocument/2006/relationships/footer" Target="footer96.xml"/><Relationship Id="rId168" Type="http://schemas.openxmlformats.org/officeDocument/2006/relationships/header" Target="header71.xml"/><Relationship Id="rId167" Type="http://schemas.openxmlformats.org/officeDocument/2006/relationships/footer" Target="footer95.xml"/><Relationship Id="rId166" Type="http://schemas.openxmlformats.org/officeDocument/2006/relationships/header" Target="header70.xml"/><Relationship Id="rId165" Type="http://schemas.openxmlformats.org/officeDocument/2006/relationships/footer" Target="footer94.xml"/><Relationship Id="rId164" Type="http://schemas.openxmlformats.org/officeDocument/2006/relationships/header" Target="header69.xml"/><Relationship Id="rId163" Type="http://schemas.openxmlformats.org/officeDocument/2006/relationships/footer" Target="footer93.xml"/><Relationship Id="rId162" Type="http://schemas.openxmlformats.org/officeDocument/2006/relationships/header" Target="header68.xml"/><Relationship Id="rId161" Type="http://schemas.openxmlformats.org/officeDocument/2006/relationships/footer" Target="footer92.xml"/><Relationship Id="rId160" Type="http://schemas.openxmlformats.org/officeDocument/2006/relationships/header" Target="header67.xml"/><Relationship Id="rId16" Type="http://schemas.openxmlformats.org/officeDocument/2006/relationships/footer" Target="footer8.xml"/><Relationship Id="rId159" Type="http://schemas.openxmlformats.org/officeDocument/2006/relationships/footer" Target="footer91.xml"/><Relationship Id="rId158" Type="http://schemas.openxmlformats.org/officeDocument/2006/relationships/header" Target="header66.xml"/><Relationship Id="rId157" Type="http://schemas.openxmlformats.org/officeDocument/2006/relationships/footer" Target="footer90.xml"/><Relationship Id="rId156" Type="http://schemas.openxmlformats.org/officeDocument/2006/relationships/header" Target="header65.xml"/><Relationship Id="rId155" Type="http://schemas.openxmlformats.org/officeDocument/2006/relationships/footer" Target="footer89.xml"/><Relationship Id="rId154" Type="http://schemas.openxmlformats.org/officeDocument/2006/relationships/header" Target="header64.xml"/><Relationship Id="rId153" Type="http://schemas.openxmlformats.org/officeDocument/2006/relationships/footer" Target="footer88.xml"/><Relationship Id="rId152" Type="http://schemas.openxmlformats.org/officeDocument/2006/relationships/header" Target="header63.xml"/><Relationship Id="rId151" Type="http://schemas.openxmlformats.org/officeDocument/2006/relationships/footer" Target="footer87.xml"/><Relationship Id="rId150" Type="http://schemas.openxmlformats.org/officeDocument/2006/relationships/header" Target="header62.xml"/><Relationship Id="rId15" Type="http://schemas.openxmlformats.org/officeDocument/2006/relationships/footer" Target="footer7.xml"/><Relationship Id="rId149" Type="http://schemas.openxmlformats.org/officeDocument/2006/relationships/footer" Target="footer86.xml"/><Relationship Id="rId148" Type="http://schemas.openxmlformats.org/officeDocument/2006/relationships/header" Target="header61.xml"/><Relationship Id="rId147" Type="http://schemas.openxmlformats.org/officeDocument/2006/relationships/footer" Target="footer85.xml"/><Relationship Id="rId146" Type="http://schemas.openxmlformats.org/officeDocument/2006/relationships/header" Target="header60.xml"/><Relationship Id="rId145" Type="http://schemas.openxmlformats.org/officeDocument/2006/relationships/footer" Target="footer84.xml"/><Relationship Id="rId144" Type="http://schemas.openxmlformats.org/officeDocument/2006/relationships/footer" Target="footer83.xml"/><Relationship Id="rId143" Type="http://schemas.openxmlformats.org/officeDocument/2006/relationships/header" Target="header59.xml"/><Relationship Id="rId142" Type="http://schemas.openxmlformats.org/officeDocument/2006/relationships/footer" Target="footer82.xml"/><Relationship Id="rId141" Type="http://schemas.openxmlformats.org/officeDocument/2006/relationships/footer" Target="footer81.xml"/><Relationship Id="rId140" Type="http://schemas.openxmlformats.org/officeDocument/2006/relationships/footer" Target="footer80.xml"/><Relationship Id="rId14" Type="http://schemas.openxmlformats.org/officeDocument/2006/relationships/header" Target="header6.xml"/><Relationship Id="rId139" Type="http://schemas.openxmlformats.org/officeDocument/2006/relationships/footer" Target="footer79.xml"/><Relationship Id="rId138" Type="http://schemas.openxmlformats.org/officeDocument/2006/relationships/header" Target="header58.xml"/><Relationship Id="rId137" Type="http://schemas.openxmlformats.org/officeDocument/2006/relationships/footer" Target="footer78.xml"/><Relationship Id="rId136" Type="http://schemas.openxmlformats.org/officeDocument/2006/relationships/header" Target="header57.xml"/><Relationship Id="rId135" Type="http://schemas.openxmlformats.org/officeDocument/2006/relationships/footer" Target="footer77.xml"/><Relationship Id="rId134" Type="http://schemas.openxmlformats.org/officeDocument/2006/relationships/header" Target="header56.xml"/><Relationship Id="rId133" Type="http://schemas.openxmlformats.org/officeDocument/2006/relationships/footer" Target="footer76.xml"/><Relationship Id="rId132" Type="http://schemas.openxmlformats.org/officeDocument/2006/relationships/header" Target="header55.xml"/><Relationship Id="rId131" Type="http://schemas.openxmlformats.org/officeDocument/2006/relationships/footer" Target="footer75.xml"/><Relationship Id="rId130" Type="http://schemas.openxmlformats.org/officeDocument/2006/relationships/header" Target="header54.xml"/><Relationship Id="rId13" Type="http://schemas.openxmlformats.org/officeDocument/2006/relationships/footer" Target="footer6.xml"/><Relationship Id="rId129" Type="http://schemas.openxmlformats.org/officeDocument/2006/relationships/footer" Target="footer74.xml"/><Relationship Id="rId128" Type="http://schemas.openxmlformats.org/officeDocument/2006/relationships/header" Target="header53.xml"/><Relationship Id="rId127" Type="http://schemas.openxmlformats.org/officeDocument/2006/relationships/footer" Target="footer73.xml"/><Relationship Id="rId126" Type="http://schemas.openxmlformats.org/officeDocument/2006/relationships/header" Target="header52.xml"/><Relationship Id="rId125" Type="http://schemas.openxmlformats.org/officeDocument/2006/relationships/footer" Target="footer72.xml"/><Relationship Id="rId124" Type="http://schemas.openxmlformats.org/officeDocument/2006/relationships/header" Target="header51.xml"/><Relationship Id="rId123" Type="http://schemas.openxmlformats.org/officeDocument/2006/relationships/footer" Target="footer71.xml"/><Relationship Id="rId122" Type="http://schemas.openxmlformats.org/officeDocument/2006/relationships/header" Target="header50.xml"/><Relationship Id="rId121" Type="http://schemas.openxmlformats.org/officeDocument/2006/relationships/footer" Target="footer70.xml"/><Relationship Id="rId120" Type="http://schemas.openxmlformats.org/officeDocument/2006/relationships/header" Target="header49.xml"/><Relationship Id="rId12" Type="http://schemas.openxmlformats.org/officeDocument/2006/relationships/header" Target="header5.xml"/><Relationship Id="rId119" Type="http://schemas.openxmlformats.org/officeDocument/2006/relationships/footer" Target="footer69.xml"/><Relationship Id="rId118" Type="http://schemas.openxmlformats.org/officeDocument/2006/relationships/header" Target="header48.xml"/><Relationship Id="rId117" Type="http://schemas.openxmlformats.org/officeDocument/2006/relationships/footer" Target="footer68.xml"/><Relationship Id="rId116" Type="http://schemas.openxmlformats.org/officeDocument/2006/relationships/footer" Target="footer67.xml"/><Relationship Id="rId115" Type="http://schemas.openxmlformats.org/officeDocument/2006/relationships/footer" Target="footer66.xml"/><Relationship Id="rId114" Type="http://schemas.openxmlformats.org/officeDocument/2006/relationships/header" Target="header47.xml"/><Relationship Id="rId113" Type="http://schemas.openxmlformats.org/officeDocument/2006/relationships/footer" Target="footer65.xml"/><Relationship Id="rId112" Type="http://schemas.openxmlformats.org/officeDocument/2006/relationships/footer" Target="footer64.xml"/><Relationship Id="rId111" Type="http://schemas.openxmlformats.org/officeDocument/2006/relationships/footer" Target="footer63.xml"/><Relationship Id="rId110" Type="http://schemas.openxmlformats.org/officeDocument/2006/relationships/header" Target="header46.xml"/><Relationship Id="rId11" Type="http://schemas.openxmlformats.org/officeDocument/2006/relationships/footer" Target="footer5.xml"/><Relationship Id="rId109" Type="http://schemas.openxmlformats.org/officeDocument/2006/relationships/footer" Target="footer62.xml"/><Relationship Id="rId108" Type="http://schemas.openxmlformats.org/officeDocument/2006/relationships/header" Target="header45.xml"/><Relationship Id="rId107" Type="http://schemas.openxmlformats.org/officeDocument/2006/relationships/footer" Target="footer61.xml"/><Relationship Id="rId106" Type="http://schemas.openxmlformats.org/officeDocument/2006/relationships/header" Target="header44.xml"/><Relationship Id="rId105" Type="http://schemas.openxmlformats.org/officeDocument/2006/relationships/footer" Target="footer60.xml"/><Relationship Id="rId104" Type="http://schemas.openxmlformats.org/officeDocument/2006/relationships/header" Target="header43.xml"/><Relationship Id="rId103" Type="http://schemas.openxmlformats.org/officeDocument/2006/relationships/footer" Target="footer59.xml"/><Relationship Id="rId102" Type="http://schemas.openxmlformats.org/officeDocument/2006/relationships/header" Target="header42.xml"/><Relationship Id="rId101" Type="http://schemas.openxmlformats.org/officeDocument/2006/relationships/footer" Target="footer58.xml"/><Relationship Id="rId100" Type="http://schemas.openxmlformats.org/officeDocument/2006/relationships/footer" Target="footer57.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152</Pages>
  <Words>2443</Words>
  <Characters>2767</Characters>
  <Lines>600</Lines>
  <Paragraphs>169</Paragraphs>
  <TotalTime>3</TotalTime>
  <ScaleCrop>false</ScaleCrop>
  <LinksUpToDate>false</LinksUpToDate>
  <CharactersWithSpaces>2940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2026-10-28T07:53:00Z</dcterms:created>
  <dc:creator>guang</dc:creator>
  <cp:lastModifiedBy>祈连山</cp:lastModifiedBy>
  <cp:lastPrinted>2026-10-28T23:49:00Z</cp:lastPrinted>
  <dcterms:modified xsi:type="dcterms:W3CDTF">2026-10-29T01:46:45Z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2026-01-26T13:30:40Z</vt:filetime>
  </property>
  <property fmtid="{D5CDD505-2E9C-101B-9397-08002B2CF9AE}" pid="4" name="KSOProductBuildVer">
    <vt:lpwstr>2052-12.1.0.28505</vt:lpwstr>
  </property>
  <property fmtid="{D5CDD505-2E9C-101B-9397-08002B2CF9AE}" pid="5" name="ICV">
    <vt:lpwstr>DF355A43E66842D48FCD137E921C7328_13</vt:lpwstr>
  </property>
  <property fmtid="{D5CDD505-2E9C-101B-9397-08002B2CF9AE}" pid="6" name="KSOTemplateDocerSaveRecord">
    <vt:lpwstr>eyJoZGlkIjoiNTg5MTIzMWRkYzRkODU1OTRjMzM0NTBlOGU4MmQyYzIiLCJ1c2VySWQiOiI0MDUzMDUyMjAifQ==</vt:lpwstr>
  </property>
</Properties>
</file>