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4A4F11">
      <w:pPr>
        <w:pStyle w:val="15"/>
        <w:keepNext w:val="0"/>
        <w:keepLines w:val="0"/>
        <w:pageBreakBefore w:val="0"/>
        <w:widowControl w:val="0"/>
        <w:kinsoku/>
        <w:wordWrap w:val="0"/>
        <w:overflowPunct/>
        <w:topLinePunct w:val="0"/>
        <w:autoSpaceDE/>
        <w:autoSpaceDN/>
        <w:bidi w:val="0"/>
        <w:adjustRightInd/>
        <w:snapToGrid/>
        <w:spacing w:line="360" w:lineRule="auto"/>
        <w:ind w:firstLine="2635" w:firstLineChars="850"/>
        <w:textAlignment w:val="auto"/>
        <w:rPr>
          <w:rFonts w:hint="default" w:ascii="Times New Roman" w:hAnsi="Times New Roman" w:eastAsia="黑体" w:cs="Times New Roman"/>
          <w:sz w:val="31"/>
          <w:szCs w:val="31"/>
          <w:highlight w:val="none"/>
        </w:rPr>
      </w:pPr>
      <w:r>
        <w:rPr>
          <w:rFonts w:hint="eastAsia" w:ascii="Times New Roman" w:eastAsia="黑体" w:cs="Times New Roman"/>
          <w:sz w:val="31"/>
          <w:szCs w:val="31"/>
          <w:highlight w:val="none"/>
          <w:u w:val="single"/>
          <w:lang w:val="en-US" w:eastAsia="zh-CN"/>
        </w:rPr>
        <w:t>辽宁</w:t>
      </w:r>
      <w:r>
        <w:rPr>
          <w:rFonts w:hint="default" w:ascii="Times New Roman" w:hAnsi="Times New Roman" w:eastAsia="黑体" w:cs="Times New Roman"/>
          <w:sz w:val="31"/>
          <w:szCs w:val="31"/>
          <w:highlight w:val="none"/>
        </w:rPr>
        <w:t>省（自治区、直辖市）</w:t>
      </w:r>
    </w:p>
    <w:p w14:paraId="73AF6CF7">
      <w:pPr>
        <w:pStyle w:val="15"/>
        <w:keepNext w:val="0"/>
        <w:keepLines w:val="0"/>
        <w:pageBreakBefore w:val="0"/>
        <w:widowControl w:val="0"/>
        <w:kinsoku/>
        <w:wordWrap w:val="0"/>
        <w:overflowPunct/>
        <w:topLinePunct w:val="0"/>
        <w:autoSpaceDE/>
        <w:autoSpaceDN/>
        <w:bidi w:val="0"/>
        <w:adjustRightInd/>
        <w:snapToGrid/>
        <w:spacing w:line="360" w:lineRule="auto"/>
        <w:ind w:firstLine="2635" w:firstLineChars="850"/>
        <w:textAlignment w:val="auto"/>
        <w:rPr>
          <w:rFonts w:hint="default" w:ascii="Times New Roman" w:hAnsi="Times New Roman" w:eastAsia="黑体" w:cs="Times New Roman"/>
          <w:sz w:val="31"/>
          <w:szCs w:val="31"/>
          <w:highlight w:val="none"/>
        </w:rPr>
      </w:pPr>
    </w:p>
    <w:p w14:paraId="7C70FA7E">
      <w:pPr>
        <w:pStyle w:val="15"/>
        <w:keepNext w:val="0"/>
        <w:keepLines w:val="0"/>
        <w:pageBreakBefore w:val="0"/>
        <w:widowControl w:val="0"/>
        <w:kinsoku/>
        <w:wordWrap w:val="0"/>
        <w:overflowPunct/>
        <w:topLinePunct w:val="0"/>
        <w:autoSpaceDE/>
        <w:autoSpaceDN/>
        <w:bidi w:val="0"/>
        <w:adjustRightInd/>
        <w:snapToGrid/>
        <w:spacing w:line="360" w:lineRule="auto"/>
        <w:ind w:firstLine="2635" w:firstLineChars="850"/>
        <w:textAlignment w:val="auto"/>
        <w:rPr>
          <w:rFonts w:hint="default" w:ascii="Times New Roman" w:hAnsi="Times New Roman" w:eastAsia="黑体" w:cs="Times New Roman"/>
          <w:sz w:val="31"/>
          <w:szCs w:val="31"/>
          <w:highlight w:val="none"/>
        </w:rPr>
      </w:pPr>
    </w:p>
    <w:p w14:paraId="6447B755">
      <w:pPr>
        <w:pStyle w:val="15"/>
        <w:pageBreakBefore w:val="0"/>
        <w:kinsoku/>
        <w:wordWrap w:val="0"/>
        <w:bidi w:val="0"/>
        <w:spacing w:line="440" w:lineRule="exact"/>
        <w:jc w:val="center"/>
        <w:rPr>
          <w:rFonts w:hint="default" w:ascii="Times New Roman" w:hAnsi="Times New Roman" w:eastAsia="黑体" w:cs="Times New Roman"/>
          <w:sz w:val="31"/>
          <w:szCs w:val="31"/>
          <w:highlight w:val="none"/>
        </w:rPr>
      </w:pPr>
      <w:r>
        <w:rPr>
          <w:rFonts w:hint="eastAsia"/>
          <w:b/>
          <w:bCs/>
          <w:color w:val="auto"/>
          <w:sz w:val="28"/>
          <w:szCs w:val="28"/>
          <w:highlight w:val="none"/>
          <w:u w:val="single"/>
          <w:lang w:val="en-US" w:eastAsia="zh-CN"/>
        </w:rPr>
        <w:t>大石桥市2025年一事一议财政奖补村内道路建设项目</w:t>
      </w:r>
      <w:r>
        <w:rPr>
          <w:rFonts w:hint="default" w:ascii="Times New Roman" w:hAnsi="Times New Roman" w:eastAsia="黑体" w:cs="Times New Roman"/>
          <w:sz w:val="31"/>
          <w:szCs w:val="31"/>
          <w:highlight w:val="none"/>
        </w:rPr>
        <w:t>（项目名称）</w:t>
      </w:r>
    </w:p>
    <w:p w14:paraId="27EA0638">
      <w:pPr>
        <w:pStyle w:val="15"/>
        <w:pageBreakBefore w:val="0"/>
        <w:kinsoku/>
        <w:wordWrap w:val="0"/>
        <w:bidi w:val="0"/>
        <w:spacing w:line="440" w:lineRule="exact"/>
        <w:jc w:val="center"/>
        <w:rPr>
          <w:rFonts w:hint="default" w:ascii="Times New Roman" w:hAnsi="Times New Roman" w:eastAsia="黑体" w:cs="Times New Roman"/>
          <w:b w:val="0"/>
          <w:bCs w:val="0"/>
          <w:sz w:val="31"/>
          <w:szCs w:val="31"/>
          <w:highlight w:val="none"/>
        </w:rPr>
      </w:pPr>
      <w:r>
        <w:rPr>
          <w:rFonts w:hint="eastAsia"/>
          <w:b/>
          <w:bCs/>
          <w:color w:val="auto"/>
          <w:sz w:val="28"/>
          <w:szCs w:val="28"/>
          <w:highlight w:val="none"/>
          <w:u w:val="single"/>
          <w:lang w:val="en-US" w:eastAsia="zh-CN"/>
        </w:rPr>
        <w:t>大石桥市2025年一事一议财政奖补村内道路建设项目三标段</w:t>
      </w:r>
      <w:r>
        <w:rPr>
          <w:rFonts w:hint="default" w:ascii="Times New Roman" w:hAnsi="Times New Roman" w:eastAsia="黑体" w:cs="Times New Roman"/>
          <w:b w:val="0"/>
          <w:bCs w:val="0"/>
          <w:sz w:val="31"/>
          <w:szCs w:val="31"/>
          <w:highlight w:val="none"/>
        </w:rPr>
        <w:t>（</w:t>
      </w:r>
      <w:r>
        <w:rPr>
          <w:rFonts w:hint="default" w:ascii="Times New Roman" w:hAnsi="Times New Roman" w:eastAsia="黑体" w:cs="Times New Roman"/>
          <w:b w:val="0"/>
          <w:bCs w:val="0"/>
          <w:sz w:val="31"/>
          <w:szCs w:val="31"/>
          <w:highlight w:val="none"/>
          <w:lang w:val="en-US" w:eastAsia="zh-CN"/>
        </w:rPr>
        <w:t>标段</w:t>
      </w:r>
      <w:r>
        <w:rPr>
          <w:rFonts w:hint="default" w:ascii="Times New Roman" w:hAnsi="Times New Roman" w:eastAsia="黑体" w:cs="Times New Roman"/>
          <w:b w:val="0"/>
          <w:bCs w:val="0"/>
          <w:sz w:val="31"/>
          <w:szCs w:val="31"/>
          <w:highlight w:val="none"/>
        </w:rPr>
        <w:t>名称）</w:t>
      </w:r>
    </w:p>
    <w:p w14:paraId="56CA64DA">
      <w:pPr>
        <w:pStyle w:val="15"/>
        <w:pageBreakBefore w:val="0"/>
        <w:kinsoku/>
        <w:wordWrap w:val="0"/>
        <w:bidi w:val="0"/>
        <w:spacing w:line="440" w:lineRule="exact"/>
        <w:jc w:val="center"/>
        <w:rPr>
          <w:rFonts w:hint="default" w:ascii="Times New Roman" w:hAnsi="Times New Roman" w:eastAsia="黑体" w:cs="Times New Roman"/>
          <w:sz w:val="31"/>
          <w:szCs w:val="31"/>
          <w:highlight w:val="none"/>
        </w:rPr>
      </w:pPr>
      <w:r>
        <w:rPr>
          <w:rFonts w:hint="default" w:ascii="Times New Roman" w:hAnsi="Times New Roman" w:eastAsia="黑体" w:cs="Times New Roman"/>
          <w:sz w:val="31"/>
          <w:szCs w:val="31"/>
          <w:highlight w:val="none"/>
        </w:rPr>
        <w:t>施工招标</w:t>
      </w:r>
    </w:p>
    <w:p w14:paraId="4643A2B4">
      <w:pPr>
        <w:pStyle w:val="15"/>
        <w:pageBreakBefore w:val="0"/>
        <w:kinsoku/>
        <w:wordWrap w:val="0"/>
        <w:bidi w:val="0"/>
        <w:spacing w:line="440" w:lineRule="exact"/>
        <w:jc w:val="center"/>
        <w:rPr>
          <w:rFonts w:hint="default" w:ascii="Times New Roman" w:hAnsi="Times New Roman" w:eastAsia="黑体" w:cs="Times New Roman"/>
          <w:sz w:val="31"/>
          <w:szCs w:val="31"/>
          <w:highlight w:val="none"/>
        </w:rPr>
      </w:pPr>
    </w:p>
    <w:p w14:paraId="790CA2E5">
      <w:pPr>
        <w:pStyle w:val="15"/>
        <w:pageBreakBefore w:val="0"/>
        <w:kinsoku/>
        <w:wordWrap w:val="0"/>
        <w:bidi w:val="0"/>
        <w:spacing w:line="440" w:lineRule="exact"/>
        <w:jc w:val="center"/>
        <w:rPr>
          <w:rFonts w:hint="default" w:ascii="Times New Roman" w:hAnsi="Times New Roman" w:eastAsia="黑体" w:cs="Times New Roman"/>
          <w:sz w:val="31"/>
          <w:szCs w:val="31"/>
          <w:highlight w:val="none"/>
        </w:rPr>
      </w:pPr>
    </w:p>
    <w:p w14:paraId="2B6DF1B8">
      <w:pPr>
        <w:pageBreakBefore w:val="0"/>
        <w:kinsoku/>
        <w:wordWrap w:val="0"/>
        <w:bidi w:val="0"/>
        <w:spacing w:line="440" w:lineRule="exact"/>
        <w:rPr>
          <w:rFonts w:hint="default" w:ascii="Times New Roman" w:hAnsi="Times New Roman" w:eastAsia="黑体" w:cs="Times New Roman"/>
          <w:sz w:val="28"/>
          <w:szCs w:val="28"/>
          <w:highlight w:val="none"/>
        </w:rPr>
      </w:pPr>
    </w:p>
    <w:p w14:paraId="1E0BE9DC">
      <w:pPr>
        <w:pageBreakBefore w:val="0"/>
        <w:kinsoku/>
        <w:wordWrap w:val="0"/>
        <w:bidi w:val="0"/>
        <w:spacing w:line="440" w:lineRule="exact"/>
        <w:jc w:val="center"/>
        <w:rPr>
          <w:rFonts w:hint="default" w:ascii="Times New Roman" w:hAnsi="Times New Roman" w:cs="Times New Roman"/>
          <w:sz w:val="20"/>
          <w:szCs w:val="20"/>
          <w:highlight w:val="none"/>
        </w:rPr>
      </w:pPr>
      <w:r>
        <w:rPr>
          <w:rFonts w:hint="default" w:ascii="Times New Roman" w:hAnsi="Times New Roman" w:eastAsia="黑体" w:cs="Times New Roman"/>
          <w:sz w:val="28"/>
          <w:szCs w:val="28"/>
          <w:highlight w:val="none"/>
        </w:rPr>
        <w:t>（</w:t>
      </w:r>
      <w:r>
        <w:rPr>
          <w:rFonts w:hint="eastAsia" w:eastAsia="黑体" w:cs="Times New Roman"/>
          <w:sz w:val="28"/>
          <w:szCs w:val="28"/>
          <w:highlight w:val="none"/>
          <w:lang w:eastAsia="zh-CN"/>
        </w:rPr>
        <w:t>项目编号</w:t>
      </w:r>
      <w:r>
        <w:rPr>
          <w:rFonts w:hint="default" w:ascii="Times New Roman" w:hAnsi="Times New Roman" w:eastAsia="黑体" w:cs="Times New Roman"/>
          <w:sz w:val="28"/>
          <w:szCs w:val="28"/>
          <w:highlight w:val="none"/>
        </w:rPr>
        <w:t>：）</w:t>
      </w:r>
    </w:p>
    <w:p w14:paraId="405F27BD">
      <w:pPr>
        <w:pageBreakBefore w:val="0"/>
        <w:kinsoku/>
        <w:wordWrap w:val="0"/>
        <w:bidi w:val="0"/>
        <w:spacing w:line="440" w:lineRule="exac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 xml:space="preserve"> </w:t>
      </w:r>
    </w:p>
    <w:p w14:paraId="447EA887">
      <w:pPr>
        <w:pageBreakBefore w:val="0"/>
        <w:kinsoku/>
        <w:wordWrap w:val="0"/>
        <w:bidi w:val="0"/>
        <w:spacing w:line="440" w:lineRule="exact"/>
        <w:rPr>
          <w:rFonts w:hint="default" w:ascii="Times New Roman" w:hAnsi="Times New Roman" w:cs="Times New Roman"/>
          <w:sz w:val="20"/>
          <w:szCs w:val="20"/>
          <w:highlight w:val="none"/>
        </w:rPr>
      </w:pPr>
    </w:p>
    <w:p w14:paraId="109C3861">
      <w:pPr>
        <w:pStyle w:val="16"/>
        <w:rPr>
          <w:rFonts w:hint="default" w:ascii="Times New Roman" w:hAnsi="Times New Roman" w:cs="Times New Roman"/>
          <w:sz w:val="20"/>
          <w:szCs w:val="20"/>
          <w:highlight w:val="none"/>
        </w:rPr>
      </w:pPr>
    </w:p>
    <w:p w14:paraId="32B160C5">
      <w:pPr>
        <w:pageBreakBefore w:val="0"/>
        <w:kinsoku/>
        <w:wordWrap w:val="0"/>
        <w:bidi w:val="0"/>
        <w:spacing w:line="440" w:lineRule="exact"/>
        <w:rPr>
          <w:rFonts w:hint="default" w:ascii="Times New Roman" w:hAnsi="Times New Roman" w:cs="Times New Roman"/>
          <w:sz w:val="20"/>
          <w:szCs w:val="20"/>
          <w:highlight w:val="none"/>
        </w:rPr>
      </w:pPr>
    </w:p>
    <w:p w14:paraId="40756CF6">
      <w:pPr>
        <w:pageBreakBefore w:val="0"/>
        <w:kinsoku/>
        <w:wordWrap w:val="0"/>
        <w:bidi w:val="0"/>
        <w:spacing w:line="860" w:lineRule="exact"/>
        <w:jc w:val="center"/>
        <w:rPr>
          <w:rFonts w:hint="default" w:ascii="Times New Roman" w:hAnsi="Times New Roman" w:eastAsia="黑体" w:cs="Times New Roman"/>
          <w:sz w:val="50"/>
          <w:szCs w:val="50"/>
          <w:highlight w:val="none"/>
        </w:rPr>
      </w:pPr>
      <w:r>
        <w:rPr>
          <w:rFonts w:hint="default" w:ascii="Times New Roman" w:hAnsi="Times New Roman" w:eastAsia="黑体" w:cs="Times New Roman"/>
          <w:sz w:val="50"/>
          <w:szCs w:val="50"/>
          <w:highlight w:val="none"/>
        </w:rPr>
        <w:t>招 标 文 件</w:t>
      </w:r>
    </w:p>
    <w:p w14:paraId="2BCC4DB0">
      <w:pPr>
        <w:pageBreakBefore w:val="0"/>
        <w:kinsoku/>
        <w:wordWrap w:val="0"/>
        <w:bidi w:val="0"/>
        <w:spacing w:line="440" w:lineRule="exact"/>
        <w:rPr>
          <w:rFonts w:hint="default" w:ascii="Times New Roman" w:hAnsi="Times New Roman" w:cs="Times New Roman"/>
          <w:sz w:val="20"/>
          <w:szCs w:val="20"/>
          <w:highlight w:val="none"/>
        </w:rPr>
      </w:pPr>
    </w:p>
    <w:p w14:paraId="179F2B0B">
      <w:pPr>
        <w:pageBreakBefore w:val="0"/>
        <w:kinsoku/>
        <w:wordWrap w:val="0"/>
        <w:bidi w:val="0"/>
        <w:spacing w:line="440" w:lineRule="exact"/>
        <w:rPr>
          <w:rFonts w:hint="default" w:ascii="Times New Roman" w:hAnsi="Times New Roman" w:cs="Times New Roman"/>
          <w:sz w:val="20"/>
          <w:szCs w:val="20"/>
          <w:highlight w:val="none"/>
        </w:rPr>
      </w:pPr>
    </w:p>
    <w:p w14:paraId="4BF00762">
      <w:pPr>
        <w:pageBreakBefore w:val="0"/>
        <w:kinsoku/>
        <w:wordWrap w:val="0"/>
        <w:bidi w:val="0"/>
        <w:spacing w:line="440" w:lineRule="exact"/>
        <w:rPr>
          <w:rFonts w:hint="default" w:ascii="Times New Roman" w:hAnsi="Times New Roman" w:cs="Times New Roman"/>
          <w:sz w:val="20"/>
          <w:szCs w:val="20"/>
          <w:highlight w:val="none"/>
        </w:rPr>
      </w:pPr>
    </w:p>
    <w:p w14:paraId="55489AD9">
      <w:pPr>
        <w:pageBreakBefore w:val="0"/>
        <w:kinsoku/>
        <w:wordWrap w:val="0"/>
        <w:bidi w:val="0"/>
        <w:spacing w:line="440" w:lineRule="exact"/>
        <w:rPr>
          <w:rFonts w:hint="default" w:ascii="Times New Roman" w:hAnsi="Times New Roman" w:cs="Times New Roman"/>
          <w:sz w:val="20"/>
          <w:szCs w:val="20"/>
          <w:highlight w:val="none"/>
        </w:rPr>
      </w:pPr>
    </w:p>
    <w:p w14:paraId="0E5FC534">
      <w:pPr>
        <w:pageBreakBefore w:val="0"/>
        <w:kinsoku/>
        <w:wordWrap w:val="0"/>
        <w:bidi w:val="0"/>
        <w:spacing w:line="440" w:lineRule="exact"/>
        <w:rPr>
          <w:rFonts w:hint="default" w:ascii="Times New Roman" w:hAnsi="Times New Roman" w:cs="Times New Roman"/>
          <w:sz w:val="20"/>
          <w:szCs w:val="20"/>
          <w:highlight w:val="none"/>
        </w:rPr>
      </w:pPr>
    </w:p>
    <w:p w14:paraId="1BD8E36B">
      <w:pPr>
        <w:pageBreakBefore w:val="0"/>
        <w:kinsoku/>
        <w:wordWrap w:val="0"/>
        <w:bidi w:val="0"/>
        <w:spacing w:line="440" w:lineRule="exact"/>
        <w:rPr>
          <w:rFonts w:hint="default" w:ascii="Times New Roman" w:hAnsi="Times New Roman" w:cs="Times New Roman"/>
          <w:sz w:val="20"/>
          <w:szCs w:val="20"/>
          <w:highlight w:val="none"/>
        </w:rPr>
      </w:pPr>
    </w:p>
    <w:p w14:paraId="1B708AE6">
      <w:pPr>
        <w:pageBreakBefore w:val="0"/>
        <w:kinsoku/>
        <w:wordWrap w:val="0"/>
        <w:bidi w:val="0"/>
        <w:spacing w:line="440" w:lineRule="exact"/>
        <w:rPr>
          <w:rFonts w:hint="default" w:ascii="Times New Roman" w:hAnsi="Times New Roman" w:cs="Times New Roman"/>
          <w:sz w:val="20"/>
          <w:szCs w:val="20"/>
          <w:highlight w:val="none"/>
        </w:rPr>
      </w:pPr>
    </w:p>
    <w:p w14:paraId="3418DF51">
      <w:pPr>
        <w:pageBreakBefore w:val="0"/>
        <w:kinsoku/>
        <w:wordWrap w:val="0"/>
        <w:bidi w:val="0"/>
        <w:spacing w:line="700" w:lineRule="exact"/>
        <w:jc w:val="center"/>
        <w:rPr>
          <w:rFonts w:hint="default" w:ascii="Times New Roman" w:hAnsi="Times New Roman" w:eastAsia="黑体" w:cs="Times New Roman"/>
          <w:sz w:val="28"/>
          <w:szCs w:val="28"/>
          <w:highlight w:val="none"/>
        </w:rPr>
      </w:pPr>
      <w:r>
        <w:rPr>
          <w:rFonts w:hint="eastAsia" w:eastAsia="黑体" w:cs="Times New Roman"/>
          <w:sz w:val="28"/>
          <w:szCs w:val="28"/>
          <w:highlight w:val="none"/>
          <w:lang w:val="en-US" w:eastAsia="zh-CN"/>
        </w:rPr>
        <w:t xml:space="preserve"> </w:t>
      </w:r>
    </w:p>
    <w:p w14:paraId="468BDB45">
      <w:pPr>
        <w:pageBreakBefore w:val="0"/>
        <w:kinsoku/>
        <w:wordWrap w:val="0"/>
        <w:bidi w:val="0"/>
        <w:spacing w:line="700" w:lineRule="exact"/>
        <w:jc w:val="center"/>
        <w:rPr>
          <w:rFonts w:hint="default" w:ascii="Times New Roman" w:hAnsi="Times New Roman" w:eastAsia="黑体" w:cs="Times New Roman"/>
          <w:sz w:val="28"/>
          <w:szCs w:val="28"/>
          <w:highlight w:val="none"/>
          <w:lang w:val="en-US" w:eastAsia="zh-CN"/>
        </w:rPr>
      </w:pPr>
      <w:r>
        <w:rPr>
          <w:rFonts w:hint="default" w:ascii="Times New Roman" w:hAnsi="Times New Roman" w:eastAsia="黑体" w:cs="Times New Roman"/>
          <w:sz w:val="28"/>
          <w:szCs w:val="28"/>
          <w:highlight w:val="none"/>
        </w:rPr>
        <w:t>招标代理机构：</w:t>
      </w:r>
      <w:r>
        <w:rPr>
          <w:rFonts w:hint="default" w:ascii="Times New Roman" w:hAnsi="Times New Roman" w:eastAsia="黑体" w:cs="Times New Roman"/>
          <w:sz w:val="28"/>
          <w:szCs w:val="28"/>
          <w:highlight w:val="none"/>
          <w:u w:val="single"/>
          <w:lang w:val="en-US" w:eastAsia="zh-CN"/>
        </w:rPr>
        <w:t>辽宁君启阳项目管理有限公司</w:t>
      </w:r>
      <w:r>
        <w:rPr>
          <w:rFonts w:hint="default" w:ascii="Times New Roman" w:hAnsi="Times New Roman" w:eastAsia="黑体" w:cs="Times New Roman"/>
          <w:sz w:val="28"/>
          <w:szCs w:val="28"/>
          <w:highlight w:val="none"/>
          <w:u w:val="single"/>
        </w:rPr>
        <w:t xml:space="preserve">  </w:t>
      </w:r>
      <w:r>
        <w:rPr>
          <w:rFonts w:hint="eastAsia" w:eastAsia="黑体" w:cs="Times New Roman"/>
          <w:sz w:val="28"/>
          <w:szCs w:val="28"/>
          <w:highlight w:val="none"/>
          <w:lang w:val="en-US" w:eastAsia="zh-CN"/>
        </w:rPr>
        <w:t xml:space="preserve">  </w:t>
      </w:r>
    </w:p>
    <w:p w14:paraId="468722DD">
      <w:pPr>
        <w:pageBreakBefore w:val="0"/>
        <w:kinsoku/>
        <w:wordWrap w:val="0"/>
        <w:bidi w:val="0"/>
        <w:spacing w:line="700" w:lineRule="exact"/>
        <w:ind w:firstLine="2816" w:firstLineChars="1006"/>
        <w:rPr>
          <w:rFonts w:hint="default" w:ascii="Times New Roman" w:hAnsi="Times New Roman" w:cs="Times New Roman"/>
          <w:sz w:val="20"/>
          <w:szCs w:val="20"/>
          <w:highlight w:val="none"/>
          <w:u w:val="single"/>
        </w:rPr>
      </w:pPr>
      <w:r>
        <w:rPr>
          <w:rFonts w:hint="default" w:ascii="Times New Roman" w:hAnsi="Times New Roman" w:eastAsia="黑体" w:cs="Times New Roman"/>
          <w:sz w:val="28"/>
          <w:szCs w:val="28"/>
          <w:highlight w:val="none"/>
          <w:u w:val="single"/>
        </w:rPr>
        <w:t xml:space="preserve"> </w:t>
      </w:r>
      <w:r>
        <w:rPr>
          <w:rFonts w:hint="eastAsia" w:eastAsia="黑体" w:cs="Times New Roman"/>
          <w:sz w:val="28"/>
          <w:szCs w:val="28"/>
          <w:highlight w:val="none"/>
          <w:u w:val="single"/>
          <w:lang w:val="en-US" w:eastAsia="zh-CN"/>
        </w:rPr>
        <w:t>2026</w:t>
      </w:r>
      <w:r>
        <w:rPr>
          <w:rFonts w:hint="default" w:ascii="Times New Roman" w:hAnsi="Times New Roman" w:eastAsia="黑体" w:cs="Times New Roman"/>
          <w:sz w:val="28"/>
          <w:szCs w:val="28"/>
          <w:highlight w:val="none"/>
          <w:u w:val="single"/>
        </w:rPr>
        <w:t xml:space="preserve">  </w:t>
      </w:r>
      <w:r>
        <w:rPr>
          <w:rFonts w:hint="default" w:ascii="Times New Roman" w:hAnsi="Times New Roman" w:eastAsia="黑体" w:cs="Times New Roman"/>
          <w:sz w:val="28"/>
          <w:szCs w:val="28"/>
          <w:highlight w:val="none"/>
        </w:rPr>
        <w:t>年</w:t>
      </w:r>
      <w:r>
        <w:rPr>
          <w:rFonts w:hint="default" w:ascii="Times New Roman" w:hAnsi="Times New Roman" w:eastAsia="黑体" w:cs="Times New Roman"/>
          <w:sz w:val="28"/>
          <w:szCs w:val="28"/>
          <w:highlight w:val="none"/>
          <w:u w:val="single"/>
        </w:rPr>
        <w:t xml:space="preserve"> </w:t>
      </w:r>
      <w:r>
        <w:rPr>
          <w:rFonts w:hint="eastAsia" w:eastAsia="黑体" w:cs="Times New Roman"/>
          <w:sz w:val="28"/>
          <w:szCs w:val="28"/>
          <w:highlight w:val="none"/>
          <w:u w:val="single"/>
          <w:lang w:val="en-US" w:eastAsia="zh-CN"/>
        </w:rPr>
        <w:t xml:space="preserve">      </w:t>
      </w:r>
      <w:r>
        <w:rPr>
          <w:rFonts w:hint="default" w:ascii="Times New Roman" w:hAnsi="Times New Roman" w:eastAsia="黑体" w:cs="Times New Roman"/>
          <w:sz w:val="28"/>
          <w:szCs w:val="28"/>
          <w:highlight w:val="none"/>
        </w:rPr>
        <w:t>月</w:t>
      </w:r>
      <w:r>
        <w:rPr>
          <w:rFonts w:hint="default" w:ascii="Times New Roman" w:hAnsi="Times New Roman" w:eastAsia="黑体" w:cs="Times New Roman"/>
          <w:sz w:val="28"/>
          <w:szCs w:val="28"/>
          <w:highlight w:val="none"/>
          <w:u w:val="single"/>
        </w:rPr>
        <w:t xml:space="preserve"> </w:t>
      </w:r>
      <w:r>
        <w:rPr>
          <w:rFonts w:hint="eastAsia" w:eastAsia="黑体" w:cs="Times New Roman"/>
          <w:sz w:val="28"/>
          <w:szCs w:val="28"/>
          <w:highlight w:val="none"/>
          <w:u w:val="single"/>
          <w:lang w:val="en-US" w:eastAsia="zh-CN"/>
        </w:rPr>
        <w:t xml:space="preserve">     </w:t>
      </w:r>
      <w:r>
        <w:rPr>
          <w:rFonts w:hint="default" w:ascii="Times New Roman" w:hAnsi="Times New Roman" w:eastAsia="黑体" w:cs="Times New Roman"/>
          <w:sz w:val="28"/>
          <w:szCs w:val="28"/>
          <w:highlight w:val="none"/>
          <w:u w:val="single"/>
        </w:rPr>
        <w:t xml:space="preserve"> </w:t>
      </w:r>
      <w:r>
        <w:rPr>
          <w:rFonts w:hint="default" w:ascii="Times New Roman" w:hAnsi="Times New Roman" w:eastAsia="黑体" w:cs="Times New Roman"/>
          <w:sz w:val="28"/>
          <w:szCs w:val="28"/>
          <w:highlight w:val="none"/>
        </w:rPr>
        <w:t>日</w:t>
      </w:r>
    </w:p>
    <w:p w14:paraId="57881DAA">
      <w:pPr>
        <w:pageBreakBefore w:val="0"/>
        <w:kinsoku/>
        <w:wordWrap w:val="0"/>
        <w:bidi w:val="0"/>
        <w:spacing w:line="352" w:lineRule="atLeast"/>
        <w:jc w:val="center"/>
        <w:rPr>
          <w:rFonts w:hint="default" w:ascii="Times New Roman" w:hAnsi="Times New Roman" w:eastAsia="黑体" w:cs="Times New Roman"/>
          <w:sz w:val="36"/>
          <w:szCs w:val="36"/>
          <w:highlight w:val="none"/>
        </w:rPr>
        <w:sectPr>
          <w:headerReference r:id="rId4" w:type="default"/>
          <w:footerReference r:id="rId6" w:type="default"/>
          <w:headerReference r:id="rId5" w:type="even"/>
          <w:footerReference r:id="rId7" w:type="even"/>
          <w:footnotePr>
            <w:numFmt w:val="decimalEnclosedCircleChinese"/>
            <w:numRestart w:val="eachPage"/>
          </w:footnotePr>
          <w:pgSz w:w="11907" w:h="16840"/>
          <w:pgMar w:top="1588" w:right="1417" w:bottom="1474" w:left="1644" w:header="851" w:footer="340" w:gutter="0"/>
          <w:pgNumType w:start="1"/>
          <w:cols w:space="720" w:num="1"/>
          <w:docGrid w:linePitch="312" w:charSpace="0"/>
        </w:sectPr>
      </w:pPr>
    </w:p>
    <w:p w14:paraId="6B212CF2">
      <w:pPr>
        <w:pageBreakBefore w:val="0"/>
        <w:kinsoku/>
        <w:wordWrap w:val="0"/>
        <w:bidi w:val="0"/>
        <w:spacing w:line="352" w:lineRule="atLeast"/>
        <w:jc w:val="center"/>
        <w:rPr>
          <w:rFonts w:hint="default" w:ascii="Times New Roman" w:hAnsi="Times New Roman" w:eastAsia="黑体" w:cs="Times New Roman"/>
          <w:sz w:val="36"/>
          <w:szCs w:val="36"/>
          <w:highlight w:val="none"/>
        </w:rPr>
      </w:pPr>
      <w:r>
        <w:rPr>
          <w:rFonts w:hint="default" w:ascii="Times New Roman" w:hAnsi="Times New Roman" w:eastAsia="黑体" w:cs="Times New Roman"/>
          <w:sz w:val="36"/>
          <w:szCs w:val="36"/>
          <w:highlight w:val="none"/>
        </w:rPr>
        <w:t>目     录</w:t>
      </w:r>
    </w:p>
    <w:p w14:paraId="3505C6C8">
      <w:pPr>
        <w:pStyle w:val="28"/>
        <w:keepNext w:val="0"/>
        <w:keepLines w:val="0"/>
        <w:pageBreakBefore w:val="0"/>
        <w:widowControl w:val="0"/>
        <w:tabs>
          <w:tab w:val="right" w:leader="dot" w:pos="8675"/>
          <w:tab w:val="clear" w:pos="425"/>
          <w:tab w:val="clear" w:pos="8805"/>
        </w:tabs>
        <w:kinsoku/>
        <w:overflowPunct/>
        <w:topLinePunct w:val="0"/>
        <w:autoSpaceDE/>
        <w:autoSpaceDN/>
        <w:bidi w:val="0"/>
        <w:adjustRightInd/>
        <w:snapToGrid/>
        <w:spacing w:line="360" w:lineRule="exact"/>
        <w:ind w:left="0" w:leftChars="0"/>
        <w:textAlignment w:val="auto"/>
        <w:rPr>
          <w:rFonts w:hint="default" w:ascii="Times New Roman" w:hAnsi="Times New Roman" w:eastAsia="黑体" w:cs="Times New Roman"/>
          <w:b w:val="0"/>
          <w:bCs w:val="0"/>
          <w:i w:val="0"/>
          <w:iCs w:val="0"/>
          <w:szCs w:val="21"/>
          <w:highlight w:val="none"/>
        </w:rPr>
      </w:pPr>
      <w:r>
        <w:rPr>
          <w:rFonts w:hint="default" w:ascii="Times New Roman" w:hAnsi="Times New Roman" w:eastAsia="黑体" w:cs="Times New Roman"/>
          <w:b w:val="0"/>
          <w:bCs w:val="0"/>
          <w:i w:val="0"/>
          <w:iCs w:val="0"/>
          <w:szCs w:val="21"/>
          <w:highlight w:val="none"/>
        </w:rPr>
        <w:fldChar w:fldCharType="begin"/>
      </w:r>
      <w:r>
        <w:rPr>
          <w:rFonts w:hint="default" w:ascii="Times New Roman" w:hAnsi="Times New Roman" w:eastAsia="黑体" w:cs="Times New Roman"/>
          <w:b w:val="0"/>
          <w:bCs w:val="0"/>
          <w:i w:val="0"/>
          <w:iCs w:val="0"/>
          <w:szCs w:val="21"/>
          <w:highlight w:val="none"/>
        </w:rPr>
        <w:instrText xml:space="preserve"> HYPERLINK \l _Toc14475 </w:instrText>
      </w:r>
      <w:r>
        <w:rPr>
          <w:rFonts w:hint="default" w:ascii="Times New Roman" w:hAnsi="Times New Roman" w:eastAsia="黑体" w:cs="Times New Roman"/>
          <w:b w:val="0"/>
          <w:bCs w:val="0"/>
          <w:i w:val="0"/>
          <w:iCs w:val="0"/>
          <w:szCs w:val="21"/>
          <w:highlight w:val="none"/>
        </w:rPr>
        <w:fldChar w:fldCharType="separate"/>
      </w:r>
      <w:r>
        <w:rPr>
          <w:rFonts w:hint="default" w:ascii="Times New Roman" w:hAnsi="Times New Roman" w:eastAsia="黑体" w:cs="Times New Roman"/>
          <w:b w:val="0"/>
          <w:bCs w:val="0"/>
          <w:i w:val="0"/>
          <w:iCs w:val="0"/>
          <w:szCs w:val="21"/>
          <w:highlight w:val="none"/>
        </w:rPr>
        <w:t>第一卷</w:t>
      </w:r>
      <w:r>
        <w:rPr>
          <w:rFonts w:hint="default" w:ascii="Times New Roman" w:hAnsi="Times New Roman" w:eastAsia="黑体" w:cs="Times New Roman"/>
          <w:b w:val="0"/>
          <w:bCs w:val="0"/>
          <w:i w:val="0"/>
          <w:iCs w:val="0"/>
          <w:szCs w:val="21"/>
          <w:highlight w:val="none"/>
        </w:rPr>
        <w:tab/>
      </w:r>
      <w:r>
        <w:rPr>
          <w:rFonts w:hint="eastAsia" w:eastAsia="黑体" w:cs="Times New Roman"/>
          <w:b w:val="0"/>
          <w:bCs w:val="0"/>
          <w:i w:val="0"/>
          <w:iCs w:val="0"/>
          <w:szCs w:val="21"/>
          <w:highlight w:val="none"/>
          <w:lang w:val="en-US" w:eastAsia="zh-CN"/>
        </w:rPr>
        <w:t>1</w:t>
      </w:r>
      <w:r>
        <w:rPr>
          <w:rFonts w:hint="default" w:ascii="Times New Roman" w:hAnsi="Times New Roman" w:eastAsia="黑体" w:cs="Times New Roman"/>
          <w:b w:val="0"/>
          <w:bCs w:val="0"/>
          <w:i w:val="0"/>
          <w:iCs w:val="0"/>
          <w:szCs w:val="21"/>
          <w:highlight w:val="none"/>
        </w:rPr>
        <w:fldChar w:fldCharType="end"/>
      </w:r>
    </w:p>
    <w:p w14:paraId="398562BE">
      <w:pPr>
        <w:pStyle w:val="28"/>
        <w:tabs>
          <w:tab w:val="right" w:leader="dot" w:pos="8675"/>
          <w:tab w:val="clear" w:pos="425"/>
          <w:tab w:val="clear" w:pos="8805"/>
        </w:tabs>
        <w:rPr>
          <w:highlight w:val="none"/>
        </w:rPr>
      </w:pPr>
      <w:r>
        <w:rPr>
          <w:rFonts w:hint="default" w:ascii="Times New Roman" w:hAnsi="Times New Roman" w:eastAsia="黑体" w:cs="Times New Roman"/>
          <w:b w:val="0"/>
          <w:bCs w:val="0"/>
          <w:i w:val="0"/>
          <w:iCs w:val="0"/>
          <w:color w:val="auto"/>
          <w:sz w:val="21"/>
          <w:szCs w:val="21"/>
          <w:highlight w:val="none"/>
        </w:rPr>
        <w:fldChar w:fldCharType="begin"/>
      </w:r>
      <w:r>
        <w:rPr>
          <w:rFonts w:hint="default" w:ascii="Times New Roman" w:hAnsi="Times New Roman" w:eastAsia="黑体" w:cs="Times New Roman"/>
          <w:b w:val="0"/>
          <w:bCs w:val="0"/>
          <w:i w:val="0"/>
          <w:iCs w:val="0"/>
          <w:color w:val="auto"/>
          <w:sz w:val="21"/>
          <w:szCs w:val="21"/>
          <w:highlight w:val="none"/>
        </w:rPr>
        <w:instrText xml:space="preserve"> TOC \o "1-3" \h \z \u </w:instrText>
      </w:r>
      <w:r>
        <w:rPr>
          <w:rFonts w:hint="default" w:ascii="Times New Roman" w:hAnsi="Times New Roman" w:eastAsia="黑体" w:cs="Times New Roman"/>
          <w:b w:val="0"/>
          <w:bCs w:val="0"/>
          <w:i w:val="0"/>
          <w:iCs w:val="0"/>
          <w:color w:val="auto"/>
          <w:sz w:val="21"/>
          <w:szCs w:val="21"/>
          <w:highlight w:val="none"/>
        </w:rPr>
        <w:fldChar w:fldCharType="separate"/>
      </w:r>
      <w:r>
        <w:rPr>
          <w:rFonts w:hint="default" w:ascii="Times New Roman" w:hAnsi="Times New Roman" w:eastAsia="黑体" w:cs="Times New Roman"/>
          <w:bCs w:val="0"/>
          <w:i w:val="0"/>
          <w:iCs w:val="0"/>
          <w:color w:val="auto"/>
          <w:szCs w:val="21"/>
          <w:highlight w:val="none"/>
        </w:rPr>
        <w:fldChar w:fldCharType="begin"/>
      </w:r>
      <w:r>
        <w:rPr>
          <w:rFonts w:hint="default" w:ascii="Times New Roman" w:hAnsi="Times New Roman" w:eastAsia="黑体" w:cs="Times New Roman"/>
          <w:bCs w:val="0"/>
          <w:i w:val="0"/>
          <w:iCs w:val="0"/>
          <w:szCs w:val="21"/>
          <w:highlight w:val="none"/>
        </w:rPr>
        <w:instrText xml:space="preserve"> HYPERLINK \l _Toc31875 </w:instrText>
      </w:r>
      <w:r>
        <w:rPr>
          <w:rFonts w:hint="default" w:ascii="Times New Roman" w:hAnsi="Times New Roman" w:eastAsia="黑体" w:cs="Times New Roman"/>
          <w:bCs w:val="0"/>
          <w:i w:val="0"/>
          <w:iCs w:val="0"/>
          <w:szCs w:val="21"/>
          <w:highlight w:val="none"/>
        </w:rPr>
        <w:fldChar w:fldCharType="separate"/>
      </w:r>
      <w:r>
        <w:rPr>
          <w:rFonts w:hint="default" w:ascii="Times New Roman" w:hAnsi="Times New Roman" w:eastAsia="黑体" w:cs="Times New Roman"/>
          <w:szCs w:val="76"/>
          <w:highlight w:val="none"/>
        </w:rPr>
        <w:t>第  一  卷</w:t>
      </w:r>
      <w:r>
        <w:rPr>
          <w:highlight w:val="none"/>
        </w:rPr>
        <w:tab/>
      </w:r>
      <w:r>
        <w:rPr>
          <w:highlight w:val="none"/>
        </w:rPr>
        <w:fldChar w:fldCharType="begin"/>
      </w:r>
      <w:r>
        <w:rPr>
          <w:highlight w:val="none"/>
        </w:rPr>
        <w:instrText xml:space="preserve"> PAGEREF _Toc31875 \h </w:instrText>
      </w:r>
      <w:r>
        <w:rPr>
          <w:highlight w:val="none"/>
        </w:rPr>
        <w:fldChar w:fldCharType="separate"/>
      </w:r>
      <w:r>
        <w:rPr>
          <w:highlight w:val="none"/>
        </w:rPr>
        <w:t>1</w:t>
      </w:r>
      <w:r>
        <w:rPr>
          <w:highlight w:val="none"/>
        </w:rPr>
        <w:fldChar w:fldCharType="end"/>
      </w:r>
      <w:r>
        <w:rPr>
          <w:rFonts w:hint="default" w:ascii="Times New Roman" w:hAnsi="Times New Roman" w:eastAsia="黑体" w:cs="Times New Roman"/>
          <w:bCs w:val="0"/>
          <w:i w:val="0"/>
          <w:iCs w:val="0"/>
          <w:color w:val="auto"/>
          <w:szCs w:val="21"/>
          <w:highlight w:val="none"/>
        </w:rPr>
        <w:fldChar w:fldCharType="end"/>
      </w:r>
    </w:p>
    <w:p w14:paraId="77F79150">
      <w:pPr>
        <w:pStyle w:val="28"/>
        <w:tabs>
          <w:tab w:val="right" w:leader="dot" w:pos="8675"/>
          <w:tab w:val="clear" w:pos="425"/>
          <w:tab w:val="clear" w:pos="8805"/>
        </w:tabs>
        <w:rPr>
          <w:highlight w:val="none"/>
        </w:rPr>
      </w:pPr>
      <w:r>
        <w:rPr>
          <w:rFonts w:hint="default" w:ascii="Times New Roman" w:hAnsi="Times New Roman" w:eastAsia="黑体" w:cs="Times New Roman"/>
          <w:bCs w:val="0"/>
          <w:i w:val="0"/>
          <w:iCs w:val="0"/>
          <w:szCs w:val="21"/>
          <w:highlight w:val="none"/>
        </w:rPr>
        <w:fldChar w:fldCharType="begin"/>
      </w:r>
      <w:r>
        <w:rPr>
          <w:rFonts w:hint="default" w:ascii="Times New Roman" w:hAnsi="Times New Roman" w:eastAsia="黑体" w:cs="Times New Roman"/>
          <w:bCs w:val="0"/>
          <w:i w:val="0"/>
          <w:iCs w:val="0"/>
          <w:szCs w:val="21"/>
          <w:highlight w:val="none"/>
        </w:rPr>
        <w:instrText xml:space="preserve"> HYPERLINK \l _Toc6394 </w:instrText>
      </w:r>
      <w:r>
        <w:rPr>
          <w:rFonts w:hint="default" w:ascii="Times New Roman" w:hAnsi="Times New Roman" w:eastAsia="黑体" w:cs="Times New Roman"/>
          <w:bCs w:val="0"/>
          <w:i w:val="0"/>
          <w:iCs w:val="0"/>
          <w:szCs w:val="21"/>
          <w:highlight w:val="none"/>
        </w:rPr>
        <w:fldChar w:fldCharType="separate"/>
      </w:r>
      <w:r>
        <w:rPr>
          <w:rFonts w:hint="default" w:ascii="Times New Roman" w:hAnsi="Times New Roman" w:eastAsia="黑体" w:cs="Times New Roman"/>
          <w:szCs w:val="56"/>
          <w:highlight w:val="none"/>
        </w:rPr>
        <w:t>第一章  招标公告</w:t>
      </w:r>
      <w:r>
        <w:rPr>
          <w:highlight w:val="none"/>
        </w:rPr>
        <w:tab/>
      </w:r>
      <w:r>
        <w:rPr>
          <w:highlight w:val="none"/>
        </w:rPr>
        <w:fldChar w:fldCharType="begin"/>
      </w:r>
      <w:r>
        <w:rPr>
          <w:highlight w:val="none"/>
        </w:rPr>
        <w:instrText xml:space="preserve"> PAGEREF _Toc6394 \h </w:instrText>
      </w:r>
      <w:r>
        <w:rPr>
          <w:highlight w:val="none"/>
        </w:rPr>
        <w:fldChar w:fldCharType="separate"/>
      </w:r>
      <w:r>
        <w:rPr>
          <w:highlight w:val="none"/>
        </w:rPr>
        <w:t>2</w:t>
      </w:r>
      <w:r>
        <w:rPr>
          <w:highlight w:val="none"/>
        </w:rPr>
        <w:fldChar w:fldCharType="end"/>
      </w:r>
      <w:r>
        <w:rPr>
          <w:rFonts w:hint="default" w:ascii="Times New Roman" w:hAnsi="Times New Roman" w:eastAsia="黑体" w:cs="Times New Roman"/>
          <w:bCs w:val="0"/>
          <w:i w:val="0"/>
          <w:iCs w:val="0"/>
          <w:szCs w:val="21"/>
          <w:highlight w:val="none"/>
        </w:rPr>
        <w:fldChar w:fldCharType="end"/>
      </w:r>
    </w:p>
    <w:p w14:paraId="2791BFB6">
      <w:pPr>
        <w:pStyle w:val="28"/>
        <w:tabs>
          <w:tab w:val="right" w:leader="dot" w:pos="8675"/>
          <w:tab w:val="clear" w:pos="425"/>
          <w:tab w:val="clear" w:pos="8805"/>
        </w:tabs>
        <w:rPr>
          <w:highlight w:val="none"/>
        </w:rPr>
      </w:pPr>
      <w:r>
        <w:rPr>
          <w:rFonts w:hint="default" w:ascii="Times New Roman" w:hAnsi="Times New Roman" w:eastAsia="黑体" w:cs="Times New Roman"/>
          <w:bCs w:val="0"/>
          <w:i w:val="0"/>
          <w:iCs w:val="0"/>
          <w:szCs w:val="21"/>
          <w:highlight w:val="none"/>
        </w:rPr>
        <w:fldChar w:fldCharType="begin"/>
      </w:r>
      <w:r>
        <w:rPr>
          <w:rFonts w:hint="default" w:ascii="Times New Roman" w:hAnsi="Times New Roman" w:eastAsia="黑体" w:cs="Times New Roman"/>
          <w:bCs w:val="0"/>
          <w:i w:val="0"/>
          <w:iCs w:val="0"/>
          <w:szCs w:val="21"/>
          <w:highlight w:val="none"/>
        </w:rPr>
        <w:instrText xml:space="preserve"> HYPERLINK \l _Toc23044 </w:instrText>
      </w:r>
      <w:r>
        <w:rPr>
          <w:rFonts w:hint="default" w:ascii="Times New Roman" w:hAnsi="Times New Roman" w:eastAsia="黑体" w:cs="Times New Roman"/>
          <w:bCs w:val="0"/>
          <w:i w:val="0"/>
          <w:iCs w:val="0"/>
          <w:szCs w:val="21"/>
          <w:highlight w:val="none"/>
        </w:rPr>
        <w:fldChar w:fldCharType="separate"/>
      </w:r>
      <w:r>
        <w:rPr>
          <w:rFonts w:hint="default" w:ascii="Times New Roman" w:hAnsi="Times New Roman" w:eastAsia="黑体" w:cs="Times New Roman"/>
          <w:szCs w:val="42"/>
          <w:highlight w:val="none"/>
        </w:rPr>
        <w:t>第一章  招标公告</w:t>
      </w:r>
      <w:r>
        <w:rPr>
          <w:highlight w:val="none"/>
        </w:rPr>
        <w:tab/>
      </w:r>
      <w:r>
        <w:rPr>
          <w:highlight w:val="none"/>
        </w:rPr>
        <w:fldChar w:fldCharType="begin"/>
      </w:r>
      <w:r>
        <w:rPr>
          <w:highlight w:val="none"/>
        </w:rPr>
        <w:instrText xml:space="preserve"> PAGEREF _Toc23044 \h </w:instrText>
      </w:r>
      <w:r>
        <w:rPr>
          <w:highlight w:val="none"/>
        </w:rPr>
        <w:fldChar w:fldCharType="separate"/>
      </w:r>
      <w:r>
        <w:rPr>
          <w:highlight w:val="none"/>
        </w:rPr>
        <w:t>3</w:t>
      </w:r>
      <w:r>
        <w:rPr>
          <w:highlight w:val="none"/>
        </w:rPr>
        <w:fldChar w:fldCharType="end"/>
      </w:r>
      <w:r>
        <w:rPr>
          <w:rFonts w:hint="default" w:ascii="Times New Roman" w:hAnsi="Times New Roman" w:eastAsia="黑体" w:cs="Times New Roman"/>
          <w:bCs w:val="0"/>
          <w:i w:val="0"/>
          <w:iCs w:val="0"/>
          <w:szCs w:val="21"/>
          <w:highlight w:val="none"/>
        </w:rPr>
        <w:fldChar w:fldCharType="end"/>
      </w:r>
    </w:p>
    <w:p w14:paraId="0808F045">
      <w:pPr>
        <w:pStyle w:val="28"/>
        <w:tabs>
          <w:tab w:val="right" w:leader="dot" w:pos="8675"/>
          <w:tab w:val="clear" w:pos="425"/>
          <w:tab w:val="clear" w:pos="8805"/>
        </w:tabs>
        <w:rPr>
          <w:highlight w:val="none"/>
        </w:rPr>
      </w:pPr>
      <w:r>
        <w:rPr>
          <w:rFonts w:hint="default" w:ascii="Times New Roman" w:hAnsi="Times New Roman" w:eastAsia="黑体" w:cs="Times New Roman"/>
          <w:bCs w:val="0"/>
          <w:i w:val="0"/>
          <w:iCs w:val="0"/>
          <w:szCs w:val="21"/>
          <w:highlight w:val="none"/>
        </w:rPr>
        <w:fldChar w:fldCharType="begin"/>
      </w:r>
      <w:r>
        <w:rPr>
          <w:rFonts w:hint="default" w:ascii="Times New Roman" w:hAnsi="Times New Roman" w:eastAsia="黑体" w:cs="Times New Roman"/>
          <w:bCs w:val="0"/>
          <w:i w:val="0"/>
          <w:iCs w:val="0"/>
          <w:szCs w:val="21"/>
          <w:highlight w:val="none"/>
        </w:rPr>
        <w:instrText xml:space="preserve"> HYPERLINK \l _Toc16934 </w:instrText>
      </w:r>
      <w:r>
        <w:rPr>
          <w:rFonts w:hint="default" w:ascii="Times New Roman" w:hAnsi="Times New Roman" w:eastAsia="黑体" w:cs="Times New Roman"/>
          <w:bCs w:val="0"/>
          <w:i w:val="0"/>
          <w:iCs w:val="0"/>
          <w:szCs w:val="21"/>
          <w:highlight w:val="none"/>
        </w:rPr>
        <w:fldChar w:fldCharType="separate"/>
      </w:r>
      <w:r>
        <w:rPr>
          <w:rFonts w:hint="default" w:ascii="Times New Roman" w:hAnsi="Times New Roman" w:eastAsia="黑体" w:cs="Times New Roman"/>
          <w:szCs w:val="42"/>
          <w:highlight w:val="none"/>
        </w:rPr>
        <w:t>第二章  投标人须知</w:t>
      </w:r>
      <w:r>
        <w:rPr>
          <w:highlight w:val="none"/>
        </w:rPr>
        <w:tab/>
      </w:r>
      <w:r>
        <w:rPr>
          <w:highlight w:val="none"/>
        </w:rPr>
        <w:fldChar w:fldCharType="begin"/>
      </w:r>
      <w:r>
        <w:rPr>
          <w:highlight w:val="none"/>
        </w:rPr>
        <w:instrText xml:space="preserve"> PAGEREF _Toc16934 \h </w:instrText>
      </w:r>
      <w:r>
        <w:rPr>
          <w:highlight w:val="none"/>
        </w:rPr>
        <w:fldChar w:fldCharType="separate"/>
      </w:r>
      <w:r>
        <w:rPr>
          <w:highlight w:val="none"/>
        </w:rPr>
        <w:t>10</w:t>
      </w:r>
      <w:r>
        <w:rPr>
          <w:highlight w:val="none"/>
        </w:rPr>
        <w:fldChar w:fldCharType="end"/>
      </w:r>
      <w:r>
        <w:rPr>
          <w:rFonts w:hint="default" w:ascii="Times New Roman" w:hAnsi="Times New Roman" w:eastAsia="黑体" w:cs="Times New Roman"/>
          <w:bCs w:val="0"/>
          <w:i w:val="0"/>
          <w:iCs w:val="0"/>
          <w:szCs w:val="21"/>
          <w:highlight w:val="none"/>
        </w:rPr>
        <w:fldChar w:fldCharType="end"/>
      </w:r>
    </w:p>
    <w:p w14:paraId="2C7C203E">
      <w:pPr>
        <w:pStyle w:val="28"/>
        <w:tabs>
          <w:tab w:val="right" w:leader="dot" w:pos="8675"/>
          <w:tab w:val="clear" w:pos="425"/>
          <w:tab w:val="clear" w:pos="8805"/>
        </w:tabs>
        <w:rPr>
          <w:highlight w:val="none"/>
        </w:rPr>
      </w:pPr>
      <w:r>
        <w:rPr>
          <w:rFonts w:hint="default" w:ascii="Times New Roman" w:hAnsi="Times New Roman" w:eastAsia="黑体" w:cs="Times New Roman"/>
          <w:bCs w:val="0"/>
          <w:i w:val="0"/>
          <w:iCs w:val="0"/>
          <w:szCs w:val="21"/>
          <w:highlight w:val="none"/>
        </w:rPr>
        <w:fldChar w:fldCharType="begin"/>
      </w:r>
      <w:r>
        <w:rPr>
          <w:rFonts w:hint="default" w:ascii="Times New Roman" w:hAnsi="Times New Roman" w:eastAsia="黑体" w:cs="Times New Roman"/>
          <w:bCs w:val="0"/>
          <w:i w:val="0"/>
          <w:iCs w:val="0"/>
          <w:szCs w:val="21"/>
          <w:highlight w:val="none"/>
        </w:rPr>
        <w:instrText xml:space="preserve"> HYPERLINK \l _Toc2246 </w:instrText>
      </w:r>
      <w:r>
        <w:rPr>
          <w:rFonts w:hint="default" w:ascii="Times New Roman" w:hAnsi="Times New Roman" w:eastAsia="黑体" w:cs="Times New Roman"/>
          <w:bCs w:val="0"/>
          <w:i w:val="0"/>
          <w:iCs w:val="0"/>
          <w:szCs w:val="21"/>
          <w:highlight w:val="none"/>
        </w:rPr>
        <w:fldChar w:fldCharType="separate"/>
      </w:r>
      <w:r>
        <w:rPr>
          <w:rFonts w:hint="default" w:ascii="Times New Roman" w:hAnsi="Times New Roman" w:eastAsia="黑体" w:cs="Times New Roman"/>
          <w:szCs w:val="42"/>
          <w:highlight w:val="none"/>
        </w:rPr>
        <w:t>第三章  评标办法（合理低价法）</w:t>
      </w:r>
      <w:r>
        <w:rPr>
          <w:highlight w:val="none"/>
        </w:rPr>
        <w:tab/>
      </w:r>
      <w:r>
        <w:rPr>
          <w:highlight w:val="none"/>
        </w:rPr>
        <w:fldChar w:fldCharType="begin"/>
      </w:r>
      <w:r>
        <w:rPr>
          <w:highlight w:val="none"/>
        </w:rPr>
        <w:instrText xml:space="preserve"> PAGEREF _Toc2246 \h </w:instrText>
      </w:r>
      <w:r>
        <w:rPr>
          <w:highlight w:val="none"/>
        </w:rPr>
        <w:fldChar w:fldCharType="separate"/>
      </w:r>
      <w:r>
        <w:rPr>
          <w:highlight w:val="none"/>
        </w:rPr>
        <w:t>52</w:t>
      </w:r>
      <w:r>
        <w:rPr>
          <w:highlight w:val="none"/>
        </w:rPr>
        <w:fldChar w:fldCharType="end"/>
      </w:r>
      <w:r>
        <w:rPr>
          <w:rFonts w:hint="default" w:ascii="Times New Roman" w:hAnsi="Times New Roman" w:eastAsia="黑体" w:cs="Times New Roman"/>
          <w:bCs w:val="0"/>
          <w:i w:val="0"/>
          <w:iCs w:val="0"/>
          <w:szCs w:val="21"/>
          <w:highlight w:val="none"/>
        </w:rPr>
        <w:fldChar w:fldCharType="end"/>
      </w:r>
    </w:p>
    <w:p w14:paraId="046AE166">
      <w:pPr>
        <w:pStyle w:val="28"/>
        <w:tabs>
          <w:tab w:val="right" w:leader="dot" w:pos="8675"/>
          <w:tab w:val="clear" w:pos="425"/>
          <w:tab w:val="clear" w:pos="8805"/>
        </w:tabs>
        <w:rPr>
          <w:highlight w:val="none"/>
        </w:rPr>
      </w:pPr>
      <w:r>
        <w:rPr>
          <w:rFonts w:hint="default" w:ascii="Times New Roman" w:hAnsi="Times New Roman" w:eastAsia="黑体" w:cs="Times New Roman"/>
          <w:bCs w:val="0"/>
          <w:i w:val="0"/>
          <w:iCs w:val="0"/>
          <w:szCs w:val="21"/>
          <w:highlight w:val="none"/>
        </w:rPr>
        <w:fldChar w:fldCharType="begin"/>
      </w:r>
      <w:r>
        <w:rPr>
          <w:rFonts w:hint="default" w:ascii="Times New Roman" w:hAnsi="Times New Roman" w:eastAsia="黑体" w:cs="Times New Roman"/>
          <w:bCs w:val="0"/>
          <w:i w:val="0"/>
          <w:iCs w:val="0"/>
          <w:szCs w:val="21"/>
          <w:highlight w:val="none"/>
        </w:rPr>
        <w:instrText xml:space="preserve"> HYPERLINK \l _Toc308 </w:instrText>
      </w:r>
      <w:r>
        <w:rPr>
          <w:rFonts w:hint="default" w:ascii="Times New Roman" w:hAnsi="Times New Roman" w:eastAsia="黑体" w:cs="Times New Roman"/>
          <w:bCs w:val="0"/>
          <w:i w:val="0"/>
          <w:iCs w:val="0"/>
          <w:szCs w:val="21"/>
          <w:highlight w:val="none"/>
        </w:rPr>
        <w:fldChar w:fldCharType="separate"/>
      </w:r>
      <w:r>
        <w:rPr>
          <w:rFonts w:hint="default" w:ascii="Times New Roman" w:hAnsi="Times New Roman" w:eastAsia="黑体" w:cs="Times New Roman"/>
          <w:szCs w:val="24"/>
          <w:highlight w:val="none"/>
        </w:rPr>
        <w:t>评标办法前附表</w:t>
      </w:r>
      <w:r>
        <w:rPr>
          <w:rFonts w:hint="default" w:ascii="Times New Roman" w:hAnsi="Times New Roman" w:eastAsia="黑体" w:cs="Times New Roman"/>
          <w:szCs w:val="28"/>
          <w:highlight w:val="none"/>
        </w:rPr>
        <w:t xml:space="preserve"> </w:t>
      </w:r>
      <w:r>
        <w:rPr>
          <w:highlight w:val="none"/>
        </w:rPr>
        <w:tab/>
      </w:r>
      <w:r>
        <w:rPr>
          <w:highlight w:val="none"/>
        </w:rPr>
        <w:fldChar w:fldCharType="begin"/>
      </w:r>
      <w:r>
        <w:rPr>
          <w:highlight w:val="none"/>
        </w:rPr>
        <w:instrText xml:space="preserve"> PAGEREF _Toc308 \h </w:instrText>
      </w:r>
      <w:r>
        <w:rPr>
          <w:highlight w:val="none"/>
        </w:rPr>
        <w:fldChar w:fldCharType="separate"/>
      </w:r>
      <w:r>
        <w:rPr>
          <w:highlight w:val="none"/>
        </w:rPr>
        <w:t>52</w:t>
      </w:r>
      <w:r>
        <w:rPr>
          <w:highlight w:val="none"/>
        </w:rPr>
        <w:fldChar w:fldCharType="end"/>
      </w:r>
      <w:r>
        <w:rPr>
          <w:rFonts w:hint="default" w:ascii="Times New Roman" w:hAnsi="Times New Roman" w:eastAsia="黑体" w:cs="Times New Roman"/>
          <w:bCs w:val="0"/>
          <w:i w:val="0"/>
          <w:iCs w:val="0"/>
          <w:szCs w:val="21"/>
          <w:highlight w:val="none"/>
        </w:rPr>
        <w:fldChar w:fldCharType="end"/>
      </w:r>
    </w:p>
    <w:p w14:paraId="08FB7173">
      <w:pPr>
        <w:pStyle w:val="28"/>
        <w:tabs>
          <w:tab w:val="right" w:leader="dot" w:pos="8675"/>
          <w:tab w:val="clear" w:pos="425"/>
          <w:tab w:val="clear" w:pos="8805"/>
        </w:tabs>
        <w:rPr>
          <w:highlight w:val="none"/>
        </w:rPr>
      </w:pPr>
      <w:r>
        <w:rPr>
          <w:rFonts w:hint="default" w:ascii="Times New Roman" w:hAnsi="Times New Roman" w:eastAsia="黑体" w:cs="Times New Roman"/>
          <w:bCs w:val="0"/>
          <w:i w:val="0"/>
          <w:iCs w:val="0"/>
          <w:szCs w:val="21"/>
          <w:highlight w:val="none"/>
        </w:rPr>
        <w:fldChar w:fldCharType="begin"/>
      </w:r>
      <w:r>
        <w:rPr>
          <w:rFonts w:hint="default" w:ascii="Times New Roman" w:hAnsi="Times New Roman" w:eastAsia="黑体" w:cs="Times New Roman"/>
          <w:bCs w:val="0"/>
          <w:i w:val="0"/>
          <w:iCs w:val="0"/>
          <w:szCs w:val="21"/>
          <w:highlight w:val="none"/>
        </w:rPr>
        <w:instrText xml:space="preserve"> HYPERLINK \l _Toc29180 </w:instrText>
      </w:r>
      <w:r>
        <w:rPr>
          <w:rFonts w:hint="default" w:ascii="Times New Roman" w:hAnsi="Times New Roman" w:eastAsia="黑体" w:cs="Times New Roman"/>
          <w:bCs w:val="0"/>
          <w:i w:val="0"/>
          <w:iCs w:val="0"/>
          <w:szCs w:val="21"/>
          <w:highlight w:val="none"/>
        </w:rPr>
        <w:fldChar w:fldCharType="separate"/>
      </w:r>
      <w:r>
        <w:rPr>
          <w:rFonts w:hint="default" w:ascii="Times New Roman" w:hAnsi="Times New Roman" w:eastAsia="黑体" w:cs="Times New Roman"/>
          <w:szCs w:val="56"/>
          <w:highlight w:val="none"/>
        </w:rPr>
        <w:t>第四章  合同条款及格式</w:t>
      </w:r>
      <w:r>
        <w:rPr>
          <w:highlight w:val="none"/>
        </w:rPr>
        <w:tab/>
      </w:r>
      <w:r>
        <w:rPr>
          <w:highlight w:val="none"/>
        </w:rPr>
        <w:fldChar w:fldCharType="begin"/>
      </w:r>
      <w:r>
        <w:rPr>
          <w:highlight w:val="none"/>
        </w:rPr>
        <w:instrText xml:space="preserve"> PAGEREF _Toc29180 \h </w:instrText>
      </w:r>
      <w:r>
        <w:rPr>
          <w:highlight w:val="none"/>
        </w:rPr>
        <w:fldChar w:fldCharType="separate"/>
      </w:r>
      <w:r>
        <w:rPr>
          <w:highlight w:val="none"/>
        </w:rPr>
        <w:t>67</w:t>
      </w:r>
      <w:r>
        <w:rPr>
          <w:highlight w:val="none"/>
        </w:rPr>
        <w:fldChar w:fldCharType="end"/>
      </w:r>
      <w:r>
        <w:rPr>
          <w:rFonts w:hint="default" w:ascii="Times New Roman" w:hAnsi="Times New Roman" w:eastAsia="黑体" w:cs="Times New Roman"/>
          <w:bCs w:val="0"/>
          <w:i w:val="0"/>
          <w:iCs w:val="0"/>
          <w:szCs w:val="21"/>
          <w:highlight w:val="none"/>
        </w:rPr>
        <w:fldChar w:fldCharType="end"/>
      </w:r>
    </w:p>
    <w:p w14:paraId="209C7395">
      <w:pPr>
        <w:pStyle w:val="28"/>
        <w:tabs>
          <w:tab w:val="right" w:leader="dot" w:pos="8675"/>
          <w:tab w:val="clear" w:pos="425"/>
          <w:tab w:val="clear" w:pos="8805"/>
        </w:tabs>
        <w:rPr>
          <w:highlight w:val="none"/>
        </w:rPr>
      </w:pPr>
      <w:r>
        <w:rPr>
          <w:rFonts w:hint="default" w:ascii="Times New Roman" w:hAnsi="Times New Roman" w:eastAsia="黑体" w:cs="Times New Roman"/>
          <w:bCs w:val="0"/>
          <w:i w:val="0"/>
          <w:iCs w:val="0"/>
          <w:szCs w:val="21"/>
          <w:highlight w:val="none"/>
        </w:rPr>
        <w:fldChar w:fldCharType="begin"/>
      </w:r>
      <w:r>
        <w:rPr>
          <w:rFonts w:hint="default" w:ascii="Times New Roman" w:hAnsi="Times New Roman" w:eastAsia="黑体" w:cs="Times New Roman"/>
          <w:bCs w:val="0"/>
          <w:i w:val="0"/>
          <w:iCs w:val="0"/>
          <w:szCs w:val="21"/>
          <w:highlight w:val="none"/>
        </w:rPr>
        <w:instrText xml:space="preserve"> HYPERLINK \l _Toc8846 </w:instrText>
      </w:r>
      <w:r>
        <w:rPr>
          <w:rFonts w:hint="default" w:ascii="Times New Roman" w:hAnsi="Times New Roman" w:eastAsia="黑体" w:cs="Times New Roman"/>
          <w:bCs w:val="0"/>
          <w:i w:val="0"/>
          <w:iCs w:val="0"/>
          <w:szCs w:val="21"/>
          <w:highlight w:val="none"/>
        </w:rPr>
        <w:fldChar w:fldCharType="separate"/>
      </w:r>
      <w:r>
        <w:rPr>
          <w:rFonts w:hint="default" w:ascii="Times New Roman" w:hAnsi="Times New Roman" w:eastAsia="黑体" w:cs="Times New Roman"/>
          <w:szCs w:val="42"/>
          <w:highlight w:val="none"/>
        </w:rPr>
        <w:t>第一节  通用合同条款</w:t>
      </w:r>
      <w:r>
        <w:rPr>
          <w:highlight w:val="none"/>
        </w:rPr>
        <w:tab/>
      </w:r>
      <w:r>
        <w:rPr>
          <w:highlight w:val="none"/>
        </w:rPr>
        <w:fldChar w:fldCharType="begin"/>
      </w:r>
      <w:r>
        <w:rPr>
          <w:highlight w:val="none"/>
        </w:rPr>
        <w:instrText xml:space="preserve"> PAGEREF _Toc8846 \h </w:instrText>
      </w:r>
      <w:r>
        <w:rPr>
          <w:highlight w:val="none"/>
        </w:rPr>
        <w:fldChar w:fldCharType="separate"/>
      </w:r>
      <w:r>
        <w:rPr>
          <w:highlight w:val="none"/>
        </w:rPr>
        <w:t>68</w:t>
      </w:r>
      <w:r>
        <w:rPr>
          <w:highlight w:val="none"/>
        </w:rPr>
        <w:fldChar w:fldCharType="end"/>
      </w:r>
      <w:r>
        <w:rPr>
          <w:rFonts w:hint="default" w:ascii="Times New Roman" w:hAnsi="Times New Roman" w:eastAsia="黑体" w:cs="Times New Roman"/>
          <w:bCs w:val="0"/>
          <w:i w:val="0"/>
          <w:iCs w:val="0"/>
          <w:szCs w:val="21"/>
          <w:highlight w:val="none"/>
        </w:rPr>
        <w:fldChar w:fldCharType="end"/>
      </w:r>
    </w:p>
    <w:p w14:paraId="74C1342F">
      <w:pPr>
        <w:pStyle w:val="28"/>
        <w:tabs>
          <w:tab w:val="right" w:leader="dot" w:pos="8675"/>
          <w:tab w:val="clear" w:pos="425"/>
          <w:tab w:val="clear" w:pos="8805"/>
        </w:tabs>
        <w:rPr>
          <w:highlight w:val="none"/>
        </w:rPr>
      </w:pPr>
      <w:r>
        <w:rPr>
          <w:rFonts w:hint="default" w:ascii="Times New Roman" w:hAnsi="Times New Roman" w:eastAsia="黑体" w:cs="Times New Roman"/>
          <w:bCs w:val="0"/>
          <w:i w:val="0"/>
          <w:iCs w:val="0"/>
          <w:szCs w:val="21"/>
          <w:highlight w:val="none"/>
        </w:rPr>
        <w:fldChar w:fldCharType="begin"/>
      </w:r>
      <w:r>
        <w:rPr>
          <w:rFonts w:hint="default" w:ascii="Times New Roman" w:hAnsi="Times New Roman" w:eastAsia="黑体" w:cs="Times New Roman"/>
          <w:bCs w:val="0"/>
          <w:i w:val="0"/>
          <w:iCs w:val="0"/>
          <w:szCs w:val="21"/>
          <w:highlight w:val="none"/>
        </w:rPr>
        <w:instrText xml:space="preserve"> HYPERLINK \l _Toc1159 </w:instrText>
      </w:r>
      <w:r>
        <w:rPr>
          <w:rFonts w:hint="default" w:ascii="Times New Roman" w:hAnsi="Times New Roman" w:eastAsia="黑体" w:cs="Times New Roman"/>
          <w:bCs w:val="0"/>
          <w:i w:val="0"/>
          <w:iCs w:val="0"/>
          <w:szCs w:val="21"/>
          <w:highlight w:val="none"/>
        </w:rPr>
        <w:fldChar w:fldCharType="separate"/>
      </w:r>
      <w:r>
        <w:rPr>
          <w:rFonts w:hint="default" w:ascii="Times New Roman" w:hAnsi="Times New Roman" w:eastAsia="黑体" w:cs="Times New Roman"/>
          <w:szCs w:val="32"/>
          <w:highlight w:val="none"/>
        </w:rPr>
        <w:t>通用合同条款</w:t>
      </w:r>
      <w:r>
        <w:rPr>
          <w:highlight w:val="none"/>
        </w:rPr>
        <w:tab/>
      </w:r>
      <w:r>
        <w:rPr>
          <w:highlight w:val="none"/>
        </w:rPr>
        <w:fldChar w:fldCharType="begin"/>
      </w:r>
      <w:r>
        <w:rPr>
          <w:highlight w:val="none"/>
        </w:rPr>
        <w:instrText xml:space="preserve"> PAGEREF _Toc1159 \h </w:instrText>
      </w:r>
      <w:r>
        <w:rPr>
          <w:highlight w:val="none"/>
        </w:rPr>
        <w:fldChar w:fldCharType="separate"/>
      </w:r>
      <w:r>
        <w:rPr>
          <w:highlight w:val="none"/>
        </w:rPr>
        <w:t>69</w:t>
      </w:r>
      <w:r>
        <w:rPr>
          <w:highlight w:val="none"/>
        </w:rPr>
        <w:fldChar w:fldCharType="end"/>
      </w:r>
      <w:r>
        <w:rPr>
          <w:rFonts w:hint="default" w:ascii="Times New Roman" w:hAnsi="Times New Roman" w:eastAsia="黑体" w:cs="Times New Roman"/>
          <w:bCs w:val="0"/>
          <w:i w:val="0"/>
          <w:iCs w:val="0"/>
          <w:szCs w:val="21"/>
          <w:highlight w:val="none"/>
        </w:rPr>
        <w:fldChar w:fldCharType="end"/>
      </w:r>
    </w:p>
    <w:p w14:paraId="79CDF1C0">
      <w:pPr>
        <w:pStyle w:val="28"/>
        <w:tabs>
          <w:tab w:val="right" w:leader="dot" w:pos="8675"/>
          <w:tab w:val="clear" w:pos="425"/>
          <w:tab w:val="clear" w:pos="8805"/>
        </w:tabs>
        <w:rPr>
          <w:highlight w:val="none"/>
        </w:rPr>
      </w:pPr>
      <w:r>
        <w:rPr>
          <w:rFonts w:hint="default" w:ascii="Times New Roman" w:hAnsi="Times New Roman" w:eastAsia="黑体" w:cs="Times New Roman"/>
          <w:bCs w:val="0"/>
          <w:i w:val="0"/>
          <w:iCs w:val="0"/>
          <w:szCs w:val="21"/>
          <w:highlight w:val="none"/>
        </w:rPr>
        <w:fldChar w:fldCharType="begin"/>
      </w:r>
      <w:r>
        <w:rPr>
          <w:rFonts w:hint="default" w:ascii="Times New Roman" w:hAnsi="Times New Roman" w:eastAsia="黑体" w:cs="Times New Roman"/>
          <w:bCs w:val="0"/>
          <w:i w:val="0"/>
          <w:iCs w:val="0"/>
          <w:szCs w:val="21"/>
          <w:highlight w:val="none"/>
        </w:rPr>
        <w:instrText xml:space="preserve"> HYPERLINK \l _Toc28131 </w:instrText>
      </w:r>
      <w:r>
        <w:rPr>
          <w:rFonts w:hint="default" w:ascii="Times New Roman" w:hAnsi="Times New Roman" w:eastAsia="黑体" w:cs="Times New Roman"/>
          <w:bCs w:val="0"/>
          <w:i w:val="0"/>
          <w:iCs w:val="0"/>
          <w:szCs w:val="21"/>
          <w:highlight w:val="none"/>
        </w:rPr>
        <w:fldChar w:fldCharType="separate"/>
      </w:r>
      <w:r>
        <w:rPr>
          <w:rFonts w:hint="default" w:ascii="Times New Roman" w:hAnsi="Times New Roman" w:eastAsia="黑体" w:cs="Times New Roman"/>
          <w:szCs w:val="42"/>
          <w:highlight w:val="none"/>
        </w:rPr>
        <w:t>第二节  专用合同条款</w:t>
      </w:r>
      <w:r>
        <w:rPr>
          <w:highlight w:val="none"/>
        </w:rPr>
        <w:tab/>
      </w:r>
      <w:r>
        <w:rPr>
          <w:highlight w:val="none"/>
        </w:rPr>
        <w:fldChar w:fldCharType="begin"/>
      </w:r>
      <w:r>
        <w:rPr>
          <w:highlight w:val="none"/>
        </w:rPr>
        <w:instrText xml:space="preserve"> PAGEREF _Toc28131 \h </w:instrText>
      </w:r>
      <w:r>
        <w:rPr>
          <w:highlight w:val="none"/>
        </w:rPr>
        <w:fldChar w:fldCharType="separate"/>
      </w:r>
      <w:r>
        <w:rPr>
          <w:highlight w:val="none"/>
        </w:rPr>
        <w:t>110</w:t>
      </w:r>
      <w:r>
        <w:rPr>
          <w:highlight w:val="none"/>
        </w:rPr>
        <w:fldChar w:fldCharType="end"/>
      </w:r>
      <w:r>
        <w:rPr>
          <w:rFonts w:hint="default" w:ascii="Times New Roman" w:hAnsi="Times New Roman" w:eastAsia="黑体" w:cs="Times New Roman"/>
          <w:bCs w:val="0"/>
          <w:i w:val="0"/>
          <w:iCs w:val="0"/>
          <w:szCs w:val="21"/>
          <w:highlight w:val="none"/>
        </w:rPr>
        <w:fldChar w:fldCharType="end"/>
      </w:r>
    </w:p>
    <w:p w14:paraId="295910E6">
      <w:pPr>
        <w:pStyle w:val="28"/>
        <w:tabs>
          <w:tab w:val="right" w:leader="dot" w:pos="8675"/>
          <w:tab w:val="clear" w:pos="425"/>
          <w:tab w:val="clear" w:pos="8805"/>
        </w:tabs>
        <w:rPr>
          <w:highlight w:val="none"/>
        </w:rPr>
      </w:pPr>
      <w:r>
        <w:rPr>
          <w:rFonts w:hint="default" w:ascii="Times New Roman" w:hAnsi="Times New Roman" w:eastAsia="黑体" w:cs="Times New Roman"/>
          <w:bCs w:val="0"/>
          <w:i w:val="0"/>
          <w:iCs w:val="0"/>
          <w:szCs w:val="21"/>
          <w:highlight w:val="none"/>
        </w:rPr>
        <w:fldChar w:fldCharType="begin"/>
      </w:r>
      <w:r>
        <w:rPr>
          <w:rFonts w:hint="default" w:ascii="Times New Roman" w:hAnsi="Times New Roman" w:eastAsia="黑体" w:cs="Times New Roman"/>
          <w:bCs w:val="0"/>
          <w:i w:val="0"/>
          <w:iCs w:val="0"/>
          <w:szCs w:val="21"/>
          <w:highlight w:val="none"/>
        </w:rPr>
        <w:instrText xml:space="preserve"> HYPERLINK \l _Toc12441 </w:instrText>
      </w:r>
      <w:r>
        <w:rPr>
          <w:rFonts w:hint="default" w:ascii="Times New Roman" w:hAnsi="Times New Roman" w:eastAsia="黑体" w:cs="Times New Roman"/>
          <w:bCs w:val="0"/>
          <w:i w:val="0"/>
          <w:iCs w:val="0"/>
          <w:szCs w:val="21"/>
          <w:highlight w:val="none"/>
        </w:rPr>
        <w:fldChar w:fldCharType="separate"/>
      </w:r>
      <w:r>
        <w:rPr>
          <w:rFonts w:hint="default" w:ascii="Times New Roman" w:hAnsi="Times New Roman" w:eastAsia="黑体" w:cs="Times New Roman"/>
          <w:szCs w:val="42"/>
          <w:highlight w:val="none"/>
        </w:rPr>
        <w:t>第三节  合同附件格式</w:t>
      </w:r>
      <w:r>
        <w:rPr>
          <w:highlight w:val="none"/>
        </w:rPr>
        <w:tab/>
      </w:r>
      <w:r>
        <w:rPr>
          <w:highlight w:val="none"/>
        </w:rPr>
        <w:fldChar w:fldCharType="begin"/>
      </w:r>
      <w:r>
        <w:rPr>
          <w:highlight w:val="none"/>
        </w:rPr>
        <w:instrText xml:space="preserve"> PAGEREF _Toc12441 \h </w:instrText>
      </w:r>
      <w:r>
        <w:rPr>
          <w:highlight w:val="none"/>
        </w:rPr>
        <w:fldChar w:fldCharType="separate"/>
      </w:r>
      <w:r>
        <w:rPr>
          <w:highlight w:val="none"/>
        </w:rPr>
        <w:t>156</w:t>
      </w:r>
      <w:r>
        <w:rPr>
          <w:highlight w:val="none"/>
        </w:rPr>
        <w:fldChar w:fldCharType="end"/>
      </w:r>
      <w:r>
        <w:rPr>
          <w:rFonts w:hint="default" w:ascii="Times New Roman" w:hAnsi="Times New Roman" w:eastAsia="黑体" w:cs="Times New Roman"/>
          <w:bCs w:val="0"/>
          <w:i w:val="0"/>
          <w:iCs w:val="0"/>
          <w:szCs w:val="21"/>
          <w:highlight w:val="none"/>
        </w:rPr>
        <w:fldChar w:fldCharType="end"/>
      </w:r>
    </w:p>
    <w:p w14:paraId="1A537875">
      <w:pPr>
        <w:pStyle w:val="28"/>
        <w:tabs>
          <w:tab w:val="right" w:leader="dot" w:pos="8675"/>
          <w:tab w:val="clear" w:pos="425"/>
          <w:tab w:val="clear" w:pos="8805"/>
        </w:tabs>
        <w:rPr>
          <w:highlight w:val="none"/>
        </w:rPr>
      </w:pPr>
      <w:r>
        <w:rPr>
          <w:rFonts w:hint="default" w:ascii="Times New Roman" w:hAnsi="Times New Roman" w:eastAsia="黑体" w:cs="Times New Roman"/>
          <w:bCs w:val="0"/>
          <w:i w:val="0"/>
          <w:iCs w:val="0"/>
          <w:szCs w:val="21"/>
          <w:highlight w:val="none"/>
        </w:rPr>
        <w:fldChar w:fldCharType="begin"/>
      </w:r>
      <w:r>
        <w:rPr>
          <w:rFonts w:hint="default" w:ascii="Times New Roman" w:hAnsi="Times New Roman" w:eastAsia="黑体" w:cs="Times New Roman"/>
          <w:bCs w:val="0"/>
          <w:i w:val="0"/>
          <w:iCs w:val="0"/>
          <w:szCs w:val="21"/>
          <w:highlight w:val="none"/>
        </w:rPr>
        <w:instrText xml:space="preserve"> HYPERLINK \l _Toc28897 </w:instrText>
      </w:r>
      <w:r>
        <w:rPr>
          <w:rFonts w:hint="default" w:ascii="Times New Roman" w:hAnsi="Times New Roman" w:eastAsia="黑体" w:cs="Times New Roman"/>
          <w:bCs w:val="0"/>
          <w:i w:val="0"/>
          <w:iCs w:val="0"/>
          <w:szCs w:val="21"/>
          <w:highlight w:val="none"/>
        </w:rPr>
        <w:fldChar w:fldCharType="separate"/>
      </w:r>
      <w:r>
        <w:rPr>
          <w:rFonts w:hint="default" w:ascii="Times New Roman" w:hAnsi="Times New Roman" w:eastAsia="黑体" w:cs="Times New Roman"/>
          <w:szCs w:val="56"/>
          <w:highlight w:val="none"/>
        </w:rPr>
        <w:t>第五章  工程量清单</w:t>
      </w:r>
      <w:r>
        <w:rPr>
          <w:highlight w:val="none"/>
        </w:rPr>
        <w:tab/>
      </w:r>
      <w:r>
        <w:rPr>
          <w:highlight w:val="none"/>
        </w:rPr>
        <w:fldChar w:fldCharType="begin"/>
      </w:r>
      <w:r>
        <w:rPr>
          <w:highlight w:val="none"/>
        </w:rPr>
        <w:instrText xml:space="preserve"> PAGEREF _Toc28897 \h </w:instrText>
      </w:r>
      <w:r>
        <w:rPr>
          <w:highlight w:val="none"/>
        </w:rPr>
        <w:fldChar w:fldCharType="separate"/>
      </w:r>
      <w:r>
        <w:rPr>
          <w:highlight w:val="none"/>
        </w:rPr>
        <w:t>169</w:t>
      </w:r>
      <w:r>
        <w:rPr>
          <w:highlight w:val="none"/>
        </w:rPr>
        <w:fldChar w:fldCharType="end"/>
      </w:r>
      <w:r>
        <w:rPr>
          <w:rFonts w:hint="default" w:ascii="Times New Roman" w:hAnsi="Times New Roman" w:eastAsia="黑体" w:cs="Times New Roman"/>
          <w:bCs w:val="0"/>
          <w:i w:val="0"/>
          <w:iCs w:val="0"/>
          <w:szCs w:val="21"/>
          <w:highlight w:val="none"/>
        </w:rPr>
        <w:fldChar w:fldCharType="end"/>
      </w:r>
    </w:p>
    <w:p w14:paraId="55840ECA">
      <w:pPr>
        <w:pStyle w:val="28"/>
        <w:tabs>
          <w:tab w:val="right" w:leader="dot" w:pos="8675"/>
          <w:tab w:val="clear" w:pos="425"/>
          <w:tab w:val="clear" w:pos="8805"/>
        </w:tabs>
        <w:rPr>
          <w:highlight w:val="none"/>
        </w:rPr>
      </w:pPr>
      <w:r>
        <w:rPr>
          <w:rFonts w:hint="default" w:ascii="Times New Roman" w:hAnsi="Times New Roman" w:eastAsia="黑体" w:cs="Times New Roman"/>
          <w:bCs w:val="0"/>
          <w:i w:val="0"/>
          <w:iCs w:val="0"/>
          <w:szCs w:val="21"/>
          <w:highlight w:val="none"/>
        </w:rPr>
        <w:fldChar w:fldCharType="begin"/>
      </w:r>
      <w:r>
        <w:rPr>
          <w:rFonts w:hint="default" w:ascii="Times New Roman" w:hAnsi="Times New Roman" w:eastAsia="黑体" w:cs="Times New Roman"/>
          <w:bCs w:val="0"/>
          <w:i w:val="0"/>
          <w:iCs w:val="0"/>
          <w:szCs w:val="21"/>
          <w:highlight w:val="none"/>
        </w:rPr>
        <w:instrText xml:space="preserve"> HYPERLINK \l _Toc2995 </w:instrText>
      </w:r>
      <w:r>
        <w:rPr>
          <w:rFonts w:hint="default" w:ascii="Times New Roman" w:hAnsi="Times New Roman" w:eastAsia="黑体" w:cs="Times New Roman"/>
          <w:bCs w:val="0"/>
          <w:i w:val="0"/>
          <w:iCs w:val="0"/>
          <w:szCs w:val="21"/>
          <w:highlight w:val="none"/>
        </w:rPr>
        <w:fldChar w:fldCharType="separate"/>
      </w:r>
      <w:r>
        <w:rPr>
          <w:rFonts w:hint="default" w:ascii="Times New Roman" w:hAnsi="Times New Roman" w:eastAsia="黑体" w:cs="Times New Roman"/>
          <w:szCs w:val="56"/>
          <w:highlight w:val="none"/>
        </w:rPr>
        <w:t>第六章  图纸（另册）</w:t>
      </w:r>
      <w:r>
        <w:rPr>
          <w:highlight w:val="none"/>
        </w:rPr>
        <w:tab/>
      </w:r>
      <w:r>
        <w:rPr>
          <w:highlight w:val="none"/>
        </w:rPr>
        <w:fldChar w:fldCharType="begin"/>
      </w:r>
      <w:r>
        <w:rPr>
          <w:highlight w:val="none"/>
        </w:rPr>
        <w:instrText xml:space="preserve"> PAGEREF _Toc2995 \h </w:instrText>
      </w:r>
      <w:r>
        <w:rPr>
          <w:highlight w:val="none"/>
        </w:rPr>
        <w:fldChar w:fldCharType="separate"/>
      </w:r>
      <w:r>
        <w:rPr>
          <w:highlight w:val="none"/>
        </w:rPr>
        <w:t>175</w:t>
      </w:r>
      <w:r>
        <w:rPr>
          <w:highlight w:val="none"/>
        </w:rPr>
        <w:fldChar w:fldCharType="end"/>
      </w:r>
      <w:r>
        <w:rPr>
          <w:rFonts w:hint="default" w:ascii="Times New Roman" w:hAnsi="Times New Roman" w:eastAsia="黑体" w:cs="Times New Roman"/>
          <w:bCs w:val="0"/>
          <w:i w:val="0"/>
          <w:iCs w:val="0"/>
          <w:szCs w:val="21"/>
          <w:highlight w:val="none"/>
        </w:rPr>
        <w:fldChar w:fldCharType="end"/>
      </w:r>
    </w:p>
    <w:p w14:paraId="5F13B675">
      <w:pPr>
        <w:pStyle w:val="28"/>
        <w:tabs>
          <w:tab w:val="right" w:leader="dot" w:pos="8675"/>
          <w:tab w:val="clear" w:pos="425"/>
          <w:tab w:val="clear" w:pos="8805"/>
        </w:tabs>
        <w:rPr>
          <w:highlight w:val="none"/>
        </w:rPr>
      </w:pPr>
      <w:r>
        <w:rPr>
          <w:rFonts w:hint="default" w:ascii="Times New Roman" w:hAnsi="Times New Roman" w:eastAsia="黑体" w:cs="Times New Roman"/>
          <w:bCs w:val="0"/>
          <w:i w:val="0"/>
          <w:iCs w:val="0"/>
          <w:szCs w:val="21"/>
          <w:highlight w:val="none"/>
        </w:rPr>
        <w:fldChar w:fldCharType="begin"/>
      </w:r>
      <w:r>
        <w:rPr>
          <w:rFonts w:hint="default" w:ascii="Times New Roman" w:hAnsi="Times New Roman" w:eastAsia="黑体" w:cs="Times New Roman"/>
          <w:bCs w:val="0"/>
          <w:i w:val="0"/>
          <w:iCs w:val="0"/>
          <w:szCs w:val="21"/>
          <w:highlight w:val="none"/>
        </w:rPr>
        <w:instrText xml:space="preserve"> HYPERLINK \l _Toc15452 </w:instrText>
      </w:r>
      <w:r>
        <w:rPr>
          <w:rFonts w:hint="default" w:ascii="Times New Roman" w:hAnsi="Times New Roman" w:eastAsia="黑体" w:cs="Times New Roman"/>
          <w:bCs w:val="0"/>
          <w:i w:val="0"/>
          <w:iCs w:val="0"/>
          <w:szCs w:val="21"/>
          <w:highlight w:val="none"/>
        </w:rPr>
        <w:fldChar w:fldCharType="separate"/>
      </w:r>
      <w:r>
        <w:rPr>
          <w:rFonts w:hint="default" w:ascii="Times New Roman" w:hAnsi="Times New Roman" w:eastAsia="黑体" w:cs="Times New Roman"/>
          <w:szCs w:val="56"/>
          <w:highlight w:val="none"/>
        </w:rPr>
        <w:t>第七章  技术规范（另册）</w:t>
      </w:r>
      <w:r>
        <w:rPr>
          <w:highlight w:val="none"/>
        </w:rPr>
        <w:tab/>
      </w:r>
      <w:r>
        <w:rPr>
          <w:highlight w:val="none"/>
        </w:rPr>
        <w:fldChar w:fldCharType="begin"/>
      </w:r>
      <w:r>
        <w:rPr>
          <w:highlight w:val="none"/>
        </w:rPr>
        <w:instrText xml:space="preserve"> PAGEREF _Toc15452 \h </w:instrText>
      </w:r>
      <w:r>
        <w:rPr>
          <w:highlight w:val="none"/>
        </w:rPr>
        <w:fldChar w:fldCharType="separate"/>
      </w:r>
      <w:r>
        <w:rPr>
          <w:highlight w:val="none"/>
        </w:rPr>
        <w:t>177</w:t>
      </w:r>
      <w:r>
        <w:rPr>
          <w:highlight w:val="none"/>
        </w:rPr>
        <w:fldChar w:fldCharType="end"/>
      </w:r>
      <w:r>
        <w:rPr>
          <w:rFonts w:hint="default" w:ascii="Times New Roman" w:hAnsi="Times New Roman" w:eastAsia="黑体" w:cs="Times New Roman"/>
          <w:bCs w:val="0"/>
          <w:i w:val="0"/>
          <w:iCs w:val="0"/>
          <w:szCs w:val="21"/>
          <w:highlight w:val="none"/>
        </w:rPr>
        <w:fldChar w:fldCharType="end"/>
      </w:r>
    </w:p>
    <w:p w14:paraId="7C1621F0">
      <w:pPr>
        <w:pStyle w:val="28"/>
        <w:tabs>
          <w:tab w:val="right" w:leader="dot" w:pos="8675"/>
          <w:tab w:val="clear" w:pos="425"/>
          <w:tab w:val="clear" w:pos="8805"/>
        </w:tabs>
        <w:rPr>
          <w:highlight w:val="none"/>
        </w:rPr>
      </w:pPr>
      <w:r>
        <w:rPr>
          <w:rFonts w:hint="default" w:ascii="Times New Roman" w:hAnsi="Times New Roman" w:eastAsia="黑体" w:cs="Times New Roman"/>
          <w:bCs w:val="0"/>
          <w:i w:val="0"/>
          <w:iCs w:val="0"/>
          <w:szCs w:val="21"/>
          <w:highlight w:val="none"/>
        </w:rPr>
        <w:fldChar w:fldCharType="begin"/>
      </w:r>
      <w:r>
        <w:rPr>
          <w:rFonts w:hint="default" w:ascii="Times New Roman" w:hAnsi="Times New Roman" w:eastAsia="黑体" w:cs="Times New Roman"/>
          <w:bCs w:val="0"/>
          <w:i w:val="0"/>
          <w:iCs w:val="0"/>
          <w:szCs w:val="21"/>
          <w:highlight w:val="none"/>
        </w:rPr>
        <w:instrText xml:space="preserve"> HYPERLINK \l _Toc5201 </w:instrText>
      </w:r>
      <w:r>
        <w:rPr>
          <w:rFonts w:hint="default" w:ascii="Times New Roman" w:hAnsi="Times New Roman" w:eastAsia="黑体" w:cs="Times New Roman"/>
          <w:bCs w:val="0"/>
          <w:i w:val="0"/>
          <w:iCs w:val="0"/>
          <w:szCs w:val="21"/>
          <w:highlight w:val="none"/>
        </w:rPr>
        <w:fldChar w:fldCharType="separate"/>
      </w:r>
      <w:r>
        <w:rPr>
          <w:rFonts w:hint="default" w:ascii="Times New Roman" w:hAnsi="Times New Roman" w:eastAsia="黑体" w:cs="Times New Roman"/>
          <w:szCs w:val="56"/>
          <w:highlight w:val="none"/>
        </w:rPr>
        <w:t>第八章  工程量清单计量规则</w:t>
      </w:r>
      <w:r>
        <w:rPr>
          <w:highlight w:val="none"/>
        </w:rPr>
        <w:tab/>
      </w:r>
      <w:r>
        <w:rPr>
          <w:highlight w:val="none"/>
        </w:rPr>
        <w:fldChar w:fldCharType="begin"/>
      </w:r>
      <w:r>
        <w:rPr>
          <w:highlight w:val="none"/>
        </w:rPr>
        <w:instrText xml:space="preserve"> PAGEREF _Toc5201 \h </w:instrText>
      </w:r>
      <w:r>
        <w:rPr>
          <w:highlight w:val="none"/>
        </w:rPr>
        <w:fldChar w:fldCharType="separate"/>
      </w:r>
      <w:r>
        <w:rPr>
          <w:highlight w:val="none"/>
        </w:rPr>
        <w:t>178</w:t>
      </w:r>
      <w:r>
        <w:rPr>
          <w:highlight w:val="none"/>
        </w:rPr>
        <w:fldChar w:fldCharType="end"/>
      </w:r>
      <w:r>
        <w:rPr>
          <w:rFonts w:hint="default" w:ascii="Times New Roman" w:hAnsi="Times New Roman" w:eastAsia="黑体" w:cs="Times New Roman"/>
          <w:bCs w:val="0"/>
          <w:i w:val="0"/>
          <w:iCs w:val="0"/>
          <w:szCs w:val="21"/>
          <w:highlight w:val="none"/>
        </w:rPr>
        <w:fldChar w:fldCharType="end"/>
      </w:r>
    </w:p>
    <w:p w14:paraId="4E5D0432">
      <w:pPr>
        <w:pStyle w:val="28"/>
        <w:tabs>
          <w:tab w:val="right" w:leader="dot" w:pos="8675"/>
          <w:tab w:val="clear" w:pos="425"/>
          <w:tab w:val="clear" w:pos="8805"/>
        </w:tabs>
        <w:rPr>
          <w:highlight w:val="none"/>
        </w:rPr>
      </w:pPr>
      <w:r>
        <w:rPr>
          <w:rFonts w:hint="default" w:ascii="Times New Roman" w:hAnsi="Times New Roman" w:eastAsia="黑体" w:cs="Times New Roman"/>
          <w:bCs w:val="0"/>
          <w:i w:val="0"/>
          <w:iCs w:val="0"/>
          <w:szCs w:val="21"/>
          <w:highlight w:val="none"/>
        </w:rPr>
        <w:fldChar w:fldCharType="begin"/>
      </w:r>
      <w:r>
        <w:rPr>
          <w:rFonts w:hint="default" w:ascii="Times New Roman" w:hAnsi="Times New Roman" w:eastAsia="黑体" w:cs="Times New Roman"/>
          <w:bCs w:val="0"/>
          <w:i w:val="0"/>
          <w:iCs w:val="0"/>
          <w:szCs w:val="21"/>
          <w:highlight w:val="none"/>
        </w:rPr>
        <w:instrText xml:space="preserve"> HYPERLINK \l _Toc29196 </w:instrText>
      </w:r>
      <w:r>
        <w:rPr>
          <w:rFonts w:hint="default" w:ascii="Times New Roman" w:hAnsi="Times New Roman" w:eastAsia="黑体" w:cs="Times New Roman"/>
          <w:bCs w:val="0"/>
          <w:i w:val="0"/>
          <w:iCs w:val="0"/>
          <w:szCs w:val="21"/>
          <w:highlight w:val="none"/>
        </w:rPr>
        <w:fldChar w:fldCharType="separate"/>
      </w:r>
      <w:r>
        <w:rPr>
          <w:rFonts w:hint="default" w:ascii="Times New Roman" w:hAnsi="Times New Roman" w:eastAsia="黑体" w:cs="Times New Roman"/>
          <w:szCs w:val="56"/>
          <w:highlight w:val="none"/>
        </w:rPr>
        <w:t>第九章  投标文件格式</w:t>
      </w:r>
      <w:r>
        <w:rPr>
          <w:highlight w:val="none"/>
        </w:rPr>
        <w:tab/>
      </w:r>
      <w:r>
        <w:rPr>
          <w:highlight w:val="none"/>
        </w:rPr>
        <w:fldChar w:fldCharType="begin"/>
      </w:r>
      <w:r>
        <w:rPr>
          <w:highlight w:val="none"/>
        </w:rPr>
        <w:instrText xml:space="preserve"> PAGEREF _Toc29196 \h </w:instrText>
      </w:r>
      <w:r>
        <w:rPr>
          <w:highlight w:val="none"/>
        </w:rPr>
        <w:fldChar w:fldCharType="separate"/>
      </w:r>
      <w:r>
        <w:rPr>
          <w:highlight w:val="none"/>
        </w:rPr>
        <w:t>180</w:t>
      </w:r>
      <w:r>
        <w:rPr>
          <w:highlight w:val="none"/>
        </w:rPr>
        <w:fldChar w:fldCharType="end"/>
      </w:r>
      <w:r>
        <w:rPr>
          <w:rFonts w:hint="default" w:ascii="Times New Roman" w:hAnsi="Times New Roman" w:eastAsia="黑体" w:cs="Times New Roman"/>
          <w:bCs w:val="0"/>
          <w:i w:val="0"/>
          <w:iCs w:val="0"/>
          <w:szCs w:val="21"/>
          <w:highlight w:val="none"/>
        </w:rPr>
        <w:fldChar w:fldCharType="end"/>
      </w:r>
    </w:p>
    <w:p w14:paraId="4A34533D">
      <w:pPr>
        <w:keepNext w:val="0"/>
        <w:keepLines w:val="0"/>
        <w:pageBreakBefore w:val="0"/>
        <w:widowControl w:val="0"/>
        <w:kinsoku/>
        <w:wordWrap w:val="0"/>
        <w:overflowPunct/>
        <w:topLinePunct w:val="0"/>
        <w:autoSpaceDE/>
        <w:autoSpaceDN/>
        <w:bidi w:val="0"/>
        <w:adjustRightInd/>
        <w:snapToGrid/>
        <w:spacing w:line="360" w:lineRule="exact"/>
        <w:ind w:left="0" w:leftChars="0"/>
        <w:textAlignment w:val="auto"/>
        <w:rPr>
          <w:rFonts w:hint="default" w:ascii="Times New Roman" w:hAnsi="Times New Roman" w:eastAsia="楷体_GB2312" w:cs="Times New Roman"/>
          <w:sz w:val="24"/>
          <w:highlight w:val="none"/>
        </w:rPr>
      </w:pPr>
      <w:r>
        <w:rPr>
          <w:rFonts w:hint="default" w:ascii="Times New Roman" w:hAnsi="Times New Roman" w:eastAsia="黑体" w:cs="Times New Roman"/>
          <w:bCs w:val="0"/>
          <w:i w:val="0"/>
          <w:iCs w:val="0"/>
          <w:szCs w:val="21"/>
          <w:highlight w:val="none"/>
        </w:rPr>
        <w:fldChar w:fldCharType="end"/>
      </w:r>
    </w:p>
    <w:p w14:paraId="1E7118ED">
      <w:pPr>
        <w:pageBreakBefore w:val="0"/>
        <w:kinsoku/>
        <w:wordWrap w:val="0"/>
        <w:bidi w:val="0"/>
        <w:spacing w:line="352" w:lineRule="atLeast"/>
        <w:rPr>
          <w:rFonts w:hint="default" w:ascii="Times New Roman" w:hAnsi="Times New Roman" w:eastAsia="楷体_GB2312" w:cs="Times New Roman"/>
          <w:szCs w:val="21"/>
          <w:highlight w:val="none"/>
        </w:rPr>
      </w:pPr>
    </w:p>
    <w:p w14:paraId="32E086A0">
      <w:pPr>
        <w:pageBreakBefore w:val="0"/>
        <w:kinsoku/>
        <w:wordWrap w:val="0"/>
        <w:bidi w:val="0"/>
        <w:spacing w:line="352" w:lineRule="atLeast"/>
        <w:rPr>
          <w:rFonts w:hint="default" w:ascii="Times New Roman" w:hAnsi="Times New Roman" w:eastAsia="楷体_GB2312" w:cs="Times New Roman"/>
          <w:szCs w:val="21"/>
          <w:highlight w:val="none"/>
        </w:rPr>
        <w:sectPr>
          <w:footerReference r:id="rId9" w:type="default"/>
          <w:headerReference r:id="rId8" w:type="even"/>
          <w:footerReference r:id="rId10" w:type="even"/>
          <w:footnotePr>
            <w:numFmt w:val="decimalEnclosedCircleChinese"/>
            <w:numRestart w:val="eachPage"/>
          </w:footnotePr>
          <w:pgSz w:w="11907" w:h="16840"/>
          <w:pgMar w:top="1588" w:right="1588" w:bottom="1474" w:left="1644" w:header="851" w:footer="851" w:gutter="0"/>
          <w:pgNumType w:start="1"/>
          <w:cols w:space="720" w:num="1"/>
          <w:docGrid w:linePitch="312" w:charSpace="0"/>
        </w:sectPr>
      </w:pPr>
    </w:p>
    <w:p w14:paraId="61EB32CC">
      <w:pPr>
        <w:pageBreakBefore w:val="0"/>
        <w:kinsoku/>
        <w:wordWrap w:val="0"/>
        <w:bidi w:val="0"/>
        <w:spacing w:line="352" w:lineRule="atLeast"/>
        <w:rPr>
          <w:rFonts w:hint="default" w:ascii="Times New Roman" w:hAnsi="Times New Roman" w:eastAsia="楷体_GB2312" w:cs="Times New Roman"/>
          <w:szCs w:val="21"/>
          <w:highlight w:val="none"/>
        </w:rPr>
      </w:pPr>
    </w:p>
    <w:p w14:paraId="65BA7321">
      <w:pPr>
        <w:pageBreakBefore w:val="0"/>
        <w:kinsoku/>
        <w:wordWrap w:val="0"/>
        <w:bidi w:val="0"/>
        <w:spacing w:line="352" w:lineRule="atLeast"/>
        <w:rPr>
          <w:rFonts w:hint="default" w:ascii="Times New Roman" w:hAnsi="Times New Roman" w:eastAsia="楷体_GB2312" w:cs="Times New Roman"/>
          <w:szCs w:val="21"/>
          <w:highlight w:val="none"/>
        </w:rPr>
      </w:pPr>
    </w:p>
    <w:p w14:paraId="183C45AD">
      <w:pPr>
        <w:pageBreakBefore w:val="0"/>
        <w:kinsoku/>
        <w:wordWrap w:val="0"/>
        <w:bidi w:val="0"/>
        <w:spacing w:line="352" w:lineRule="atLeast"/>
        <w:rPr>
          <w:rFonts w:hint="default" w:ascii="Times New Roman" w:hAnsi="Times New Roman" w:eastAsia="黑体" w:cs="Times New Roman"/>
          <w:sz w:val="29"/>
          <w:szCs w:val="29"/>
          <w:highlight w:val="none"/>
        </w:rPr>
      </w:pPr>
    </w:p>
    <w:p w14:paraId="7E73A5C8">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3A0404CB">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4F44B624">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7F9CC5B4">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1389998C">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046A5F10">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259FD139">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1057B819">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1E1B2F2A">
      <w:pPr>
        <w:pageBreakBefore w:val="0"/>
        <w:kinsoku/>
        <w:wordWrap w:val="0"/>
        <w:topLinePunct/>
        <w:bidi w:val="0"/>
        <w:spacing w:line="240" w:lineRule="atLeast"/>
        <w:ind w:right="31" w:rightChars="15"/>
        <w:jc w:val="center"/>
        <w:outlineLvl w:val="0"/>
        <w:rPr>
          <w:rFonts w:hint="default" w:ascii="Times New Roman" w:hAnsi="Times New Roman" w:eastAsia="黑体" w:cs="Times New Roman"/>
          <w:sz w:val="76"/>
          <w:szCs w:val="76"/>
          <w:highlight w:val="none"/>
        </w:rPr>
      </w:pPr>
      <w:bookmarkStart w:id="0" w:name="_Toc31875"/>
      <w:r>
        <w:rPr>
          <w:rFonts w:hint="default" w:ascii="Times New Roman" w:hAnsi="Times New Roman" w:eastAsia="黑体" w:cs="Times New Roman"/>
          <w:sz w:val="76"/>
          <w:szCs w:val="76"/>
          <w:highlight w:val="none"/>
        </w:rPr>
        <w:t>第  一  卷</w:t>
      </w:r>
      <w:bookmarkEnd w:id="0"/>
    </w:p>
    <w:p w14:paraId="46065AEE">
      <w:pPr>
        <w:pageBreakBefore w:val="0"/>
        <w:kinsoku/>
        <w:wordWrap w:val="0"/>
        <w:topLinePunct/>
        <w:bidi w:val="0"/>
        <w:spacing w:line="440" w:lineRule="exact"/>
        <w:ind w:right="31" w:rightChars="15"/>
        <w:jc w:val="center"/>
        <w:rPr>
          <w:rFonts w:hint="default" w:ascii="Times New Roman" w:hAnsi="Times New Roman" w:eastAsia="黑体" w:cs="Times New Roman"/>
          <w:sz w:val="36"/>
          <w:szCs w:val="36"/>
          <w:highlight w:val="none"/>
        </w:rPr>
        <w:sectPr>
          <w:headerReference r:id="rId11" w:type="default"/>
          <w:footerReference r:id="rId12" w:type="default"/>
          <w:footerReference r:id="rId13" w:type="even"/>
          <w:footnotePr>
            <w:numFmt w:val="decimalEnclosedCircleChinese"/>
            <w:numRestart w:val="eachPage"/>
          </w:footnotePr>
          <w:pgSz w:w="11907" w:h="16840"/>
          <w:pgMar w:top="1588" w:right="1531" w:bottom="1644" w:left="1588" w:header="851" w:footer="851" w:gutter="0"/>
          <w:pgNumType w:fmt="decimal" w:start="1"/>
          <w:cols w:space="720" w:num="1"/>
          <w:docGrid w:linePitch="312" w:charSpace="0"/>
        </w:sectPr>
      </w:pPr>
    </w:p>
    <w:p w14:paraId="4EE71F94">
      <w:pPr>
        <w:pageBreakBefore w:val="0"/>
        <w:kinsoku/>
        <w:wordWrap w:val="0"/>
        <w:topLinePunct/>
        <w:bidi w:val="0"/>
        <w:spacing w:line="440" w:lineRule="exact"/>
        <w:ind w:right="31" w:rightChars="15"/>
        <w:jc w:val="center"/>
        <w:rPr>
          <w:rFonts w:hint="default" w:ascii="Times New Roman" w:hAnsi="Times New Roman" w:eastAsia="黑体" w:cs="Times New Roman"/>
          <w:sz w:val="36"/>
          <w:szCs w:val="36"/>
          <w:highlight w:val="none"/>
        </w:rPr>
      </w:pPr>
    </w:p>
    <w:p w14:paraId="778136B4">
      <w:pPr>
        <w:pageBreakBefore w:val="0"/>
        <w:kinsoku/>
        <w:wordWrap w:val="0"/>
        <w:topLinePunct/>
        <w:bidi w:val="0"/>
        <w:spacing w:line="440" w:lineRule="exact"/>
        <w:ind w:right="31" w:rightChars="15"/>
        <w:jc w:val="center"/>
        <w:rPr>
          <w:rFonts w:hint="default" w:ascii="Times New Roman" w:hAnsi="Times New Roman" w:eastAsia="黑体" w:cs="Times New Roman"/>
          <w:sz w:val="36"/>
          <w:szCs w:val="36"/>
          <w:highlight w:val="none"/>
        </w:rPr>
      </w:pPr>
    </w:p>
    <w:p w14:paraId="575B864B">
      <w:pPr>
        <w:pageBreakBefore w:val="0"/>
        <w:kinsoku/>
        <w:wordWrap w:val="0"/>
        <w:topLinePunct/>
        <w:bidi w:val="0"/>
        <w:spacing w:line="440" w:lineRule="exact"/>
        <w:ind w:right="31" w:rightChars="15"/>
        <w:jc w:val="center"/>
        <w:rPr>
          <w:rFonts w:hint="default" w:ascii="Times New Roman" w:hAnsi="Times New Roman" w:eastAsia="黑体" w:cs="Times New Roman"/>
          <w:sz w:val="29"/>
          <w:szCs w:val="29"/>
          <w:highlight w:val="none"/>
        </w:rPr>
      </w:pPr>
    </w:p>
    <w:p w14:paraId="51CE1C90">
      <w:pPr>
        <w:pageBreakBefore w:val="0"/>
        <w:kinsoku/>
        <w:wordWrap w:val="0"/>
        <w:topLinePunct/>
        <w:bidi w:val="0"/>
        <w:spacing w:line="440" w:lineRule="exact"/>
        <w:ind w:right="31" w:rightChars="15"/>
        <w:jc w:val="center"/>
        <w:rPr>
          <w:rFonts w:hint="default" w:ascii="Times New Roman" w:hAnsi="Times New Roman" w:eastAsia="黑体" w:cs="Times New Roman"/>
          <w:sz w:val="29"/>
          <w:szCs w:val="29"/>
          <w:highlight w:val="none"/>
        </w:rPr>
      </w:pPr>
    </w:p>
    <w:p w14:paraId="29BF571A">
      <w:pPr>
        <w:pageBreakBefore w:val="0"/>
        <w:kinsoku/>
        <w:wordWrap w:val="0"/>
        <w:topLinePunct/>
        <w:bidi w:val="0"/>
        <w:spacing w:line="440" w:lineRule="exact"/>
        <w:ind w:right="31" w:rightChars="15"/>
        <w:jc w:val="center"/>
        <w:rPr>
          <w:rFonts w:hint="default" w:ascii="Times New Roman" w:hAnsi="Times New Roman" w:eastAsia="黑体" w:cs="Times New Roman"/>
          <w:sz w:val="29"/>
          <w:szCs w:val="29"/>
          <w:highlight w:val="none"/>
        </w:rPr>
      </w:pPr>
    </w:p>
    <w:p w14:paraId="036D48C6">
      <w:pPr>
        <w:pageBreakBefore w:val="0"/>
        <w:kinsoku/>
        <w:wordWrap w:val="0"/>
        <w:topLinePunct/>
        <w:bidi w:val="0"/>
        <w:spacing w:line="440" w:lineRule="exact"/>
        <w:ind w:right="31" w:rightChars="15"/>
        <w:jc w:val="center"/>
        <w:rPr>
          <w:rFonts w:hint="default" w:ascii="Times New Roman" w:hAnsi="Times New Roman" w:eastAsia="黑体" w:cs="Times New Roman"/>
          <w:sz w:val="29"/>
          <w:szCs w:val="29"/>
          <w:highlight w:val="none"/>
        </w:rPr>
      </w:pPr>
    </w:p>
    <w:p w14:paraId="0316E15E">
      <w:pPr>
        <w:pageBreakBefore w:val="0"/>
        <w:kinsoku/>
        <w:wordWrap w:val="0"/>
        <w:topLinePunct/>
        <w:bidi w:val="0"/>
        <w:spacing w:line="440" w:lineRule="exact"/>
        <w:ind w:right="31" w:rightChars="15"/>
        <w:jc w:val="center"/>
        <w:rPr>
          <w:rFonts w:hint="default" w:ascii="Times New Roman" w:hAnsi="Times New Roman" w:eastAsia="黑体" w:cs="Times New Roman"/>
          <w:sz w:val="29"/>
          <w:szCs w:val="29"/>
          <w:highlight w:val="none"/>
        </w:rPr>
      </w:pPr>
    </w:p>
    <w:p w14:paraId="0CF54099">
      <w:pPr>
        <w:pageBreakBefore w:val="0"/>
        <w:kinsoku/>
        <w:wordWrap w:val="0"/>
        <w:topLinePunct/>
        <w:bidi w:val="0"/>
        <w:spacing w:line="440" w:lineRule="exact"/>
        <w:ind w:right="31" w:rightChars="15"/>
        <w:jc w:val="center"/>
        <w:rPr>
          <w:rFonts w:hint="default" w:ascii="Times New Roman" w:hAnsi="Times New Roman" w:eastAsia="黑体" w:cs="Times New Roman"/>
          <w:sz w:val="29"/>
          <w:szCs w:val="29"/>
          <w:highlight w:val="none"/>
        </w:rPr>
      </w:pPr>
    </w:p>
    <w:p w14:paraId="1F521410">
      <w:pPr>
        <w:pageBreakBefore w:val="0"/>
        <w:kinsoku/>
        <w:wordWrap w:val="0"/>
        <w:topLinePunct/>
        <w:bidi w:val="0"/>
        <w:spacing w:line="440" w:lineRule="exact"/>
        <w:ind w:right="31" w:rightChars="15"/>
        <w:jc w:val="center"/>
        <w:rPr>
          <w:rFonts w:hint="default" w:ascii="Times New Roman" w:hAnsi="Times New Roman" w:eastAsia="黑体" w:cs="Times New Roman"/>
          <w:sz w:val="29"/>
          <w:szCs w:val="29"/>
          <w:highlight w:val="none"/>
        </w:rPr>
      </w:pPr>
    </w:p>
    <w:p w14:paraId="32ED4C66">
      <w:pPr>
        <w:pageBreakBefore w:val="0"/>
        <w:kinsoku/>
        <w:wordWrap w:val="0"/>
        <w:topLinePunct/>
        <w:bidi w:val="0"/>
        <w:spacing w:line="440" w:lineRule="exact"/>
        <w:ind w:right="31" w:rightChars="15"/>
        <w:jc w:val="center"/>
        <w:rPr>
          <w:rFonts w:hint="default" w:ascii="Times New Roman" w:hAnsi="Times New Roman" w:eastAsia="黑体" w:cs="Times New Roman"/>
          <w:sz w:val="29"/>
          <w:szCs w:val="29"/>
          <w:highlight w:val="none"/>
        </w:rPr>
      </w:pPr>
    </w:p>
    <w:p w14:paraId="66FD62BE">
      <w:pPr>
        <w:pageBreakBefore w:val="0"/>
        <w:kinsoku/>
        <w:wordWrap w:val="0"/>
        <w:topLinePunct/>
        <w:bidi w:val="0"/>
        <w:spacing w:line="440" w:lineRule="exact"/>
        <w:ind w:right="31" w:rightChars="15"/>
        <w:jc w:val="center"/>
        <w:rPr>
          <w:rFonts w:hint="default" w:ascii="Times New Roman" w:hAnsi="Times New Roman" w:eastAsia="黑体" w:cs="Times New Roman"/>
          <w:sz w:val="29"/>
          <w:szCs w:val="29"/>
          <w:highlight w:val="none"/>
        </w:rPr>
      </w:pPr>
    </w:p>
    <w:p w14:paraId="1852869B">
      <w:pPr>
        <w:pageBreakBefore w:val="0"/>
        <w:kinsoku/>
        <w:wordWrap w:val="0"/>
        <w:topLinePunct/>
        <w:bidi w:val="0"/>
        <w:spacing w:line="240" w:lineRule="atLeast"/>
        <w:ind w:right="31" w:rightChars="15"/>
        <w:jc w:val="center"/>
        <w:outlineLvl w:val="0"/>
        <w:rPr>
          <w:rFonts w:hint="default" w:ascii="Times New Roman" w:hAnsi="Times New Roman" w:eastAsia="黑体" w:cs="Times New Roman"/>
          <w:sz w:val="56"/>
          <w:szCs w:val="56"/>
          <w:highlight w:val="none"/>
        </w:rPr>
      </w:pPr>
      <w:bookmarkStart w:id="1" w:name="_Toc32078"/>
      <w:bookmarkStart w:id="2" w:name="_Toc6394"/>
      <w:bookmarkStart w:id="3" w:name="_Toc16041"/>
      <w:r>
        <w:rPr>
          <w:rFonts w:hint="default" w:ascii="Times New Roman" w:hAnsi="Times New Roman" w:eastAsia="黑体" w:cs="Times New Roman"/>
          <w:sz w:val="56"/>
          <w:szCs w:val="56"/>
          <w:highlight w:val="none"/>
        </w:rPr>
        <w:t>第一章  招标公告</w:t>
      </w:r>
      <w:bookmarkEnd w:id="1"/>
      <w:bookmarkEnd w:id="2"/>
      <w:bookmarkEnd w:id="3"/>
    </w:p>
    <w:p w14:paraId="1ABFFE07">
      <w:pPr>
        <w:pageBreakBefore w:val="0"/>
        <w:kinsoku/>
        <w:wordWrap w:val="0"/>
        <w:topLinePunct/>
        <w:bidi w:val="0"/>
        <w:spacing w:line="240" w:lineRule="atLeast"/>
        <w:ind w:right="31" w:rightChars="15"/>
        <w:jc w:val="center"/>
        <w:rPr>
          <w:rFonts w:hint="default" w:ascii="Times New Roman" w:hAnsi="Times New Roman" w:eastAsia="黑体" w:cs="Times New Roman"/>
          <w:sz w:val="56"/>
          <w:szCs w:val="56"/>
          <w:highlight w:val="none"/>
        </w:rPr>
      </w:pPr>
    </w:p>
    <w:p w14:paraId="0F0F4B90">
      <w:pPr>
        <w:pageBreakBefore w:val="0"/>
        <w:kinsoku/>
        <w:wordWrap w:val="0"/>
        <w:topLinePunct/>
        <w:bidi w:val="0"/>
        <w:spacing w:line="240" w:lineRule="atLeast"/>
        <w:ind w:right="31" w:rightChars="15"/>
        <w:jc w:val="center"/>
        <w:rPr>
          <w:rFonts w:hint="default" w:ascii="Times New Roman" w:hAnsi="Times New Roman" w:eastAsia="黑体" w:cs="Times New Roman"/>
          <w:sz w:val="56"/>
          <w:szCs w:val="56"/>
          <w:highlight w:val="none"/>
        </w:rPr>
        <w:sectPr>
          <w:footerReference r:id="rId14" w:type="default"/>
          <w:footerReference r:id="rId15" w:type="even"/>
          <w:footnotePr>
            <w:numFmt w:val="decimalEnclosedCircleChinese"/>
            <w:numRestart w:val="eachPage"/>
          </w:footnotePr>
          <w:pgSz w:w="11907" w:h="16840"/>
          <w:pgMar w:top="1588" w:right="1531" w:bottom="1644" w:left="1588" w:header="851" w:footer="851" w:gutter="0"/>
          <w:pgNumType w:fmt="decimal"/>
          <w:cols w:space="720" w:num="1"/>
          <w:docGrid w:linePitch="312" w:charSpace="0"/>
        </w:sectPr>
      </w:pPr>
    </w:p>
    <w:p w14:paraId="7009A43A">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outlineLvl w:val="0"/>
        <w:rPr>
          <w:rFonts w:hint="default" w:ascii="Times New Roman" w:hAnsi="Times New Roman" w:eastAsia="黑体" w:cs="Times New Roman"/>
          <w:sz w:val="42"/>
          <w:szCs w:val="42"/>
          <w:highlight w:val="none"/>
        </w:rPr>
      </w:pPr>
      <w:bookmarkStart w:id="4" w:name="_Toc234832844"/>
      <w:bookmarkStart w:id="5" w:name="_Toc23044"/>
      <w:bookmarkStart w:id="6" w:name="_Toc3148"/>
      <w:r>
        <w:rPr>
          <w:rStyle w:val="65"/>
          <w:rFonts w:hint="default" w:ascii="Times New Roman" w:hAnsi="Times New Roman" w:eastAsia="黑体" w:cs="Times New Roman"/>
          <w:sz w:val="42"/>
          <w:szCs w:val="42"/>
          <w:highlight w:val="none"/>
        </w:rPr>
        <w:t>第一章  招标公告</w:t>
      </w:r>
      <w:bookmarkEnd w:id="4"/>
      <w:r>
        <w:rPr>
          <w:rStyle w:val="56"/>
          <w:rFonts w:hint="default" w:ascii="Times New Roman" w:hAnsi="Times New Roman" w:eastAsia="黑体" w:cs="Times New Roman"/>
          <w:sz w:val="42"/>
          <w:szCs w:val="42"/>
          <w:highlight w:val="none"/>
        </w:rPr>
        <w:footnoteReference w:id="0"/>
      </w:r>
      <w:bookmarkEnd w:id="5"/>
      <w:bookmarkEnd w:id="6"/>
    </w:p>
    <w:p w14:paraId="0C171852">
      <w:pPr>
        <w:pageBreakBefore w:val="0"/>
        <w:tabs>
          <w:tab w:val="center" w:pos="4153"/>
        </w:tabs>
        <w:kinsoku/>
        <w:wordWrap w:val="0"/>
        <w:bidi w:val="0"/>
        <w:spacing w:line="440" w:lineRule="exact"/>
        <w:jc w:val="center"/>
        <w:rPr>
          <w:rFonts w:hint="default" w:ascii="Times New Roman" w:hAnsi="Times New Roman" w:eastAsia="黑体" w:cs="Times New Roman"/>
          <w:sz w:val="17"/>
          <w:szCs w:val="17"/>
          <w:highlight w:val="none"/>
        </w:rPr>
      </w:pPr>
    </w:p>
    <w:p w14:paraId="206FAAD5">
      <w:pPr>
        <w:keepNext w:val="0"/>
        <w:keepLines w:val="0"/>
        <w:pageBreakBefore w:val="0"/>
        <w:widowControl w:val="0"/>
        <w:kinsoku/>
        <w:overflowPunct/>
        <w:topLinePunct w:val="0"/>
        <w:autoSpaceDE/>
        <w:autoSpaceDN/>
        <w:bidi w:val="0"/>
        <w:adjustRightInd/>
        <w:snapToGrid/>
        <w:spacing w:line="360" w:lineRule="auto"/>
        <w:ind w:firstLine="643" w:firstLineChars="200"/>
        <w:jc w:val="center"/>
        <w:textAlignment w:val="auto"/>
        <w:rPr>
          <w:rFonts w:hint="eastAsia" w:ascii="宋体" w:hAnsi="宋体" w:eastAsia="宋体" w:cs="宋体"/>
          <w:sz w:val="24"/>
          <w:szCs w:val="24"/>
          <w:highlight w:val="none"/>
        </w:rPr>
      </w:pPr>
      <w:r>
        <w:rPr>
          <w:rFonts w:hint="eastAsia" w:ascii="宋体" w:hAnsi="宋体" w:eastAsia="宋体" w:cs="宋体"/>
          <w:b/>
          <w:bCs/>
          <w:sz w:val="32"/>
          <w:szCs w:val="32"/>
          <w:highlight w:val="none"/>
        </w:rPr>
        <w:t>招标公告</w:t>
      </w:r>
      <w:r>
        <w:rPr>
          <w:rFonts w:hint="eastAsia" w:ascii="宋体" w:hAnsi="宋体" w:eastAsia="宋体" w:cs="宋体"/>
          <w:sz w:val="24"/>
          <w:szCs w:val="24"/>
          <w:highlight w:val="none"/>
        </w:rPr>
        <w:t xml:space="preserve">              </w:t>
      </w:r>
    </w:p>
    <w:p w14:paraId="0AFF223A">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 招标条件</w:t>
      </w:r>
    </w:p>
    <w:p w14:paraId="53C3B88E">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本招标项目</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大石桥市2025年一事一议财政奖补村内道路建设项目</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（项目名称）已由</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大石桥市交通运输局</w:t>
      </w:r>
      <w:r>
        <w:rPr>
          <w:rFonts w:hint="eastAsia" w:ascii="宋体" w:hAnsi="宋体" w:eastAsia="宋体" w:cs="宋体"/>
          <w:sz w:val="24"/>
          <w:szCs w:val="24"/>
          <w:highlight w:val="none"/>
        </w:rPr>
        <w:t xml:space="preserve"> （项目审批、核准或备案机关名称）以</w:t>
      </w:r>
      <w:r>
        <w:rPr>
          <w:rFonts w:hint="eastAsia" w:ascii="宋体" w:hAnsi="宋体" w:eastAsia="宋体" w:cs="宋体"/>
          <w:sz w:val="24"/>
          <w:szCs w:val="24"/>
          <w:highlight w:val="none"/>
          <w:u w:val="single"/>
        </w:rPr>
        <w:t>《</w:t>
      </w:r>
      <w:r>
        <w:rPr>
          <w:rFonts w:hint="eastAsia" w:ascii="宋体" w:hAnsi="宋体" w:eastAsia="宋体" w:cs="宋体"/>
          <w:sz w:val="24"/>
          <w:szCs w:val="24"/>
          <w:highlight w:val="none"/>
          <w:u w:val="single"/>
          <w:lang w:val="en-US" w:eastAsia="zh-CN"/>
        </w:rPr>
        <w:t>关于大石桥市2025年一事一议财政奖补村内道路建设项目</w:t>
      </w:r>
      <w:r>
        <w:rPr>
          <w:rFonts w:hint="eastAsia" w:ascii="宋体" w:hAnsi="宋体" w:cs="宋体"/>
          <w:sz w:val="24"/>
          <w:szCs w:val="24"/>
          <w:highlight w:val="none"/>
          <w:u w:val="single"/>
          <w:lang w:val="en-US" w:eastAsia="zh-CN"/>
        </w:rPr>
        <w:t>施工图设计</w:t>
      </w:r>
      <w:r>
        <w:rPr>
          <w:rFonts w:hint="eastAsia" w:ascii="宋体" w:hAnsi="宋体" w:eastAsia="宋体" w:cs="宋体"/>
          <w:sz w:val="24"/>
          <w:szCs w:val="24"/>
          <w:highlight w:val="none"/>
          <w:u w:val="single"/>
          <w:lang w:val="en-US" w:eastAsia="zh-CN"/>
        </w:rPr>
        <w:t>的批复</w:t>
      </w:r>
      <w:r>
        <w:rPr>
          <w:rFonts w:hint="eastAsia" w:ascii="宋体" w:hAnsi="宋体" w:eastAsia="宋体" w:cs="宋体"/>
          <w:sz w:val="24"/>
          <w:szCs w:val="24"/>
          <w:highlight w:val="none"/>
          <w:u w:val="single"/>
        </w:rPr>
        <w:t>》</w:t>
      </w:r>
      <w:r>
        <w:rPr>
          <w:rFonts w:hint="eastAsia" w:ascii="宋体" w:hAnsi="宋体" w:cs="宋体"/>
          <w:sz w:val="24"/>
          <w:szCs w:val="24"/>
          <w:highlight w:val="none"/>
          <w:u w:val="single"/>
          <w:lang w:val="en-US" w:eastAsia="zh-CN"/>
        </w:rPr>
        <w:t>大市交发</w:t>
      </w:r>
      <w:r>
        <w:rPr>
          <w:rFonts w:hint="eastAsia" w:ascii="宋体" w:hAnsi="宋体" w:eastAsia="宋体" w:cs="宋体"/>
          <w:sz w:val="24"/>
          <w:szCs w:val="24"/>
          <w:highlight w:val="none"/>
          <w:u w:val="single"/>
          <w:lang w:val="en-US" w:eastAsia="zh-CN"/>
        </w:rPr>
        <w:t>[202</w:t>
      </w:r>
      <w:r>
        <w:rPr>
          <w:rFonts w:hint="eastAsia" w:ascii="宋体" w:hAnsi="宋体" w:cs="宋体"/>
          <w:sz w:val="24"/>
          <w:szCs w:val="24"/>
          <w:highlight w:val="none"/>
          <w:u w:val="single"/>
          <w:lang w:val="en-US" w:eastAsia="zh-CN"/>
        </w:rPr>
        <w:t>6</w:t>
      </w:r>
      <w:r>
        <w:rPr>
          <w:rFonts w:hint="eastAsia" w:ascii="宋体" w:hAnsi="宋体" w:eastAsia="宋体" w:cs="宋体"/>
          <w:sz w:val="24"/>
          <w:szCs w:val="24"/>
          <w:highlight w:val="none"/>
          <w:u w:val="single"/>
          <w:lang w:val="en-US" w:eastAsia="zh-CN"/>
        </w:rPr>
        <w:t>]9</w:t>
      </w:r>
      <w:r>
        <w:rPr>
          <w:rFonts w:hint="eastAsia" w:ascii="宋体" w:hAnsi="宋体" w:cs="宋体"/>
          <w:sz w:val="24"/>
          <w:szCs w:val="24"/>
          <w:highlight w:val="none"/>
          <w:u w:val="single"/>
          <w:lang w:val="en-US" w:eastAsia="zh-CN"/>
        </w:rPr>
        <w:t>9</w:t>
      </w:r>
      <w:r>
        <w:rPr>
          <w:rFonts w:hint="eastAsia" w:ascii="宋体" w:hAnsi="宋体" w:eastAsia="宋体" w:cs="宋体"/>
          <w:sz w:val="24"/>
          <w:szCs w:val="24"/>
          <w:highlight w:val="none"/>
          <w:u w:val="single"/>
        </w:rPr>
        <w:t xml:space="preserve">号 </w:t>
      </w:r>
      <w:r>
        <w:rPr>
          <w:rFonts w:hint="eastAsia" w:ascii="宋体" w:hAnsi="宋体" w:eastAsia="宋体" w:cs="宋体"/>
          <w:sz w:val="24"/>
          <w:szCs w:val="24"/>
          <w:highlight w:val="none"/>
        </w:rPr>
        <w:t>（批文名称及编号）批准建设，建设资金来自</w:t>
      </w:r>
      <w:r>
        <w:rPr>
          <w:rFonts w:hint="eastAsia" w:ascii="宋体" w:hAnsi="宋体" w:eastAsia="宋体" w:cs="宋体"/>
          <w:sz w:val="24"/>
          <w:szCs w:val="24"/>
          <w:highlight w:val="none"/>
          <w:u w:val="single"/>
        </w:rPr>
        <w:t>省级</w:t>
      </w:r>
      <w:r>
        <w:rPr>
          <w:rFonts w:hint="eastAsia" w:ascii="宋体" w:hAnsi="宋体" w:eastAsia="宋体" w:cs="宋体"/>
          <w:sz w:val="24"/>
          <w:szCs w:val="24"/>
          <w:highlight w:val="none"/>
          <w:u w:val="single"/>
          <w:lang w:val="en-US" w:eastAsia="zh-CN"/>
        </w:rPr>
        <w:t>及以上</w:t>
      </w:r>
      <w:r>
        <w:rPr>
          <w:rFonts w:hint="eastAsia" w:ascii="宋体" w:hAnsi="宋体" w:eastAsia="宋体" w:cs="宋体"/>
          <w:sz w:val="24"/>
          <w:szCs w:val="24"/>
          <w:highlight w:val="none"/>
          <w:u w:val="single"/>
        </w:rPr>
        <w:t>、</w:t>
      </w:r>
      <w:r>
        <w:rPr>
          <w:rFonts w:hint="eastAsia" w:ascii="宋体" w:hAnsi="宋体" w:eastAsia="宋体" w:cs="宋体"/>
          <w:sz w:val="24"/>
          <w:szCs w:val="24"/>
          <w:highlight w:val="none"/>
          <w:u w:val="single"/>
          <w:lang w:val="en-US" w:eastAsia="zh-CN"/>
        </w:rPr>
        <w:t>市级</w:t>
      </w:r>
      <w:r>
        <w:rPr>
          <w:rFonts w:hint="eastAsia" w:ascii="宋体" w:hAnsi="宋体" w:eastAsia="宋体" w:cs="宋体"/>
          <w:sz w:val="24"/>
          <w:szCs w:val="24"/>
          <w:highlight w:val="none"/>
          <w:u w:val="single"/>
        </w:rPr>
        <w:t>、</w:t>
      </w:r>
      <w:r>
        <w:rPr>
          <w:rFonts w:hint="eastAsia" w:ascii="宋体" w:hAnsi="宋体" w:eastAsia="宋体" w:cs="宋体"/>
          <w:sz w:val="24"/>
          <w:szCs w:val="24"/>
          <w:highlight w:val="none"/>
          <w:u w:val="single"/>
          <w:lang w:val="en-US" w:eastAsia="zh-CN"/>
        </w:rPr>
        <w:t>区县资金</w:t>
      </w:r>
      <w:r>
        <w:rPr>
          <w:rFonts w:hint="eastAsia" w:ascii="宋体" w:hAnsi="宋体" w:eastAsia="宋体" w:cs="宋体"/>
          <w:sz w:val="24"/>
          <w:szCs w:val="24"/>
          <w:highlight w:val="none"/>
          <w:u w:val="single"/>
        </w:rPr>
        <w:t>（资金来源）</w:t>
      </w:r>
      <w:r>
        <w:rPr>
          <w:rFonts w:hint="eastAsia" w:ascii="宋体" w:hAnsi="宋体" w:eastAsia="宋体" w:cs="宋体"/>
          <w:sz w:val="24"/>
          <w:szCs w:val="24"/>
          <w:highlight w:val="none"/>
        </w:rPr>
        <w:t>，出资比例为</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76.56</w:t>
      </w:r>
      <w:r>
        <w:rPr>
          <w:rFonts w:hint="eastAsia" w:ascii="宋体" w:hAnsi="宋体" w:eastAsia="宋体" w:cs="宋体"/>
          <w:sz w:val="24"/>
          <w:szCs w:val="24"/>
          <w:highlight w:val="none"/>
          <w:u w:val="single"/>
        </w:rPr>
        <w:t>%省级</w:t>
      </w:r>
      <w:r>
        <w:rPr>
          <w:rFonts w:hint="eastAsia" w:ascii="宋体" w:hAnsi="宋体" w:eastAsia="宋体" w:cs="宋体"/>
          <w:sz w:val="24"/>
          <w:szCs w:val="24"/>
          <w:highlight w:val="none"/>
          <w:u w:val="single"/>
          <w:lang w:val="en-US" w:eastAsia="zh-CN"/>
        </w:rPr>
        <w:t>及以上资金</w:t>
      </w:r>
      <w:r>
        <w:rPr>
          <w:rFonts w:hint="eastAsia" w:ascii="宋体" w:hAnsi="宋体" w:eastAsia="宋体" w:cs="宋体"/>
          <w:sz w:val="24"/>
          <w:szCs w:val="24"/>
          <w:highlight w:val="none"/>
          <w:u w:val="single"/>
        </w:rPr>
        <w:t>、</w:t>
      </w:r>
      <w:r>
        <w:rPr>
          <w:rFonts w:hint="eastAsia" w:ascii="宋体" w:hAnsi="宋体" w:cs="宋体"/>
          <w:sz w:val="24"/>
          <w:szCs w:val="24"/>
          <w:highlight w:val="none"/>
          <w:u w:val="single"/>
          <w:lang w:val="en-US" w:eastAsia="zh-CN"/>
        </w:rPr>
        <w:t>9.57</w:t>
      </w:r>
      <w:r>
        <w:rPr>
          <w:rFonts w:hint="eastAsia" w:ascii="宋体" w:hAnsi="宋体" w:eastAsia="宋体" w:cs="宋体"/>
          <w:sz w:val="24"/>
          <w:szCs w:val="24"/>
          <w:highlight w:val="none"/>
          <w:u w:val="single"/>
        </w:rPr>
        <w:t>%</w:t>
      </w:r>
      <w:r>
        <w:rPr>
          <w:rFonts w:hint="eastAsia" w:ascii="宋体" w:hAnsi="宋体" w:eastAsia="宋体" w:cs="宋体"/>
          <w:sz w:val="24"/>
          <w:szCs w:val="24"/>
          <w:highlight w:val="none"/>
          <w:u w:val="single"/>
          <w:lang w:val="en-US" w:eastAsia="zh-CN"/>
        </w:rPr>
        <w:t>市级资金</w:t>
      </w:r>
      <w:r>
        <w:rPr>
          <w:rFonts w:hint="eastAsia" w:ascii="宋体" w:hAnsi="宋体" w:eastAsia="宋体" w:cs="宋体"/>
          <w:sz w:val="24"/>
          <w:szCs w:val="24"/>
          <w:highlight w:val="none"/>
          <w:u w:val="single"/>
        </w:rPr>
        <w:t>、</w:t>
      </w:r>
      <w:r>
        <w:rPr>
          <w:rFonts w:hint="eastAsia" w:ascii="宋体" w:hAnsi="宋体" w:cs="宋体"/>
          <w:sz w:val="24"/>
          <w:szCs w:val="24"/>
          <w:highlight w:val="none"/>
          <w:u w:val="single"/>
          <w:lang w:val="en-US" w:eastAsia="zh-CN"/>
        </w:rPr>
        <w:t>9.57</w:t>
      </w:r>
      <w:r>
        <w:rPr>
          <w:rFonts w:hint="eastAsia" w:ascii="宋体" w:hAnsi="宋体" w:eastAsia="宋体" w:cs="宋体"/>
          <w:sz w:val="24"/>
          <w:szCs w:val="24"/>
          <w:highlight w:val="none"/>
          <w:u w:val="single"/>
        </w:rPr>
        <w:t>%</w:t>
      </w:r>
      <w:r>
        <w:rPr>
          <w:rFonts w:hint="eastAsia" w:ascii="宋体" w:hAnsi="宋体" w:eastAsia="宋体" w:cs="宋体"/>
          <w:sz w:val="24"/>
          <w:szCs w:val="24"/>
          <w:highlight w:val="none"/>
          <w:u w:val="single"/>
          <w:lang w:val="en-US" w:eastAsia="zh-CN"/>
        </w:rPr>
        <w:t>区县资金</w:t>
      </w:r>
      <w:r>
        <w:rPr>
          <w:rFonts w:hint="eastAsia" w:ascii="宋体" w:hAnsi="宋体" w:cs="宋体"/>
          <w:sz w:val="24"/>
          <w:szCs w:val="24"/>
          <w:highlight w:val="none"/>
          <w:u w:val="single"/>
          <w:lang w:val="en-US" w:eastAsia="zh-CN"/>
        </w:rPr>
        <w:t>，4.3%其他资金</w:t>
      </w:r>
      <w:r>
        <w:rPr>
          <w:rFonts w:hint="eastAsia" w:ascii="宋体" w:hAnsi="宋体" w:eastAsia="宋体" w:cs="宋体"/>
          <w:sz w:val="24"/>
          <w:szCs w:val="24"/>
          <w:highlight w:val="none"/>
        </w:rPr>
        <w:t xml:space="preserve"> ，招标人为</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大石桥</w:t>
      </w:r>
      <w:r>
        <w:rPr>
          <w:rFonts w:hint="eastAsia" w:ascii="宋体" w:hAnsi="宋体" w:cs="宋体"/>
          <w:sz w:val="24"/>
          <w:szCs w:val="24"/>
          <w:highlight w:val="none"/>
          <w:u w:val="single"/>
          <w:lang w:eastAsia="zh-CN"/>
        </w:rPr>
        <w:t>市财政局</w:t>
      </w:r>
      <w:r>
        <w:rPr>
          <w:rFonts w:hint="eastAsia" w:ascii="宋体" w:hAnsi="宋体" w:eastAsia="宋体" w:cs="宋体"/>
          <w:sz w:val="24"/>
          <w:szCs w:val="24"/>
          <w:highlight w:val="none"/>
        </w:rPr>
        <w:t xml:space="preserve"> 。项目已具备招标条件，现对该项目</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大石桥市2025年一事一议财政奖补村内道路建设项目</w:t>
      </w:r>
      <w:r>
        <w:rPr>
          <w:rFonts w:hint="eastAsia" w:ascii="宋体" w:hAnsi="宋体" w:cs="宋体"/>
          <w:sz w:val="24"/>
          <w:szCs w:val="24"/>
          <w:highlight w:val="none"/>
          <w:u w:val="single"/>
          <w:lang w:val="en-US" w:eastAsia="zh-CN"/>
        </w:rPr>
        <w:t>三</w:t>
      </w:r>
      <w:r>
        <w:rPr>
          <w:rFonts w:hint="eastAsia" w:ascii="宋体" w:hAnsi="宋体" w:cs="宋体"/>
          <w:sz w:val="24"/>
          <w:szCs w:val="24"/>
          <w:highlight w:val="none"/>
          <w:u w:val="single"/>
          <w:lang w:eastAsia="zh-CN"/>
        </w:rPr>
        <w:t>标段</w:t>
      </w:r>
      <w:r>
        <w:rPr>
          <w:rFonts w:hint="eastAsia" w:ascii="宋体" w:hAnsi="宋体" w:eastAsia="宋体" w:cs="宋体"/>
          <w:sz w:val="24"/>
          <w:szCs w:val="24"/>
          <w:highlight w:val="none"/>
        </w:rPr>
        <w:t xml:space="preserve">（标段名称）的施工进行公开招标。 </w:t>
      </w:r>
    </w:p>
    <w:p w14:paraId="2CBF4F44">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 项目概况与招标范围</w:t>
      </w:r>
    </w:p>
    <w:p w14:paraId="7D430ECB">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2.1项目概况</w:t>
      </w:r>
    </w:p>
    <w:p w14:paraId="3540EA45">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u w:val="single"/>
          <w:lang w:val="en-US" w:eastAsia="zh-CN"/>
        </w:rPr>
        <w:t>大石桥市2025年一事一议财政奖补村内道路建设项目建设村内道路108.312公里。</w:t>
      </w:r>
    </w:p>
    <w:p w14:paraId="1840D84B">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2.2标段划分</w:t>
      </w:r>
    </w:p>
    <w:p w14:paraId="15B6556B">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说明本次招标项目的标段划分</w:t>
      </w:r>
      <w:r>
        <w:rPr>
          <w:rFonts w:hint="eastAsia" w:ascii="宋体" w:hAnsi="宋体" w:cs="宋体"/>
          <w:sz w:val="24"/>
          <w:szCs w:val="24"/>
          <w:highlight w:val="none"/>
          <w:lang w:eastAsia="zh-CN"/>
        </w:rPr>
        <w:t>为</w:t>
      </w:r>
      <w:r>
        <w:rPr>
          <w:rFonts w:hint="eastAsia" w:ascii="宋体" w:hAnsi="宋体" w:eastAsia="宋体" w:cs="宋体"/>
          <w:sz w:val="24"/>
          <w:szCs w:val="24"/>
          <w:highlight w:val="none"/>
        </w:rPr>
        <w:t>1个标段。</w:t>
      </w:r>
    </w:p>
    <w:p w14:paraId="3FAA1E3D">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2.3招标范围</w:t>
      </w:r>
    </w:p>
    <w:p w14:paraId="2A0C9EA2">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宋体" w:hAnsi="宋体" w:cs="宋体"/>
          <w:sz w:val="24"/>
          <w:szCs w:val="24"/>
          <w:highlight w:val="none"/>
          <w:u w:val="single"/>
          <w:lang w:val="en-US" w:eastAsia="zh-CN"/>
        </w:rPr>
      </w:pPr>
      <w:r>
        <w:rPr>
          <w:rFonts w:hint="eastAsia" w:ascii="宋体" w:hAnsi="宋体" w:eastAsia="宋体" w:cs="宋体"/>
          <w:sz w:val="24"/>
          <w:szCs w:val="24"/>
          <w:highlight w:val="none"/>
          <w:u w:val="single"/>
          <w:lang w:val="en-US" w:eastAsia="zh-CN"/>
        </w:rPr>
        <w:t>大石桥市2025年一事一议财政奖补村内道路建设项目</w:t>
      </w:r>
      <w:r>
        <w:rPr>
          <w:rFonts w:hint="eastAsia" w:ascii="宋体" w:hAnsi="宋体" w:cs="宋体"/>
          <w:sz w:val="24"/>
          <w:szCs w:val="24"/>
          <w:highlight w:val="none"/>
          <w:u w:val="single"/>
          <w:lang w:val="en-US" w:eastAsia="zh-CN"/>
        </w:rPr>
        <w:t>三</w:t>
      </w:r>
      <w:r>
        <w:rPr>
          <w:rFonts w:hint="eastAsia" w:ascii="宋体" w:hAnsi="宋体" w:cs="宋体"/>
          <w:sz w:val="24"/>
          <w:szCs w:val="24"/>
          <w:highlight w:val="none"/>
          <w:u w:val="single"/>
          <w:lang w:eastAsia="zh-CN"/>
        </w:rPr>
        <w:t>标段涉及</w:t>
      </w:r>
      <w:r>
        <w:rPr>
          <w:rFonts w:hint="eastAsia" w:ascii="宋体" w:hAnsi="宋体" w:cs="宋体"/>
          <w:sz w:val="24"/>
          <w:szCs w:val="24"/>
          <w:highlight w:val="none"/>
          <w:u w:val="single"/>
          <w:lang w:val="en-US" w:eastAsia="zh-CN"/>
        </w:rPr>
        <w:t>虎庄镇6个村6.274公里、水源镇6个村4.8公里、沟沿镇4个村5.136公里、高坎镇9个村6.001公里。</w:t>
      </w:r>
    </w:p>
    <w:p w14:paraId="2B6E1E52">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2.4计划工期</w:t>
      </w:r>
    </w:p>
    <w:p w14:paraId="1D46018E">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计划工期：</w:t>
      </w:r>
      <w:r>
        <w:rPr>
          <w:rFonts w:hint="eastAsia" w:ascii="宋体" w:hAnsi="宋体" w:cs="宋体"/>
          <w:sz w:val="24"/>
          <w:szCs w:val="24"/>
          <w:highlight w:val="none"/>
          <w:lang w:eastAsia="zh-CN"/>
        </w:rPr>
        <w:t>202</w:t>
      </w:r>
      <w:r>
        <w:rPr>
          <w:rFonts w:hint="eastAsia" w:ascii="宋体" w:hAnsi="宋体" w:cs="宋体"/>
          <w:sz w:val="24"/>
          <w:szCs w:val="24"/>
          <w:highlight w:val="none"/>
          <w:lang w:val="en-US" w:eastAsia="zh-CN"/>
        </w:rPr>
        <w:t>6</w:t>
      </w:r>
      <w:r>
        <w:rPr>
          <w:rFonts w:hint="eastAsia" w:ascii="宋体" w:hAnsi="宋体" w:cs="宋体"/>
          <w:sz w:val="24"/>
          <w:szCs w:val="24"/>
          <w:highlight w:val="none"/>
          <w:lang w:eastAsia="zh-CN"/>
        </w:rPr>
        <w:t>年</w:t>
      </w:r>
      <w:r>
        <w:rPr>
          <w:rFonts w:hint="eastAsia" w:ascii="宋体" w:hAnsi="宋体" w:cs="宋体"/>
          <w:sz w:val="24"/>
          <w:szCs w:val="24"/>
          <w:highlight w:val="none"/>
          <w:lang w:val="en-US" w:eastAsia="zh-CN"/>
        </w:rPr>
        <w:t>12</w:t>
      </w:r>
      <w:r>
        <w:rPr>
          <w:rFonts w:hint="eastAsia" w:ascii="宋体" w:hAnsi="宋体" w:eastAsia="宋体" w:cs="宋体"/>
          <w:sz w:val="24"/>
          <w:szCs w:val="24"/>
          <w:highlight w:val="none"/>
        </w:rPr>
        <w:t>月</w:t>
      </w:r>
      <w:r>
        <w:rPr>
          <w:rFonts w:hint="eastAsia" w:ascii="宋体" w:hAnsi="宋体" w:cs="宋体"/>
          <w:sz w:val="24"/>
          <w:szCs w:val="24"/>
          <w:highlight w:val="none"/>
          <w:lang w:val="en-US" w:eastAsia="zh-CN"/>
        </w:rPr>
        <w:t>21</w:t>
      </w:r>
      <w:r>
        <w:rPr>
          <w:rFonts w:hint="eastAsia" w:ascii="宋体" w:hAnsi="宋体" w:eastAsia="宋体" w:cs="宋体"/>
          <w:sz w:val="24"/>
          <w:szCs w:val="24"/>
          <w:highlight w:val="none"/>
        </w:rPr>
        <w:t>日开工，</w:t>
      </w:r>
      <w:r>
        <w:rPr>
          <w:rFonts w:hint="eastAsia" w:ascii="宋体" w:hAnsi="宋体" w:cs="宋体"/>
          <w:sz w:val="24"/>
          <w:szCs w:val="24"/>
          <w:highlight w:val="none"/>
          <w:lang w:eastAsia="zh-CN"/>
        </w:rPr>
        <w:t>202</w:t>
      </w:r>
      <w:r>
        <w:rPr>
          <w:rFonts w:hint="eastAsia" w:ascii="宋体" w:hAnsi="宋体" w:cs="宋体"/>
          <w:sz w:val="24"/>
          <w:szCs w:val="24"/>
          <w:highlight w:val="none"/>
          <w:lang w:val="en-US" w:eastAsia="zh-CN"/>
        </w:rPr>
        <w:t>7</w:t>
      </w:r>
      <w:r>
        <w:rPr>
          <w:rFonts w:hint="eastAsia" w:ascii="宋体" w:hAnsi="宋体" w:cs="宋体"/>
          <w:sz w:val="24"/>
          <w:szCs w:val="24"/>
          <w:highlight w:val="none"/>
          <w:lang w:eastAsia="zh-CN"/>
        </w:rPr>
        <w:t>年</w:t>
      </w:r>
      <w:r>
        <w:rPr>
          <w:rFonts w:hint="eastAsia" w:ascii="宋体" w:hAnsi="宋体" w:cs="宋体"/>
          <w:sz w:val="24"/>
          <w:szCs w:val="24"/>
          <w:highlight w:val="none"/>
          <w:lang w:val="en-US" w:eastAsia="zh-CN"/>
        </w:rPr>
        <w:t>06</w:t>
      </w:r>
      <w:r>
        <w:rPr>
          <w:rFonts w:hint="eastAsia" w:ascii="宋体" w:hAnsi="宋体" w:eastAsia="宋体" w:cs="宋体"/>
          <w:sz w:val="24"/>
          <w:szCs w:val="24"/>
          <w:highlight w:val="none"/>
        </w:rPr>
        <w:t>月</w:t>
      </w:r>
      <w:r>
        <w:rPr>
          <w:rFonts w:hint="eastAsia" w:ascii="宋体" w:hAnsi="宋体" w:cs="宋体"/>
          <w:sz w:val="24"/>
          <w:szCs w:val="24"/>
          <w:highlight w:val="none"/>
          <w:lang w:val="en-US" w:eastAsia="zh-CN"/>
        </w:rPr>
        <w:t>30</w:t>
      </w:r>
      <w:r>
        <w:rPr>
          <w:rFonts w:hint="eastAsia" w:ascii="宋体" w:hAnsi="宋体" w:eastAsia="宋体" w:cs="宋体"/>
          <w:sz w:val="24"/>
          <w:szCs w:val="24"/>
          <w:highlight w:val="none"/>
        </w:rPr>
        <w:t>日竣工，共计</w:t>
      </w:r>
      <w:r>
        <w:rPr>
          <w:rFonts w:hint="eastAsia" w:ascii="宋体" w:hAnsi="宋体" w:cs="宋体"/>
          <w:sz w:val="24"/>
          <w:szCs w:val="24"/>
          <w:highlight w:val="none"/>
          <w:lang w:val="en-US" w:eastAsia="zh-CN"/>
        </w:rPr>
        <w:t xml:space="preserve"> 191</w:t>
      </w:r>
      <w:r>
        <w:rPr>
          <w:rFonts w:hint="eastAsia" w:ascii="宋体" w:hAnsi="宋体" w:eastAsia="宋体" w:cs="宋体"/>
          <w:sz w:val="24"/>
          <w:szCs w:val="24"/>
          <w:highlight w:val="none"/>
        </w:rPr>
        <w:t>日历天（具体时间以签订合同为准）。</w:t>
      </w:r>
    </w:p>
    <w:p w14:paraId="6DD209FA">
      <w:pPr>
        <w:keepNext w:val="0"/>
        <w:keepLines w:val="0"/>
        <w:pageBreakBefore w:val="0"/>
        <w:widowControl w:val="0"/>
        <w:numPr>
          <w:ilvl w:val="0"/>
          <w:numId w:val="1"/>
        </w:numPr>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投标人资格要求</w:t>
      </w:r>
    </w:p>
    <w:p w14:paraId="6C61F269">
      <w:pPr>
        <w:keepNext w:val="0"/>
        <w:keepLines w:val="0"/>
        <w:pageBreakBefore w:val="0"/>
        <w:widowControl w:val="0"/>
        <w:numPr>
          <w:ilvl w:val="0"/>
          <w:numId w:val="0"/>
        </w:numPr>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3.1 本次招标要求投标人在人员、设备、资金等方面具有相应的施工能力，投标人须具备的资格条件如下：</w:t>
      </w:r>
    </w:p>
    <w:p w14:paraId="47F5F3A6">
      <w:pPr>
        <w:pageBreakBefore w:val="0"/>
        <w:kinsoku/>
        <w:wordWrap w:val="0"/>
        <w:bidi w:val="0"/>
        <w:spacing w:line="360" w:lineRule="auto"/>
        <w:ind w:firstLine="480" w:firstLineChars="200"/>
        <w:jc w:val="left"/>
        <w:rPr>
          <w:rFonts w:hint="eastAsia"/>
          <w:sz w:val="24"/>
          <w:szCs w:val="24"/>
          <w:highlight w:val="none"/>
          <w:u w:val="none"/>
        </w:rPr>
      </w:pPr>
      <w:r>
        <w:rPr>
          <w:rFonts w:hint="eastAsia"/>
          <w:sz w:val="24"/>
          <w:szCs w:val="24"/>
          <w:highlight w:val="none"/>
          <w:u w:val="none"/>
          <w:lang w:val="en-US" w:eastAsia="zh-CN"/>
        </w:rPr>
        <w:t>3.</w:t>
      </w:r>
      <w:r>
        <w:rPr>
          <w:rFonts w:hint="eastAsia"/>
          <w:sz w:val="24"/>
          <w:szCs w:val="24"/>
          <w:highlight w:val="none"/>
          <w:u w:val="none"/>
        </w:rPr>
        <w:t>1.1资质要求</w:t>
      </w:r>
    </w:p>
    <w:p w14:paraId="7227CD4F">
      <w:pPr>
        <w:pageBreakBefore w:val="0"/>
        <w:kinsoku/>
        <w:wordWrap w:val="0"/>
        <w:bidi w:val="0"/>
        <w:spacing w:line="360" w:lineRule="auto"/>
        <w:ind w:firstLine="480" w:firstLineChars="200"/>
        <w:jc w:val="left"/>
        <w:rPr>
          <w:rFonts w:hint="eastAsia"/>
          <w:sz w:val="24"/>
          <w:szCs w:val="24"/>
          <w:highlight w:val="none"/>
          <w:u w:val="single"/>
        </w:rPr>
      </w:pPr>
      <w:r>
        <w:rPr>
          <w:rFonts w:hint="eastAsia"/>
          <w:sz w:val="24"/>
          <w:szCs w:val="24"/>
          <w:highlight w:val="none"/>
          <w:u w:val="single"/>
        </w:rPr>
        <w:t>1 、投标人必须具有国内独立法人资格及有效的企业法人营业执照。</w:t>
      </w:r>
    </w:p>
    <w:p w14:paraId="4636599C">
      <w:pPr>
        <w:pageBreakBefore w:val="0"/>
        <w:kinsoku/>
        <w:wordWrap w:val="0"/>
        <w:bidi w:val="0"/>
        <w:spacing w:line="360" w:lineRule="auto"/>
        <w:ind w:firstLine="480" w:firstLineChars="200"/>
        <w:jc w:val="left"/>
        <w:rPr>
          <w:rFonts w:hint="eastAsia"/>
          <w:sz w:val="24"/>
          <w:szCs w:val="24"/>
          <w:highlight w:val="none"/>
          <w:u w:val="single"/>
        </w:rPr>
      </w:pPr>
      <w:r>
        <w:rPr>
          <w:rFonts w:hint="eastAsia"/>
          <w:sz w:val="24"/>
          <w:szCs w:val="24"/>
          <w:highlight w:val="none"/>
          <w:u w:val="single"/>
        </w:rPr>
        <w:t>2 、投标人</w:t>
      </w:r>
      <w:r>
        <w:rPr>
          <w:rFonts w:hint="eastAsia"/>
          <w:sz w:val="24"/>
          <w:szCs w:val="24"/>
          <w:highlight w:val="none"/>
          <w:u w:val="single"/>
          <w:lang w:eastAsia="zh-CN"/>
        </w:rPr>
        <w:t>须</w:t>
      </w:r>
      <w:r>
        <w:rPr>
          <w:rFonts w:hint="eastAsia"/>
          <w:sz w:val="24"/>
          <w:szCs w:val="24"/>
          <w:highlight w:val="none"/>
          <w:u w:val="single"/>
        </w:rPr>
        <w:t>具有</w:t>
      </w:r>
      <w:r>
        <w:rPr>
          <w:rFonts w:hint="eastAsia"/>
          <w:sz w:val="24"/>
          <w:szCs w:val="24"/>
          <w:highlight w:val="none"/>
          <w:u w:val="single"/>
          <w:lang w:eastAsia="zh-CN"/>
        </w:rPr>
        <w:t>公路工程施工总承包叁级及以上资质</w:t>
      </w:r>
      <w:r>
        <w:rPr>
          <w:rFonts w:hint="eastAsia"/>
          <w:sz w:val="24"/>
          <w:szCs w:val="24"/>
          <w:highlight w:val="none"/>
          <w:u w:val="single"/>
        </w:rPr>
        <w:t>。</w:t>
      </w:r>
    </w:p>
    <w:p w14:paraId="4F6DD99B">
      <w:pPr>
        <w:pageBreakBefore w:val="0"/>
        <w:kinsoku/>
        <w:wordWrap w:val="0"/>
        <w:bidi w:val="0"/>
        <w:spacing w:line="360" w:lineRule="auto"/>
        <w:ind w:firstLine="480" w:firstLineChars="200"/>
        <w:jc w:val="left"/>
        <w:rPr>
          <w:rFonts w:hint="eastAsia"/>
          <w:sz w:val="24"/>
          <w:szCs w:val="24"/>
          <w:highlight w:val="none"/>
          <w:u w:val="single"/>
        </w:rPr>
      </w:pPr>
      <w:r>
        <w:rPr>
          <w:rFonts w:hint="eastAsia"/>
          <w:sz w:val="24"/>
          <w:szCs w:val="24"/>
          <w:highlight w:val="none"/>
          <w:u w:val="single"/>
        </w:rPr>
        <w:t>3 、投标人必须具有建设行政主管部门颁发的有效安全生产许可证。</w:t>
      </w:r>
    </w:p>
    <w:p w14:paraId="39B51911">
      <w:pPr>
        <w:pageBreakBefore w:val="0"/>
        <w:kinsoku/>
        <w:wordWrap w:val="0"/>
        <w:bidi w:val="0"/>
        <w:spacing w:line="360" w:lineRule="auto"/>
        <w:ind w:firstLine="480" w:firstLineChars="200"/>
        <w:jc w:val="left"/>
        <w:rPr>
          <w:rFonts w:hint="eastAsia"/>
          <w:color w:val="auto"/>
          <w:sz w:val="24"/>
          <w:szCs w:val="24"/>
          <w:highlight w:val="none"/>
          <w:u w:val="single"/>
        </w:rPr>
      </w:pPr>
      <w:r>
        <w:rPr>
          <w:rFonts w:hint="eastAsia"/>
          <w:sz w:val="24"/>
          <w:szCs w:val="24"/>
          <w:highlight w:val="none"/>
          <w:u w:val="none"/>
          <w:lang w:val="en-US" w:eastAsia="zh-CN"/>
        </w:rPr>
        <w:t>3.</w:t>
      </w:r>
      <w:r>
        <w:rPr>
          <w:rFonts w:hint="eastAsia"/>
          <w:sz w:val="24"/>
          <w:szCs w:val="24"/>
          <w:highlight w:val="none"/>
          <w:u w:val="none"/>
        </w:rPr>
        <w:t>1.2财务要</w:t>
      </w:r>
      <w:r>
        <w:rPr>
          <w:rFonts w:hint="eastAsia"/>
          <w:color w:val="auto"/>
          <w:sz w:val="24"/>
          <w:szCs w:val="24"/>
          <w:highlight w:val="none"/>
          <w:u w:val="none"/>
        </w:rPr>
        <w:t>求</w:t>
      </w:r>
      <w:r>
        <w:rPr>
          <w:rFonts w:hint="eastAsia"/>
          <w:color w:val="auto"/>
          <w:sz w:val="24"/>
          <w:szCs w:val="24"/>
          <w:highlight w:val="none"/>
          <w:u w:val="none"/>
          <w:lang w:eastAsia="zh-CN"/>
        </w:rPr>
        <w:t>：</w:t>
      </w:r>
      <w:r>
        <w:rPr>
          <w:rFonts w:hint="eastAsia" w:cstheme="minorBidi"/>
          <w:color w:val="auto"/>
          <w:kern w:val="2"/>
          <w:sz w:val="24"/>
          <w:szCs w:val="24"/>
          <w:highlight w:val="none"/>
          <w:u w:val="single"/>
          <w:lang w:val="en-US" w:eastAsia="zh-CN" w:bidi="ar-SA"/>
        </w:rPr>
        <w:t>无</w:t>
      </w:r>
    </w:p>
    <w:p w14:paraId="5F4C590C">
      <w:pPr>
        <w:pageBreakBefore w:val="0"/>
        <w:kinsoku/>
        <w:wordWrap w:val="0"/>
        <w:bidi w:val="0"/>
        <w:spacing w:line="360" w:lineRule="auto"/>
        <w:ind w:firstLine="480" w:firstLineChars="200"/>
        <w:jc w:val="left"/>
        <w:rPr>
          <w:rFonts w:hint="eastAsia"/>
          <w:color w:val="auto"/>
          <w:sz w:val="24"/>
          <w:szCs w:val="24"/>
          <w:highlight w:val="none"/>
          <w:u w:val="single"/>
        </w:rPr>
      </w:pPr>
      <w:r>
        <w:rPr>
          <w:rFonts w:hint="eastAsia"/>
          <w:color w:val="auto"/>
          <w:sz w:val="24"/>
          <w:szCs w:val="24"/>
          <w:highlight w:val="none"/>
          <w:u w:val="none"/>
          <w:lang w:val="en-US" w:eastAsia="zh-CN"/>
        </w:rPr>
        <w:t>3.</w:t>
      </w:r>
      <w:r>
        <w:rPr>
          <w:rFonts w:hint="eastAsia"/>
          <w:color w:val="auto"/>
          <w:sz w:val="24"/>
          <w:szCs w:val="24"/>
          <w:highlight w:val="none"/>
          <w:u w:val="none"/>
        </w:rPr>
        <w:t>1.3业绩要求</w:t>
      </w:r>
      <w:r>
        <w:rPr>
          <w:rFonts w:hint="eastAsia"/>
          <w:color w:val="auto"/>
          <w:sz w:val="24"/>
          <w:szCs w:val="24"/>
          <w:highlight w:val="none"/>
          <w:u w:val="none"/>
          <w:lang w:eastAsia="zh-CN"/>
        </w:rPr>
        <w:t>：</w:t>
      </w:r>
      <w:r>
        <w:rPr>
          <w:rFonts w:hint="eastAsia"/>
          <w:color w:val="auto"/>
          <w:sz w:val="24"/>
          <w:szCs w:val="24"/>
          <w:highlight w:val="none"/>
          <w:u w:val="single"/>
        </w:rPr>
        <w:t>投标人202</w:t>
      </w:r>
      <w:r>
        <w:rPr>
          <w:rFonts w:hint="eastAsia"/>
          <w:color w:val="auto"/>
          <w:sz w:val="24"/>
          <w:szCs w:val="24"/>
          <w:highlight w:val="none"/>
          <w:u w:val="single"/>
          <w:lang w:val="en-US" w:eastAsia="zh-CN"/>
        </w:rPr>
        <w:t>3</w:t>
      </w:r>
      <w:r>
        <w:rPr>
          <w:rFonts w:hint="eastAsia"/>
          <w:color w:val="auto"/>
          <w:sz w:val="24"/>
          <w:szCs w:val="24"/>
          <w:highlight w:val="none"/>
          <w:u w:val="single"/>
        </w:rPr>
        <w:t>年1月1日至投标文件递交截止时间（指交工验收时</w:t>
      </w:r>
      <w:r>
        <w:rPr>
          <w:rFonts w:hint="eastAsia"/>
          <w:color w:val="auto"/>
          <w:sz w:val="24"/>
          <w:szCs w:val="24"/>
          <w:highlight w:val="none"/>
          <w:u w:val="single"/>
          <w:lang w:eastAsia="zh-CN"/>
        </w:rPr>
        <w:t>间</w:t>
      </w:r>
      <w:r>
        <w:rPr>
          <w:rFonts w:hint="eastAsia"/>
          <w:color w:val="auto"/>
          <w:sz w:val="24"/>
          <w:szCs w:val="24"/>
          <w:highlight w:val="none"/>
          <w:u w:val="single"/>
        </w:rPr>
        <w:t>为202</w:t>
      </w:r>
      <w:r>
        <w:rPr>
          <w:rFonts w:hint="eastAsia"/>
          <w:color w:val="auto"/>
          <w:sz w:val="24"/>
          <w:szCs w:val="24"/>
          <w:highlight w:val="none"/>
          <w:u w:val="single"/>
          <w:lang w:val="en-US" w:eastAsia="zh-CN"/>
        </w:rPr>
        <w:t>3</w:t>
      </w:r>
      <w:r>
        <w:rPr>
          <w:rFonts w:hint="eastAsia"/>
          <w:color w:val="auto"/>
          <w:sz w:val="24"/>
          <w:szCs w:val="24"/>
          <w:highlight w:val="none"/>
          <w:u w:val="single"/>
        </w:rPr>
        <w:t>年1月1日至投标文件递交截止日内），完成过至少1个类似业绩。注：投标人应提供中标通知书、施工合同及竣工相关证明材料，三者缺一不可，合同时间以竣工时间为准。</w:t>
      </w:r>
    </w:p>
    <w:p w14:paraId="2AEAFFD8">
      <w:pPr>
        <w:pageBreakBefore w:val="0"/>
        <w:kinsoku/>
        <w:wordWrap w:val="0"/>
        <w:bidi w:val="0"/>
        <w:spacing w:line="360" w:lineRule="auto"/>
        <w:ind w:firstLine="480" w:firstLineChars="200"/>
        <w:jc w:val="left"/>
        <w:rPr>
          <w:rFonts w:hint="eastAsia"/>
          <w:color w:val="auto"/>
          <w:sz w:val="24"/>
          <w:szCs w:val="24"/>
          <w:highlight w:val="none"/>
          <w:u w:val="single"/>
        </w:rPr>
      </w:pPr>
      <w:r>
        <w:rPr>
          <w:rFonts w:hint="eastAsia"/>
          <w:color w:val="auto"/>
          <w:sz w:val="24"/>
          <w:szCs w:val="24"/>
          <w:highlight w:val="none"/>
          <w:u w:val="single"/>
        </w:rPr>
        <w:t>1、已录入“辽宁省公共资源交易平台主体交易库”中的企业业绩，可以从主体库中选取后关联至投标文件中，作为企业业绩的证明材料。</w:t>
      </w:r>
    </w:p>
    <w:p w14:paraId="45DC2D2E">
      <w:pPr>
        <w:pageBreakBefore w:val="0"/>
        <w:kinsoku/>
        <w:wordWrap w:val="0"/>
        <w:bidi w:val="0"/>
        <w:spacing w:line="360" w:lineRule="auto"/>
        <w:ind w:firstLine="480" w:firstLineChars="200"/>
        <w:jc w:val="left"/>
        <w:rPr>
          <w:rFonts w:hint="eastAsia"/>
          <w:color w:val="auto"/>
          <w:sz w:val="24"/>
          <w:szCs w:val="24"/>
          <w:highlight w:val="none"/>
          <w:u w:val="single"/>
        </w:rPr>
      </w:pPr>
      <w:r>
        <w:rPr>
          <w:rFonts w:hint="eastAsia"/>
          <w:color w:val="auto"/>
          <w:sz w:val="24"/>
          <w:szCs w:val="24"/>
          <w:highlight w:val="none"/>
          <w:u w:val="single"/>
        </w:rPr>
        <w:t>2、未录入“辽宁省公共资源交易平台主体交易库”中的企业业绩，按下述方式在投标文件第一个信封的“其他材料”中提供，作为企业业绩证明材料：以中标通知书、施工合同、竣工相关证明材料中载明的信息为准，同时还须提供官方网站中标公示页。</w:t>
      </w:r>
    </w:p>
    <w:p w14:paraId="2DC73079">
      <w:pPr>
        <w:pageBreakBefore w:val="0"/>
        <w:kinsoku/>
        <w:wordWrap w:val="0"/>
        <w:bidi w:val="0"/>
        <w:spacing w:line="360" w:lineRule="auto"/>
        <w:ind w:firstLine="480" w:firstLineChars="200"/>
        <w:jc w:val="left"/>
        <w:rPr>
          <w:rFonts w:hint="eastAsia"/>
          <w:color w:val="auto"/>
          <w:sz w:val="24"/>
          <w:szCs w:val="24"/>
          <w:highlight w:val="none"/>
          <w:u w:val="single"/>
        </w:rPr>
      </w:pPr>
      <w:r>
        <w:rPr>
          <w:rFonts w:hint="eastAsia"/>
          <w:color w:val="auto"/>
          <w:sz w:val="24"/>
          <w:szCs w:val="24"/>
          <w:highlight w:val="none"/>
          <w:u w:val="single"/>
        </w:rPr>
        <w:t>如投标人未按要求提供企业业绩证明材料或企业业绩证明材料中的信息无法证实企业满足招标文件要求，则该项目业绩在评审时不予认定。</w:t>
      </w:r>
    </w:p>
    <w:p w14:paraId="3B0681E3">
      <w:pPr>
        <w:pageBreakBefore w:val="0"/>
        <w:kinsoku/>
        <w:wordWrap w:val="0"/>
        <w:bidi w:val="0"/>
        <w:spacing w:line="360" w:lineRule="auto"/>
        <w:ind w:firstLine="480" w:firstLineChars="200"/>
        <w:jc w:val="left"/>
        <w:rPr>
          <w:rFonts w:hint="eastAsia"/>
          <w:color w:val="auto"/>
          <w:sz w:val="24"/>
          <w:szCs w:val="24"/>
          <w:highlight w:val="none"/>
          <w:u w:val="single"/>
        </w:rPr>
      </w:pPr>
      <w:r>
        <w:rPr>
          <w:rFonts w:hint="eastAsia"/>
          <w:color w:val="auto"/>
          <w:sz w:val="24"/>
          <w:szCs w:val="24"/>
          <w:highlight w:val="none"/>
          <w:u w:val="single"/>
        </w:rPr>
        <w:t>3、投标人所提供的企业业绩如通过“交通运输”或“住房和城乡建设”或“发展与改革” 或“招投标监督管理”等政府主管部门各级官方网站的查询结果与投标人自行填报的不符而使得投标人的业绩不符合招标文件规定的，则对应业绩在评审时将不予认定。</w:t>
      </w:r>
    </w:p>
    <w:p w14:paraId="6066D848">
      <w:pPr>
        <w:pageBreakBefore w:val="0"/>
        <w:kinsoku/>
        <w:wordWrap w:val="0"/>
        <w:bidi w:val="0"/>
        <w:spacing w:line="360" w:lineRule="auto"/>
        <w:ind w:firstLine="480" w:firstLineChars="200"/>
        <w:jc w:val="left"/>
        <w:rPr>
          <w:rFonts w:hint="eastAsia"/>
          <w:color w:val="auto"/>
          <w:sz w:val="24"/>
          <w:szCs w:val="24"/>
          <w:highlight w:val="none"/>
          <w:u w:val="single"/>
        </w:rPr>
      </w:pPr>
      <w:r>
        <w:rPr>
          <w:rFonts w:hint="eastAsia"/>
          <w:color w:val="auto"/>
          <w:sz w:val="24"/>
          <w:szCs w:val="24"/>
          <w:highlight w:val="none"/>
          <w:u w:val="single"/>
        </w:rPr>
        <w:t>4、如近年来，投标人法人机构发生变更或重组或法人名称变更时，应提供相关部门的合法批件。</w:t>
      </w:r>
    </w:p>
    <w:p w14:paraId="6A4D7034">
      <w:pPr>
        <w:pageBreakBefore w:val="0"/>
        <w:kinsoku/>
        <w:wordWrap w:val="0"/>
        <w:bidi w:val="0"/>
        <w:spacing w:line="360" w:lineRule="auto"/>
        <w:ind w:firstLine="480" w:firstLineChars="200"/>
        <w:jc w:val="left"/>
        <w:rPr>
          <w:rFonts w:hint="eastAsia"/>
          <w:color w:val="auto"/>
          <w:sz w:val="24"/>
          <w:szCs w:val="24"/>
          <w:highlight w:val="none"/>
          <w:u w:val="none"/>
        </w:rPr>
      </w:pPr>
      <w:r>
        <w:rPr>
          <w:rFonts w:hint="eastAsia"/>
          <w:color w:val="auto"/>
          <w:sz w:val="24"/>
          <w:szCs w:val="24"/>
          <w:highlight w:val="none"/>
          <w:u w:val="none"/>
          <w:lang w:val="en-US" w:eastAsia="zh-CN"/>
        </w:rPr>
        <w:t>3.</w:t>
      </w:r>
      <w:r>
        <w:rPr>
          <w:rFonts w:hint="eastAsia"/>
          <w:color w:val="auto"/>
          <w:sz w:val="24"/>
          <w:szCs w:val="24"/>
          <w:highlight w:val="none"/>
          <w:u w:val="none"/>
        </w:rPr>
        <w:t>1.4项目经理和项目总工要求</w:t>
      </w:r>
    </w:p>
    <w:p w14:paraId="309FC6EE">
      <w:pPr>
        <w:pageBreakBefore w:val="0"/>
        <w:kinsoku/>
        <w:wordWrap w:val="0"/>
        <w:bidi w:val="0"/>
        <w:spacing w:line="360" w:lineRule="auto"/>
        <w:ind w:firstLine="480" w:firstLineChars="200"/>
        <w:jc w:val="left"/>
        <w:rPr>
          <w:rFonts w:hint="eastAsia"/>
          <w:sz w:val="24"/>
          <w:szCs w:val="24"/>
          <w:highlight w:val="none"/>
          <w:u w:val="single"/>
        </w:rPr>
      </w:pPr>
      <w:r>
        <w:rPr>
          <w:rFonts w:hint="eastAsia"/>
          <w:sz w:val="24"/>
          <w:szCs w:val="24"/>
          <w:highlight w:val="none"/>
          <w:u w:val="single"/>
        </w:rPr>
        <w:t>项目经理 (1名) ：具有公路工程专业二级及以上建造师证书且证书目前必须注册在投标人单位，具有交通运输主管部门颁发的安全生产考核合格“B”类证书并在有效期内且证书目前必须注册在投标人单位。</w:t>
      </w:r>
    </w:p>
    <w:p w14:paraId="4B17BBA3">
      <w:pPr>
        <w:pageBreakBefore w:val="0"/>
        <w:kinsoku/>
        <w:wordWrap w:val="0"/>
        <w:bidi w:val="0"/>
        <w:spacing w:line="360" w:lineRule="auto"/>
        <w:ind w:firstLine="480" w:firstLineChars="200"/>
        <w:jc w:val="left"/>
        <w:rPr>
          <w:rFonts w:hint="eastAsia"/>
          <w:sz w:val="24"/>
          <w:szCs w:val="24"/>
          <w:highlight w:val="none"/>
          <w:u w:val="single"/>
          <w:lang w:eastAsia="zh-CN"/>
        </w:rPr>
      </w:pPr>
      <w:r>
        <w:rPr>
          <w:rFonts w:hint="eastAsia"/>
          <w:sz w:val="24"/>
          <w:szCs w:val="24"/>
          <w:highlight w:val="none"/>
          <w:u w:val="single"/>
          <w:lang w:val="en-US" w:eastAsia="zh-CN"/>
        </w:rPr>
        <w:t>项目总工程师</w:t>
      </w:r>
      <w:r>
        <w:rPr>
          <w:rFonts w:hint="eastAsia"/>
          <w:sz w:val="24"/>
          <w:szCs w:val="24"/>
          <w:highlight w:val="none"/>
          <w:u w:val="single"/>
        </w:rPr>
        <w:t xml:space="preserve"> (1名) ：公路工程相关专业中级及以上技术职称</w:t>
      </w:r>
      <w:r>
        <w:rPr>
          <w:rFonts w:hint="eastAsia"/>
          <w:sz w:val="24"/>
          <w:szCs w:val="24"/>
          <w:highlight w:val="none"/>
          <w:u w:val="single"/>
          <w:lang w:eastAsia="zh-CN"/>
        </w:rPr>
        <w:t>。</w:t>
      </w:r>
    </w:p>
    <w:p w14:paraId="389785A5">
      <w:pPr>
        <w:pStyle w:val="28"/>
        <w:jc w:val="left"/>
        <w:rPr>
          <w:rFonts w:hint="default" w:asciiTheme="minorHAnsi" w:hAnsiTheme="minorHAnsi" w:eastAsiaTheme="minorEastAsia" w:cstheme="minorBidi"/>
          <w:color w:val="auto"/>
          <w:kern w:val="2"/>
          <w:sz w:val="24"/>
          <w:szCs w:val="24"/>
          <w:highlight w:val="none"/>
          <w:u w:val="single"/>
          <w:lang w:val="en-US" w:eastAsia="zh-CN" w:bidi="ar-SA"/>
        </w:rPr>
      </w:pPr>
      <w:r>
        <w:rPr>
          <w:rFonts w:hint="eastAsia"/>
          <w:sz w:val="24"/>
          <w:szCs w:val="24"/>
          <w:highlight w:val="none"/>
          <w:lang w:val="en-US" w:eastAsia="zh-CN"/>
        </w:rPr>
        <w:t xml:space="preserve">    </w:t>
      </w:r>
      <w:r>
        <w:rPr>
          <w:rFonts w:hint="eastAsia" w:asciiTheme="minorHAnsi" w:hAnsiTheme="minorHAnsi" w:eastAsiaTheme="minorEastAsia" w:cstheme="minorBidi"/>
          <w:color w:val="auto"/>
          <w:kern w:val="2"/>
          <w:sz w:val="24"/>
          <w:szCs w:val="24"/>
          <w:highlight w:val="none"/>
          <w:u w:val="single"/>
          <w:lang w:val="en-US" w:eastAsia="zh-CN" w:bidi="ar-SA"/>
        </w:rPr>
        <w:t xml:space="preserve"> 项目经理和项目总工程师不得同时在两个及以上项目任职。</w:t>
      </w:r>
    </w:p>
    <w:p w14:paraId="07739A95">
      <w:pPr>
        <w:pageBreakBefore w:val="0"/>
        <w:kinsoku/>
        <w:wordWrap w:val="0"/>
        <w:bidi w:val="0"/>
        <w:spacing w:line="360" w:lineRule="auto"/>
        <w:ind w:firstLine="480" w:firstLineChars="200"/>
        <w:jc w:val="left"/>
        <w:rPr>
          <w:rFonts w:hint="eastAsia"/>
          <w:sz w:val="24"/>
          <w:szCs w:val="24"/>
          <w:highlight w:val="none"/>
          <w:u w:val="none"/>
        </w:rPr>
      </w:pPr>
      <w:r>
        <w:rPr>
          <w:rFonts w:hint="eastAsia"/>
          <w:sz w:val="24"/>
          <w:szCs w:val="24"/>
          <w:highlight w:val="none"/>
          <w:u w:val="none"/>
          <w:lang w:val="en-US" w:eastAsia="zh-CN"/>
        </w:rPr>
        <w:t>3.</w:t>
      </w:r>
      <w:r>
        <w:rPr>
          <w:rFonts w:hint="eastAsia"/>
          <w:sz w:val="24"/>
          <w:szCs w:val="24"/>
          <w:highlight w:val="none"/>
          <w:u w:val="none"/>
        </w:rPr>
        <w:t>1.5信誉要求</w:t>
      </w:r>
    </w:p>
    <w:p w14:paraId="6C0B60FF">
      <w:pPr>
        <w:pStyle w:val="28"/>
        <w:ind w:firstLine="480" w:firstLineChars="200"/>
        <w:jc w:val="left"/>
        <w:rPr>
          <w:rFonts w:hint="eastAsia" w:asciiTheme="minorHAnsi" w:hAnsiTheme="minorHAnsi" w:eastAsiaTheme="minorEastAsia" w:cstheme="minorBidi"/>
          <w:color w:val="auto"/>
          <w:kern w:val="2"/>
          <w:sz w:val="24"/>
          <w:szCs w:val="24"/>
          <w:highlight w:val="none"/>
          <w:u w:val="single"/>
          <w:lang w:val="en-US" w:eastAsia="zh-CN" w:bidi="ar-SA"/>
        </w:rPr>
      </w:pPr>
      <w:r>
        <w:rPr>
          <w:rFonts w:hint="eastAsia" w:asciiTheme="minorHAnsi" w:hAnsiTheme="minorHAnsi" w:eastAsiaTheme="minorEastAsia" w:cstheme="minorBidi"/>
          <w:color w:val="auto"/>
          <w:kern w:val="2"/>
          <w:sz w:val="24"/>
          <w:szCs w:val="24"/>
          <w:highlight w:val="none"/>
          <w:u w:val="single"/>
          <w:lang w:val="en-US" w:eastAsia="zh-CN" w:bidi="ar-SA"/>
        </w:rPr>
        <w:t>（1）未被省级及以上交通运输主管部门取消招标项目所在地的投标资格且处于有效期内；</w:t>
      </w:r>
    </w:p>
    <w:p w14:paraId="32D782DB">
      <w:pPr>
        <w:pStyle w:val="28"/>
        <w:ind w:firstLine="480" w:firstLineChars="200"/>
        <w:jc w:val="left"/>
        <w:rPr>
          <w:rFonts w:hint="eastAsia" w:asciiTheme="minorHAnsi" w:hAnsiTheme="minorHAnsi" w:eastAsiaTheme="minorEastAsia" w:cstheme="minorBidi"/>
          <w:color w:val="auto"/>
          <w:kern w:val="2"/>
          <w:sz w:val="24"/>
          <w:szCs w:val="24"/>
          <w:highlight w:val="none"/>
          <w:u w:val="single"/>
          <w:lang w:val="en-US" w:eastAsia="zh-CN" w:bidi="ar-SA"/>
        </w:rPr>
      </w:pPr>
      <w:r>
        <w:rPr>
          <w:rFonts w:hint="eastAsia" w:asciiTheme="minorHAnsi" w:hAnsiTheme="minorHAnsi" w:eastAsiaTheme="minorEastAsia" w:cstheme="minorBidi"/>
          <w:color w:val="auto"/>
          <w:kern w:val="2"/>
          <w:sz w:val="24"/>
          <w:szCs w:val="24"/>
          <w:highlight w:val="none"/>
          <w:u w:val="single"/>
          <w:lang w:val="en-US" w:eastAsia="zh-CN" w:bidi="ar-SA"/>
        </w:rPr>
        <w:t>（2）未被责令停业，暂扣或吊销执照，或吊销资质证书；</w:t>
      </w:r>
    </w:p>
    <w:p w14:paraId="2C805819">
      <w:pPr>
        <w:pStyle w:val="28"/>
        <w:ind w:firstLine="480" w:firstLineChars="200"/>
        <w:jc w:val="left"/>
        <w:rPr>
          <w:rFonts w:hint="eastAsia" w:asciiTheme="minorHAnsi" w:hAnsiTheme="minorHAnsi" w:eastAsiaTheme="minorEastAsia" w:cstheme="minorBidi"/>
          <w:color w:val="auto"/>
          <w:kern w:val="2"/>
          <w:sz w:val="24"/>
          <w:szCs w:val="24"/>
          <w:highlight w:val="none"/>
          <w:u w:val="single"/>
          <w:lang w:val="en-US" w:eastAsia="zh-CN" w:bidi="ar-SA"/>
        </w:rPr>
      </w:pPr>
      <w:r>
        <w:rPr>
          <w:rFonts w:hint="eastAsia" w:asciiTheme="minorHAnsi" w:hAnsiTheme="minorHAnsi" w:eastAsiaTheme="minorEastAsia" w:cstheme="minorBidi"/>
          <w:color w:val="auto"/>
          <w:kern w:val="2"/>
          <w:sz w:val="24"/>
          <w:szCs w:val="24"/>
          <w:highlight w:val="none"/>
          <w:u w:val="single"/>
          <w:lang w:val="en-US" w:eastAsia="zh-CN" w:bidi="ar-SA"/>
        </w:rPr>
        <w:t>（3）未进入清算程序，或被宣告破产，或其他丧失履约能力的情形；</w:t>
      </w:r>
    </w:p>
    <w:p w14:paraId="6036A53B">
      <w:pPr>
        <w:pStyle w:val="28"/>
        <w:ind w:firstLine="480" w:firstLineChars="200"/>
        <w:jc w:val="left"/>
        <w:rPr>
          <w:rFonts w:hint="eastAsia" w:asciiTheme="minorHAnsi" w:hAnsiTheme="minorHAnsi" w:eastAsiaTheme="minorEastAsia" w:cstheme="minorBidi"/>
          <w:color w:val="auto"/>
          <w:kern w:val="2"/>
          <w:sz w:val="24"/>
          <w:szCs w:val="24"/>
          <w:highlight w:val="none"/>
          <w:u w:val="single"/>
          <w:lang w:val="en-US" w:eastAsia="zh-CN" w:bidi="ar-SA"/>
        </w:rPr>
      </w:pPr>
      <w:r>
        <w:rPr>
          <w:rFonts w:hint="eastAsia" w:asciiTheme="minorHAnsi" w:hAnsiTheme="minorHAnsi" w:eastAsiaTheme="minorEastAsia" w:cstheme="minorBidi"/>
          <w:color w:val="auto"/>
          <w:kern w:val="2"/>
          <w:sz w:val="24"/>
          <w:szCs w:val="24"/>
          <w:highlight w:val="none"/>
          <w:u w:val="single"/>
          <w:lang w:val="en-US" w:eastAsia="zh-CN" w:bidi="ar-SA"/>
        </w:rPr>
        <w:t>（4）在国家企业信用信息公示系统（http：//www.gsxt.gov.cn）中未被列入严重违法失信企业名单；</w:t>
      </w:r>
    </w:p>
    <w:p w14:paraId="31382698">
      <w:pPr>
        <w:pStyle w:val="28"/>
        <w:ind w:firstLine="480" w:firstLineChars="200"/>
        <w:jc w:val="left"/>
        <w:rPr>
          <w:rFonts w:hint="eastAsia" w:asciiTheme="minorHAnsi" w:hAnsiTheme="minorHAnsi" w:eastAsiaTheme="minorEastAsia" w:cstheme="minorBidi"/>
          <w:color w:val="auto"/>
          <w:kern w:val="2"/>
          <w:sz w:val="24"/>
          <w:szCs w:val="24"/>
          <w:highlight w:val="none"/>
          <w:u w:val="single"/>
          <w:lang w:val="en-US" w:eastAsia="zh-CN" w:bidi="ar-SA"/>
        </w:rPr>
      </w:pPr>
      <w:r>
        <w:rPr>
          <w:rFonts w:hint="eastAsia" w:asciiTheme="minorHAnsi" w:hAnsiTheme="minorHAnsi" w:eastAsiaTheme="minorEastAsia" w:cstheme="minorBidi"/>
          <w:color w:val="auto"/>
          <w:kern w:val="2"/>
          <w:sz w:val="24"/>
          <w:szCs w:val="24"/>
          <w:highlight w:val="none"/>
          <w:u w:val="single"/>
          <w:lang w:val="en-US" w:eastAsia="zh-CN" w:bidi="ar-SA"/>
        </w:rPr>
        <w:t>（5）在“信用中国”网站（http：//www.creditchina.gov.cn）中未被列入失信被执行人名单；</w:t>
      </w:r>
    </w:p>
    <w:p w14:paraId="0F0F2623">
      <w:pPr>
        <w:pStyle w:val="28"/>
        <w:ind w:firstLine="480" w:firstLineChars="200"/>
        <w:jc w:val="left"/>
        <w:rPr>
          <w:rFonts w:hint="eastAsia" w:asciiTheme="minorHAnsi" w:hAnsiTheme="minorHAnsi" w:eastAsiaTheme="minorEastAsia" w:cstheme="minorBidi"/>
          <w:color w:val="auto"/>
          <w:kern w:val="2"/>
          <w:sz w:val="24"/>
          <w:szCs w:val="24"/>
          <w:highlight w:val="none"/>
          <w:u w:val="single"/>
          <w:lang w:val="en-US" w:eastAsia="zh-CN" w:bidi="ar-SA"/>
        </w:rPr>
      </w:pPr>
      <w:r>
        <w:rPr>
          <w:rFonts w:hint="eastAsia" w:asciiTheme="minorHAnsi" w:hAnsiTheme="minorHAnsi" w:eastAsiaTheme="minorEastAsia" w:cstheme="minorBidi"/>
          <w:color w:val="auto"/>
          <w:kern w:val="2"/>
          <w:sz w:val="24"/>
          <w:szCs w:val="24"/>
          <w:highlight w:val="none"/>
          <w:u w:val="single"/>
          <w:lang w:val="en-US" w:eastAsia="zh-CN" w:bidi="ar-SA"/>
        </w:rPr>
        <w:t>（6）投标人或其法定代表人、拟委任的项目经理在近三年内没有行贿犯罪行为的；</w:t>
      </w:r>
    </w:p>
    <w:p w14:paraId="4D43FD6F">
      <w:pPr>
        <w:pStyle w:val="28"/>
        <w:ind w:firstLine="480" w:firstLineChars="200"/>
        <w:jc w:val="left"/>
        <w:rPr>
          <w:rFonts w:hint="eastAsia" w:asciiTheme="minorHAnsi" w:hAnsiTheme="minorHAnsi" w:eastAsiaTheme="minorEastAsia" w:cstheme="minorBidi"/>
          <w:color w:val="auto"/>
          <w:kern w:val="2"/>
          <w:sz w:val="24"/>
          <w:szCs w:val="24"/>
          <w:highlight w:val="none"/>
          <w:u w:val="single"/>
          <w:lang w:val="en-US" w:eastAsia="zh-CN" w:bidi="ar-SA"/>
        </w:rPr>
      </w:pPr>
      <w:r>
        <w:rPr>
          <w:rFonts w:hint="eastAsia" w:asciiTheme="minorHAnsi" w:hAnsiTheme="minorHAnsi" w:eastAsiaTheme="minorEastAsia" w:cstheme="minorBidi"/>
          <w:color w:val="auto"/>
          <w:kern w:val="2"/>
          <w:sz w:val="24"/>
          <w:szCs w:val="24"/>
          <w:highlight w:val="none"/>
          <w:u w:val="single"/>
          <w:lang w:val="en-US" w:eastAsia="zh-CN" w:bidi="ar-SA"/>
        </w:rPr>
        <w:t>（7）投标人在以往工程未因拖欠农民工工资、材料采购、工程分包款等，而受到省级有关部门的通报；</w:t>
      </w:r>
    </w:p>
    <w:p w14:paraId="27E15DC5">
      <w:pPr>
        <w:pStyle w:val="28"/>
        <w:ind w:firstLine="480" w:firstLineChars="200"/>
        <w:jc w:val="left"/>
        <w:rPr>
          <w:rFonts w:hint="eastAsia" w:asciiTheme="minorHAnsi" w:hAnsiTheme="minorHAnsi" w:eastAsiaTheme="minorEastAsia" w:cstheme="minorBidi"/>
          <w:color w:val="auto"/>
          <w:kern w:val="2"/>
          <w:sz w:val="24"/>
          <w:szCs w:val="24"/>
          <w:highlight w:val="none"/>
          <w:u w:val="single"/>
          <w:lang w:val="en-US" w:eastAsia="zh-CN" w:bidi="ar-SA"/>
        </w:rPr>
      </w:pPr>
      <w:r>
        <w:rPr>
          <w:rFonts w:hint="eastAsia" w:asciiTheme="minorHAnsi" w:hAnsiTheme="minorHAnsi" w:eastAsiaTheme="minorEastAsia" w:cstheme="minorBidi"/>
          <w:color w:val="auto"/>
          <w:kern w:val="2"/>
          <w:sz w:val="24"/>
          <w:szCs w:val="24"/>
          <w:highlight w:val="none"/>
          <w:u w:val="single"/>
          <w:lang w:val="en-US" w:eastAsia="zh-CN" w:bidi="ar-SA"/>
        </w:rPr>
        <w:t>（8）法律法规规定的其他情形。</w:t>
      </w:r>
    </w:p>
    <w:p w14:paraId="051551BA">
      <w:pPr>
        <w:pageBreakBefore w:val="0"/>
        <w:kinsoku/>
        <w:wordWrap w:val="0"/>
        <w:bidi w:val="0"/>
        <w:spacing w:line="360" w:lineRule="auto"/>
        <w:ind w:firstLine="480" w:firstLineChars="200"/>
        <w:jc w:val="left"/>
        <w:rPr>
          <w:rFonts w:hint="eastAsia"/>
          <w:sz w:val="24"/>
          <w:szCs w:val="24"/>
          <w:highlight w:val="none"/>
          <w:u w:val="none"/>
        </w:rPr>
      </w:pPr>
      <w:r>
        <w:rPr>
          <w:rFonts w:hint="eastAsia"/>
          <w:sz w:val="24"/>
          <w:szCs w:val="24"/>
          <w:highlight w:val="none"/>
          <w:u w:val="none"/>
          <w:lang w:val="en-US" w:eastAsia="zh-CN"/>
        </w:rPr>
        <w:t>3.</w:t>
      </w:r>
      <w:r>
        <w:rPr>
          <w:rFonts w:hint="eastAsia"/>
          <w:sz w:val="24"/>
          <w:szCs w:val="24"/>
          <w:highlight w:val="none"/>
          <w:u w:val="none"/>
        </w:rPr>
        <w:t>1.6其他要求</w:t>
      </w:r>
    </w:p>
    <w:p w14:paraId="23CD0600">
      <w:pPr>
        <w:pStyle w:val="28"/>
        <w:ind w:firstLine="480" w:firstLineChars="200"/>
        <w:jc w:val="left"/>
        <w:rPr>
          <w:rFonts w:hint="eastAsia" w:asciiTheme="minorHAnsi" w:hAnsiTheme="minorHAnsi" w:eastAsiaTheme="minorEastAsia" w:cstheme="minorBidi"/>
          <w:color w:val="auto"/>
          <w:kern w:val="2"/>
          <w:sz w:val="24"/>
          <w:szCs w:val="24"/>
          <w:highlight w:val="none"/>
          <w:u w:val="single"/>
          <w:lang w:val="en-US" w:eastAsia="zh-CN" w:bidi="ar-SA"/>
        </w:rPr>
      </w:pPr>
      <w:r>
        <w:rPr>
          <w:rFonts w:hint="eastAsia" w:asciiTheme="minorHAnsi" w:hAnsiTheme="minorHAnsi" w:eastAsiaTheme="minorEastAsia" w:cstheme="minorBidi"/>
          <w:color w:val="auto"/>
          <w:kern w:val="2"/>
          <w:sz w:val="24"/>
          <w:szCs w:val="24"/>
          <w:highlight w:val="none"/>
          <w:u w:val="single"/>
          <w:lang w:val="en-US" w:eastAsia="zh-CN" w:bidi="ar-SA"/>
        </w:rPr>
        <w:t>（1）根据《关于发布公路工程从业企业资质名录的通知》（厅公路字〔2011〕114号）要求，投标人如为名录范围的施工企业，则应进入交通运输部“全国公路建设市场监督管理系统（</w:t>
      </w:r>
      <w:r>
        <w:rPr>
          <w:rFonts w:hint="eastAsia" w:asciiTheme="minorHAnsi" w:hAnsiTheme="minorHAnsi" w:eastAsiaTheme="minorEastAsia" w:cstheme="minorBidi"/>
          <w:color w:val="auto"/>
          <w:kern w:val="2"/>
          <w:sz w:val="24"/>
          <w:szCs w:val="24"/>
          <w:highlight w:val="none"/>
          <w:u w:val="single"/>
          <w:lang w:val="en-US" w:eastAsia="zh-CN" w:bidi="ar-SA"/>
        </w:rPr>
        <w:fldChar w:fldCharType="begin"/>
      </w:r>
      <w:r>
        <w:rPr>
          <w:rFonts w:hint="eastAsia" w:asciiTheme="minorHAnsi" w:hAnsiTheme="minorHAnsi" w:eastAsiaTheme="minorEastAsia" w:cstheme="minorBidi"/>
          <w:color w:val="auto"/>
          <w:kern w:val="2"/>
          <w:sz w:val="24"/>
          <w:szCs w:val="24"/>
          <w:highlight w:val="none"/>
          <w:u w:val="single"/>
          <w:lang w:val="en-US" w:eastAsia="zh-CN" w:bidi="ar-SA"/>
        </w:rPr>
        <w:instrText xml:space="preserve"> HYPERLINK "https://hwdms.mot.gov.cn/BMWebSite/" </w:instrText>
      </w:r>
      <w:r>
        <w:rPr>
          <w:rFonts w:hint="eastAsia" w:asciiTheme="minorHAnsi" w:hAnsiTheme="minorHAnsi" w:eastAsiaTheme="minorEastAsia" w:cstheme="minorBidi"/>
          <w:color w:val="auto"/>
          <w:kern w:val="2"/>
          <w:sz w:val="24"/>
          <w:szCs w:val="24"/>
          <w:highlight w:val="none"/>
          <w:u w:val="single"/>
          <w:lang w:val="en-US" w:eastAsia="zh-CN" w:bidi="ar-SA"/>
        </w:rPr>
        <w:fldChar w:fldCharType="separate"/>
      </w:r>
      <w:r>
        <w:rPr>
          <w:rFonts w:hint="eastAsia" w:asciiTheme="minorHAnsi" w:hAnsiTheme="minorHAnsi" w:eastAsiaTheme="minorEastAsia" w:cstheme="minorBidi"/>
          <w:color w:val="auto"/>
          <w:kern w:val="2"/>
          <w:sz w:val="24"/>
          <w:szCs w:val="24"/>
          <w:highlight w:val="none"/>
          <w:u w:val="single"/>
          <w:lang w:val="en-US" w:eastAsia="zh-CN" w:bidi="ar-SA"/>
        </w:rPr>
        <w:t>https://hwdms.mot.gov.cn/BMWebSite/</w:t>
      </w:r>
      <w:r>
        <w:rPr>
          <w:rFonts w:hint="eastAsia" w:asciiTheme="minorHAnsi" w:hAnsiTheme="minorHAnsi" w:eastAsiaTheme="minorEastAsia" w:cstheme="minorBidi"/>
          <w:color w:val="auto"/>
          <w:kern w:val="2"/>
          <w:sz w:val="24"/>
          <w:szCs w:val="24"/>
          <w:highlight w:val="none"/>
          <w:u w:val="single"/>
          <w:lang w:val="en-US" w:eastAsia="zh-CN" w:bidi="ar-SA"/>
        </w:rPr>
        <w:fldChar w:fldCharType="end"/>
      </w:r>
      <w:r>
        <w:rPr>
          <w:rFonts w:hint="eastAsia" w:asciiTheme="minorHAnsi" w:hAnsiTheme="minorHAnsi" w:eastAsiaTheme="minorEastAsia" w:cstheme="minorBidi"/>
          <w:color w:val="auto"/>
          <w:kern w:val="2"/>
          <w:sz w:val="24"/>
          <w:szCs w:val="24"/>
          <w:highlight w:val="none"/>
          <w:u w:val="single"/>
          <w:lang w:val="en-US" w:eastAsia="zh-CN" w:bidi="ar-SA"/>
        </w:rPr>
        <w:t xml:space="preserve"> ） ”中的公路工程施工资质企业名录，且投标人名称和资质与该名录中的相应企业名称和资质完全一致。</w:t>
      </w:r>
    </w:p>
    <w:p w14:paraId="17149F0B">
      <w:pPr>
        <w:pStyle w:val="28"/>
        <w:ind w:firstLine="480" w:firstLineChars="200"/>
        <w:jc w:val="left"/>
        <w:rPr>
          <w:rFonts w:hint="eastAsia" w:asciiTheme="minorHAnsi" w:hAnsiTheme="minorHAnsi" w:eastAsiaTheme="minorEastAsia" w:cstheme="minorBidi"/>
          <w:color w:val="auto"/>
          <w:kern w:val="2"/>
          <w:sz w:val="24"/>
          <w:szCs w:val="24"/>
          <w:highlight w:val="none"/>
          <w:u w:val="single"/>
          <w:lang w:val="en-US" w:eastAsia="zh-CN" w:bidi="ar-SA"/>
        </w:rPr>
      </w:pPr>
      <w:r>
        <w:rPr>
          <w:rFonts w:hint="eastAsia" w:asciiTheme="minorHAnsi" w:hAnsiTheme="minorHAnsi" w:eastAsiaTheme="minorEastAsia" w:cstheme="minorBidi"/>
          <w:color w:val="auto"/>
          <w:kern w:val="2"/>
          <w:sz w:val="24"/>
          <w:szCs w:val="24"/>
          <w:highlight w:val="none"/>
          <w:u w:val="single"/>
          <w:lang w:val="en-US" w:eastAsia="zh-CN" w:bidi="ar-SA"/>
        </w:rPr>
        <w:t>（2）      /               。</w:t>
      </w:r>
    </w:p>
    <w:p w14:paraId="55D3C5C3">
      <w:pPr>
        <w:pageBreakBefore w:val="0"/>
        <w:numPr>
          <w:ilvl w:val="0"/>
          <w:numId w:val="0"/>
        </w:numPr>
        <w:kinsoku/>
        <w:wordWrap w:val="0"/>
        <w:bidi w:val="0"/>
        <w:spacing w:line="360" w:lineRule="auto"/>
        <w:ind w:left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3.2 本次招标</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不接受      </w:t>
      </w:r>
      <w:r>
        <w:rPr>
          <w:rFonts w:hint="eastAsia" w:ascii="宋体" w:hAnsi="宋体" w:eastAsia="宋体" w:cs="宋体"/>
          <w:sz w:val="24"/>
          <w:szCs w:val="24"/>
          <w:highlight w:val="none"/>
        </w:rPr>
        <w:t>（接受或不接受）联合体投标。</w:t>
      </w:r>
    </w:p>
    <w:p w14:paraId="39461009">
      <w:pPr>
        <w:pageBreakBefore w:val="0"/>
        <w:kinsoku/>
        <w:wordWrap w:val="0"/>
        <w:bidi w:val="0"/>
        <w:spacing w:line="360" w:lineRule="auto"/>
        <w:ind w:left="0" w:leftChars="0" w:firstLine="480" w:firstLineChars="200"/>
        <w:jc w:val="left"/>
        <w:rPr>
          <w:rFonts w:hint="eastAsia" w:ascii="宋体" w:hAnsi="宋体" w:eastAsia="宋体" w:cs="宋体"/>
          <w:color w:val="FF0000"/>
          <w:sz w:val="24"/>
          <w:szCs w:val="24"/>
          <w:highlight w:val="none"/>
          <w:lang w:eastAsia="zh-CN"/>
        </w:rPr>
      </w:pPr>
      <w:r>
        <w:rPr>
          <w:rFonts w:hint="eastAsia" w:ascii="宋体" w:hAnsi="宋体" w:eastAsia="宋体" w:cs="宋体"/>
          <w:sz w:val="24"/>
          <w:szCs w:val="24"/>
          <w:highlight w:val="none"/>
        </w:rPr>
        <w:t xml:space="preserve">3.3 </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1个</w:t>
      </w:r>
      <w:r>
        <w:rPr>
          <w:rFonts w:hint="eastAsia" w:ascii="宋体" w:hAnsi="宋体" w:eastAsia="宋体" w:cs="宋体"/>
          <w:sz w:val="24"/>
          <w:szCs w:val="24"/>
          <w:highlight w:val="none"/>
          <w:u w:val="single"/>
        </w:rPr>
        <w:t xml:space="preserve">  标段</w:t>
      </w:r>
      <w:r>
        <w:rPr>
          <w:rFonts w:hint="eastAsia" w:ascii="宋体" w:hAnsi="宋体" w:eastAsia="宋体" w:cs="宋体"/>
          <w:sz w:val="24"/>
          <w:szCs w:val="24"/>
          <w:highlight w:val="none"/>
        </w:rPr>
        <w:t>为同一类型专业工程和同等资格条件要求，每个投标人必须同时递交本次招标的</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1</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eastAsia="zh-CN"/>
        </w:rPr>
        <w:t>个</w:t>
      </w:r>
      <w:r>
        <w:rPr>
          <w:rFonts w:hint="eastAsia" w:ascii="宋体" w:hAnsi="宋体" w:eastAsia="宋体" w:cs="宋体"/>
          <w:sz w:val="24"/>
          <w:szCs w:val="24"/>
          <w:highlight w:val="none"/>
          <w:u w:val="single"/>
        </w:rPr>
        <w:t xml:space="preserve">   标段</w:t>
      </w:r>
      <w:r>
        <w:rPr>
          <w:rFonts w:hint="eastAsia" w:ascii="宋体" w:hAnsi="宋体" w:eastAsia="宋体" w:cs="宋体"/>
          <w:sz w:val="24"/>
          <w:szCs w:val="24"/>
          <w:highlight w:val="none"/>
        </w:rPr>
        <w:t>的投标文件，每个投标人必须同时对本次招标的</w:t>
      </w:r>
      <w:r>
        <w:rPr>
          <w:rFonts w:hint="eastAsia" w:ascii="宋体" w:hAnsi="宋体" w:eastAsia="宋体" w:cs="宋体"/>
          <w:sz w:val="24"/>
          <w:szCs w:val="24"/>
          <w:highlight w:val="none"/>
          <w:u w:val="single"/>
          <w:lang w:val="en-US" w:eastAsia="zh-CN"/>
        </w:rPr>
        <w:t xml:space="preserve">   1   </w:t>
      </w:r>
      <w:r>
        <w:rPr>
          <w:rFonts w:hint="eastAsia" w:ascii="宋体" w:hAnsi="宋体" w:eastAsia="宋体" w:cs="宋体"/>
          <w:sz w:val="24"/>
          <w:szCs w:val="24"/>
          <w:highlight w:val="none"/>
        </w:rPr>
        <w:t>个标段进行投标，最多允许中其中</w:t>
      </w:r>
      <w:r>
        <w:rPr>
          <w:rFonts w:hint="eastAsia" w:ascii="宋体" w:hAnsi="宋体" w:eastAsia="宋体" w:cs="宋体"/>
          <w:sz w:val="24"/>
          <w:szCs w:val="24"/>
          <w:highlight w:val="none"/>
          <w:u w:val="single"/>
          <w:lang w:val="en-US" w:eastAsia="zh-CN"/>
        </w:rPr>
        <w:t xml:space="preserve">   1  </w:t>
      </w:r>
      <w:r>
        <w:rPr>
          <w:rFonts w:hint="eastAsia" w:ascii="宋体" w:hAnsi="宋体" w:eastAsia="宋体" w:cs="宋体"/>
          <w:sz w:val="24"/>
          <w:szCs w:val="24"/>
          <w:highlight w:val="none"/>
        </w:rPr>
        <w:t>个标段。本项目共四个标段兼投不兼中。</w:t>
      </w:r>
    </w:p>
    <w:p w14:paraId="09A8A2DA">
      <w:pPr>
        <w:pageBreakBefore w:val="0"/>
        <w:tabs>
          <w:tab w:val="left" w:pos="360"/>
        </w:tabs>
        <w:kinsoku/>
        <w:wordWrap w:val="0"/>
        <w:bidi w:val="0"/>
        <w:spacing w:line="360" w:lineRule="auto"/>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3.4 与招标人存在利害关系可能影响招标公正性的单位，不得参加投标。单位负责人为同一人或存在控股、管理关系的不同单位，不得参加同一标段投标，否则，相关投标均无效。</w:t>
      </w:r>
    </w:p>
    <w:p w14:paraId="4ABB1FCB">
      <w:pPr>
        <w:pageBreakBefore w:val="0"/>
        <w:kinsoku/>
        <w:wordWrap w:val="0"/>
        <w:overflowPunct/>
        <w:bidi w:val="0"/>
        <w:spacing w:line="360" w:lineRule="auto"/>
        <w:ind w:firstLine="480" w:firstLineChars="200"/>
        <w:jc w:val="left"/>
        <w:rPr>
          <w:rFonts w:hint="eastAsia" w:ascii="宋体" w:hAnsi="宋体" w:eastAsia="宋体" w:cs="宋体"/>
          <w:kern w:val="28"/>
          <w:sz w:val="24"/>
          <w:szCs w:val="24"/>
          <w:highlight w:val="none"/>
        </w:rPr>
      </w:pPr>
      <w:r>
        <w:rPr>
          <w:rFonts w:hint="eastAsia" w:ascii="宋体" w:hAnsi="宋体" w:eastAsia="宋体" w:cs="宋体"/>
          <w:sz w:val="24"/>
          <w:szCs w:val="24"/>
          <w:highlight w:val="none"/>
        </w:rPr>
        <w:t xml:space="preserve">3.5 </w:t>
      </w:r>
      <w:r>
        <w:rPr>
          <w:rFonts w:hint="eastAsia" w:ascii="宋体" w:hAnsi="宋体" w:eastAsia="宋体" w:cs="宋体"/>
          <w:kern w:val="28"/>
          <w:sz w:val="24"/>
          <w:szCs w:val="24"/>
          <w:highlight w:val="none"/>
        </w:rPr>
        <w:t>存在下列不良状况或不良信用记录的单位，不得以任何形式参加投标：</w:t>
      </w:r>
    </w:p>
    <w:p w14:paraId="61AD6776">
      <w:pPr>
        <w:pageBreakBefore w:val="0"/>
        <w:kinsoku/>
        <w:wordWrap w:val="0"/>
        <w:overflowPunct/>
        <w:bidi w:val="0"/>
        <w:spacing w:line="360" w:lineRule="auto"/>
        <w:ind w:firstLine="480" w:firstLineChars="200"/>
        <w:jc w:val="left"/>
        <w:rPr>
          <w:rFonts w:hint="eastAsia" w:ascii="宋体" w:hAnsi="宋体" w:eastAsia="宋体" w:cs="宋体"/>
          <w:kern w:val="28"/>
          <w:sz w:val="24"/>
          <w:szCs w:val="24"/>
          <w:highlight w:val="none"/>
        </w:rPr>
      </w:pPr>
      <w:r>
        <w:rPr>
          <w:rFonts w:hint="eastAsia" w:ascii="宋体" w:hAnsi="宋体" w:eastAsia="宋体" w:cs="宋体"/>
          <w:kern w:val="28"/>
          <w:sz w:val="24"/>
          <w:szCs w:val="24"/>
          <w:highlight w:val="none"/>
        </w:rPr>
        <w:t>（1）被省级及以上交通运输主管部门取消招标项目所在地的投标资格且处于有效期内；</w:t>
      </w:r>
    </w:p>
    <w:p w14:paraId="13B9E04A">
      <w:pPr>
        <w:pageBreakBefore w:val="0"/>
        <w:kinsoku/>
        <w:wordWrap w:val="0"/>
        <w:overflowPunct/>
        <w:bidi w:val="0"/>
        <w:spacing w:line="360" w:lineRule="auto"/>
        <w:ind w:firstLine="480" w:firstLineChars="200"/>
        <w:jc w:val="left"/>
        <w:rPr>
          <w:rFonts w:hint="eastAsia" w:ascii="宋体" w:hAnsi="宋体" w:eastAsia="宋体" w:cs="宋体"/>
          <w:kern w:val="28"/>
          <w:sz w:val="24"/>
          <w:szCs w:val="24"/>
          <w:highlight w:val="none"/>
        </w:rPr>
      </w:pPr>
      <w:r>
        <w:rPr>
          <w:rFonts w:hint="eastAsia" w:ascii="宋体" w:hAnsi="宋体" w:eastAsia="宋体" w:cs="宋体"/>
          <w:kern w:val="28"/>
          <w:sz w:val="24"/>
          <w:szCs w:val="24"/>
          <w:highlight w:val="none"/>
        </w:rPr>
        <w:t>（2）被责令停业，暂扣或吊销执照，或吊销资质证书；</w:t>
      </w:r>
    </w:p>
    <w:p w14:paraId="22924BD5">
      <w:pPr>
        <w:pageBreakBefore w:val="0"/>
        <w:kinsoku/>
        <w:wordWrap w:val="0"/>
        <w:overflowPunct/>
        <w:bidi w:val="0"/>
        <w:spacing w:line="360" w:lineRule="auto"/>
        <w:ind w:firstLine="480" w:firstLineChars="200"/>
        <w:jc w:val="left"/>
        <w:rPr>
          <w:rFonts w:hint="eastAsia" w:ascii="宋体" w:hAnsi="宋体" w:eastAsia="宋体" w:cs="宋体"/>
          <w:kern w:val="28"/>
          <w:sz w:val="24"/>
          <w:szCs w:val="24"/>
          <w:highlight w:val="none"/>
        </w:rPr>
      </w:pPr>
      <w:r>
        <w:rPr>
          <w:rFonts w:hint="eastAsia" w:ascii="宋体" w:hAnsi="宋体" w:eastAsia="宋体" w:cs="宋体"/>
          <w:kern w:val="28"/>
          <w:sz w:val="24"/>
          <w:szCs w:val="24"/>
          <w:highlight w:val="none"/>
        </w:rPr>
        <w:t>（3）进入清算程序，或被宣告破产，或其他丧失履约能力的情形；</w:t>
      </w:r>
    </w:p>
    <w:p w14:paraId="44499AB0">
      <w:pPr>
        <w:pageBreakBefore w:val="0"/>
        <w:kinsoku/>
        <w:wordWrap w:val="0"/>
        <w:overflowPunct/>
        <w:bidi w:val="0"/>
        <w:spacing w:line="360" w:lineRule="auto"/>
        <w:ind w:firstLine="480" w:firstLineChars="200"/>
        <w:jc w:val="left"/>
        <w:rPr>
          <w:rFonts w:hint="eastAsia" w:ascii="宋体" w:hAnsi="宋体" w:eastAsia="宋体" w:cs="宋体"/>
          <w:kern w:val="28"/>
          <w:sz w:val="24"/>
          <w:szCs w:val="24"/>
          <w:highlight w:val="none"/>
        </w:rPr>
      </w:pPr>
      <w:r>
        <w:rPr>
          <w:rFonts w:hint="eastAsia" w:ascii="宋体" w:hAnsi="宋体" w:eastAsia="宋体" w:cs="宋体"/>
          <w:kern w:val="28"/>
          <w:sz w:val="24"/>
          <w:szCs w:val="24"/>
          <w:highlight w:val="none"/>
        </w:rPr>
        <w:t>（4）在国家企业信用信息公示系统（http：//www.gsxt.gov.cn）中被列入严重违法失信企业名单；</w:t>
      </w:r>
    </w:p>
    <w:p w14:paraId="17195FCC">
      <w:pPr>
        <w:pageBreakBefore w:val="0"/>
        <w:kinsoku/>
        <w:wordWrap w:val="0"/>
        <w:overflowPunct/>
        <w:bidi w:val="0"/>
        <w:spacing w:line="360" w:lineRule="auto"/>
        <w:ind w:firstLine="480" w:firstLineChars="200"/>
        <w:jc w:val="left"/>
        <w:rPr>
          <w:rFonts w:hint="eastAsia" w:ascii="宋体" w:hAnsi="宋体" w:eastAsia="宋体" w:cs="宋体"/>
          <w:kern w:val="28"/>
          <w:sz w:val="24"/>
          <w:szCs w:val="24"/>
          <w:highlight w:val="none"/>
        </w:rPr>
      </w:pPr>
      <w:r>
        <w:rPr>
          <w:rFonts w:hint="eastAsia" w:ascii="宋体" w:hAnsi="宋体" w:eastAsia="宋体" w:cs="宋体"/>
          <w:kern w:val="28"/>
          <w:sz w:val="24"/>
          <w:szCs w:val="24"/>
          <w:highlight w:val="none"/>
        </w:rPr>
        <w:t>（5）在“信用中国”网站（http：//www.creditchina.gov.cn）中被列入失信被执行人名单；</w:t>
      </w:r>
    </w:p>
    <w:p w14:paraId="6EED3024">
      <w:pPr>
        <w:pageBreakBefore w:val="0"/>
        <w:kinsoku/>
        <w:wordWrap w:val="0"/>
        <w:overflowPunct/>
        <w:bidi w:val="0"/>
        <w:spacing w:line="360" w:lineRule="auto"/>
        <w:ind w:firstLine="480" w:firstLineChars="200"/>
        <w:jc w:val="left"/>
        <w:rPr>
          <w:rFonts w:hint="eastAsia" w:ascii="宋体" w:hAnsi="宋体" w:eastAsia="宋体" w:cs="宋体"/>
          <w:kern w:val="28"/>
          <w:sz w:val="24"/>
          <w:szCs w:val="24"/>
          <w:highlight w:val="none"/>
        </w:rPr>
      </w:pPr>
      <w:r>
        <w:rPr>
          <w:rFonts w:hint="eastAsia" w:ascii="宋体" w:hAnsi="宋体" w:eastAsia="宋体" w:cs="宋体"/>
          <w:kern w:val="28"/>
          <w:sz w:val="24"/>
          <w:szCs w:val="24"/>
          <w:highlight w:val="none"/>
        </w:rPr>
        <w:t>（6）投标人或其法定代表人、拟委任的项目</w:t>
      </w:r>
      <w:r>
        <w:rPr>
          <w:rFonts w:hint="eastAsia" w:ascii="宋体" w:hAnsi="宋体" w:eastAsia="宋体" w:cs="宋体"/>
          <w:kern w:val="28"/>
          <w:sz w:val="24"/>
          <w:szCs w:val="24"/>
          <w:highlight w:val="none"/>
          <w:lang w:val="en-US" w:eastAsia="zh-CN"/>
        </w:rPr>
        <w:t>经理</w:t>
      </w:r>
      <w:r>
        <w:rPr>
          <w:rFonts w:hint="eastAsia" w:ascii="宋体" w:hAnsi="宋体" w:eastAsia="宋体" w:cs="宋体"/>
          <w:kern w:val="28"/>
          <w:sz w:val="24"/>
          <w:szCs w:val="24"/>
          <w:highlight w:val="none"/>
        </w:rPr>
        <w:t>在近三年内有行贿犯罪行为的；</w:t>
      </w:r>
    </w:p>
    <w:p w14:paraId="59FAA2C6">
      <w:pPr>
        <w:pageBreakBefore w:val="0"/>
        <w:tabs>
          <w:tab w:val="left" w:pos="360"/>
        </w:tabs>
        <w:kinsoku/>
        <w:wordWrap w:val="0"/>
        <w:bidi w:val="0"/>
        <w:spacing w:line="360" w:lineRule="auto"/>
        <w:ind w:firstLine="480" w:firstLineChars="200"/>
        <w:jc w:val="left"/>
        <w:rPr>
          <w:rFonts w:hint="eastAsia" w:ascii="宋体" w:hAnsi="宋体" w:eastAsia="宋体" w:cs="宋体"/>
          <w:sz w:val="24"/>
          <w:szCs w:val="24"/>
          <w:highlight w:val="none"/>
          <w:lang w:eastAsia="zh-CN"/>
        </w:rPr>
      </w:pPr>
      <w:r>
        <w:rPr>
          <w:rFonts w:hint="eastAsia" w:ascii="宋体" w:hAnsi="宋体" w:eastAsia="宋体" w:cs="宋体"/>
          <w:kern w:val="28"/>
          <w:sz w:val="24"/>
          <w:szCs w:val="24"/>
          <w:highlight w:val="none"/>
        </w:rPr>
        <w:t>（7）法律法规规定的其他情形</w:t>
      </w:r>
      <w:r>
        <w:rPr>
          <w:rFonts w:hint="eastAsia" w:ascii="宋体" w:hAnsi="宋体" w:eastAsia="宋体" w:cs="宋体"/>
          <w:kern w:val="28"/>
          <w:sz w:val="24"/>
          <w:szCs w:val="24"/>
          <w:highlight w:val="none"/>
          <w:lang w:eastAsia="zh-CN"/>
        </w:rPr>
        <w:t>。</w:t>
      </w:r>
    </w:p>
    <w:p w14:paraId="1D0098CD">
      <w:pPr>
        <w:pStyle w:val="2"/>
        <w:pageBreakBefore w:val="0"/>
        <w:kinsoku/>
        <w:wordWrap w:val="0"/>
        <w:bidi w:val="0"/>
        <w:spacing w:before="240" w:after="240" w:line="360" w:lineRule="auto"/>
        <w:jc w:val="left"/>
        <w:rPr>
          <w:rFonts w:hint="eastAsia" w:ascii="宋体" w:hAnsi="宋体" w:eastAsia="宋体" w:cs="宋体"/>
          <w:sz w:val="24"/>
          <w:szCs w:val="24"/>
          <w:highlight w:val="none"/>
        </w:rPr>
      </w:pPr>
      <w:bookmarkStart w:id="7" w:name="_Toc4518"/>
      <w:bookmarkStart w:id="8" w:name="_Toc20700"/>
      <w:bookmarkStart w:id="9" w:name="_Toc470760976"/>
      <w:r>
        <w:rPr>
          <w:rFonts w:hint="eastAsia" w:ascii="宋体" w:hAnsi="宋体" w:eastAsia="宋体" w:cs="宋体"/>
          <w:sz w:val="24"/>
          <w:szCs w:val="24"/>
          <w:highlight w:val="none"/>
        </w:rPr>
        <w:t>4. 招标文件的获取</w:t>
      </w:r>
      <w:bookmarkEnd w:id="7"/>
      <w:bookmarkEnd w:id="8"/>
      <w:bookmarkEnd w:id="9"/>
      <w:r>
        <w:rPr>
          <w:rFonts w:hint="eastAsia" w:ascii="宋体" w:hAnsi="宋体" w:eastAsia="宋体" w:cs="宋体"/>
          <w:sz w:val="24"/>
          <w:szCs w:val="24"/>
          <w:highlight w:val="none"/>
        </w:rPr>
        <w:tab/>
      </w:r>
    </w:p>
    <w:p w14:paraId="219C0D72">
      <w:pPr>
        <w:pageBreakBefore w:val="0"/>
        <w:tabs>
          <w:tab w:val="left" w:pos="360"/>
        </w:tabs>
        <w:kinsoku/>
        <w:wordWrap w:val="0"/>
        <w:bidi w:val="0"/>
        <w:spacing w:line="360" w:lineRule="auto"/>
        <w:ind w:firstLine="540" w:firstLineChars="225"/>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4.1 凡有意参加投标者，请在</w:t>
      </w:r>
      <w:r>
        <w:rPr>
          <w:rFonts w:hint="eastAsia" w:ascii="宋体" w:hAnsi="宋体" w:eastAsia="宋体" w:cs="宋体"/>
          <w:sz w:val="24"/>
          <w:szCs w:val="24"/>
          <w:highlight w:val="none"/>
          <w:u w:val="single"/>
        </w:rPr>
        <w:t xml:space="preserve"> 辽宁省公共资源交易一张网电子化平台 </w:t>
      </w:r>
      <w:r>
        <w:rPr>
          <w:rFonts w:hint="eastAsia" w:ascii="宋体" w:hAnsi="宋体" w:eastAsia="宋体" w:cs="宋体"/>
          <w:sz w:val="24"/>
          <w:szCs w:val="24"/>
          <w:highlight w:val="none"/>
        </w:rPr>
        <w:t>电子交易平台（以下简称“电子交易平台”，网址：</w:t>
      </w:r>
      <w:r>
        <w:rPr>
          <w:rFonts w:hint="eastAsia" w:ascii="宋体" w:hAnsi="宋体" w:eastAsia="宋体" w:cs="宋体"/>
          <w:sz w:val="24"/>
          <w:szCs w:val="24"/>
          <w:highlight w:val="none"/>
          <w:u w:val="single"/>
        </w:rPr>
        <w:t xml:space="preserve"> </w:t>
      </w:r>
      <w:r>
        <w:rPr>
          <w:rFonts w:hint="eastAsia" w:ascii="宋体" w:hAnsi="宋体" w:eastAsia="宋体" w:cs="宋体"/>
          <w:color w:val="auto"/>
          <w:sz w:val="24"/>
          <w:szCs w:val="24"/>
          <w:highlight w:val="none"/>
          <w:u w:val="single" w:color="auto"/>
          <w:lang w:val="en-US" w:eastAsia="zh-CN"/>
        </w:rPr>
        <w:t>https://www.lnsggzy.com/EpointSSO/login/oauth2login</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）进行注册，并</w:t>
      </w:r>
      <w:r>
        <w:rPr>
          <w:rFonts w:hint="eastAsia" w:ascii="宋体" w:hAnsi="宋体" w:eastAsia="宋体" w:cs="宋体"/>
          <w:sz w:val="24"/>
          <w:szCs w:val="24"/>
          <w:highlight w:val="none"/>
          <w:lang w:val="en-US" w:eastAsia="zh-CN"/>
        </w:rPr>
        <w:t>办理</w:t>
      </w:r>
      <w:r>
        <w:rPr>
          <w:rFonts w:hint="eastAsia" w:ascii="宋体" w:hAnsi="宋体" w:eastAsia="宋体" w:cs="宋体"/>
          <w:sz w:val="24"/>
          <w:szCs w:val="24"/>
          <w:highlight w:val="none"/>
        </w:rPr>
        <w:t>CA数字证书。</w:t>
      </w:r>
    </w:p>
    <w:p w14:paraId="2F76E262">
      <w:pPr>
        <w:pageBreakBefore w:val="0"/>
        <w:tabs>
          <w:tab w:val="left" w:pos="360"/>
        </w:tabs>
        <w:kinsoku/>
        <w:wordWrap w:val="0"/>
        <w:bidi w:val="0"/>
        <w:spacing w:line="360" w:lineRule="auto"/>
        <w:ind w:left="239" w:leftChars="114" w:firstLine="240" w:firstLineChars="1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4.2 完成网员注册后，请于</w:t>
      </w:r>
      <w:r>
        <w:rPr>
          <w:rFonts w:hint="eastAsia" w:ascii="宋体" w:hAnsi="宋体" w:cs="宋体"/>
          <w:sz w:val="24"/>
          <w:szCs w:val="24"/>
          <w:highlight w:val="none"/>
          <w:u w:val="single"/>
          <w:lang w:val="en-US" w:eastAsia="zh-CN"/>
        </w:rPr>
        <w:t xml:space="preserve">2026年     </w:t>
      </w:r>
      <w:r>
        <w:rPr>
          <w:rFonts w:hint="eastAsia" w:ascii="宋体" w:hAnsi="宋体" w:eastAsia="宋体" w:cs="宋体"/>
          <w:sz w:val="24"/>
          <w:szCs w:val="24"/>
          <w:highlight w:val="none"/>
        </w:rPr>
        <w:t>月</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rPr>
        <w:t>日</w:t>
      </w:r>
      <w:r>
        <w:rPr>
          <w:rFonts w:hint="eastAsia" w:ascii="宋体" w:hAnsi="宋体" w:eastAsia="宋体" w:cs="宋体"/>
          <w:sz w:val="24"/>
          <w:szCs w:val="24"/>
          <w:highlight w:val="none"/>
          <w:u w:val="single"/>
          <w:lang w:val="en-US" w:eastAsia="zh-CN"/>
        </w:rPr>
        <w:t>16</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时</w:t>
      </w:r>
      <w:r>
        <w:rPr>
          <w:rFonts w:hint="eastAsia" w:ascii="宋体" w:hAnsi="宋体" w:eastAsia="宋体" w:cs="宋体"/>
          <w:sz w:val="24"/>
          <w:szCs w:val="24"/>
          <w:highlight w:val="none"/>
          <w:u w:val="single"/>
          <w:lang w:val="en-US" w:eastAsia="zh-CN"/>
        </w:rPr>
        <w:t>00</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分至</w:t>
      </w:r>
      <w:r>
        <w:rPr>
          <w:rFonts w:hint="eastAsia" w:ascii="宋体" w:hAnsi="宋体" w:cs="宋体"/>
          <w:sz w:val="24"/>
          <w:szCs w:val="24"/>
          <w:highlight w:val="none"/>
          <w:u w:val="single"/>
          <w:lang w:val="en-US" w:eastAsia="zh-CN"/>
        </w:rPr>
        <w:t xml:space="preserve">2026年   </w:t>
      </w:r>
      <w:r>
        <w:rPr>
          <w:rFonts w:hint="eastAsia" w:ascii="宋体" w:hAnsi="宋体" w:eastAsia="宋体" w:cs="宋体"/>
          <w:sz w:val="24"/>
          <w:szCs w:val="24"/>
          <w:highlight w:val="none"/>
        </w:rPr>
        <w:t>月</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rPr>
        <w:t>日，</w:t>
      </w:r>
      <w:r>
        <w:rPr>
          <w:rFonts w:hint="eastAsia" w:ascii="宋体" w:hAnsi="宋体" w:eastAsia="宋体" w:cs="宋体"/>
          <w:sz w:val="24"/>
          <w:szCs w:val="24"/>
          <w:highlight w:val="none"/>
          <w:u w:val="single"/>
          <w:lang w:val="en-US" w:eastAsia="zh-CN"/>
        </w:rPr>
        <w:t>16</w:t>
      </w:r>
      <w:r>
        <w:rPr>
          <w:rFonts w:hint="eastAsia" w:ascii="宋体" w:hAnsi="宋体" w:eastAsia="宋体" w:cs="宋体"/>
          <w:sz w:val="24"/>
          <w:szCs w:val="24"/>
          <w:highlight w:val="none"/>
        </w:rPr>
        <w:t>时</w:t>
      </w:r>
      <w:r>
        <w:rPr>
          <w:rFonts w:hint="eastAsia" w:ascii="宋体" w:hAnsi="宋体" w:eastAsia="宋体" w:cs="宋体"/>
          <w:sz w:val="24"/>
          <w:szCs w:val="24"/>
          <w:highlight w:val="none"/>
          <w:u w:val="single"/>
          <w:lang w:val="en-US" w:eastAsia="zh-CN"/>
        </w:rPr>
        <w:t>00</w:t>
      </w:r>
      <w:r>
        <w:rPr>
          <w:rFonts w:hint="eastAsia" w:ascii="宋体" w:hAnsi="宋体" w:eastAsia="宋体" w:cs="宋体"/>
          <w:sz w:val="24"/>
          <w:szCs w:val="24"/>
          <w:highlight w:val="none"/>
        </w:rPr>
        <w:t>分（北京时间，下同），通过互联网使用CA数字证书登录“电子交易平台”，明确所投标段，</w:t>
      </w:r>
      <w:r>
        <w:rPr>
          <w:rFonts w:hint="eastAsia" w:ascii="宋体" w:hAnsi="宋体" w:eastAsia="宋体" w:cs="宋体"/>
          <w:sz w:val="24"/>
          <w:szCs w:val="24"/>
          <w:highlight w:val="none"/>
          <w:lang w:val="en-US" w:eastAsia="zh-CN"/>
        </w:rPr>
        <w:t>匿名免费下载招标文件</w:t>
      </w:r>
      <w:r>
        <w:rPr>
          <w:rFonts w:hint="eastAsia" w:ascii="宋体" w:hAnsi="宋体" w:eastAsia="宋体" w:cs="宋体"/>
          <w:sz w:val="24"/>
          <w:szCs w:val="24"/>
          <w:highlight w:val="none"/>
        </w:rPr>
        <w:t>、图纸和参考资料。联合体投标的，由联合体牵头人完成网上支付、招标文件等资料下载。</w:t>
      </w:r>
    </w:p>
    <w:p w14:paraId="16C4CB1E">
      <w:pPr>
        <w:pStyle w:val="2"/>
        <w:pageBreakBefore w:val="0"/>
        <w:kinsoku/>
        <w:wordWrap w:val="0"/>
        <w:bidi w:val="0"/>
        <w:spacing w:before="240" w:after="240" w:line="360" w:lineRule="auto"/>
        <w:jc w:val="left"/>
        <w:rPr>
          <w:rFonts w:hint="eastAsia" w:ascii="宋体" w:hAnsi="宋体" w:eastAsia="宋体" w:cs="宋体"/>
          <w:sz w:val="24"/>
          <w:szCs w:val="24"/>
          <w:highlight w:val="none"/>
        </w:rPr>
      </w:pPr>
      <w:bookmarkStart w:id="10" w:name="_Toc470760977"/>
      <w:bookmarkStart w:id="11" w:name="_Toc3753"/>
      <w:bookmarkStart w:id="12" w:name="_Toc22946"/>
      <w:r>
        <w:rPr>
          <w:rFonts w:hint="eastAsia" w:ascii="宋体" w:hAnsi="宋体" w:eastAsia="宋体" w:cs="宋体"/>
          <w:sz w:val="24"/>
          <w:szCs w:val="24"/>
          <w:highlight w:val="none"/>
        </w:rPr>
        <w:t>5. 投标文件的递交及相关事宜</w:t>
      </w:r>
      <w:bookmarkEnd w:id="10"/>
      <w:bookmarkEnd w:id="11"/>
      <w:bookmarkEnd w:id="12"/>
    </w:p>
    <w:p w14:paraId="39878D31">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sz w:val="24"/>
          <w:szCs w:val="24"/>
          <w:highlight w:val="none"/>
        </w:rPr>
        <w:t>5.1 招标人将</w:t>
      </w:r>
      <w:r>
        <w:rPr>
          <w:rFonts w:hint="eastAsia" w:ascii="宋体" w:hAnsi="宋体" w:eastAsia="宋体" w:cs="宋体"/>
          <w:sz w:val="24"/>
          <w:szCs w:val="24"/>
          <w:highlight w:val="none"/>
          <w:lang w:val="en-US" w:eastAsia="zh-CN"/>
        </w:rPr>
        <w:t xml:space="preserve"> </w:t>
      </w:r>
      <w:r>
        <w:rPr>
          <w:rFonts w:hint="eastAsia" w:ascii="宋体" w:hAnsi="宋体" w:eastAsia="宋体" w:cs="宋体"/>
          <w:b w:val="0"/>
          <w:bCs w:val="0"/>
          <w:color w:val="auto"/>
          <w:sz w:val="24"/>
          <w:szCs w:val="24"/>
          <w:highlight w:val="none"/>
          <w:lang w:val="en-US" w:eastAsia="zh-CN"/>
        </w:rPr>
        <w:t xml:space="preserve"> </w:t>
      </w:r>
      <w:sdt>
        <w:sdtPr>
          <w:rPr>
            <w:rFonts w:hint="eastAsia" w:ascii="宋体" w:hAnsi="宋体" w:eastAsia="宋体" w:cs="宋体"/>
            <w:b w:val="0"/>
            <w:bCs w:val="0"/>
            <w:color w:val="auto"/>
            <w:sz w:val="24"/>
            <w:szCs w:val="24"/>
            <w:highlight w:val="none"/>
            <w:shd w:val="clear" w:color="auto" w:fill="FFFFFF"/>
          </w:rPr>
          <w:id w:val="147455206"/>
          <w14:checkbox>
            <w14:checked w14:val="1"/>
            <w14:checkedState w14:val="0052" w14:font="Wingdings 2"/>
            <w14:uncheckedState w14:val="2610" w14:font="MS Gothic"/>
          </w14:checkbox>
        </w:sdtPr>
        <w:sdtEndPr>
          <w:rPr>
            <w:rFonts w:hint="eastAsia" w:ascii="宋体" w:hAnsi="宋体" w:eastAsia="宋体" w:cs="宋体"/>
            <w:b w:val="0"/>
            <w:bCs w:val="0"/>
            <w:color w:val="auto"/>
            <w:sz w:val="24"/>
            <w:szCs w:val="24"/>
            <w:highlight w:val="none"/>
            <w:shd w:val="clear" w:color="auto" w:fill="FFFFFF"/>
          </w:rPr>
        </w:sdtEndPr>
        <w:sdtContent>
          <w:r>
            <w:rPr>
              <w:rFonts w:hint="eastAsia" w:ascii="Wingdings 2" w:hAnsi="Wingdings 2" w:eastAsia="宋体" w:cs="宋体"/>
              <w:b w:val="0"/>
              <w:bCs w:val="0"/>
              <w:color w:val="auto"/>
              <w:kern w:val="2"/>
              <w:sz w:val="24"/>
              <w:szCs w:val="24"/>
              <w:highlight w:val="none"/>
              <w:shd w:val="clear" w:color="auto" w:fill="FFFFFF"/>
              <w:lang w:val="en-US" w:eastAsia="zh-CN" w:bidi="ar-SA"/>
            </w:rPr>
            <w:t>R</w:t>
          </w:r>
        </w:sdtContent>
      </w:sdt>
      <w:r>
        <w:rPr>
          <w:rFonts w:hint="eastAsia" w:ascii="宋体" w:hAnsi="宋体" w:eastAsia="宋体" w:cs="宋体"/>
          <w:b w:val="0"/>
          <w:bCs w:val="0"/>
          <w:color w:val="auto"/>
          <w:sz w:val="24"/>
          <w:szCs w:val="24"/>
          <w:highlight w:val="none"/>
        </w:rPr>
        <w:t xml:space="preserve"> 不组织进行工程现场踏勘和召开投标预备会。</w:t>
      </w:r>
    </w:p>
    <w:p w14:paraId="4BF8E16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2160" w:firstLineChars="900"/>
        <w:jc w:val="left"/>
        <w:textAlignment w:val="auto"/>
        <w:rPr>
          <w:rFonts w:hint="eastAsia" w:ascii="宋体" w:hAnsi="宋体" w:eastAsia="宋体" w:cs="宋体"/>
          <w:b w:val="0"/>
          <w:bCs w:val="0"/>
          <w:color w:val="auto"/>
          <w:sz w:val="24"/>
          <w:szCs w:val="24"/>
          <w:highlight w:val="none"/>
        </w:rPr>
      </w:pPr>
      <w:sdt>
        <w:sdtPr>
          <w:rPr>
            <w:rFonts w:hint="eastAsia" w:ascii="宋体" w:hAnsi="宋体" w:eastAsia="宋体" w:cs="宋体"/>
            <w:b w:val="0"/>
            <w:bCs w:val="0"/>
            <w:color w:val="auto"/>
            <w:sz w:val="24"/>
            <w:szCs w:val="24"/>
            <w:highlight w:val="none"/>
            <w:shd w:val="clear" w:color="auto" w:fill="FFFFFF"/>
          </w:rPr>
          <w:id w:val="49361775"/>
          <w14:checkbox>
            <w14:checked w14:val="0"/>
            <w14:checkedState w14:val="0052" w14:font="Wingdings 2"/>
            <w14:uncheckedState w14:val="2610" w14:font="MS Gothic"/>
          </w14:checkbox>
        </w:sdtPr>
        <w:sdtEndPr>
          <w:rPr>
            <w:rFonts w:hint="eastAsia" w:ascii="宋体" w:hAnsi="宋体" w:eastAsia="宋体" w:cs="宋体"/>
            <w:b w:val="0"/>
            <w:bCs w:val="0"/>
            <w:color w:val="auto"/>
            <w:sz w:val="24"/>
            <w:szCs w:val="24"/>
            <w:highlight w:val="none"/>
            <w:shd w:val="clear" w:color="auto" w:fill="FFFFFF"/>
          </w:rPr>
        </w:sdtEndPr>
        <w:sdtContent>
          <w:r>
            <w:rPr>
              <w:rFonts w:hint="eastAsia" w:ascii="宋体" w:hAnsi="宋体" w:eastAsia="宋体" w:cs="宋体"/>
              <w:b w:val="0"/>
              <w:bCs w:val="0"/>
              <w:color w:val="auto"/>
              <w:kern w:val="2"/>
              <w:sz w:val="24"/>
              <w:szCs w:val="24"/>
              <w:highlight w:val="none"/>
              <w:shd w:val="clear" w:color="auto" w:fill="FFFFFF"/>
              <w:lang w:val="en-US" w:eastAsia="zh-CN" w:bidi="ar-SA"/>
            </w:rPr>
            <w:t>☐</w:t>
          </w:r>
        </w:sdtContent>
      </w:sdt>
      <w:r>
        <w:rPr>
          <w:rFonts w:hint="eastAsia" w:ascii="宋体" w:hAnsi="宋体" w:eastAsia="宋体" w:cs="宋体"/>
          <w:b w:val="0"/>
          <w:bCs w:val="0"/>
          <w:color w:val="auto"/>
          <w:sz w:val="24"/>
          <w:szCs w:val="24"/>
          <w:highlight w:val="none"/>
        </w:rPr>
        <w:t xml:space="preserve"> 组织进行工程现场踏勘和召开投标预备会，时间地点：</w:t>
      </w:r>
    </w:p>
    <w:p w14:paraId="69D30313">
      <w:pPr>
        <w:spacing w:before="78" w:line="220" w:lineRule="auto"/>
        <w:ind w:left="483"/>
        <w:rPr>
          <w:rFonts w:ascii="宋体" w:hAnsi="宋体" w:eastAsia="宋体" w:cs="宋体"/>
          <w:sz w:val="24"/>
          <w:szCs w:val="24"/>
          <w:highlight w:val="none"/>
        </w:rPr>
      </w:pPr>
      <w:r>
        <w:rPr>
          <w:rFonts w:ascii="宋体" w:hAnsi="宋体" w:eastAsia="宋体" w:cs="宋体"/>
          <w:spacing w:val="-11"/>
          <w:sz w:val="24"/>
          <w:szCs w:val="24"/>
          <w:highlight w:val="none"/>
        </w:rPr>
        <w:t>踏勘现场时间：</w:t>
      </w:r>
      <w:r>
        <w:rPr>
          <w:rFonts w:ascii="宋体" w:hAnsi="宋体" w:eastAsia="宋体" w:cs="宋体"/>
          <w:spacing w:val="-11"/>
          <w:sz w:val="24"/>
          <w:szCs w:val="24"/>
          <w:highlight w:val="none"/>
          <w:u w:val="single" w:color="auto"/>
        </w:rPr>
        <w:t xml:space="preserve">    </w:t>
      </w:r>
      <w:r>
        <w:rPr>
          <w:rFonts w:ascii="宋体" w:hAnsi="宋体" w:eastAsia="宋体" w:cs="宋体"/>
          <w:spacing w:val="-109"/>
          <w:sz w:val="24"/>
          <w:szCs w:val="24"/>
          <w:highlight w:val="none"/>
        </w:rPr>
        <w:t xml:space="preserve"> </w:t>
      </w:r>
      <w:r>
        <w:rPr>
          <w:rFonts w:ascii="宋体" w:hAnsi="宋体" w:eastAsia="宋体" w:cs="宋体"/>
          <w:spacing w:val="-11"/>
          <w:sz w:val="24"/>
          <w:szCs w:val="24"/>
          <w:highlight w:val="none"/>
        </w:rPr>
        <w:t>年</w:t>
      </w:r>
      <w:r>
        <w:rPr>
          <w:rFonts w:ascii="宋体" w:hAnsi="宋体" w:eastAsia="宋体" w:cs="宋体"/>
          <w:spacing w:val="-120"/>
          <w:sz w:val="24"/>
          <w:szCs w:val="24"/>
          <w:highlight w:val="none"/>
        </w:rPr>
        <w:t xml:space="preserve"> </w:t>
      </w:r>
      <w:r>
        <w:rPr>
          <w:rFonts w:ascii="宋体" w:hAnsi="宋体" w:eastAsia="宋体" w:cs="宋体"/>
          <w:sz w:val="24"/>
          <w:szCs w:val="24"/>
          <w:highlight w:val="none"/>
          <w:u w:val="single" w:color="auto"/>
        </w:rPr>
        <w:t xml:space="preserve">   </w:t>
      </w:r>
      <w:r>
        <w:rPr>
          <w:rFonts w:ascii="宋体" w:hAnsi="宋体" w:eastAsia="宋体" w:cs="宋体"/>
          <w:spacing w:val="-105"/>
          <w:sz w:val="24"/>
          <w:szCs w:val="24"/>
          <w:highlight w:val="none"/>
        </w:rPr>
        <w:t xml:space="preserve"> </w:t>
      </w:r>
      <w:r>
        <w:rPr>
          <w:rFonts w:ascii="宋体" w:hAnsi="宋体" w:eastAsia="宋体" w:cs="宋体"/>
          <w:spacing w:val="-11"/>
          <w:sz w:val="24"/>
          <w:szCs w:val="24"/>
          <w:highlight w:val="none"/>
        </w:rPr>
        <w:t>月</w:t>
      </w:r>
      <w:r>
        <w:rPr>
          <w:rFonts w:ascii="宋体" w:hAnsi="宋体" w:eastAsia="宋体" w:cs="宋体"/>
          <w:spacing w:val="-120"/>
          <w:sz w:val="24"/>
          <w:szCs w:val="24"/>
          <w:highlight w:val="none"/>
        </w:rPr>
        <w:t xml:space="preserve"> </w:t>
      </w:r>
      <w:r>
        <w:rPr>
          <w:rFonts w:ascii="宋体" w:hAnsi="宋体" w:eastAsia="宋体" w:cs="宋体"/>
          <w:sz w:val="24"/>
          <w:szCs w:val="24"/>
          <w:highlight w:val="none"/>
          <w:u w:val="single" w:color="auto"/>
        </w:rPr>
        <w:t xml:space="preserve">   </w:t>
      </w:r>
      <w:r>
        <w:rPr>
          <w:rFonts w:ascii="宋体" w:hAnsi="宋体" w:eastAsia="宋体" w:cs="宋体"/>
          <w:spacing w:val="-70"/>
          <w:sz w:val="24"/>
          <w:szCs w:val="24"/>
          <w:highlight w:val="none"/>
        </w:rPr>
        <w:t xml:space="preserve"> </w:t>
      </w:r>
      <w:r>
        <w:rPr>
          <w:rFonts w:ascii="宋体" w:hAnsi="宋体" w:eastAsia="宋体" w:cs="宋体"/>
          <w:spacing w:val="-11"/>
          <w:sz w:val="24"/>
          <w:szCs w:val="24"/>
          <w:highlight w:val="none"/>
        </w:rPr>
        <w:t>日</w:t>
      </w:r>
      <w:r>
        <w:rPr>
          <w:rFonts w:ascii="宋体" w:hAnsi="宋体" w:eastAsia="宋体" w:cs="宋体"/>
          <w:spacing w:val="-120"/>
          <w:sz w:val="24"/>
          <w:szCs w:val="24"/>
          <w:highlight w:val="none"/>
        </w:rPr>
        <w:t xml:space="preserve"> </w:t>
      </w:r>
      <w:r>
        <w:rPr>
          <w:rFonts w:ascii="宋体" w:hAnsi="宋体" w:eastAsia="宋体" w:cs="宋体"/>
          <w:sz w:val="24"/>
          <w:szCs w:val="24"/>
          <w:highlight w:val="none"/>
          <w:u w:val="single" w:color="auto"/>
        </w:rPr>
        <w:t xml:space="preserve">   </w:t>
      </w:r>
      <w:r>
        <w:rPr>
          <w:rFonts w:ascii="宋体" w:hAnsi="宋体" w:eastAsia="宋体" w:cs="宋体"/>
          <w:spacing w:val="-99"/>
          <w:sz w:val="24"/>
          <w:szCs w:val="24"/>
          <w:highlight w:val="none"/>
        </w:rPr>
        <w:t xml:space="preserve"> </w:t>
      </w:r>
      <w:r>
        <w:rPr>
          <w:rFonts w:ascii="宋体" w:hAnsi="宋体" w:eastAsia="宋体" w:cs="宋体"/>
          <w:spacing w:val="-11"/>
          <w:sz w:val="24"/>
          <w:szCs w:val="24"/>
          <w:highlight w:val="none"/>
        </w:rPr>
        <w:t>时</w:t>
      </w:r>
      <w:r>
        <w:rPr>
          <w:rFonts w:ascii="宋体" w:hAnsi="宋体" w:eastAsia="宋体" w:cs="宋体"/>
          <w:spacing w:val="-120"/>
          <w:sz w:val="24"/>
          <w:szCs w:val="24"/>
          <w:highlight w:val="none"/>
        </w:rPr>
        <w:t xml:space="preserve"> </w:t>
      </w:r>
      <w:r>
        <w:rPr>
          <w:rFonts w:ascii="宋体" w:hAnsi="宋体" w:eastAsia="宋体" w:cs="宋体"/>
          <w:sz w:val="24"/>
          <w:szCs w:val="24"/>
          <w:highlight w:val="none"/>
          <w:u w:val="single" w:color="auto"/>
        </w:rPr>
        <w:t xml:space="preserve">   </w:t>
      </w:r>
      <w:r>
        <w:rPr>
          <w:rFonts w:ascii="宋体" w:hAnsi="宋体" w:eastAsia="宋体" w:cs="宋体"/>
          <w:spacing w:val="-108"/>
          <w:sz w:val="24"/>
          <w:szCs w:val="24"/>
          <w:highlight w:val="none"/>
        </w:rPr>
        <w:t xml:space="preserve"> </w:t>
      </w:r>
      <w:r>
        <w:rPr>
          <w:rFonts w:ascii="宋体" w:hAnsi="宋体" w:eastAsia="宋体" w:cs="宋体"/>
          <w:spacing w:val="-11"/>
          <w:sz w:val="24"/>
          <w:szCs w:val="24"/>
          <w:highlight w:val="none"/>
        </w:rPr>
        <w:t>分，集中地点</w:t>
      </w:r>
      <w:r>
        <w:rPr>
          <w:rFonts w:ascii="宋体" w:hAnsi="宋体" w:eastAsia="宋体" w:cs="宋体"/>
          <w:spacing w:val="-51"/>
          <w:sz w:val="24"/>
          <w:szCs w:val="24"/>
          <w:highlight w:val="none"/>
        </w:rPr>
        <w:t>：</w:t>
      </w:r>
      <w:r>
        <w:rPr>
          <w:rFonts w:ascii="宋体" w:hAnsi="宋体" w:eastAsia="宋体" w:cs="宋体"/>
          <w:sz w:val="24"/>
          <w:szCs w:val="24"/>
          <w:highlight w:val="none"/>
          <w:u w:val="single" w:color="auto"/>
        </w:rPr>
        <w:t xml:space="preserve">                  </w:t>
      </w:r>
      <w:r>
        <w:rPr>
          <w:rFonts w:ascii="宋体" w:hAnsi="宋体" w:eastAsia="宋体" w:cs="宋体"/>
          <w:spacing w:val="-51"/>
          <w:sz w:val="24"/>
          <w:szCs w:val="24"/>
          <w:highlight w:val="none"/>
        </w:rPr>
        <w:t>；</w:t>
      </w:r>
    </w:p>
    <w:p w14:paraId="6ED0915C">
      <w:pPr>
        <w:spacing w:before="273" w:line="220" w:lineRule="auto"/>
        <w:ind w:left="485"/>
        <w:rPr>
          <w:rFonts w:ascii="宋体" w:hAnsi="宋体" w:eastAsia="宋体" w:cs="宋体"/>
          <w:sz w:val="24"/>
          <w:szCs w:val="24"/>
          <w:highlight w:val="none"/>
        </w:rPr>
      </w:pPr>
      <w:r>
        <w:rPr>
          <w:rFonts w:ascii="宋体" w:hAnsi="宋体" w:eastAsia="宋体" w:cs="宋体"/>
          <w:spacing w:val="-4"/>
          <w:sz w:val="24"/>
          <w:szCs w:val="24"/>
          <w:highlight w:val="none"/>
        </w:rPr>
        <w:t>投标预备会时间：</w:t>
      </w:r>
      <w:r>
        <w:rPr>
          <w:rFonts w:ascii="宋体" w:hAnsi="宋体" w:eastAsia="宋体" w:cs="宋体"/>
          <w:spacing w:val="-4"/>
          <w:sz w:val="24"/>
          <w:szCs w:val="24"/>
          <w:highlight w:val="none"/>
          <w:u w:val="single" w:color="auto"/>
        </w:rPr>
        <w:t xml:space="preserve">    </w:t>
      </w:r>
      <w:r>
        <w:rPr>
          <w:rFonts w:ascii="宋体" w:hAnsi="宋体" w:eastAsia="宋体" w:cs="宋体"/>
          <w:spacing w:val="-96"/>
          <w:sz w:val="24"/>
          <w:szCs w:val="24"/>
          <w:highlight w:val="none"/>
        </w:rPr>
        <w:t xml:space="preserve"> </w:t>
      </w:r>
      <w:r>
        <w:rPr>
          <w:rFonts w:ascii="宋体" w:hAnsi="宋体" w:eastAsia="宋体" w:cs="宋体"/>
          <w:spacing w:val="-4"/>
          <w:sz w:val="24"/>
          <w:szCs w:val="24"/>
          <w:highlight w:val="none"/>
        </w:rPr>
        <w:t>年</w:t>
      </w:r>
      <w:r>
        <w:rPr>
          <w:rFonts w:ascii="宋体" w:hAnsi="宋体" w:eastAsia="宋体" w:cs="宋体"/>
          <w:spacing w:val="-4"/>
          <w:sz w:val="24"/>
          <w:szCs w:val="24"/>
          <w:highlight w:val="none"/>
          <w:u w:val="single" w:color="auto"/>
        </w:rPr>
        <w:t xml:space="preserve">   </w:t>
      </w:r>
      <w:r>
        <w:rPr>
          <w:rFonts w:ascii="宋体" w:hAnsi="宋体" w:eastAsia="宋体" w:cs="宋体"/>
          <w:spacing w:val="-105"/>
          <w:sz w:val="24"/>
          <w:szCs w:val="24"/>
          <w:highlight w:val="none"/>
        </w:rPr>
        <w:t xml:space="preserve"> </w:t>
      </w:r>
      <w:r>
        <w:rPr>
          <w:rFonts w:ascii="宋体" w:hAnsi="宋体" w:eastAsia="宋体" w:cs="宋体"/>
          <w:spacing w:val="-4"/>
          <w:sz w:val="24"/>
          <w:szCs w:val="24"/>
          <w:highlight w:val="none"/>
        </w:rPr>
        <w:t>月</w:t>
      </w:r>
      <w:r>
        <w:rPr>
          <w:rFonts w:ascii="宋体" w:hAnsi="宋体" w:eastAsia="宋体" w:cs="宋体"/>
          <w:spacing w:val="-4"/>
          <w:sz w:val="24"/>
          <w:szCs w:val="24"/>
          <w:highlight w:val="none"/>
          <w:u w:val="single" w:color="auto"/>
        </w:rPr>
        <w:t xml:space="preserve">   </w:t>
      </w:r>
      <w:r>
        <w:rPr>
          <w:rFonts w:ascii="宋体" w:hAnsi="宋体" w:eastAsia="宋体" w:cs="宋体"/>
          <w:spacing w:val="-70"/>
          <w:sz w:val="24"/>
          <w:szCs w:val="24"/>
          <w:highlight w:val="none"/>
        </w:rPr>
        <w:t xml:space="preserve"> </w:t>
      </w:r>
      <w:r>
        <w:rPr>
          <w:rFonts w:ascii="宋体" w:hAnsi="宋体" w:eastAsia="宋体" w:cs="宋体"/>
          <w:spacing w:val="-4"/>
          <w:sz w:val="24"/>
          <w:szCs w:val="24"/>
          <w:highlight w:val="none"/>
        </w:rPr>
        <w:t>日</w:t>
      </w:r>
      <w:r>
        <w:rPr>
          <w:rFonts w:ascii="宋体" w:hAnsi="宋体" w:eastAsia="宋体" w:cs="宋体"/>
          <w:spacing w:val="-4"/>
          <w:sz w:val="24"/>
          <w:szCs w:val="24"/>
          <w:highlight w:val="none"/>
          <w:u w:val="single" w:color="auto"/>
        </w:rPr>
        <w:t xml:space="preserve">   </w:t>
      </w:r>
      <w:r>
        <w:rPr>
          <w:rFonts w:ascii="宋体" w:hAnsi="宋体" w:eastAsia="宋体" w:cs="宋体"/>
          <w:spacing w:val="-99"/>
          <w:sz w:val="24"/>
          <w:szCs w:val="24"/>
          <w:highlight w:val="none"/>
        </w:rPr>
        <w:t xml:space="preserve"> </w:t>
      </w:r>
      <w:r>
        <w:rPr>
          <w:rFonts w:ascii="宋体" w:hAnsi="宋体" w:eastAsia="宋体" w:cs="宋体"/>
          <w:spacing w:val="-4"/>
          <w:sz w:val="24"/>
          <w:szCs w:val="24"/>
          <w:highlight w:val="none"/>
        </w:rPr>
        <w:t>时</w:t>
      </w:r>
      <w:r>
        <w:rPr>
          <w:rFonts w:ascii="宋体" w:hAnsi="宋体" w:eastAsia="宋体" w:cs="宋体"/>
          <w:spacing w:val="-4"/>
          <w:sz w:val="24"/>
          <w:szCs w:val="24"/>
          <w:highlight w:val="none"/>
          <w:u w:val="single" w:color="auto"/>
        </w:rPr>
        <w:t xml:space="preserve">   </w:t>
      </w:r>
      <w:r>
        <w:rPr>
          <w:rFonts w:ascii="宋体" w:hAnsi="宋体" w:eastAsia="宋体" w:cs="宋体"/>
          <w:spacing w:val="-108"/>
          <w:sz w:val="24"/>
          <w:szCs w:val="24"/>
          <w:highlight w:val="none"/>
        </w:rPr>
        <w:t xml:space="preserve"> </w:t>
      </w:r>
      <w:r>
        <w:rPr>
          <w:rFonts w:ascii="宋体" w:hAnsi="宋体" w:eastAsia="宋体" w:cs="宋体"/>
          <w:spacing w:val="-4"/>
          <w:sz w:val="24"/>
          <w:szCs w:val="24"/>
          <w:highlight w:val="none"/>
        </w:rPr>
        <w:t>分，地点：</w:t>
      </w:r>
      <w:r>
        <w:rPr>
          <w:rFonts w:ascii="宋体" w:hAnsi="宋体" w:eastAsia="宋体" w:cs="宋体"/>
          <w:sz w:val="24"/>
          <w:szCs w:val="24"/>
          <w:highlight w:val="none"/>
          <w:u w:val="single" w:color="auto"/>
        </w:rPr>
        <w:t xml:space="preserve">                  </w:t>
      </w:r>
      <w:r>
        <w:rPr>
          <w:rFonts w:ascii="宋体" w:hAnsi="宋体" w:eastAsia="宋体" w:cs="宋体"/>
          <w:spacing w:val="-4"/>
          <w:sz w:val="24"/>
          <w:szCs w:val="24"/>
          <w:highlight w:val="none"/>
        </w:rPr>
        <w:t>。</w:t>
      </w:r>
    </w:p>
    <w:p w14:paraId="218C1960">
      <w:pPr>
        <w:keepNext w:val="0"/>
        <w:keepLines w:val="0"/>
        <w:pageBreakBefore w:val="0"/>
        <w:widowControl w:val="0"/>
        <w:kinsoku/>
        <w:wordWrap/>
        <w:overflowPunct/>
        <w:topLinePunct w:val="0"/>
        <w:autoSpaceDE/>
        <w:autoSpaceDN/>
        <w:bidi w:val="0"/>
        <w:adjustRightInd/>
        <w:snapToGrid/>
        <w:spacing w:line="360" w:lineRule="auto"/>
        <w:ind w:right="0" w:rightChars="0"/>
        <w:jc w:val="left"/>
        <w:textAlignment w:val="auto"/>
        <w:rPr>
          <w:rFonts w:hint="eastAsia" w:ascii="宋体" w:hAnsi="宋体" w:eastAsia="宋体" w:cs="宋体"/>
          <w:b w:val="0"/>
          <w:bCs w:val="0"/>
          <w:color w:val="auto"/>
          <w:sz w:val="24"/>
          <w:szCs w:val="24"/>
          <w:highlight w:val="none"/>
        </w:rPr>
      </w:pPr>
    </w:p>
    <w:p w14:paraId="6FCAF2A1">
      <w:pPr>
        <w:pageBreakBefore w:val="0"/>
        <w:kinsoku/>
        <w:wordWrap w:val="0"/>
        <w:bidi w:val="0"/>
        <w:spacing w:line="360" w:lineRule="auto"/>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5.2 投标文件应为加密的投标文件。投标文件递交的截止时间（投标截止时间，</w:t>
      </w:r>
    </w:p>
    <w:p w14:paraId="1EEEEF5A">
      <w:pPr>
        <w:pageBreakBefore w:val="0"/>
        <w:kinsoku/>
        <w:wordWrap w:val="0"/>
        <w:bidi w:val="0"/>
        <w:spacing w:line="360" w:lineRule="auto"/>
        <w:jc w:val="left"/>
        <w:rPr>
          <w:rFonts w:hint="eastAsia" w:ascii="宋体" w:hAnsi="宋体" w:eastAsia="宋体" w:cs="宋体"/>
          <w:sz w:val="24"/>
          <w:szCs w:val="24"/>
          <w:highlight w:val="none"/>
        </w:rPr>
      </w:pPr>
    </w:p>
    <w:p w14:paraId="49592D73">
      <w:pPr>
        <w:pageBreakBefore w:val="0"/>
        <w:kinsoku/>
        <w:wordWrap w:val="0"/>
        <w:bidi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sz w:val="24"/>
          <w:szCs w:val="24"/>
          <w:highlight w:val="none"/>
        </w:rPr>
        <w:t>下同）为</w:t>
      </w:r>
      <w:r>
        <w:rPr>
          <w:rFonts w:hint="eastAsia" w:ascii="宋体" w:hAnsi="宋体" w:cs="宋体"/>
          <w:sz w:val="24"/>
          <w:szCs w:val="24"/>
          <w:highlight w:val="none"/>
          <w:u w:val="single"/>
          <w:lang w:val="en-US" w:eastAsia="zh-CN"/>
        </w:rPr>
        <w:t xml:space="preserve">2026年     </w:t>
      </w:r>
      <w:r>
        <w:rPr>
          <w:rFonts w:hint="eastAsia" w:ascii="宋体" w:hAnsi="宋体" w:eastAsia="宋体" w:cs="宋体"/>
          <w:sz w:val="24"/>
          <w:szCs w:val="24"/>
          <w:highlight w:val="none"/>
        </w:rPr>
        <w:t>月</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w:t>
      </w:r>
      <w:r>
        <w:rPr>
          <w:rFonts w:hint="eastAsia" w:ascii="宋体" w:hAnsi="宋体" w:cs="宋体"/>
          <w:sz w:val="24"/>
          <w:szCs w:val="24"/>
          <w:highlight w:val="none"/>
          <w:u w:val="single"/>
          <w:lang w:val="en-US" w:eastAsia="zh-CN"/>
        </w:rPr>
        <w:t>10</w:t>
      </w:r>
      <w:r>
        <w:rPr>
          <w:rFonts w:hint="eastAsia" w:ascii="宋体" w:hAnsi="宋体" w:eastAsia="宋体" w:cs="宋体"/>
          <w:sz w:val="24"/>
          <w:szCs w:val="24"/>
          <w:highlight w:val="none"/>
        </w:rPr>
        <w:t>时</w:t>
      </w:r>
      <w:r>
        <w:rPr>
          <w:rFonts w:hint="eastAsia" w:ascii="宋体" w:hAnsi="宋体" w:cs="宋体"/>
          <w:sz w:val="24"/>
          <w:szCs w:val="24"/>
          <w:highlight w:val="none"/>
          <w:u w:val="single"/>
          <w:lang w:val="en-US" w:eastAsia="zh-CN"/>
        </w:rPr>
        <w:t>0</w:t>
      </w:r>
      <w:r>
        <w:rPr>
          <w:rFonts w:hint="eastAsia" w:ascii="宋体" w:hAnsi="宋体" w:eastAsia="宋体" w:cs="宋体"/>
          <w:sz w:val="24"/>
          <w:szCs w:val="24"/>
          <w:highlight w:val="none"/>
          <w:u w:val="single"/>
          <w:lang w:val="en-US" w:eastAsia="zh-CN"/>
        </w:rPr>
        <w:t>0</w:t>
      </w:r>
      <w:r>
        <w:rPr>
          <w:rFonts w:hint="eastAsia" w:ascii="宋体" w:hAnsi="宋体" w:eastAsia="宋体" w:cs="宋体"/>
          <w:sz w:val="24"/>
          <w:szCs w:val="24"/>
          <w:highlight w:val="none"/>
        </w:rPr>
        <w:t>分，投标人应在投标截止时间前，通过互联网使用CA数字证书登录“电子交易平台”，将加密的投标文件上传。</w:t>
      </w:r>
      <w:r>
        <w:rPr>
          <w:rFonts w:hint="eastAsia" w:ascii="宋体" w:hAnsi="宋体" w:eastAsia="宋体" w:cs="宋体"/>
          <w:color w:val="auto"/>
          <w:sz w:val="24"/>
          <w:szCs w:val="24"/>
          <w:highlight w:val="none"/>
        </w:rPr>
        <w:t>逾期未完成上传或未按规定加密的投标文件，招标人予以拒收</w:t>
      </w:r>
      <w:r>
        <w:rPr>
          <w:rFonts w:hint="eastAsia" w:ascii="宋体" w:hAnsi="宋体" w:eastAsia="宋体" w:cs="宋体"/>
          <w:b/>
          <w:bCs/>
          <w:color w:val="auto"/>
          <w:sz w:val="24"/>
          <w:szCs w:val="24"/>
          <w:highlight w:val="none"/>
        </w:rPr>
        <w:t>。</w:t>
      </w:r>
      <w:r>
        <w:rPr>
          <w:rFonts w:ascii="宋体" w:hAnsi="宋体" w:eastAsia="宋体" w:cs="宋体"/>
          <w:spacing w:val="-8"/>
          <w:sz w:val="24"/>
          <w:szCs w:val="24"/>
          <w:highlight w:val="none"/>
        </w:rPr>
        <w:t>联合体投标的，</w:t>
      </w:r>
      <w:r>
        <w:rPr>
          <w:rFonts w:ascii="宋体" w:hAnsi="宋体" w:eastAsia="宋体" w:cs="宋体"/>
          <w:spacing w:val="-3"/>
          <w:sz w:val="24"/>
          <w:szCs w:val="24"/>
          <w:highlight w:val="none"/>
        </w:rPr>
        <w:t>由联合体牵头人完成投标文件的上传等工作。</w:t>
      </w:r>
    </w:p>
    <w:p w14:paraId="2E98FECC">
      <w:pPr>
        <w:pStyle w:val="2"/>
        <w:pageBreakBefore w:val="0"/>
        <w:kinsoku/>
        <w:wordWrap w:val="0"/>
        <w:overflowPunct/>
        <w:bidi w:val="0"/>
        <w:spacing w:line="360" w:lineRule="auto"/>
        <w:jc w:val="left"/>
        <w:outlineLvl w:val="0"/>
        <w:rPr>
          <w:rFonts w:hint="eastAsia" w:ascii="宋体" w:hAnsi="宋体" w:eastAsia="宋体" w:cs="宋体"/>
          <w:b w:val="0"/>
          <w:bCs/>
          <w:i w:val="0"/>
          <w:iCs w:val="0"/>
          <w:kern w:val="44"/>
          <w:sz w:val="24"/>
          <w:szCs w:val="24"/>
          <w:highlight w:val="none"/>
          <w:lang w:val="en-US" w:eastAsia="zh-CN" w:bidi="ar-SA"/>
        </w:rPr>
      </w:pPr>
      <w:bookmarkStart w:id="13" w:name="_Toc12805"/>
      <w:bookmarkStart w:id="14" w:name="_Toc31627"/>
      <w:bookmarkStart w:id="15" w:name="_Toc29510"/>
      <w:bookmarkStart w:id="16" w:name="_Toc6994_WPSOffice_Level2"/>
      <w:bookmarkStart w:id="17" w:name="_Toc4681"/>
      <w:bookmarkStart w:id="18" w:name="_Toc234832850"/>
      <w:r>
        <w:rPr>
          <w:rFonts w:hint="eastAsia" w:ascii="宋体" w:hAnsi="宋体" w:eastAsia="宋体" w:cs="宋体"/>
          <w:b w:val="0"/>
          <w:bCs/>
          <w:i w:val="0"/>
          <w:iCs w:val="0"/>
          <w:kern w:val="44"/>
          <w:sz w:val="24"/>
          <w:szCs w:val="24"/>
          <w:highlight w:val="none"/>
          <w:lang w:val="en-US" w:eastAsia="zh-CN" w:bidi="ar-SA"/>
        </w:rPr>
        <w:t>6. 评标办法</w:t>
      </w:r>
      <w:bookmarkEnd w:id="13"/>
      <w:bookmarkEnd w:id="14"/>
      <w:bookmarkEnd w:id="15"/>
      <w:bookmarkEnd w:id="16"/>
      <w:bookmarkEnd w:id="17"/>
    </w:p>
    <w:p w14:paraId="77B5BBA9">
      <w:pPr>
        <w:pageBreakBefore w:val="0"/>
        <w:shd w:val="clear"/>
        <w:kinsoku/>
        <w:wordWrap w:val="0"/>
        <w:overflowPunct w:val="0"/>
        <w:autoSpaceDE/>
        <w:autoSpaceDN/>
        <w:bidi w:val="0"/>
        <w:adjustRightInd/>
        <w:snapToGrid/>
        <w:spacing w:line="360" w:lineRule="auto"/>
        <w:ind w:firstLine="472" w:firstLineChars="200"/>
        <w:jc w:val="left"/>
        <w:rPr>
          <w:rFonts w:hint="eastAsia" w:ascii="宋体" w:hAnsi="宋体" w:eastAsia="宋体" w:cs="宋体"/>
          <w:color w:val="auto"/>
          <w:spacing w:val="-6"/>
          <w:sz w:val="24"/>
          <w:szCs w:val="24"/>
          <w:highlight w:val="none"/>
        </w:rPr>
      </w:pPr>
      <w:r>
        <w:rPr>
          <w:rFonts w:hint="eastAsia" w:ascii="宋体" w:hAnsi="宋体" w:eastAsia="宋体" w:cs="宋体"/>
          <w:color w:val="auto"/>
          <w:spacing w:val="-2"/>
          <w:sz w:val="24"/>
          <w:szCs w:val="24"/>
          <w:highlight w:val="none"/>
        </w:rPr>
        <w:t>本项目评标办法采用</w:t>
      </w:r>
      <w:r>
        <w:rPr>
          <w:rFonts w:hint="eastAsia" w:ascii="宋体" w:hAnsi="宋体" w:eastAsia="宋体" w:cs="宋体"/>
          <w:color w:val="auto"/>
          <w:spacing w:val="129"/>
          <w:sz w:val="24"/>
          <w:szCs w:val="24"/>
          <w:highlight w:val="none"/>
          <w:u w:val="single"/>
        </w:rPr>
        <w:t xml:space="preserve"> </w:t>
      </w:r>
      <w:r>
        <w:rPr>
          <w:rFonts w:hint="eastAsia" w:ascii="宋体" w:hAnsi="宋体" w:eastAsia="宋体" w:cs="宋体"/>
          <w:color w:val="auto"/>
          <w:spacing w:val="-2"/>
          <w:sz w:val="24"/>
          <w:szCs w:val="24"/>
          <w:highlight w:val="none"/>
          <w:u w:val="single"/>
          <w:lang w:val="en-US" w:eastAsia="zh-CN"/>
        </w:rPr>
        <w:t>合理低价法</w:t>
      </w:r>
      <w:r>
        <w:rPr>
          <w:rFonts w:hint="eastAsia" w:ascii="宋体" w:hAnsi="宋体" w:cs="宋体"/>
          <w:color w:val="auto"/>
          <w:spacing w:val="-2"/>
          <w:sz w:val="24"/>
          <w:szCs w:val="24"/>
          <w:highlight w:val="none"/>
          <w:u w:val="single"/>
          <w:lang w:val="en-US" w:eastAsia="zh-CN"/>
        </w:rPr>
        <w:t xml:space="preserve"> </w:t>
      </w:r>
      <w:r>
        <w:rPr>
          <w:rFonts w:hint="eastAsia" w:ascii="宋体" w:hAnsi="宋体" w:eastAsia="宋体" w:cs="宋体"/>
          <w:color w:val="auto"/>
          <w:spacing w:val="-2"/>
          <w:sz w:val="24"/>
          <w:szCs w:val="24"/>
          <w:highlight w:val="none"/>
          <w:u w:val="single"/>
          <w:lang w:val="en-US" w:eastAsia="zh-CN"/>
        </w:rPr>
        <w:t xml:space="preserve"> </w:t>
      </w:r>
      <w:r>
        <w:rPr>
          <w:rFonts w:hint="eastAsia" w:ascii="宋体" w:hAnsi="宋体" w:eastAsia="宋体" w:cs="宋体"/>
          <w:color w:val="auto"/>
          <w:spacing w:val="-2"/>
          <w:sz w:val="24"/>
          <w:szCs w:val="24"/>
          <w:highlight w:val="none"/>
          <w:u w:val="single"/>
        </w:rPr>
        <w:t xml:space="preserve"> </w:t>
      </w:r>
      <w:r>
        <w:rPr>
          <w:rFonts w:hint="eastAsia" w:ascii="宋体" w:hAnsi="宋体" w:eastAsia="宋体" w:cs="宋体"/>
          <w:color w:val="auto"/>
          <w:spacing w:val="-2"/>
          <w:sz w:val="24"/>
          <w:szCs w:val="24"/>
          <w:highlight w:val="none"/>
          <w:u w:val="none"/>
          <w:lang w:eastAsia="zh-CN"/>
        </w:rPr>
        <w:t>（</w:t>
      </w:r>
      <w:r>
        <w:rPr>
          <w:rFonts w:hint="eastAsia" w:ascii="宋体" w:hAnsi="宋体" w:eastAsia="宋体" w:cs="宋体"/>
          <w:color w:val="auto"/>
          <w:spacing w:val="-2"/>
          <w:sz w:val="24"/>
          <w:szCs w:val="24"/>
          <w:highlight w:val="none"/>
          <w:u w:val="none"/>
          <w:lang w:val="en-US" w:eastAsia="zh-CN"/>
        </w:rPr>
        <w:t>评标办法</w:t>
      </w:r>
      <w:r>
        <w:rPr>
          <w:rFonts w:hint="eastAsia" w:ascii="宋体" w:hAnsi="宋体" w:eastAsia="宋体" w:cs="宋体"/>
          <w:color w:val="auto"/>
          <w:spacing w:val="-2"/>
          <w:sz w:val="24"/>
          <w:szCs w:val="24"/>
          <w:highlight w:val="none"/>
          <w:u w:val="none"/>
          <w:lang w:eastAsia="zh-CN"/>
        </w:rPr>
        <w:t>）</w:t>
      </w:r>
      <w:r>
        <w:rPr>
          <w:rFonts w:hint="eastAsia" w:ascii="宋体" w:hAnsi="宋体" w:eastAsia="宋体" w:cs="宋体"/>
          <w:color w:val="auto"/>
          <w:spacing w:val="-2"/>
          <w:sz w:val="24"/>
          <w:szCs w:val="24"/>
          <w:highlight w:val="none"/>
        </w:rPr>
        <w:t>，评标标准和方法详见</w:t>
      </w:r>
      <w:r>
        <w:rPr>
          <w:rFonts w:hint="eastAsia" w:ascii="宋体" w:hAnsi="宋体" w:cs="宋体"/>
          <w:color w:val="auto"/>
          <w:spacing w:val="-2"/>
          <w:sz w:val="24"/>
          <w:szCs w:val="24"/>
          <w:highlight w:val="none"/>
          <w:u w:val="single"/>
          <w:lang w:eastAsia="zh-CN"/>
        </w:rPr>
        <w:t>招标文件</w:t>
      </w:r>
      <w:r>
        <w:rPr>
          <w:rFonts w:hint="eastAsia" w:ascii="宋体" w:hAnsi="宋体" w:eastAsia="宋体" w:cs="宋体"/>
          <w:color w:val="auto"/>
          <w:spacing w:val="-6"/>
          <w:sz w:val="24"/>
          <w:szCs w:val="24"/>
          <w:highlight w:val="none"/>
        </w:rPr>
        <w:t>。</w:t>
      </w:r>
    </w:p>
    <w:p w14:paraId="5CE9068E">
      <w:pPr>
        <w:pStyle w:val="2"/>
        <w:pageBreakBefore w:val="0"/>
        <w:kinsoku/>
        <w:wordWrap w:val="0"/>
        <w:overflowPunct/>
        <w:bidi w:val="0"/>
        <w:spacing w:before="240" w:after="240" w:line="360" w:lineRule="auto"/>
        <w:jc w:val="left"/>
        <w:rPr>
          <w:rFonts w:hint="eastAsia" w:ascii="宋体" w:hAnsi="宋体" w:eastAsia="宋体" w:cs="宋体"/>
          <w:sz w:val="24"/>
          <w:szCs w:val="24"/>
          <w:highlight w:val="none"/>
        </w:rPr>
      </w:pPr>
      <w:bookmarkStart w:id="19" w:name="_Toc26310"/>
      <w:bookmarkStart w:id="20" w:name="_Toc1626"/>
      <w:bookmarkStart w:id="21" w:name="_Toc31671"/>
      <w:r>
        <w:rPr>
          <w:rFonts w:hint="eastAsia" w:ascii="宋体" w:hAnsi="宋体" w:eastAsia="宋体" w:cs="宋体"/>
          <w:sz w:val="24"/>
          <w:szCs w:val="24"/>
          <w:highlight w:val="none"/>
          <w:lang w:val="en-US" w:eastAsia="zh-CN"/>
        </w:rPr>
        <w:t>7</w:t>
      </w:r>
      <w:r>
        <w:rPr>
          <w:rFonts w:hint="eastAsia" w:ascii="宋体" w:hAnsi="宋体" w:eastAsia="宋体" w:cs="宋体"/>
          <w:sz w:val="24"/>
          <w:szCs w:val="24"/>
          <w:highlight w:val="none"/>
        </w:rPr>
        <w:t>. 发布公告的媒介</w:t>
      </w:r>
      <w:bookmarkEnd w:id="18"/>
      <w:bookmarkEnd w:id="19"/>
      <w:bookmarkEnd w:id="20"/>
      <w:bookmarkEnd w:id="21"/>
    </w:p>
    <w:p w14:paraId="68BA991A">
      <w:pPr>
        <w:pStyle w:val="15"/>
        <w:pageBreakBefore w:val="0"/>
        <w:kinsoku/>
        <w:wordWrap w:val="0"/>
        <w:topLinePunct/>
        <w:bidi w:val="0"/>
        <w:spacing w:line="360" w:lineRule="auto"/>
        <w:ind w:firstLine="480" w:firstLineChars="200"/>
        <w:jc w:val="left"/>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本次招标公告同时在</w:t>
      </w:r>
      <w:r>
        <w:rPr>
          <w:rFonts w:hint="eastAsia" w:ascii="宋体" w:hAnsi="宋体" w:eastAsia="宋体" w:cs="宋体"/>
          <w:color w:val="000000"/>
          <w:sz w:val="24"/>
          <w:szCs w:val="24"/>
          <w:highlight w:val="none"/>
          <w:u w:val="single"/>
        </w:rPr>
        <w:t>《辽宁省公共资源交易网》（http://ggzy.ln.gov.cn）</w:t>
      </w:r>
      <w:r>
        <w:rPr>
          <w:rFonts w:hint="eastAsia" w:ascii="宋体" w:hAnsi="宋体" w:eastAsia="宋体" w:cs="宋体"/>
          <w:color w:val="000000"/>
          <w:sz w:val="24"/>
          <w:szCs w:val="24"/>
          <w:highlight w:val="none"/>
          <w:u w:val="single"/>
          <w:lang w:val="en-US" w:eastAsia="zh-CN"/>
        </w:rPr>
        <w:t>以及</w:t>
      </w:r>
      <w:r>
        <w:rPr>
          <w:rFonts w:hint="eastAsia" w:ascii="宋体" w:hAnsi="宋体" w:eastAsia="宋体" w:cs="宋体"/>
          <w:color w:val="000000"/>
          <w:sz w:val="24"/>
          <w:szCs w:val="24"/>
          <w:highlight w:val="none"/>
          <w:u w:val="single"/>
        </w:rPr>
        <w:t>辽宁省招标投标监管网</w:t>
      </w:r>
      <w:r>
        <w:rPr>
          <w:rFonts w:hint="eastAsia" w:ascii="宋体" w:hAnsi="宋体" w:eastAsia="宋体" w:cs="宋体"/>
          <w:color w:val="000000"/>
          <w:sz w:val="24"/>
          <w:szCs w:val="24"/>
          <w:highlight w:val="none"/>
          <w:u w:val="single"/>
          <w:lang w:eastAsia="zh-CN"/>
        </w:rPr>
        <w:t>、</w:t>
      </w:r>
      <w:r>
        <w:rPr>
          <w:rFonts w:hint="eastAsia" w:ascii="宋体" w:hAnsi="宋体" w:eastAsia="宋体" w:cs="宋体"/>
          <w:color w:val="000000"/>
          <w:sz w:val="24"/>
          <w:szCs w:val="24"/>
          <w:highlight w:val="none"/>
          <w:u w:val="single"/>
        </w:rPr>
        <w:t>全国公共资源交易平台（辽宁·</w:t>
      </w:r>
      <w:r>
        <w:rPr>
          <w:rFonts w:hint="eastAsia" w:ascii="宋体" w:hAnsi="宋体" w:eastAsia="宋体" w:cs="宋体"/>
          <w:color w:val="000000"/>
          <w:sz w:val="24"/>
          <w:szCs w:val="24"/>
          <w:highlight w:val="none"/>
          <w:u w:val="single"/>
          <w:lang w:val="en-US" w:eastAsia="zh-CN"/>
        </w:rPr>
        <w:t>营口</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（发布公告的媒介名称）上发布</w:t>
      </w:r>
      <w:r>
        <w:rPr>
          <w:rFonts w:hint="eastAsia" w:ascii="宋体" w:hAnsi="宋体" w:eastAsia="宋体" w:cs="宋体"/>
          <w:sz w:val="24"/>
          <w:szCs w:val="24"/>
          <w:highlight w:val="none"/>
        </w:rPr>
        <w:t>。</w:t>
      </w:r>
    </w:p>
    <w:p w14:paraId="5704C763">
      <w:pPr>
        <w:pStyle w:val="2"/>
        <w:keepNext/>
        <w:keepLines/>
        <w:pageBreakBefore w:val="0"/>
        <w:widowControl w:val="0"/>
        <w:kinsoku/>
        <w:wordWrap w:val="0"/>
        <w:overflowPunct/>
        <w:bidi w:val="0"/>
        <w:adjustRightInd/>
        <w:snapToGrid/>
        <w:spacing w:before="240" w:after="240" w:line="360" w:lineRule="auto"/>
        <w:ind w:right="0" w:rightChars="0"/>
        <w:jc w:val="left"/>
        <w:textAlignment w:val="auto"/>
        <w:outlineLvl w:val="0"/>
        <w:rPr>
          <w:rFonts w:hint="eastAsia" w:ascii="宋体" w:hAnsi="宋体" w:eastAsia="宋体" w:cs="宋体"/>
          <w:b w:val="0"/>
          <w:bCs/>
          <w:color w:val="auto"/>
          <w:kern w:val="44"/>
          <w:sz w:val="24"/>
          <w:szCs w:val="24"/>
          <w:highlight w:val="none"/>
          <w:lang w:val="en-US" w:eastAsia="zh-CN" w:bidi="ar-SA"/>
        </w:rPr>
      </w:pPr>
      <w:bookmarkStart w:id="22" w:name="_Toc20877"/>
      <w:bookmarkStart w:id="23" w:name="_Toc19273"/>
      <w:bookmarkStart w:id="24" w:name="_Toc14979"/>
      <w:bookmarkStart w:id="25" w:name="_Toc470760979"/>
      <w:r>
        <w:rPr>
          <w:rFonts w:hint="eastAsia" w:ascii="宋体" w:hAnsi="宋体" w:eastAsia="宋体" w:cs="宋体"/>
          <w:b w:val="0"/>
          <w:bCs/>
          <w:color w:val="auto"/>
          <w:kern w:val="44"/>
          <w:sz w:val="24"/>
          <w:szCs w:val="24"/>
          <w:highlight w:val="none"/>
          <w:lang w:val="en-US" w:eastAsia="zh-CN" w:bidi="ar-SA"/>
        </w:rPr>
        <w:t>8. 招标工作公开接受社会监督</w:t>
      </w:r>
      <w:bookmarkEnd w:id="22"/>
      <w:bookmarkEnd w:id="23"/>
      <w:bookmarkEnd w:id="24"/>
      <w:r>
        <w:rPr>
          <w:rFonts w:hint="eastAsia" w:ascii="宋体" w:hAnsi="宋体" w:eastAsia="宋体" w:cs="宋体"/>
          <w:b w:val="0"/>
          <w:bCs/>
          <w:color w:val="auto"/>
          <w:kern w:val="44"/>
          <w:sz w:val="24"/>
          <w:szCs w:val="24"/>
          <w:highlight w:val="none"/>
          <w:lang w:val="en-US" w:eastAsia="zh-CN" w:bidi="ar-SA"/>
        </w:rPr>
        <w:t xml:space="preserve"> </w:t>
      </w:r>
    </w:p>
    <w:p w14:paraId="1340E79A">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 xml:space="preserve">8.1 公示制度 </w:t>
      </w:r>
    </w:p>
    <w:p w14:paraId="1E386A20">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 xml:space="preserve">招标人在收到评标报告之日起3日内，将评标结果以及招标文件中规定的其他信息在相关网站上公示不少于3日以接受社会公开监督。投标人或者其他利害关系人对评标结果有异议的，应当在中标候选人公示期间提出。 </w:t>
      </w:r>
    </w:p>
    <w:p w14:paraId="7DC4E523">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8.2 异议、投诉处理</w:t>
      </w:r>
    </w:p>
    <w:p w14:paraId="4E95304C">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 xml:space="preserve">8.2.1 异议处理 </w:t>
      </w:r>
    </w:p>
    <w:p w14:paraId="795B4638">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（1）潜在投标人或者其他利害关系人对招标文件的异议以及招标人的答复，均应通过“电子交易系统” 在“异议与答复”菜单中完成。</w:t>
      </w:r>
    </w:p>
    <w:p w14:paraId="1E3CCDC9">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（2）投标人对开标如有异议，应在“电子交易系统”提出。</w:t>
      </w:r>
    </w:p>
    <w:p w14:paraId="2F22BFF3">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（3）投标人或者其他利害关系人对评标结果如有异议，应在中标候选人公示期间提出。投标人提出异议以及招标人的答复均应通过“电子交易系统”中进行。</w:t>
      </w:r>
    </w:p>
    <w:p w14:paraId="738E3666">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 xml:space="preserve">8.2.2 投诉处理 </w:t>
      </w:r>
    </w:p>
    <w:p w14:paraId="5B635A9C">
      <w:pPr>
        <w:keepNext/>
        <w:keepLines/>
        <w:pageBreakBefore w:val="0"/>
        <w:kinsoku/>
        <w:wordWrap w:val="0"/>
        <w:bidi w:val="0"/>
        <w:spacing w:before="0" w:after="0" w:line="360" w:lineRule="auto"/>
        <w:ind w:firstLine="480" w:firstLineChars="200"/>
        <w:jc w:val="left"/>
        <w:outlineLvl w:val="9"/>
        <w:rPr>
          <w:rFonts w:hint="eastAsia" w:ascii="宋体" w:hAnsi="宋体" w:eastAsia="宋体" w:cs="宋体"/>
          <w:sz w:val="24"/>
          <w:szCs w:val="24"/>
          <w:highlight w:val="none"/>
          <w:lang w:val="en-US" w:eastAsia="zh-CN"/>
        </w:rPr>
      </w:pPr>
      <w:r>
        <w:rPr>
          <w:rFonts w:hint="eastAsia" w:ascii="宋体" w:hAnsi="宋体" w:eastAsia="宋体" w:cs="宋体"/>
          <w:b w:val="0"/>
          <w:bCs w:val="0"/>
          <w:color w:val="auto"/>
          <w:kern w:val="2"/>
          <w:sz w:val="24"/>
          <w:szCs w:val="24"/>
          <w:highlight w:val="none"/>
          <w:lang w:val="en-US" w:eastAsia="zh-CN" w:bidi="ar-SA"/>
        </w:rPr>
        <w:t>行政监督部门按照《</w:t>
      </w:r>
      <w:r>
        <w:rPr>
          <w:rFonts w:hint="eastAsia" w:ascii="宋体" w:hAnsi="宋体" w:eastAsia="宋体" w:cs="宋体"/>
          <w:b w:val="0"/>
          <w:bCs w:val="0"/>
          <w:color w:val="auto"/>
          <w:kern w:val="2"/>
          <w:sz w:val="24"/>
          <w:szCs w:val="24"/>
          <w:highlight w:val="none"/>
          <w:lang w:val="en-US" w:eastAsia="zh-CN" w:bidi="ar-SA"/>
        </w:rPr>
        <w:fldChar w:fldCharType="begin"/>
      </w:r>
      <w:r>
        <w:rPr>
          <w:rFonts w:hint="eastAsia" w:ascii="宋体" w:hAnsi="宋体" w:eastAsia="宋体" w:cs="宋体"/>
          <w:b w:val="0"/>
          <w:bCs w:val="0"/>
          <w:color w:val="auto"/>
          <w:kern w:val="2"/>
          <w:sz w:val="24"/>
          <w:szCs w:val="24"/>
          <w:highlight w:val="none"/>
          <w:lang w:val="en-US" w:eastAsia="zh-CN" w:bidi="ar-SA"/>
        </w:rPr>
        <w:instrText xml:space="preserve"> HYPERLINK "https://baike.baidu.com/item/%E4%B8%AD%E5%8D%8E%E4%BA%BA%E6%B0%91%E5%85%B1%E5%92%8C%E5%9B%BD%E6%8B%9B%E6%A0%87%E6%8A%95%E6%A0%87%E6%B3%95%E5%AE%9E%E6%96%BD%E6%9D%A1%E4%BE%8B?fromtitle=%E6%8B%9B%E6%A0%87%E6%8A%95%E6%A0%87%E6%B3%95%E5%AE%9E%E6%96%BD%E6%9D%A1%E4%BE%8B&amp;fromid=2312380&amp;fromModule=lemma_search-box" </w:instrText>
      </w:r>
      <w:r>
        <w:rPr>
          <w:rFonts w:hint="eastAsia" w:ascii="宋体" w:hAnsi="宋体" w:eastAsia="宋体" w:cs="宋体"/>
          <w:b w:val="0"/>
          <w:bCs w:val="0"/>
          <w:color w:val="auto"/>
          <w:kern w:val="2"/>
          <w:sz w:val="24"/>
          <w:szCs w:val="24"/>
          <w:highlight w:val="none"/>
          <w:lang w:val="en-US" w:eastAsia="zh-CN" w:bidi="ar-SA"/>
        </w:rPr>
        <w:fldChar w:fldCharType="separate"/>
      </w:r>
      <w:r>
        <w:rPr>
          <w:rFonts w:hint="eastAsia" w:ascii="宋体" w:hAnsi="宋体" w:eastAsia="宋体" w:cs="宋体"/>
          <w:b w:val="0"/>
          <w:bCs w:val="0"/>
          <w:color w:val="auto"/>
          <w:kern w:val="2"/>
          <w:sz w:val="24"/>
          <w:szCs w:val="24"/>
          <w:highlight w:val="none"/>
          <w:u w:val="none"/>
          <w:lang w:val="en-US" w:eastAsia="zh-CN" w:bidi="ar-SA"/>
        </w:rPr>
        <w:t>招标投标法实施条例</w:t>
      </w:r>
      <w:r>
        <w:rPr>
          <w:rFonts w:hint="eastAsia" w:ascii="宋体" w:hAnsi="宋体" w:eastAsia="宋体" w:cs="宋体"/>
          <w:b w:val="0"/>
          <w:bCs w:val="0"/>
          <w:color w:val="auto"/>
          <w:kern w:val="2"/>
          <w:sz w:val="24"/>
          <w:szCs w:val="24"/>
          <w:highlight w:val="none"/>
          <w:u w:val="none"/>
          <w:lang w:val="en-US" w:eastAsia="zh-CN" w:bidi="ar-SA"/>
        </w:rPr>
        <w:fldChar w:fldCharType="end"/>
      </w:r>
      <w:r>
        <w:rPr>
          <w:rFonts w:hint="eastAsia" w:ascii="宋体" w:hAnsi="宋体" w:eastAsia="宋体" w:cs="宋体"/>
          <w:b w:val="0"/>
          <w:bCs w:val="0"/>
          <w:color w:val="auto"/>
          <w:kern w:val="2"/>
          <w:sz w:val="24"/>
          <w:szCs w:val="24"/>
          <w:highlight w:val="none"/>
          <w:u w:val="none"/>
          <w:lang w:val="en-US" w:eastAsia="zh-CN" w:bidi="ar-SA"/>
        </w:rPr>
        <w:t>》</w:t>
      </w:r>
      <w:r>
        <w:rPr>
          <w:rFonts w:hint="eastAsia" w:ascii="宋体" w:hAnsi="宋体" w:eastAsia="宋体" w:cs="宋体"/>
          <w:b w:val="0"/>
          <w:bCs w:val="0"/>
          <w:color w:val="auto"/>
          <w:kern w:val="2"/>
          <w:sz w:val="24"/>
          <w:szCs w:val="24"/>
          <w:highlight w:val="none"/>
          <w:lang w:val="en-US" w:eastAsia="zh-CN" w:bidi="ar-SA"/>
        </w:rPr>
        <w:t>《</w:t>
      </w:r>
      <w:r>
        <w:rPr>
          <w:rFonts w:hint="eastAsia" w:ascii="宋体" w:hAnsi="宋体" w:eastAsia="宋体" w:cs="宋体"/>
          <w:b w:val="0"/>
          <w:bCs w:val="0"/>
          <w:color w:val="auto"/>
          <w:kern w:val="2"/>
          <w:sz w:val="24"/>
          <w:szCs w:val="24"/>
          <w:highlight w:val="none"/>
          <w:lang w:val="en-US" w:eastAsia="zh-CN" w:bidi="ar-SA"/>
        </w:rPr>
        <w:fldChar w:fldCharType="begin"/>
      </w:r>
      <w:r>
        <w:rPr>
          <w:rFonts w:hint="eastAsia" w:ascii="宋体" w:hAnsi="宋体" w:eastAsia="宋体" w:cs="宋体"/>
          <w:b w:val="0"/>
          <w:bCs w:val="0"/>
          <w:color w:val="auto"/>
          <w:kern w:val="2"/>
          <w:sz w:val="24"/>
          <w:szCs w:val="24"/>
          <w:highlight w:val="none"/>
          <w:lang w:val="en-US" w:eastAsia="zh-CN" w:bidi="ar-SA"/>
        </w:rPr>
        <w:instrText xml:space="preserve"> HYPERLINK "https://baike.baidu.com/item/%E5%B7%A5%E7%A8%8B%E5%BB%BA%E8%AE%BE%E9%A1%B9%E7%9B%AE%E6%8B%9B%E6%A0%87%E6%8A%95%E6%A0%87%E6%B4%BB%E5%8A%A8%E6%8A%95%E8%AF%89%E5%A4%84%E7%90%86%E5%8A%9E%E6%B3%95?fromModule=lemma_search-box" </w:instrText>
      </w:r>
      <w:r>
        <w:rPr>
          <w:rFonts w:hint="eastAsia" w:ascii="宋体" w:hAnsi="宋体" w:eastAsia="宋体" w:cs="宋体"/>
          <w:b w:val="0"/>
          <w:bCs w:val="0"/>
          <w:color w:val="auto"/>
          <w:kern w:val="2"/>
          <w:sz w:val="24"/>
          <w:szCs w:val="24"/>
          <w:highlight w:val="none"/>
          <w:lang w:val="en-US" w:eastAsia="zh-CN" w:bidi="ar-SA"/>
        </w:rPr>
        <w:fldChar w:fldCharType="separate"/>
      </w:r>
      <w:r>
        <w:rPr>
          <w:rFonts w:hint="eastAsia" w:ascii="宋体" w:hAnsi="宋体" w:eastAsia="宋体" w:cs="宋体"/>
          <w:b w:val="0"/>
          <w:bCs w:val="0"/>
          <w:color w:val="auto"/>
          <w:kern w:val="2"/>
          <w:sz w:val="24"/>
          <w:szCs w:val="24"/>
          <w:highlight w:val="none"/>
          <w:u w:val="none"/>
          <w:lang w:val="en-US" w:eastAsia="zh-CN" w:bidi="ar-SA"/>
        </w:rPr>
        <w:t>工程建设项目招标投标活动投诉处理办法</w:t>
      </w:r>
      <w:r>
        <w:rPr>
          <w:rFonts w:hint="eastAsia" w:ascii="宋体" w:hAnsi="宋体" w:eastAsia="宋体" w:cs="宋体"/>
          <w:b w:val="0"/>
          <w:bCs w:val="0"/>
          <w:color w:val="auto"/>
          <w:kern w:val="2"/>
          <w:sz w:val="24"/>
          <w:szCs w:val="24"/>
          <w:highlight w:val="none"/>
          <w:u w:val="none"/>
          <w:lang w:val="en-US" w:eastAsia="zh-CN" w:bidi="ar-SA"/>
        </w:rPr>
        <w:fldChar w:fldCharType="end"/>
      </w:r>
      <w:r>
        <w:rPr>
          <w:rFonts w:hint="eastAsia" w:ascii="宋体" w:hAnsi="宋体" w:eastAsia="宋体" w:cs="宋体"/>
          <w:b w:val="0"/>
          <w:bCs w:val="0"/>
          <w:color w:val="auto"/>
          <w:kern w:val="2"/>
          <w:sz w:val="24"/>
          <w:szCs w:val="24"/>
          <w:highlight w:val="none"/>
          <w:u w:val="none"/>
          <w:lang w:val="en-US" w:eastAsia="zh-CN" w:bidi="ar-SA"/>
        </w:rPr>
        <w:t>》</w:t>
      </w:r>
      <w:r>
        <w:rPr>
          <w:rFonts w:hint="eastAsia" w:ascii="宋体" w:hAnsi="宋体" w:eastAsia="宋体" w:cs="宋体"/>
          <w:b w:val="0"/>
          <w:bCs w:val="0"/>
          <w:color w:val="auto"/>
          <w:kern w:val="2"/>
          <w:sz w:val="24"/>
          <w:szCs w:val="24"/>
          <w:highlight w:val="none"/>
          <w:lang w:val="en-US" w:eastAsia="zh-CN" w:bidi="ar-SA"/>
        </w:rPr>
        <w:t>（2013年3月国家发展改革委第23号令修改）、《</w:t>
      </w:r>
      <w:r>
        <w:rPr>
          <w:rFonts w:hint="eastAsia" w:ascii="宋体" w:hAnsi="宋体" w:eastAsia="宋体" w:cs="宋体"/>
          <w:b w:val="0"/>
          <w:bCs w:val="0"/>
          <w:color w:val="auto"/>
          <w:kern w:val="2"/>
          <w:sz w:val="24"/>
          <w:szCs w:val="24"/>
          <w:highlight w:val="none"/>
          <w:lang w:val="en-US" w:eastAsia="zh-CN" w:bidi="ar-SA"/>
        </w:rPr>
        <w:fldChar w:fldCharType="begin"/>
      </w:r>
      <w:r>
        <w:rPr>
          <w:rFonts w:hint="eastAsia" w:ascii="宋体" w:hAnsi="宋体" w:eastAsia="宋体" w:cs="宋体"/>
          <w:b w:val="0"/>
          <w:bCs w:val="0"/>
          <w:color w:val="auto"/>
          <w:kern w:val="2"/>
          <w:sz w:val="24"/>
          <w:szCs w:val="24"/>
          <w:highlight w:val="none"/>
          <w:lang w:val="en-US" w:eastAsia="zh-CN" w:bidi="ar-SA"/>
        </w:rPr>
        <w:instrText xml:space="preserve"> HYPERLINK "https://www.ndrc.gov.cn/xwdt/tzgg/202102/t20210225_1267906.html" </w:instrText>
      </w:r>
      <w:r>
        <w:rPr>
          <w:rFonts w:hint="eastAsia" w:ascii="宋体" w:hAnsi="宋体" w:eastAsia="宋体" w:cs="宋体"/>
          <w:b w:val="0"/>
          <w:bCs w:val="0"/>
          <w:color w:val="auto"/>
          <w:kern w:val="2"/>
          <w:sz w:val="24"/>
          <w:szCs w:val="24"/>
          <w:highlight w:val="none"/>
          <w:lang w:val="en-US" w:eastAsia="zh-CN" w:bidi="ar-SA"/>
        </w:rPr>
        <w:fldChar w:fldCharType="separate"/>
      </w:r>
      <w:r>
        <w:rPr>
          <w:rFonts w:hint="eastAsia" w:ascii="宋体" w:hAnsi="宋体" w:eastAsia="宋体" w:cs="宋体"/>
          <w:b w:val="0"/>
          <w:bCs w:val="0"/>
          <w:color w:val="auto"/>
          <w:kern w:val="2"/>
          <w:sz w:val="24"/>
          <w:szCs w:val="24"/>
          <w:highlight w:val="none"/>
          <w:u w:val="none"/>
          <w:lang w:val="en-US" w:eastAsia="zh-CN" w:bidi="ar-SA"/>
        </w:rPr>
        <w:t>关于建立健全招标投标领域优化营商环境长效机制的通知</w:t>
      </w:r>
      <w:r>
        <w:rPr>
          <w:rFonts w:hint="eastAsia" w:ascii="宋体" w:hAnsi="宋体" w:eastAsia="宋体" w:cs="宋体"/>
          <w:b w:val="0"/>
          <w:bCs w:val="0"/>
          <w:color w:val="auto"/>
          <w:kern w:val="2"/>
          <w:sz w:val="24"/>
          <w:szCs w:val="24"/>
          <w:highlight w:val="none"/>
          <w:u w:val="none"/>
          <w:lang w:val="en-US" w:eastAsia="zh-CN" w:bidi="ar-SA"/>
        </w:rPr>
        <w:fldChar w:fldCharType="end"/>
      </w:r>
      <w:r>
        <w:rPr>
          <w:rFonts w:hint="eastAsia" w:ascii="宋体" w:hAnsi="宋体" w:eastAsia="宋体" w:cs="宋体"/>
          <w:b w:val="0"/>
          <w:bCs w:val="0"/>
          <w:color w:val="auto"/>
          <w:kern w:val="2"/>
          <w:sz w:val="24"/>
          <w:szCs w:val="24"/>
          <w:highlight w:val="none"/>
          <w:lang w:val="en-US" w:eastAsia="zh-CN" w:bidi="ar-SA"/>
        </w:rPr>
        <w:t>》（发改法规〔2021〕240号）、交通运输部《</w:t>
      </w:r>
      <w:r>
        <w:rPr>
          <w:rFonts w:hint="eastAsia" w:ascii="宋体" w:hAnsi="宋体" w:eastAsia="宋体" w:cs="宋体"/>
          <w:b w:val="0"/>
          <w:bCs w:val="0"/>
          <w:color w:val="auto"/>
          <w:kern w:val="2"/>
          <w:sz w:val="24"/>
          <w:szCs w:val="24"/>
          <w:highlight w:val="none"/>
          <w:lang w:val="en-US" w:eastAsia="zh-CN" w:bidi="ar-SA"/>
        </w:rPr>
        <w:fldChar w:fldCharType="begin"/>
      </w:r>
      <w:r>
        <w:rPr>
          <w:rFonts w:hint="eastAsia" w:ascii="宋体" w:hAnsi="宋体" w:eastAsia="宋体" w:cs="宋体"/>
          <w:b w:val="0"/>
          <w:bCs w:val="0"/>
          <w:color w:val="auto"/>
          <w:kern w:val="2"/>
          <w:sz w:val="24"/>
          <w:szCs w:val="24"/>
          <w:highlight w:val="none"/>
          <w:lang w:val="en-US" w:eastAsia="zh-CN" w:bidi="ar-SA"/>
        </w:rPr>
        <w:instrText xml:space="preserve"> HYPERLINK "https://baike.baidu.com/item/%E5%85%AC%E8%B7%AF%E5%B7%A5%E7%A8%8B%E5%BB%BA%E8%AE%BE%E9%A1%B9%E7%9B%AE%E6%8B%9B%E6%A0%87%E6%8A%95%E6%A0%87%E7%AE%A1%E7%90%86%E5%8A%9E%E6%B3%95?fromModule=lemma_search-box" </w:instrText>
      </w:r>
      <w:r>
        <w:rPr>
          <w:rFonts w:hint="eastAsia" w:ascii="宋体" w:hAnsi="宋体" w:eastAsia="宋体" w:cs="宋体"/>
          <w:b w:val="0"/>
          <w:bCs w:val="0"/>
          <w:color w:val="auto"/>
          <w:kern w:val="2"/>
          <w:sz w:val="24"/>
          <w:szCs w:val="24"/>
          <w:highlight w:val="none"/>
          <w:lang w:val="en-US" w:eastAsia="zh-CN" w:bidi="ar-SA"/>
        </w:rPr>
        <w:fldChar w:fldCharType="separate"/>
      </w:r>
      <w:r>
        <w:rPr>
          <w:rFonts w:hint="eastAsia" w:ascii="宋体" w:hAnsi="宋体" w:eastAsia="宋体" w:cs="宋体"/>
          <w:b w:val="0"/>
          <w:bCs w:val="0"/>
          <w:color w:val="auto"/>
          <w:kern w:val="2"/>
          <w:sz w:val="24"/>
          <w:szCs w:val="24"/>
          <w:highlight w:val="none"/>
          <w:u w:val="none"/>
          <w:lang w:val="en-US" w:eastAsia="zh-CN" w:bidi="ar-SA"/>
        </w:rPr>
        <w:t>公路工程建设项目招标投标管理办法</w:t>
      </w:r>
      <w:r>
        <w:rPr>
          <w:rFonts w:hint="eastAsia" w:ascii="宋体" w:hAnsi="宋体" w:eastAsia="宋体" w:cs="宋体"/>
          <w:b w:val="0"/>
          <w:bCs w:val="0"/>
          <w:color w:val="auto"/>
          <w:kern w:val="2"/>
          <w:sz w:val="24"/>
          <w:szCs w:val="24"/>
          <w:highlight w:val="none"/>
          <w:u w:val="none"/>
          <w:lang w:val="en-US" w:eastAsia="zh-CN" w:bidi="ar-SA"/>
        </w:rPr>
        <w:fldChar w:fldCharType="end"/>
      </w:r>
      <w:r>
        <w:rPr>
          <w:rFonts w:hint="eastAsia" w:ascii="宋体" w:hAnsi="宋体" w:eastAsia="宋体" w:cs="宋体"/>
          <w:b w:val="0"/>
          <w:bCs w:val="0"/>
          <w:color w:val="auto"/>
          <w:kern w:val="2"/>
          <w:sz w:val="24"/>
          <w:szCs w:val="24"/>
          <w:highlight w:val="none"/>
          <w:lang w:val="en-US" w:eastAsia="zh-CN" w:bidi="ar-SA"/>
        </w:rPr>
        <w:t>》等相关规定，接受针对公示内容的投诉。投诉材料要求、投诉受理条件及查处按照上述规定执行。</w:t>
      </w:r>
    </w:p>
    <w:p w14:paraId="297FD014">
      <w:pPr>
        <w:pStyle w:val="2"/>
        <w:pageBreakBefore w:val="0"/>
        <w:kinsoku/>
        <w:wordWrap w:val="0"/>
        <w:bidi w:val="0"/>
        <w:spacing w:before="240" w:after="240" w:line="360" w:lineRule="auto"/>
        <w:jc w:val="left"/>
        <w:rPr>
          <w:rFonts w:hint="eastAsia" w:ascii="宋体" w:hAnsi="宋体" w:eastAsia="宋体" w:cs="宋体"/>
          <w:sz w:val="24"/>
          <w:szCs w:val="24"/>
          <w:highlight w:val="none"/>
        </w:rPr>
      </w:pPr>
      <w:bookmarkStart w:id="26" w:name="_Toc26506"/>
      <w:bookmarkStart w:id="27" w:name="_Toc17635"/>
      <w:r>
        <w:rPr>
          <w:rFonts w:hint="eastAsia" w:ascii="宋体" w:hAnsi="宋体" w:eastAsia="宋体" w:cs="宋体"/>
          <w:sz w:val="24"/>
          <w:szCs w:val="24"/>
          <w:highlight w:val="none"/>
          <w:lang w:val="en-US" w:eastAsia="zh-CN"/>
        </w:rPr>
        <w:t>9</w:t>
      </w:r>
      <w:r>
        <w:rPr>
          <w:rFonts w:hint="eastAsia" w:ascii="宋体" w:hAnsi="宋体" w:eastAsia="宋体" w:cs="宋体"/>
          <w:sz w:val="24"/>
          <w:szCs w:val="24"/>
          <w:highlight w:val="none"/>
        </w:rPr>
        <w:t>. 联系方式</w:t>
      </w:r>
      <w:bookmarkEnd w:id="25"/>
      <w:bookmarkEnd w:id="26"/>
      <w:bookmarkEnd w:id="27"/>
    </w:p>
    <w:p w14:paraId="0945D1DC">
      <w:pPr>
        <w:pageBreakBefore w:val="0"/>
        <w:kinsoku/>
        <w:wordWrap w:val="0"/>
        <w:topLinePunct/>
        <w:bidi w:val="0"/>
        <w:spacing w:line="360" w:lineRule="auto"/>
        <w:ind w:firstLine="480" w:firstLineChars="20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监督部门：</w:t>
      </w:r>
      <w:r>
        <w:rPr>
          <w:rFonts w:hint="eastAsia" w:ascii="宋体" w:hAnsi="宋体" w:cs="宋体"/>
          <w:color w:val="auto"/>
          <w:sz w:val="24"/>
          <w:szCs w:val="24"/>
          <w:highlight w:val="none"/>
          <w:u w:val="single"/>
          <w:lang w:val="en-US" w:eastAsia="zh-CN"/>
        </w:rPr>
        <w:t>大石桥</w:t>
      </w:r>
      <w:r>
        <w:rPr>
          <w:rFonts w:hint="eastAsia" w:ascii="宋体" w:hAnsi="宋体" w:cs="宋体"/>
          <w:color w:val="auto"/>
          <w:sz w:val="24"/>
          <w:szCs w:val="24"/>
          <w:highlight w:val="none"/>
          <w:u w:val="single"/>
          <w:lang w:eastAsia="zh-CN"/>
        </w:rPr>
        <w:t>市</w:t>
      </w:r>
      <w:r>
        <w:rPr>
          <w:rFonts w:hint="eastAsia" w:ascii="宋体" w:hAnsi="宋体" w:cs="宋体"/>
          <w:color w:val="auto"/>
          <w:sz w:val="24"/>
          <w:szCs w:val="24"/>
          <w:highlight w:val="none"/>
          <w:u w:val="single"/>
          <w:lang w:val="en-US" w:eastAsia="zh-CN"/>
        </w:rPr>
        <w:t>发展和改革局</w:t>
      </w:r>
    </w:p>
    <w:p w14:paraId="0A983F18">
      <w:pPr>
        <w:pageBreakBefore w:val="0"/>
        <w:kinsoku/>
        <w:wordWrap w:val="0"/>
        <w:topLinePunct/>
        <w:bidi w:val="0"/>
        <w:spacing w:line="360" w:lineRule="auto"/>
        <w:ind w:firstLine="480" w:firstLineChars="200"/>
        <w:rPr>
          <w:rFonts w:hint="default"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rPr>
        <w:t>地    址：</w:t>
      </w:r>
      <w:r>
        <w:rPr>
          <w:rFonts w:hint="eastAsia" w:ascii="宋体" w:hAnsi="宋体" w:eastAsia="宋体" w:cs="宋体"/>
          <w:color w:val="auto"/>
          <w:sz w:val="24"/>
          <w:szCs w:val="24"/>
          <w:highlight w:val="none"/>
          <w:u w:val="single"/>
          <w:lang w:val="en-US" w:eastAsia="zh-CN"/>
        </w:rPr>
        <w:t>大石桥市胜利大街 36 号</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lang w:val="en-US" w:eastAsia="zh-CN"/>
        </w:rPr>
        <w:t xml:space="preserve"> </w:t>
      </w:r>
    </w:p>
    <w:p w14:paraId="0F7EE042">
      <w:pPr>
        <w:pageBreakBefore w:val="0"/>
        <w:kinsoku/>
        <w:wordWrap w:val="0"/>
        <w:topLinePunct/>
        <w:bidi w:val="0"/>
        <w:spacing w:line="360" w:lineRule="auto"/>
        <w:ind w:firstLine="480" w:firstLineChars="200"/>
        <w:rPr>
          <w:rFonts w:hint="default"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联 系 人：</w:t>
      </w:r>
      <w:r>
        <w:rPr>
          <w:rFonts w:hint="eastAsia" w:ascii="宋体" w:hAnsi="宋体" w:cs="宋体"/>
          <w:color w:val="auto"/>
          <w:sz w:val="24"/>
          <w:szCs w:val="24"/>
          <w:highlight w:val="none"/>
          <w:u w:val="single"/>
          <w:lang w:val="en-US" w:eastAsia="zh-CN"/>
        </w:rPr>
        <w:t>刘女士</w:t>
      </w:r>
    </w:p>
    <w:p w14:paraId="087EB1F2">
      <w:pPr>
        <w:pageBreakBefore w:val="0"/>
        <w:tabs>
          <w:tab w:val="left" w:pos="7403"/>
        </w:tabs>
        <w:kinsoku/>
        <w:wordWrap w:val="0"/>
        <w:topLinePunct/>
        <w:bidi w:val="0"/>
        <w:spacing w:line="360" w:lineRule="auto"/>
        <w:ind w:firstLine="480" w:firstLineChars="200"/>
        <w:jc w:val="left"/>
        <w:rPr>
          <w:rFonts w:hint="default" w:ascii="宋体" w:hAnsi="宋体" w:eastAsia="宋体" w:cs="宋体"/>
          <w:color w:val="000000"/>
          <w:sz w:val="24"/>
          <w:szCs w:val="24"/>
          <w:highlight w:val="none"/>
          <w:u w:val="single"/>
          <w:lang w:val="en-US"/>
        </w:rPr>
      </w:pPr>
      <w:r>
        <w:rPr>
          <w:rFonts w:hint="eastAsia" w:ascii="宋体" w:hAnsi="宋体" w:eastAsia="宋体" w:cs="宋体"/>
          <w:color w:val="auto"/>
          <w:sz w:val="24"/>
          <w:szCs w:val="24"/>
          <w:highlight w:val="none"/>
        </w:rPr>
        <w:t>电    话：</w:t>
      </w:r>
      <w:r>
        <w:rPr>
          <w:rFonts w:hint="eastAsia" w:ascii="宋体" w:hAnsi="宋体" w:cs="宋体"/>
          <w:color w:val="auto"/>
          <w:sz w:val="24"/>
          <w:szCs w:val="24"/>
          <w:highlight w:val="none"/>
          <w:u w:val="single"/>
          <w:lang w:val="en-US" w:eastAsia="zh-CN"/>
        </w:rPr>
        <w:t xml:space="preserve">0417-5620156 </w:t>
      </w:r>
    </w:p>
    <w:p w14:paraId="7770F04B">
      <w:pPr>
        <w:pageBreakBefore w:val="0"/>
        <w:kinsoku/>
        <w:wordWrap w:val="0"/>
        <w:topLinePunct/>
        <w:bidi w:val="0"/>
        <w:spacing w:line="360" w:lineRule="auto"/>
        <w:ind w:firstLine="0" w:firstLineChars="0"/>
        <w:jc w:val="left"/>
        <w:rPr>
          <w:rFonts w:hint="eastAsia" w:ascii="宋体" w:hAnsi="宋体" w:eastAsia="宋体" w:cs="宋体"/>
          <w:color w:val="000000"/>
          <w:sz w:val="24"/>
          <w:szCs w:val="24"/>
          <w:highlight w:val="none"/>
        </w:rPr>
      </w:pPr>
    </w:p>
    <w:p w14:paraId="4D405B6E">
      <w:pPr>
        <w:pageBreakBefore w:val="0"/>
        <w:kinsoku/>
        <w:wordWrap w:val="0"/>
        <w:topLinePunct/>
        <w:bidi w:val="0"/>
        <w:spacing w:line="360" w:lineRule="auto"/>
        <w:ind w:firstLine="480" w:firstLineChars="200"/>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招 标 人：</w:t>
      </w:r>
      <w:r>
        <w:rPr>
          <w:rFonts w:hint="eastAsia" w:ascii="宋体" w:hAnsi="宋体" w:cs="宋体"/>
          <w:color w:val="000000"/>
          <w:sz w:val="24"/>
          <w:szCs w:val="24"/>
          <w:highlight w:val="none"/>
          <w:u w:val="single"/>
          <w:lang w:val="en-US" w:eastAsia="zh-CN"/>
        </w:rPr>
        <w:t>大石桥市财政局</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rPr>
        <w:t xml:space="preserve">  </w:t>
      </w:r>
    </w:p>
    <w:p w14:paraId="42624954">
      <w:pPr>
        <w:pageBreakBefore w:val="0"/>
        <w:kinsoku/>
        <w:wordWrap w:val="0"/>
        <w:topLinePunct/>
        <w:bidi w:val="0"/>
        <w:spacing w:line="360" w:lineRule="auto"/>
        <w:ind w:firstLine="480" w:firstLineChars="200"/>
        <w:jc w:val="left"/>
        <w:rPr>
          <w:rFonts w:hint="default" w:ascii="宋体" w:hAnsi="宋体" w:eastAsia="宋体" w:cs="宋体"/>
          <w:color w:val="000000"/>
          <w:sz w:val="24"/>
          <w:szCs w:val="24"/>
          <w:highlight w:val="none"/>
          <w:u w:val="single"/>
          <w:lang w:val="en-US" w:eastAsia="zh-CN"/>
        </w:rPr>
      </w:pPr>
      <w:r>
        <w:rPr>
          <w:rFonts w:hint="eastAsia" w:ascii="宋体" w:hAnsi="宋体" w:eastAsia="宋体" w:cs="宋体"/>
          <w:color w:val="000000"/>
          <w:sz w:val="24"/>
          <w:szCs w:val="24"/>
          <w:highlight w:val="none"/>
        </w:rPr>
        <w:t>地    址：</w:t>
      </w:r>
      <w:r>
        <w:rPr>
          <w:rFonts w:hint="eastAsia" w:ascii="宋体" w:hAnsi="宋体" w:eastAsia="宋体" w:cs="宋体"/>
          <w:color w:val="000000"/>
          <w:sz w:val="24"/>
          <w:szCs w:val="24"/>
          <w:highlight w:val="none"/>
          <w:u w:val="single"/>
          <w:lang w:val="en-US" w:eastAsia="zh-CN"/>
        </w:rPr>
        <w:t>大石桥市云桥广场西</w:t>
      </w:r>
      <w:r>
        <w:rPr>
          <w:rFonts w:hint="eastAsia" w:ascii="宋体" w:hAnsi="宋体" w:cs="宋体"/>
          <w:color w:val="000000"/>
          <w:sz w:val="24"/>
          <w:szCs w:val="24"/>
          <w:highlight w:val="none"/>
          <w:u w:val="single"/>
          <w:lang w:val="en-US" w:eastAsia="zh-CN"/>
        </w:rPr>
        <w:t xml:space="preserve">      </w:t>
      </w:r>
    </w:p>
    <w:p w14:paraId="0B7D1242">
      <w:pPr>
        <w:pageBreakBefore w:val="0"/>
        <w:kinsoku/>
        <w:wordWrap w:val="0"/>
        <w:topLinePunct/>
        <w:bidi w:val="0"/>
        <w:spacing w:line="360" w:lineRule="auto"/>
        <w:ind w:firstLine="480" w:firstLineChars="200"/>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联 系 人：</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cs="宋体"/>
          <w:color w:val="000000"/>
          <w:sz w:val="24"/>
          <w:szCs w:val="24"/>
          <w:highlight w:val="none"/>
          <w:u w:val="single"/>
          <w:lang w:val="en-US" w:eastAsia="zh-CN"/>
        </w:rPr>
        <w:t>胡楠</w:t>
      </w:r>
      <w:r>
        <w:rPr>
          <w:rFonts w:hint="eastAsia" w:ascii="宋体" w:hAnsi="宋体" w:eastAsia="宋体" w:cs="宋体"/>
          <w:color w:val="000000"/>
          <w:sz w:val="24"/>
          <w:szCs w:val="24"/>
          <w:highlight w:val="none"/>
          <w:u w:val="single"/>
        </w:rPr>
        <w:t xml:space="preserve">   </w:t>
      </w:r>
    </w:p>
    <w:p w14:paraId="655BDACA">
      <w:pPr>
        <w:pageBreakBefore w:val="0"/>
        <w:kinsoku/>
        <w:wordWrap w:val="0"/>
        <w:topLinePunct/>
        <w:bidi w:val="0"/>
        <w:spacing w:line="360" w:lineRule="auto"/>
        <w:ind w:firstLine="480" w:firstLineChars="200"/>
        <w:jc w:val="left"/>
        <w:rPr>
          <w:rFonts w:hint="eastAsia" w:ascii="宋体" w:hAnsi="宋体" w:eastAsia="宋体" w:cs="宋体"/>
          <w:color w:val="000000"/>
          <w:sz w:val="24"/>
          <w:szCs w:val="24"/>
          <w:highlight w:val="none"/>
          <w:u w:val="single"/>
          <w:lang w:val="en-US" w:eastAsia="zh-CN"/>
        </w:rPr>
      </w:pPr>
      <w:r>
        <w:rPr>
          <w:rFonts w:hint="eastAsia" w:ascii="宋体" w:hAnsi="宋体" w:eastAsia="宋体" w:cs="宋体"/>
          <w:color w:val="000000"/>
          <w:sz w:val="24"/>
          <w:szCs w:val="24"/>
          <w:highlight w:val="none"/>
        </w:rPr>
        <w:t>电    话：</w:t>
      </w:r>
      <w:bookmarkStart w:id="28" w:name="_Toc247527534"/>
      <w:bookmarkStart w:id="29" w:name="_Toc3520"/>
      <w:bookmarkStart w:id="30" w:name="_Toc361508561"/>
      <w:bookmarkStart w:id="31" w:name="_Toc247513933"/>
      <w:bookmarkStart w:id="32" w:name="_Toc384308186"/>
      <w:bookmarkStart w:id="33" w:name="_Toc300834928"/>
      <w:bookmarkStart w:id="34" w:name="_Toc352691454"/>
      <w:bookmarkStart w:id="35" w:name="_Toc369531496"/>
      <w:r>
        <w:rPr>
          <w:rFonts w:hint="eastAsia" w:ascii="宋体" w:hAnsi="宋体" w:cs="宋体"/>
          <w:color w:val="000000"/>
          <w:sz w:val="24"/>
          <w:szCs w:val="24"/>
          <w:highlight w:val="none"/>
          <w:u w:val="single"/>
          <w:lang w:val="en-US" w:eastAsia="zh-CN"/>
        </w:rPr>
        <w:t xml:space="preserve">  0417-5801064</w:t>
      </w:r>
      <w:r>
        <w:rPr>
          <w:rFonts w:hint="eastAsia" w:ascii="宋体" w:hAnsi="宋体" w:eastAsia="宋体" w:cs="宋体"/>
          <w:color w:val="000000"/>
          <w:sz w:val="24"/>
          <w:szCs w:val="24"/>
          <w:highlight w:val="none"/>
          <w:u w:val="single"/>
          <w:lang w:val="en-US" w:eastAsia="zh-CN"/>
        </w:rPr>
        <w:t xml:space="preserve">  </w:t>
      </w:r>
      <w:bookmarkEnd w:id="28"/>
      <w:bookmarkEnd w:id="29"/>
      <w:bookmarkEnd w:id="30"/>
      <w:bookmarkEnd w:id="31"/>
      <w:bookmarkEnd w:id="32"/>
      <w:bookmarkEnd w:id="33"/>
      <w:bookmarkEnd w:id="34"/>
      <w:bookmarkEnd w:id="35"/>
    </w:p>
    <w:p w14:paraId="44663493">
      <w:pPr>
        <w:pageBreakBefore w:val="0"/>
        <w:kinsoku/>
        <w:wordWrap w:val="0"/>
        <w:topLinePunct/>
        <w:bidi w:val="0"/>
        <w:spacing w:line="360" w:lineRule="auto"/>
        <w:ind w:firstLine="480" w:firstLineChars="200"/>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传    真：</w:t>
      </w:r>
      <w:r>
        <w:rPr>
          <w:rFonts w:hint="eastAsia" w:ascii="宋体" w:hAnsi="宋体" w:eastAsia="宋体" w:cs="宋体"/>
          <w:color w:val="000000"/>
          <w:sz w:val="24"/>
          <w:szCs w:val="24"/>
          <w:highlight w:val="none"/>
          <w:u w:val="single"/>
        </w:rPr>
        <w:t xml:space="preserve">                   </w:t>
      </w:r>
    </w:p>
    <w:p w14:paraId="56B60077">
      <w:pPr>
        <w:pageBreakBefore w:val="0"/>
        <w:kinsoku/>
        <w:wordWrap w:val="0"/>
        <w:topLinePunct/>
        <w:bidi w:val="0"/>
        <w:spacing w:line="360" w:lineRule="auto"/>
        <w:ind w:firstLine="480" w:firstLineChars="200"/>
        <w:jc w:val="left"/>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电子邮件：</w:t>
      </w:r>
      <w:r>
        <w:rPr>
          <w:rFonts w:hint="eastAsia" w:ascii="宋体" w:hAnsi="宋体" w:eastAsia="宋体" w:cs="宋体"/>
          <w:color w:val="000000"/>
          <w:sz w:val="24"/>
          <w:szCs w:val="24"/>
          <w:highlight w:val="none"/>
          <w:u w:val="single"/>
        </w:rPr>
        <w:t xml:space="preserve">                   </w:t>
      </w:r>
    </w:p>
    <w:p w14:paraId="23722FA5">
      <w:pPr>
        <w:pageBreakBefore w:val="0"/>
        <w:kinsoku/>
        <w:wordWrap w:val="0"/>
        <w:topLinePunct/>
        <w:bidi w:val="0"/>
        <w:spacing w:line="360" w:lineRule="auto"/>
        <w:ind w:firstLine="480" w:firstLineChars="200"/>
        <w:jc w:val="left"/>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rPr>
        <w:t>网    址：</w:t>
      </w:r>
      <w:r>
        <w:rPr>
          <w:rFonts w:hint="eastAsia" w:ascii="宋体" w:hAnsi="宋体" w:eastAsia="宋体" w:cs="宋体"/>
          <w:color w:val="000000"/>
          <w:sz w:val="24"/>
          <w:szCs w:val="24"/>
          <w:highlight w:val="none"/>
          <w:u w:val="single"/>
        </w:rPr>
        <w:t xml:space="preserve">                   </w:t>
      </w:r>
    </w:p>
    <w:p w14:paraId="52CF4CAF">
      <w:pPr>
        <w:pageBreakBefore w:val="0"/>
        <w:kinsoku/>
        <w:wordWrap w:val="0"/>
        <w:topLinePunct/>
        <w:bidi w:val="0"/>
        <w:spacing w:line="360" w:lineRule="auto"/>
        <w:ind w:firstLine="480" w:firstLineChars="200"/>
        <w:jc w:val="left"/>
        <w:rPr>
          <w:rFonts w:hint="eastAsia" w:ascii="宋体" w:hAnsi="宋体" w:eastAsia="宋体" w:cs="宋体"/>
          <w:color w:val="000000"/>
          <w:sz w:val="24"/>
          <w:szCs w:val="24"/>
          <w:highlight w:val="none"/>
          <w:lang w:val="en-US" w:eastAsia="zh-CN"/>
        </w:rPr>
      </w:pPr>
    </w:p>
    <w:p w14:paraId="35B56A25">
      <w:pPr>
        <w:pageBreakBefore w:val="0"/>
        <w:kinsoku/>
        <w:wordWrap w:val="0"/>
        <w:topLinePunct/>
        <w:bidi w:val="0"/>
        <w:spacing w:line="360" w:lineRule="auto"/>
        <w:ind w:firstLine="480" w:firstLineChars="200"/>
        <w:jc w:val="left"/>
        <w:rPr>
          <w:rFonts w:hint="eastAsia" w:ascii="宋体" w:hAnsi="宋体" w:eastAsia="宋体" w:cs="宋体"/>
          <w:color w:val="000000"/>
          <w:sz w:val="24"/>
          <w:szCs w:val="24"/>
          <w:highlight w:val="none"/>
          <w:u w:val="single"/>
          <w:lang w:val="en-US" w:eastAsia="zh-CN"/>
        </w:rPr>
      </w:pPr>
      <w:r>
        <w:rPr>
          <w:rFonts w:hint="eastAsia" w:ascii="宋体" w:hAnsi="宋体" w:eastAsia="宋体" w:cs="宋体"/>
          <w:color w:val="000000"/>
          <w:sz w:val="24"/>
          <w:szCs w:val="24"/>
          <w:highlight w:val="none"/>
          <w:lang w:val="en-US" w:eastAsia="zh-CN"/>
        </w:rPr>
        <w:t>招标代理机构</w:t>
      </w:r>
      <w:r>
        <w:rPr>
          <w:rFonts w:hint="eastAsia" w:ascii="宋体" w:hAnsi="宋体" w:eastAsia="宋体" w:cs="宋体"/>
          <w:color w:val="000000"/>
          <w:sz w:val="24"/>
          <w:szCs w:val="24"/>
          <w:highlight w:val="none"/>
        </w:rPr>
        <w:t>：</w:t>
      </w:r>
      <w:r>
        <w:rPr>
          <w:rFonts w:hint="eastAsia" w:ascii="宋体" w:hAnsi="宋体" w:eastAsia="宋体" w:cs="宋体"/>
          <w:color w:val="000000"/>
          <w:sz w:val="24"/>
          <w:szCs w:val="24"/>
          <w:highlight w:val="none"/>
          <w:u w:val="single"/>
          <w:lang w:val="en-US" w:eastAsia="zh-CN"/>
        </w:rPr>
        <w:t xml:space="preserve">辽宁君启阳项目管理有限公司   </w:t>
      </w:r>
    </w:p>
    <w:p w14:paraId="1C8D59A8">
      <w:pPr>
        <w:pageBreakBefore w:val="0"/>
        <w:kinsoku/>
        <w:wordWrap w:val="0"/>
        <w:topLinePunct/>
        <w:bidi w:val="0"/>
        <w:spacing w:line="360" w:lineRule="auto"/>
        <w:ind w:firstLine="480" w:firstLineChars="200"/>
        <w:jc w:val="left"/>
        <w:rPr>
          <w:rFonts w:hint="eastAsia" w:ascii="宋体" w:hAnsi="宋体" w:eastAsia="宋体" w:cs="宋体"/>
          <w:color w:val="000000"/>
          <w:sz w:val="24"/>
          <w:szCs w:val="24"/>
          <w:highlight w:val="none"/>
          <w:u w:val="single"/>
          <w:lang w:val="en-US" w:eastAsia="zh-CN"/>
        </w:rPr>
      </w:pPr>
      <w:r>
        <w:rPr>
          <w:rFonts w:hint="eastAsia" w:ascii="宋体" w:hAnsi="宋体" w:eastAsia="宋体" w:cs="宋体"/>
          <w:color w:val="000000"/>
          <w:sz w:val="24"/>
          <w:szCs w:val="24"/>
          <w:highlight w:val="none"/>
        </w:rPr>
        <w:t>地    址：</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u w:val="single"/>
          <w:lang w:eastAsia="zh-CN"/>
        </w:rPr>
        <w:t>营口市鲅鱼圈区红运小区西侧21号门市</w:t>
      </w:r>
      <w:r>
        <w:rPr>
          <w:rFonts w:hint="eastAsia" w:ascii="宋体" w:hAnsi="宋体" w:eastAsia="宋体" w:cs="宋体"/>
          <w:color w:val="000000"/>
          <w:sz w:val="24"/>
          <w:szCs w:val="24"/>
          <w:highlight w:val="none"/>
          <w:u w:val="single"/>
          <w:lang w:val="en-US" w:eastAsia="zh-CN"/>
        </w:rPr>
        <w:t xml:space="preserve">      </w:t>
      </w:r>
    </w:p>
    <w:p w14:paraId="2B5D3751">
      <w:pPr>
        <w:pageBreakBefore w:val="0"/>
        <w:kinsoku/>
        <w:wordWrap w:val="0"/>
        <w:topLinePunct/>
        <w:bidi w:val="0"/>
        <w:spacing w:line="360" w:lineRule="auto"/>
        <w:ind w:firstLine="480" w:firstLineChars="200"/>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邮    编：</w:t>
      </w:r>
      <w:r>
        <w:rPr>
          <w:rFonts w:hint="eastAsia" w:ascii="宋体" w:hAnsi="宋体" w:eastAsia="宋体" w:cs="宋体"/>
          <w:color w:val="000000"/>
          <w:sz w:val="24"/>
          <w:szCs w:val="24"/>
          <w:highlight w:val="none"/>
          <w:u w:val="single"/>
        </w:rPr>
        <w:t xml:space="preserve"> </w:t>
      </w:r>
      <w:r>
        <w:rPr>
          <w:rFonts w:hint="eastAsia" w:ascii="宋体" w:hAnsi="宋体" w:cs="宋体"/>
          <w:color w:val="000000"/>
          <w:sz w:val="24"/>
          <w:szCs w:val="24"/>
          <w:highlight w:val="none"/>
          <w:u w:val="single"/>
          <w:lang w:val="en-US" w:eastAsia="zh-CN"/>
        </w:rPr>
        <w:t>115007</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rPr>
        <w:t xml:space="preserve">  </w:t>
      </w:r>
    </w:p>
    <w:p w14:paraId="6C236A96">
      <w:pPr>
        <w:pageBreakBefore w:val="0"/>
        <w:kinsoku/>
        <w:wordWrap w:val="0"/>
        <w:topLinePunct/>
        <w:bidi w:val="0"/>
        <w:spacing w:line="360" w:lineRule="auto"/>
        <w:ind w:firstLine="480" w:firstLineChars="200"/>
        <w:jc w:val="left"/>
        <w:rPr>
          <w:rFonts w:hint="eastAsia" w:ascii="宋体" w:hAnsi="宋体" w:eastAsia="宋体" w:cs="宋体"/>
          <w:color w:val="000000"/>
          <w:sz w:val="24"/>
          <w:szCs w:val="24"/>
          <w:highlight w:val="none"/>
          <w:u w:val="single"/>
          <w:lang w:val="en-US" w:eastAsia="zh-CN"/>
        </w:rPr>
      </w:pPr>
      <w:r>
        <w:rPr>
          <w:rFonts w:hint="eastAsia" w:ascii="宋体" w:hAnsi="宋体" w:eastAsia="宋体" w:cs="宋体"/>
          <w:color w:val="000000"/>
          <w:sz w:val="24"/>
          <w:szCs w:val="24"/>
          <w:highlight w:val="none"/>
        </w:rPr>
        <w:t>联 系 人：</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cs="宋体"/>
          <w:color w:val="000000"/>
          <w:sz w:val="24"/>
          <w:szCs w:val="24"/>
          <w:highlight w:val="none"/>
          <w:u w:val="single"/>
          <w:lang w:val="en-US" w:eastAsia="zh-CN"/>
        </w:rPr>
        <w:t>王君</w:t>
      </w:r>
      <w:r>
        <w:rPr>
          <w:rFonts w:hint="eastAsia" w:ascii="宋体" w:hAnsi="宋体" w:eastAsia="宋体" w:cs="宋体"/>
          <w:color w:val="000000"/>
          <w:sz w:val="24"/>
          <w:szCs w:val="24"/>
          <w:highlight w:val="none"/>
          <w:u w:val="single"/>
          <w:lang w:val="en-US" w:eastAsia="zh-CN"/>
        </w:rPr>
        <w:t xml:space="preserve">  </w:t>
      </w:r>
      <w:bookmarkStart w:id="1590" w:name="_GoBack"/>
      <w:bookmarkEnd w:id="1590"/>
    </w:p>
    <w:p w14:paraId="0E120100">
      <w:pPr>
        <w:pageBreakBefore w:val="0"/>
        <w:kinsoku/>
        <w:wordWrap w:val="0"/>
        <w:topLinePunct/>
        <w:bidi w:val="0"/>
        <w:spacing w:line="360" w:lineRule="auto"/>
        <w:ind w:firstLine="480" w:firstLineChars="200"/>
        <w:jc w:val="left"/>
        <w:rPr>
          <w:rFonts w:hint="eastAsia" w:ascii="宋体" w:hAnsi="宋体" w:eastAsia="宋体" w:cs="宋体"/>
          <w:color w:val="000000"/>
          <w:sz w:val="24"/>
          <w:szCs w:val="24"/>
          <w:highlight w:val="none"/>
          <w:u w:val="single"/>
          <w:lang w:val="en-US" w:eastAsia="zh-CN"/>
        </w:rPr>
      </w:pPr>
      <w:r>
        <w:rPr>
          <w:rFonts w:hint="eastAsia" w:ascii="宋体" w:hAnsi="宋体" w:eastAsia="宋体" w:cs="宋体"/>
          <w:color w:val="000000"/>
          <w:sz w:val="24"/>
          <w:szCs w:val="24"/>
          <w:highlight w:val="none"/>
        </w:rPr>
        <w:t>电    话：</w:t>
      </w:r>
      <w:r>
        <w:rPr>
          <w:rFonts w:hint="eastAsia" w:ascii="宋体" w:hAnsi="宋体" w:cs="宋体"/>
          <w:color w:val="000000"/>
          <w:sz w:val="24"/>
          <w:szCs w:val="24"/>
          <w:highlight w:val="none"/>
          <w:u w:val="single"/>
          <w:lang w:val="en-US" w:eastAsia="zh-CN"/>
        </w:rPr>
        <w:t>0417-6190166</w:t>
      </w:r>
      <w:r>
        <w:rPr>
          <w:rFonts w:hint="eastAsia" w:ascii="宋体" w:hAnsi="宋体" w:eastAsia="宋体" w:cs="宋体"/>
          <w:color w:val="000000"/>
          <w:sz w:val="24"/>
          <w:szCs w:val="24"/>
          <w:highlight w:val="none"/>
          <w:u w:val="single"/>
          <w:lang w:val="en-US" w:eastAsia="zh-CN"/>
        </w:rPr>
        <w:t xml:space="preserve">     </w:t>
      </w:r>
    </w:p>
    <w:p w14:paraId="309AA545">
      <w:pPr>
        <w:pageBreakBefore w:val="0"/>
        <w:kinsoku/>
        <w:wordWrap w:val="0"/>
        <w:topLinePunct/>
        <w:bidi w:val="0"/>
        <w:spacing w:line="360" w:lineRule="auto"/>
        <w:ind w:firstLine="480" w:firstLineChars="200"/>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传    真：</w:t>
      </w:r>
      <w:r>
        <w:rPr>
          <w:rFonts w:hint="eastAsia" w:ascii="宋体" w:hAnsi="宋体" w:eastAsia="宋体" w:cs="宋体"/>
          <w:color w:val="000000"/>
          <w:sz w:val="24"/>
          <w:szCs w:val="24"/>
          <w:highlight w:val="none"/>
          <w:u w:val="single"/>
        </w:rPr>
        <w:t xml:space="preserve">                   </w:t>
      </w:r>
    </w:p>
    <w:p w14:paraId="6A315BE6">
      <w:pPr>
        <w:pageBreakBefore w:val="0"/>
        <w:kinsoku/>
        <w:wordWrap w:val="0"/>
        <w:topLinePunct/>
        <w:bidi w:val="0"/>
        <w:spacing w:line="360" w:lineRule="auto"/>
        <w:ind w:firstLine="480" w:firstLineChars="200"/>
        <w:jc w:val="left"/>
        <w:rPr>
          <w:rFonts w:hint="eastAsia" w:ascii="宋体" w:hAnsi="宋体" w:eastAsia="宋体" w:cs="宋体"/>
          <w:color w:val="000000"/>
          <w:sz w:val="24"/>
          <w:szCs w:val="24"/>
          <w:highlight w:val="none"/>
          <w:u w:val="single"/>
          <w:lang w:val="en-US" w:eastAsia="zh-CN"/>
        </w:rPr>
      </w:pPr>
      <w:r>
        <w:rPr>
          <w:rFonts w:hint="eastAsia" w:ascii="宋体" w:hAnsi="宋体" w:eastAsia="宋体" w:cs="宋体"/>
          <w:color w:val="000000"/>
          <w:sz w:val="24"/>
          <w:szCs w:val="24"/>
          <w:highlight w:val="none"/>
        </w:rPr>
        <w:t>电子邮件：</w:t>
      </w:r>
      <w:r>
        <w:rPr>
          <w:rFonts w:hint="eastAsia" w:ascii="宋体" w:hAnsi="宋体" w:eastAsia="宋体" w:cs="宋体"/>
          <w:color w:val="000000"/>
          <w:sz w:val="24"/>
          <w:szCs w:val="24"/>
          <w:highlight w:val="none"/>
          <w:u w:val="single"/>
          <w:lang w:val="en-US" w:eastAsia="zh-CN"/>
        </w:rPr>
        <w:t xml:space="preserve">849890906@qq.com      </w:t>
      </w:r>
    </w:p>
    <w:p w14:paraId="1393B35F">
      <w:pPr>
        <w:pageBreakBefore w:val="0"/>
        <w:kinsoku/>
        <w:wordWrap w:val="0"/>
        <w:topLinePunct/>
        <w:bidi w:val="0"/>
        <w:spacing w:line="360" w:lineRule="auto"/>
        <w:ind w:firstLine="480" w:firstLineChars="200"/>
        <w:jc w:val="left"/>
        <w:rPr>
          <w:rFonts w:hint="eastAsia" w:ascii="宋体" w:hAnsi="宋体" w:eastAsia="宋体" w:cs="宋体"/>
          <w:sz w:val="24"/>
          <w:szCs w:val="24"/>
          <w:highlight w:val="none"/>
          <w:lang w:val="en-US" w:eastAsia="zh-CN"/>
        </w:rPr>
      </w:pPr>
      <w:r>
        <w:rPr>
          <w:rFonts w:hint="eastAsia" w:ascii="宋体" w:hAnsi="宋体" w:eastAsia="宋体" w:cs="宋体"/>
          <w:color w:val="000000"/>
          <w:sz w:val="24"/>
          <w:szCs w:val="24"/>
          <w:highlight w:val="none"/>
        </w:rPr>
        <w:t>网    址：</w:t>
      </w:r>
      <w:r>
        <w:rPr>
          <w:rFonts w:hint="eastAsia" w:ascii="宋体" w:hAnsi="宋体" w:eastAsia="宋体" w:cs="宋体"/>
          <w:color w:val="000000"/>
          <w:sz w:val="24"/>
          <w:szCs w:val="24"/>
          <w:highlight w:val="none"/>
          <w:u w:val="single"/>
        </w:rPr>
        <w:t xml:space="preserve">                   </w:t>
      </w: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lang w:val="en-US" w:eastAsia="zh-CN"/>
        </w:rPr>
        <w:t xml:space="preserve">   </w:t>
      </w:r>
    </w:p>
    <w:p w14:paraId="271D2EA1">
      <w:pPr>
        <w:pageBreakBefore w:val="0"/>
        <w:kinsoku/>
        <w:wordWrap w:val="0"/>
        <w:topLinePunct/>
        <w:bidi w:val="0"/>
        <w:spacing w:line="360" w:lineRule="auto"/>
        <w:ind w:right="0" w:rightChars="0" w:firstLine="4800" w:firstLineChars="2000"/>
        <w:jc w:val="left"/>
        <w:rPr>
          <w:rFonts w:hint="default" w:ascii="Times New Roman" w:hAnsi="Times New Roman" w:eastAsia="黑体" w:cs="Times New Roman"/>
          <w:sz w:val="29"/>
          <w:szCs w:val="29"/>
          <w:highlight w:val="none"/>
        </w:rPr>
      </w:pPr>
      <w:r>
        <w:rPr>
          <w:rFonts w:hint="eastAsia" w:ascii="宋体" w:hAnsi="宋体" w:cs="宋体"/>
          <w:sz w:val="24"/>
          <w:szCs w:val="24"/>
          <w:highlight w:val="none"/>
          <w:u w:val="single"/>
          <w:lang w:val="en-US" w:eastAsia="zh-CN"/>
        </w:rPr>
        <w:t>2026年</w:t>
      </w:r>
      <w:r>
        <w:rPr>
          <w:rFonts w:hint="eastAsia" w:ascii="宋体" w:hAnsi="宋体" w:eastAsia="宋体" w:cs="宋体"/>
          <w:sz w:val="24"/>
          <w:szCs w:val="24"/>
          <w:highlight w:val="non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rPr>
        <w:t>月</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rPr>
        <w:t>日</w:t>
      </w:r>
    </w:p>
    <w:p w14:paraId="0D3A1A9E">
      <w:pPr>
        <w:pageBreakBefore w:val="0"/>
        <w:kinsoku/>
        <w:wordWrap w:val="0"/>
        <w:topLinePunct/>
        <w:bidi w:val="0"/>
        <w:spacing w:line="440" w:lineRule="exact"/>
        <w:ind w:right="31" w:rightChars="15"/>
        <w:jc w:val="center"/>
        <w:rPr>
          <w:rFonts w:hint="default" w:ascii="Times New Roman" w:hAnsi="Times New Roman" w:eastAsia="黑体" w:cs="Times New Roman"/>
          <w:sz w:val="29"/>
          <w:szCs w:val="29"/>
          <w:highlight w:val="none"/>
        </w:rPr>
      </w:pPr>
    </w:p>
    <w:p w14:paraId="7407887B">
      <w:pPr>
        <w:pageBreakBefore w:val="0"/>
        <w:kinsoku/>
        <w:wordWrap w:val="0"/>
        <w:topLinePunct/>
        <w:bidi w:val="0"/>
        <w:spacing w:line="440" w:lineRule="exact"/>
        <w:ind w:right="31" w:rightChars="15"/>
        <w:jc w:val="center"/>
        <w:rPr>
          <w:rFonts w:hint="default" w:ascii="Times New Roman" w:hAnsi="Times New Roman" w:eastAsia="黑体" w:cs="Times New Roman"/>
          <w:sz w:val="29"/>
          <w:szCs w:val="29"/>
          <w:highlight w:val="none"/>
        </w:rPr>
      </w:pPr>
    </w:p>
    <w:p w14:paraId="5EA036F4">
      <w:pPr>
        <w:pageBreakBefore w:val="0"/>
        <w:kinsoku/>
        <w:wordWrap w:val="0"/>
        <w:topLinePunct/>
        <w:bidi w:val="0"/>
        <w:spacing w:line="440" w:lineRule="exact"/>
        <w:ind w:right="31" w:rightChars="15"/>
        <w:jc w:val="center"/>
        <w:rPr>
          <w:rFonts w:hint="default" w:ascii="Times New Roman" w:hAnsi="Times New Roman" w:eastAsia="黑体" w:cs="Times New Roman"/>
          <w:sz w:val="29"/>
          <w:szCs w:val="29"/>
          <w:highlight w:val="none"/>
        </w:rPr>
      </w:pPr>
    </w:p>
    <w:p w14:paraId="1CD0ACBE">
      <w:pPr>
        <w:pageBreakBefore w:val="0"/>
        <w:kinsoku/>
        <w:wordWrap w:val="0"/>
        <w:topLinePunct/>
        <w:bidi w:val="0"/>
        <w:spacing w:line="440" w:lineRule="exact"/>
        <w:ind w:right="31" w:rightChars="15"/>
        <w:jc w:val="center"/>
        <w:rPr>
          <w:rFonts w:hint="default" w:ascii="Times New Roman" w:hAnsi="Times New Roman" w:eastAsia="黑体" w:cs="Times New Roman"/>
          <w:sz w:val="29"/>
          <w:szCs w:val="29"/>
          <w:highlight w:val="none"/>
        </w:rPr>
      </w:pPr>
    </w:p>
    <w:p w14:paraId="41EFE54A">
      <w:pPr>
        <w:pageBreakBefore w:val="0"/>
        <w:kinsoku/>
        <w:wordWrap w:val="0"/>
        <w:topLinePunct/>
        <w:bidi w:val="0"/>
        <w:spacing w:line="440" w:lineRule="exact"/>
        <w:ind w:right="31" w:rightChars="15"/>
        <w:jc w:val="center"/>
        <w:rPr>
          <w:rFonts w:hint="default" w:ascii="Times New Roman" w:hAnsi="Times New Roman" w:eastAsia="黑体" w:cs="Times New Roman"/>
          <w:sz w:val="29"/>
          <w:szCs w:val="29"/>
          <w:highlight w:val="none"/>
        </w:rPr>
      </w:pPr>
    </w:p>
    <w:p w14:paraId="1280DD86">
      <w:pPr>
        <w:pageBreakBefore w:val="0"/>
        <w:kinsoku/>
        <w:wordWrap w:val="0"/>
        <w:topLinePunct/>
        <w:bidi w:val="0"/>
        <w:spacing w:line="440" w:lineRule="exact"/>
        <w:ind w:right="31" w:rightChars="15"/>
        <w:jc w:val="center"/>
        <w:rPr>
          <w:rFonts w:hint="default" w:ascii="Times New Roman" w:hAnsi="Times New Roman" w:eastAsia="黑体" w:cs="Times New Roman"/>
          <w:sz w:val="29"/>
          <w:szCs w:val="29"/>
          <w:highlight w:val="none"/>
        </w:rPr>
      </w:pPr>
    </w:p>
    <w:p w14:paraId="1A05171E">
      <w:pPr>
        <w:pageBreakBefore w:val="0"/>
        <w:kinsoku/>
        <w:wordWrap w:val="0"/>
        <w:topLinePunct/>
        <w:bidi w:val="0"/>
        <w:spacing w:line="440" w:lineRule="exact"/>
        <w:ind w:right="31" w:rightChars="15"/>
        <w:jc w:val="center"/>
        <w:rPr>
          <w:rFonts w:hint="default" w:ascii="Times New Roman" w:hAnsi="Times New Roman" w:eastAsia="黑体" w:cs="Times New Roman"/>
          <w:sz w:val="29"/>
          <w:szCs w:val="29"/>
          <w:highlight w:val="none"/>
        </w:rPr>
      </w:pPr>
    </w:p>
    <w:p w14:paraId="01D09C7B">
      <w:pPr>
        <w:pageBreakBefore w:val="0"/>
        <w:kinsoku/>
        <w:wordWrap w:val="0"/>
        <w:topLinePunct/>
        <w:bidi w:val="0"/>
        <w:spacing w:line="240" w:lineRule="atLeast"/>
        <w:ind w:right="31" w:rightChars="15"/>
        <w:jc w:val="center"/>
        <w:rPr>
          <w:rFonts w:hint="default" w:ascii="Times New Roman" w:hAnsi="Times New Roman" w:eastAsia="黑体" w:cs="Times New Roman"/>
          <w:sz w:val="56"/>
          <w:szCs w:val="56"/>
          <w:highlight w:val="none"/>
        </w:rPr>
      </w:pPr>
    </w:p>
    <w:p w14:paraId="764B00BF">
      <w:pPr>
        <w:pageBreakBefore w:val="0"/>
        <w:kinsoku/>
        <w:wordWrap w:val="0"/>
        <w:topLinePunct/>
        <w:bidi w:val="0"/>
        <w:spacing w:line="240" w:lineRule="atLeast"/>
        <w:ind w:right="31" w:rightChars="15"/>
        <w:jc w:val="center"/>
        <w:rPr>
          <w:rFonts w:hint="default" w:ascii="Times New Roman" w:hAnsi="Times New Roman" w:eastAsia="黑体" w:cs="Times New Roman"/>
          <w:sz w:val="56"/>
          <w:szCs w:val="56"/>
          <w:highlight w:val="none"/>
        </w:rPr>
      </w:pPr>
      <w:r>
        <w:rPr>
          <w:rFonts w:hint="default" w:ascii="Times New Roman" w:hAnsi="Times New Roman" w:eastAsia="黑体" w:cs="Times New Roman"/>
          <w:sz w:val="56"/>
          <w:szCs w:val="56"/>
          <w:highlight w:val="none"/>
        </w:rPr>
        <w:t>第二章  投标人须知</w:t>
      </w:r>
    </w:p>
    <w:p w14:paraId="26F789AE">
      <w:pPr>
        <w:pageBreakBefore w:val="0"/>
        <w:kinsoku/>
        <w:wordWrap w:val="0"/>
        <w:topLinePunct/>
        <w:bidi w:val="0"/>
        <w:spacing w:line="240" w:lineRule="atLeast"/>
        <w:ind w:right="31" w:rightChars="15"/>
        <w:jc w:val="center"/>
        <w:rPr>
          <w:rFonts w:hint="default" w:ascii="Times New Roman" w:hAnsi="Times New Roman" w:eastAsia="黑体" w:cs="Times New Roman"/>
          <w:sz w:val="56"/>
          <w:szCs w:val="56"/>
          <w:highlight w:val="none"/>
        </w:rPr>
      </w:pPr>
    </w:p>
    <w:p w14:paraId="4569A271">
      <w:pPr>
        <w:pageBreakBefore w:val="0"/>
        <w:kinsoku/>
        <w:wordWrap w:val="0"/>
        <w:topLinePunct/>
        <w:bidi w:val="0"/>
        <w:spacing w:line="240" w:lineRule="atLeast"/>
        <w:ind w:right="31" w:rightChars="15"/>
        <w:jc w:val="center"/>
        <w:rPr>
          <w:rFonts w:hint="default" w:ascii="Times New Roman" w:hAnsi="Times New Roman" w:eastAsia="黑体" w:cs="Times New Roman"/>
          <w:sz w:val="56"/>
          <w:szCs w:val="56"/>
          <w:highlight w:val="none"/>
        </w:rPr>
        <w:sectPr>
          <w:headerReference r:id="rId16" w:type="default"/>
          <w:footerReference r:id="rId18" w:type="default"/>
          <w:headerReference r:id="rId17" w:type="even"/>
          <w:footerReference r:id="rId19" w:type="even"/>
          <w:footnotePr>
            <w:numFmt w:val="decimalEnclosedCircleChinese"/>
            <w:numRestart w:val="eachPage"/>
          </w:footnotePr>
          <w:pgSz w:w="11907" w:h="16840"/>
          <w:pgMar w:top="1588" w:right="1531" w:bottom="1644" w:left="1588" w:header="851" w:footer="851" w:gutter="0"/>
          <w:pgNumType w:fmt="decimal"/>
          <w:cols w:space="720" w:num="1"/>
          <w:docGrid w:linePitch="312" w:charSpace="0"/>
        </w:sectPr>
      </w:pPr>
    </w:p>
    <w:p w14:paraId="07463DAB">
      <w:pPr>
        <w:pageBreakBefore w:val="0"/>
        <w:kinsoku/>
        <w:wordWrap w:val="0"/>
        <w:bidi w:val="0"/>
        <w:spacing w:line="440" w:lineRule="exact"/>
        <w:jc w:val="center"/>
        <w:outlineLvl w:val="0"/>
        <w:rPr>
          <w:rStyle w:val="65"/>
          <w:rFonts w:hint="default" w:ascii="Times New Roman" w:hAnsi="Times New Roman" w:eastAsia="黑体" w:cs="Times New Roman"/>
          <w:sz w:val="42"/>
          <w:szCs w:val="42"/>
          <w:highlight w:val="none"/>
        </w:rPr>
      </w:pPr>
      <w:bookmarkStart w:id="36" w:name="_Toc16934"/>
      <w:bookmarkStart w:id="37" w:name="_Toc234832861"/>
      <w:bookmarkStart w:id="38" w:name="_Toc9806"/>
      <w:r>
        <w:rPr>
          <w:rStyle w:val="65"/>
          <w:rFonts w:hint="default" w:ascii="Times New Roman" w:hAnsi="Times New Roman" w:eastAsia="黑体" w:cs="Times New Roman"/>
          <w:sz w:val="42"/>
          <w:szCs w:val="42"/>
          <w:highlight w:val="none"/>
        </w:rPr>
        <w:t>第二章  投标人须知</w:t>
      </w:r>
      <w:bookmarkEnd w:id="36"/>
      <w:bookmarkEnd w:id="37"/>
      <w:bookmarkEnd w:id="38"/>
    </w:p>
    <w:p w14:paraId="22458F49">
      <w:pPr>
        <w:pStyle w:val="2"/>
        <w:pageBreakBefore w:val="0"/>
        <w:kinsoku/>
        <w:wordWrap w:val="0"/>
        <w:bidi w:val="0"/>
        <w:spacing w:before="240" w:after="240" w:line="240" w:lineRule="atLeast"/>
        <w:rPr>
          <w:rFonts w:hint="default" w:ascii="Times New Roman" w:hAnsi="Times New Roman" w:eastAsia="黑体" w:cs="Times New Roman"/>
          <w:sz w:val="28"/>
          <w:szCs w:val="28"/>
          <w:highlight w:val="none"/>
        </w:rPr>
      </w:pPr>
      <w:bookmarkStart w:id="39" w:name="_Toc29020"/>
      <w:bookmarkStart w:id="40" w:name="_Toc25381"/>
      <w:bookmarkStart w:id="41" w:name="_Toc234832862"/>
      <w:r>
        <w:rPr>
          <w:rFonts w:hint="default" w:ascii="Times New Roman" w:hAnsi="Times New Roman" w:eastAsia="黑体" w:cs="Times New Roman"/>
          <w:sz w:val="28"/>
          <w:szCs w:val="28"/>
          <w:highlight w:val="none"/>
        </w:rPr>
        <w:t>投标人须知前附表</w:t>
      </w:r>
      <w:r>
        <w:rPr>
          <w:rStyle w:val="56"/>
          <w:rFonts w:hint="default" w:ascii="Times New Roman" w:hAnsi="Times New Roman" w:eastAsia="黑体" w:cs="Times New Roman"/>
          <w:sz w:val="28"/>
          <w:szCs w:val="28"/>
          <w:highlight w:val="none"/>
        </w:rPr>
        <w:footnoteReference w:id="1"/>
      </w:r>
      <w:bookmarkEnd w:id="39"/>
      <w:bookmarkEnd w:id="40"/>
      <w:bookmarkEnd w:id="41"/>
    </w:p>
    <w:tbl>
      <w:tblPr>
        <w:tblStyle w:val="40"/>
        <w:tblW w:w="9857" w:type="dxa"/>
        <w:tblInd w:w="0" w:type="dxa"/>
        <w:tblLayout w:type="fixed"/>
        <w:tblCellMar>
          <w:top w:w="0" w:type="dxa"/>
          <w:left w:w="108" w:type="dxa"/>
          <w:bottom w:w="0" w:type="dxa"/>
          <w:right w:w="108" w:type="dxa"/>
        </w:tblCellMar>
      </w:tblPr>
      <w:tblGrid>
        <w:gridCol w:w="1036"/>
        <w:gridCol w:w="2953"/>
        <w:gridCol w:w="5868"/>
      </w:tblGrid>
      <w:tr w14:paraId="08F8010A">
        <w:tblPrEx>
          <w:tblCellMar>
            <w:top w:w="0" w:type="dxa"/>
            <w:left w:w="108" w:type="dxa"/>
            <w:bottom w:w="0" w:type="dxa"/>
            <w:right w:w="108" w:type="dxa"/>
          </w:tblCellMar>
        </w:tblPrEx>
        <w:trPr>
          <w:trHeight w:val="340" w:hRule="atLeast"/>
          <w:tblHeader/>
        </w:trPr>
        <w:tc>
          <w:tcPr>
            <w:tcW w:w="1036" w:type="dxa"/>
            <w:tcBorders>
              <w:top w:val="single" w:color="auto" w:sz="4" w:space="0"/>
              <w:left w:val="single" w:color="auto" w:sz="4" w:space="0"/>
              <w:bottom w:val="single" w:color="auto" w:sz="4" w:space="0"/>
              <w:right w:val="single" w:color="auto" w:sz="4" w:space="0"/>
            </w:tcBorders>
            <w:noWrap w:val="0"/>
            <w:vAlign w:val="center"/>
          </w:tcPr>
          <w:p w14:paraId="0ADE0D92">
            <w:pPr>
              <w:pageBreakBefore w:val="0"/>
              <w:kinsoku/>
              <w:wordWrap w:val="0"/>
              <w:bidi w:val="0"/>
              <w:spacing w:line="360" w:lineRule="atLeast"/>
              <w:jc w:val="center"/>
              <w:rPr>
                <w:rFonts w:hint="default" w:ascii="Times New Roman" w:hAnsi="Times New Roman" w:cs="Times New Roman"/>
                <w:b/>
                <w:sz w:val="24"/>
                <w:szCs w:val="24"/>
                <w:highlight w:val="none"/>
              </w:rPr>
            </w:pPr>
            <w:r>
              <w:rPr>
                <w:rFonts w:hint="default" w:ascii="Times New Roman" w:hAnsi="Times New Roman" w:cs="Times New Roman"/>
                <w:b/>
                <w:sz w:val="24"/>
                <w:szCs w:val="24"/>
                <w:highlight w:val="none"/>
              </w:rPr>
              <w:t>条款号</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706924F1">
            <w:pPr>
              <w:pageBreakBefore w:val="0"/>
              <w:kinsoku/>
              <w:wordWrap w:val="0"/>
              <w:bidi w:val="0"/>
              <w:spacing w:line="360" w:lineRule="atLeast"/>
              <w:jc w:val="center"/>
              <w:rPr>
                <w:rFonts w:hint="default" w:ascii="Times New Roman" w:hAnsi="Times New Roman" w:cs="Times New Roman"/>
                <w:b/>
                <w:sz w:val="24"/>
                <w:szCs w:val="24"/>
                <w:highlight w:val="none"/>
              </w:rPr>
            </w:pPr>
            <w:r>
              <w:rPr>
                <w:rFonts w:hint="default" w:ascii="Times New Roman" w:hAnsi="Times New Roman" w:cs="Times New Roman"/>
                <w:b/>
                <w:sz w:val="24"/>
                <w:szCs w:val="24"/>
                <w:highlight w:val="none"/>
              </w:rPr>
              <w:t>条  款  名  称</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3B91C77E">
            <w:pPr>
              <w:pageBreakBefore w:val="0"/>
              <w:kinsoku/>
              <w:wordWrap w:val="0"/>
              <w:bidi w:val="0"/>
              <w:spacing w:line="360" w:lineRule="atLeast"/>
              <w:jc w:val="center"/>
              <w:rPr>
                <w:rFonts w:hint="default" w:ascii="Times New Roman" w:hAnsi="Times New Roman" w:cs="Times New Roman"/>
                <w:b/>
                <w:sz w:val="24"/>
                <w:szCs w:val="24"/>
                <w:highlight w:val="none"/>
              </w:rPr>
            </w:pPr>
            <w:r>
              <w:rPr>
                <w:rFonts w:hint="default" w:ascii="Times New Roman" w:hAnsi="Times New Roman" w:cs="Times New Roman"/>
                <w:b/>
                <w:sz w:val="24"/>
                <w:szCs w:val="24"/>
                <w:highlight w:val="none"/>
              </w:rPr>
              <w:t>编  列  内  容</w:t>
            </w:r>
          </w:p>
        </w:tc>
      </w:tr>
      <w:tr w14:paraId="3FC66A3B">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2DA45903">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1.1.2</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72A1499A">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招标人</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2F58EDA7">
            <w:pPr>
              <w:spacing w:line="400" w:lineRule="exact"/>
              <w:rPr>
                <w:rFonts w:hint="default" w:ascii="Times New Roman" w:hAnsi="Times New Roman" w:cs="Times New Roman"/>
                <w:sz w:val="24"/>
                <w:szCs w:val="24"/>
                <w:highlight w:val="none"/>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14:paraId="75E5DACF">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5383B12A">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1.1.3</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3DE98117">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招标代理机构</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425E7A4A">
            <w:pPr>
              <w:spacing w:line="400" w:lineRule="exact"/>
              <w:rPr>
                <w:rFonts w:hint="default" w:ascii="Times New Roman" w:hAnsi="Times New Roman" w:cs="Times New Roman"/>
                <w:sz w:val="24"/>
                <w:szCs w:val="24"/>
                <w:highlight w:val="none"/>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14:paraId="5D5B9C50">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42732288">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1.1.4</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15DE4BF6">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招标项目名称</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7A08C92E">
            <w:pPr>
              <w:spacing w:line="400" w:lineRule="exact"/>
              <w:rPr>
                <w:rFonts w:hint="default" w:ascii="Times New Roman" w:hAnsi="Times New Roman" w:cs="Times New Roman"/>
                <w:sz w:val="24"/>
                <w:szCs w:val="24"/>
                <w:highlight w:val="none"/>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14:paraId="6F005534">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19CCF0E7">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1.1.5</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7664B752">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标段建设地点</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52ABEF7E">
            <w:pPr>
              <w:spacing w:line="400" w:lineRule="exact"/>
              <w:rPr>
                <w:rFonts w:hint="default" w:ascii="Times New Roman" w:hAnsi="Times New Roman" w:cs="Times New Roman"/>
                <w:sz w:val="24"/>
                <w:szCs w:val="24"/>
                <w:highlight w:val="none"/>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14:paraId="6454FEBB">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08D45F6D">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1.2.1</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203FBC1C">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资金来源及比例</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1904BD3F">
            <w:pPr>
              <w:spacing w:line="400" w:lineRule="exact"/>
              <w:rPr>
                <w:rFonts w:hint="default" w:ascii="Times New Roman" w:hAnsi="Times New Roman" w:cs="Times New Roman"/>
                <w:sz w:val="24"/>
                <w:szCs w:val="24"/>
                <w:highlight w:val="none"/>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14:paraId="6BF3C668">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61E4CA1D">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1.2.2</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6E47D6EB">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资金落实情况</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03F23159">
            <w:pPr>
              <w:spacing w:line="400" w:lineRule="exact"/>
              <w:rPr>
                <w:rFonts w:hint="default" w:ascii="Times New Roman" w:hAnsi="Times New Roman" w:cs="Times New Roman"/>
                <w:sz w:val="24"/>
                <w:szCs w:val="24"/>
                <w:highlight w:val="none"/>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14:paraId="147326EB">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41CF1FD2">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1.3.1</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623CE652">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招标范围</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727707C8">
            <w:pPr>
              <w:spacing w:line="400" w:lineRule="exact"/>
              <w:rPr>
                <w:rFonts w:hint="default" w:ascii="Times New Roman" w:hAnsi="Times New Roman" w:cs="Times New Roman"/>
                <w:sz w:val="24"/>
                <w:szCs w:val="24"/>
                <w:highlight w:val="none"/>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14:paraId="5F6BE2E5">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69214E15">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1.3.2</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30D07AE4">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计划工期</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04D03D1D">
            <w:pPr>
              <w:spacing w:line="400" w:lineRule="exact"/>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14:paraId="621341B2">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2E5D3634">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1.3.3</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50B49C81">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质量要求</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34652800">
            <w:pPr>
              <w:pStyle w:val="15"/>
              <w:pageBreakBefore w:val="0"/>
              <w:kinsoku/>
              <w:wordWrap w:val="0"/>
              <w:topLinePunct/>
              <w:bidi w:val="0"/>
              <w:spacing w:line="360" w:lineRule="atLeas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标段工程交工验收的质量评定：</w:t>
            </w:r>
            <w:r>
              <w:rPr>
                <w:rFonts w:hint="default" w:ascii="Times New Roman" w:hAnsi="Times New Roman" w:cs="Times New Roman"/>
                <w:sz w:val="24"/>
                <w:szCs w:val="24"/>
                <w:highlight w:val="none"/>
                <w:u w:val="single"/>
              </w:rPr>
              <w:t xml:space="preserve">合格  </w:t>
            </w:r>
          </w:p>
          <w:p w14:paraId="3E0D1B82">
            <w:pPr>
              <w:pStyle w:val="15"/>
              <w:pageBreakBefore w:val="0"/>
              <w:kinsoku/>
              <w:wordWrap w:val="0"/>
              <w:topLinePunct/>
              <w:bidi w:val="0"/>
              <w:spacing w:line="360" w:lineRule="atLeas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竣工验收的质量评定：</w:t>
            </w:r>
            <w:r>
              <w:rPr>
                <w:rFonts w:hint="default" w:ascii="Times New Roman" w:hAnsi="Times New Roman" w:cs="Times New Roman"/>
                <w:sz w:val="24"/>
                <w:szCs w:val="24"/>
                <w:highlight w:val="none"/>
                <w:u w:val="single"/>
              </w:rPr>
              <w:t xml:space="preserve">合格  </w:t>
            </w:r>
          </w:p>
        </w:tc>
      </w:tr>
      <w:tr w14:paraId="7515967E">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6B15097B">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bCs/>
                <w:sz w:val="24"/>
                <w:szCs w:val="24"/>
                <w:highlight w:val="none"/>
              </w:rPr>
              <w:t>1.3.4</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085E06C8">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安全目标</w:t>
            </w:r>
            <w:r>
              <w:rPr>
                <w:rStyle w:val="56"/>
                <w:rFonts w:hint="default" w:ascii="Times New Roman" w:hAnsi="Times New Roman" w:eastAsia="黑体" w:cs="Times New Roman"/>
                <w:sz w:val="24"/>
                <w:szCs w:val="24"/>
                <w:highlight w:val="none"/>
              </w:rPr>
              <w:footnoteReference w:id="2"/>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2817854B">
            <w:pPr>
              <w:pStyle w:val="15"/>
              <w:pageBreakBefore w:val="0"/>
              <w:numPr>
                <w:ilvl w:val="0"/>
                <w:numId w:val="2"/>
              </w:numPr>
              <w:kinsoku/>
              <w:wordWrap w:val="0"/>
              <w:topLinePunct/>
              <w:bidi w:val="0"/>
              <w:spacing w:line="360" w:lineRule="atLeast"/>
              <w:rPr>
                <w:rFonts w:hint="eastAsia" w:ascii="Times New Roman" w:cs="Times New Roman"/>
                <w:sz w:val="24"/>
                <w:szCs w:val="24"/>
                <w:highlight w:val="none"/>
                <w:lang w:val="en-US" w:eastAsia="zh-CN"/>
              </w:rPr>
            </w:pPr>
            <w:r>
              <w:rPr>
                <w:rFonts w:hint="eastAsia" w:ascii="Times New Roman" w:cs="Times New Roman"/>
                <w:sz w:val="24"/>
                <w:szCs w:val="24"/>
                <w:highlight w:val="none"/>
                <w:lang w:val="en-US" w:eastAsia="zh-CN"/>
              </w:rPr>
              <w:t>安全生产“零死亡”；</w:t>
            </w:r>
          </w:p>
          <w:p w14:paraId="5818D1E5">
            <w:pPr>
              <w:pStyle w:val="15"/>
              <w:pageBreakBefore w:val="0"/>
              <w:numPr>
                <w:ilvl w:val="0"/>
                <w:numId w:val="2"/>
              </w:numPr>
              <w:kinsoku/>
              <w:wordWrap w:val="0"/>
              <w:topLinePunct/>
              <w:bidi w:val="0"/>
              <w:spacing w:line="360" w:lineRule="atLeast"/>
              <w:rPr>
                <w:rFonts w:hint="default" w:ascii="Times New Roman" w:cs="Times New Roman"/>
                <w:sz w:val="24"/>
                <w:szCs w:val="24"/>
                <w:highlight w:val="none"/>
                <w:lang w:val="en-US" w:eastAsia="zh-CN"/>
              </w:rPr>
            </w:pPr>
            <w:r>
              <w:rPr>
                <w:rFonts w:hint="eastAsia" w:ascii="Times New Roman" w:cs="Times New Roman"/>
                <w:sz w:val="24"/>
                <w:szCs w:val="24"/>
                <w:highlight w:val="none"/>
                <w:lang w:val="en-US" w:eastAsia="zh-CN"/>
              </w:rPr>
              <w:t>其他：</w:t>
            </w:r>
            <w:r>
              <w:rPr>
                <w:rFonts w:hint="eastAsia" w:ascii="Times New Roman" w:cs="Times New Roman"/>
                <w:sz w:val="24"/>
                <w:szCs w:val="24"/>
                <w:highlight w:val="none"/>
                <w:u w:val="single"/>
                <w:lang w:val="en-US" w:eastAsia="zh-CN"/>
              </w:rPr>
              <w:t xml:space="preserve">    /        </w:t>
            </w:r>
          </w:p>
        </w:tc>
      </w:tr>
      <w:tr w14:paraId="29DA41F0">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5F6C5F85">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1.4.1</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1186C921">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投标人资质条件、能力和信誉</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3BF8337E">
            <w:pPr>
              <w:pStyle w:val="15"/>
              <w:pageBreakBefore w:val="0"/>
              <w:kinsoku/>
              <w:wordWrap w:val="0"/>
              <w:topLinePunct/>
              <w:bidi w:val="0"/>
              <w:spacing w:line="360" w:lineRule="atLeas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资质要求：见</w:t>
            </w:r>
            <w:r>
              <w:rPr>
                <w:rFonts w:hint="default" w:ascii="Times New Roman" w:hAnsi="Times New Roman" w:eastAsia="黑体" w:cs="Times New Roman"/>
                <w:sz w:val="24"/>
                <w:szCs w:val="24"/>
                <w:highlight w:val="none"/>
              </w:rPr>
              <w:t>附录1</w:t>
            </w:r>
          </w:p>
          <w:p w14:paraId="3A4CC9C7">
            <w:pPr>
              <w:pStyle w:val="15"/>
              <w:pageBreakBefore w:val="0"/>
              <w:kinsoku/>
              <w:wordWrap w:val="0"/>
              <w:topLinePunct/>
              <w:bidi w:val="0"/>
              <w:spacing w:line="360" w:lineRule="atLeas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财务要求：见</w:t>
            </w:r>
            <w:r>
              <w:rPr>
                <w:rFonts w:hint="default" w:ascii="Times New Roman" w:hAnsi="Times New Roman" w:eastAsia="黑体" w:cs="Times New Roman"/>
                <w:sz w:val="24"/>
                <w:szCs w:val="24"/>
                <w:highlight w:val="none"/>
              </w:rPr>
              <w:t>附录2</w:t>
            </w:r>
          </w:p>
          <w:p w14:paraId="6B67E70D">
            <w:pPr>
              <w:pStyle w:val="15"/>
              <w:pageBreakBefore w:val="0"/>
              <w:kinsoku/>
              <w:wordWrap w:val="0"/>
              <w:topLinePunct/>
              <w:bidi w:val="0"/>
              <w:spacing w:line="360" w:lineRule="atLeas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业绩要求：见</w:t>
            </w:r>
            <w:r>
              <w:rPr>
                <w:rFonts w:hint="default" w:ascii="Times New Roman" w:hAnsi="Times New Roman" w:eastAsia="黑体" w:cs="Times New Roman"/>
                <w:sz w:val="24"/>
                <w:szCs w:val="24"/>
                <w:highlight w:val="none"/>
              </w:rPr>
              <w:t>附录3</w:t>
            </w:r>
          </w:p>
          <w:p w14:paraId="5C49EF93">
            <w:pPr>
              <w:pStyle w:val="15"/>
              <w:pageBreakBefore w:val="0"/>
              <w:kinsoku/>
              <w:wordWrap w:val="0"/>
              <w:topLinePunct/>
              <w:bidi w:val="0"/>
              <w:spacing w:line="360" w:lineRule="atLeas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信誉要求：见</w:t>
            </w:r>
            <w:r>
              <w:rPr>
                <w:rFonts w:hint="default" w:ascii="Times New Roman" w:hAnsi="Times New Roman" w:eastAsia="黑体" w:cs="Times New Roman"/>
                <w:sz w:val="24"/>
                <w:szCs w:val="24"/>
                <w:highlight w:val="none"/>
              </w:rPr>
              <w:t>附录4</w:t>
            </w:r>
          </w:p>
          <w:p w14:paraId="7F89BF4D">
            <w:pPr>
              <w:pStyle w:val="15"/>
              <w:pageBreakBefore w:val="0"/>
              <w:kinsoku/>
              <w:wordWrap w:val="0"/>
              <w:topLinePunct/>
              <w:bidi w:val="0"/>
              <w:spacing w:line="360" w:lineRule="atLeas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项目经理和项目总工资格：见</w:t>
            </w:r>
            <w:r>
              <w:rPr>
                <w:rFonts w:hint="default" w:ascii="Times New Roman" w:hAnsi="Times New Roman" w:eastAsia="黑体" w:cs="Times New Roman"/>
                <w:sz w:val="24"/>
                <w:szCs w:val="24"/>
                <w:highlight w:val="none"/>
              </w:rPr>
              <w:t>附录5</w:t>
            </w:r>
          </w:p>
          <w:p w14:paraId="0A00B030">
            <w:pPr>
              <w:pageBreakBefore w:val="0"/>
              <w:kinsoku/>
              <w:wordWrap w:val="0"/>
              <w:bidi w:val="0"/>
              <w:spacing w:line="360" w:lineRule="atLeas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其他要求：</w:t>
            </w:r>
            <w:r>
              <w:rPr>
                <w:rStyle w:val="56"/>
                <w:rFonts w:hint="default" w:ascii="Times New Roman" w:hAnsi="Times New Roman" w:eastAsia="黑体" w:cs="Times New Roman"/>
                <w:sz w:val="24"/>
                <w:szCs w:val="24"/>
                <w:highlight w:val="none"/>
              </w:rPr>
              <w:footnoteReference w:id="3"/>
            </w:r>
          </w:p>
        </w:tc>
      </w:tr>
      <w:tr w14:paraId="6691941C">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45D6DAA5">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1.4.2</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4553A12E">
            <w:pPr>
              <w:pageBreakBefore w:val="0"/>
              <w:kinsoku/>
              <w:wordWrap w:val="0"/>
              <w:bidi w:val="0"/>
              <w:spacing w:line="440" w:lineRule="exact"/>
              <w:jc w:val="center"/>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cs="Times New Roman"/>
                <w:sz w:val="24"/>
                <w:szCs w:val="24"/>
                <w:highlight w:val="none"/>
              </w:rPr>
              <w:t>是否接受联合体投标</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2797FB73">
            <w:pPr>
              <w:pageBreakBefore w:val="0"/>
              <w:kinsoku/>
              <w:wordWrap w:val="0"/>
              <w:topLinePunct/>
              <w:bidi w:val="0"/>
              <w:spacing w:line="440" w:lineRule="exact"/>
              <w:rPr>
                <w:rFonts w:hint="default" w:ascii="Times New Roman" w:hAnsi="Times New Roman" w:cs="Times New Roman"/>
                <w:color w:val="000000"/>
                <w:sz w:val="24"/>
                <w:szCs w:val="24"/>
                <w:highlight w:val="none"/>
              </w:rPr>
            </w:pPr>
            <w:r>
              <w:rPr>
                <w:rFonts w:hint="eastAsia" w:cs="Times New Roman"/>
                <w:color w:val="000000"/>
                <w:sz w:val="24"/>
                <w:szCs w:val="24"/>
                <w:highlight w:val="none"/>
                <w:lang w:eastAsia="zh-CN"/>
              </w:rPr>
              <w:t>☑</w:t>
            </w:r>
            <w:r>
              <w:rPr>
                <w:rFonts w:hint="default" w:ascii="Times New Roman" w:hAnsi="Times New Roman" w:cs="Times New Roman"/>
                <w:color w:val="000000"/>
                <w:sz w:val="24"/>
                <w:szCs w:val="24"/>
                <w:highlight w:val="none"/>
                <w:u w:val="single"/>
                <w:lang w:val="en-US" w:eastAsia="zh-CN"/>
              </w:rPr>
              <w:t xml:space="preserve">   </w:t>
            </w:r>
            <w:r>
              <w:rPr>
                <w:rFonts w:hint="eastAsia" w:cs="Times New Roman"/>
                <w:color w:val="000000"/>
                <w:sz w:val="24"/>
                <w:szCs w:val="24"/>
                <w:highlight w:val="none"/>
                <w:u w:val="single"/>
                <w:lang w:val="en-US" w:eastAsia="zh-CN"/>
              </w:rPr>
              <w:t>1</w:t>
            </w:r>
            <w:r>
              <w:rPr>
                <w:rFonts w:hint="default" w:ascii="Times New Roman" w:hAnsi="Times New Roman" w:cs="Times New Roman"/>
                <w:color w:val="000000"/>
                <w:sz w:val="24"/>
                <w:szCs w:val="24"/>
                <w:highlight w:val="none"/>
                <w:u w:val="single"/>
                <w:lang w:val="en-US" w:eastAsia="zh-CN"/>
              </w:rPr>
              <w:t xml:space="preserve">   </w:t>
            </w:r>
            <w:r>
              <w:rPr>
                <w:rFonts w:hint="default" w:ascii="Times New Roman" w:hAnsi="Times New Roman" w:cs="Times New Roman"/>
                <w:color w:val="000000"/>
                <w:sz w:val="24"/>
                <w:szCs w:val="24"/>
                <w:highlight w:val="none"/>
                <w:lang w:val="en-US" w:eastAsia="zh-CN"/>
              </w:rPr>
              <w:t>标段，</w:t>
            </w:r>
            <w:r>
              <w:rPr>
                <w:rFonts w:hint="default" w:ascii="Times New Roman" w:hAnsi="Times New Roman" w:cs="Times New Roman"/>
                <w:color w:val="000000"/>
                <w:sz w:val="24"/>
                <w:szCs w:val="24"/>
                <w:highlight w:val="none"/>
              </w:rPr>
              <w:t>不</w:t>
            </w:r>
            <w:r>
              <w:rPr>
                <w:rFonts w:hint="default" w:ascii="Times New Roman" w:hAnsi="Times New Roman" w:cs="Times New Roman"/>
                <w:sz w:val="24"/>
                <w:szCs w:val="24"/>
                <w:highlight w:val="none"/>
              </w:rPr>
              <w:t>接受</w:t>
            </w:r>
          </w:p>
          <w:p w14:paraId="2CF8A7C4">
            <w:pPr>
              <w:pageBreakBefore w:val="0"/>
              <w:kinsoku/>
              <w:wordWrap w:val="0"/>
              <w:bidi w:val="0"/>
              <w:spacing w:line="440" w:lineRule="exact"/>
              <w:rPr>
                <w:rFonts w:hint="default" w:ascii="Times New Roman" w:hAnsi="Times New Roman" w:eastAsia="宋体" w:cs="Times New Roman"/>
                <w:color w:val="000000"/>
                <w:kern w:val="2"/>
                <w:sz w:val="24"/>
                <w:szCs w:val="24"/>
                <w:highlight w:val="none"/>
                <w:lang w:val="en-US" w:eastAsia="zh-CN" w:bidi="ar-SA"/>
              </w:rPr>
            </w:pPr>
            <w:r>
              <w:rPr>
                <w:rFonts w:hint="eastAsia" w:cs="Times New Roman"/>
                <w:sz w:val="24"/>
                <w:szCs w:val="24"/>
                <w:highlight w:val="none"/>
                <w:lang w:eastAsia="zh-CN"/>
              </w:rPr>
              <w:t>□</w:t>
            </w:r>
            <w:r>
              <w:rPr>
                <w:rFonts w:hint="default" w:ascii="Times New Roman" w:hAnsi="Times New Roman" w:cs="Times New Roman"/>
                <w:color w:val="000000"/>
                <w:sz w:val="24"/>
                <w:szCs w:val="24"/>
                <w:highlight w:val="none"/>
                <w:u w:val="single"/>
                <w:lang w:val="en-US" w:eastAsia="zh-CN"/>
              </w:rPr>
              <w:t xml:space="preserve">      </w:t>
            </w:r>
            <w:r>
              <w:rPr>
                <w:rFonts w:hint="default" w:ascii="Times New Roman" w:hAnsi="Times New Roman" w:cs="Times New Roman"/>
                <w:color w:val="000000"/>
                <w:sz w:val="24"/>
                <w:szCs w:val="24"/>
                <w:highlight w:val="none"/>
                <w:lang w:val="en-US" w:eastAsia="zh-CN"/>
              </w:rPr>
              <w:t>标段，</w:t>
            </w:r>
            <w:r>
              <w:rPr>
                <w:rFonts w:hint="default" w:ascii="Times New Roman" w:hAnsi="Times New Roman" w:cs="Times New Roman"/>
                <w:sz w:val="24"/>
                <w:szCs w:val="24"/>
                <w:highlight w:val="none"/>
              </w:rPr>
              <w:t>接受，应满足下列要求：</w:t>
            </w:r>
          </w:p>
        </w:tc>
      </w:tr>
      <w:tr w14:paraId="0CDDED88">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405986DE">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1.4.3</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1ED54C7A">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投标人不得存在的其他关联情形</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41581A94">
            <w:pPr>
              <w:pageBreakBefore w:val="0"/>
              <w:kinsoku/>
              <w:wordWrap w:val="0"/>
              <w:bidi w:val="0"/>
              <w:spacing w:line="360" w:lineRule="atLeast"/>
              <w:rPr>
                <w:rFonts w:hint="eastAsia" w:ascii="Times New Roman" w:hAnsi="Times New Roman" w:eastAsia="宋体" w:cs="Times New Roman"/>
                <w:sz w:val="24"/>
                <w:szCs w:val="24"/>
                <w:highlight w:val="none"/>
                <w:lang w:val="en-US" w:eastAsia="zh-CN"/>
              </w:rPr>
            </w:pPr>
            <w:r>
              <w:rPr>
                <w:rFonts w:hint="eastAsia" w:ascii="Times New Roman" w:hAnsi="Times New Roman" w:eastAsia="宋体" w:cs="Times New Roman"/>
                <w:sz w:val="24"/>
                <w:szCs w:val="24"/>
                <w:highlight w:val="none"/>
                <w:lang w:val="en-US" w:eastAsia="zh-CN"/>
              </w:rPr>
              <w:t>与招标人存在利害关系可能影响招标公正性的单位，不得参加投标。单位负责人为同一人或存在控股、管理关系的不同单位，不得参加同一标段投标，否则相关投标均无效。</w:t>
            </w:r>
          </w:p>
        </w:tc>
      </w:tr>
      <w:tr w14:paraId="7B99F828">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1D4C1383">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1.4.4</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236FE7E7">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投标人不得存在的其他不良状况或不良信用记录</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374C0604">
            <w:pPr>
              <w:pageBreakBefore w:val="0"/>
              <w:kinsoku/>
              <w:wordWrap w:val="0"/>
              <w:bidi w:val="0"/>
              <w:spacing w:line="360" w:lineRule="atLeas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被省级及以上交通运输主管部门取消招标项目所在地的投标资格且处于有效期内；（2）被责令停业，暂扣或吊销执照，或吊销资质证书；（3）进入清算程序，或被宣告破产，或其他丧失履约能力的情形；（4）在国家企业信用信息公示系统（http：//www.gsxt.gov.cn）中被列入严重违法失信企业名单；（5）在“信用中国”网站（http：//www.creditchina.gov.cn）中被列入失信被执行人名单；（6）投标人或其法定代表人、拟委任的项目经理在近三年内有行贿犯罪行为的；（7）法律法规规定的其他情形。</w:t>
            </w:r>
          </w:p>
        </w:tc>
      </w:tr>
      <w:tr w14:paraId="18516542">
        <w:tblPrEx>
          <w:tblCellMar>
            <w:top w:w="0" w:type="dxa"/>
            <w:left w:w="108" w:type="dxa"/>
            <w:bottom w:w="0" w:type="dxa"/>
            <w:right w:w="108" w:type="dxa"/>
          </w:tblCellMar>
        </w:tblPrEx>
        <w:trPr>
          <w:trHeight w:val="340" w:hRule="atLeast"/>
        </w:trPr>
        <w:tc>
          <w:tcPr>
            <w:tcW w:w="1036" w:type="dxa"/>
            <w:vMerge w:val="restart"/>
            <w:tcBorders>
              <w:top w:val="single" w:color="auto" w:sz="4" w:space="0"/>
              <w:left w:val="single" w:color="auto" w:sz="4" w:space="0"/>
              <w:right w:val="single" w:color="auto" w:sz="4" w:space="0"/>
            </w:tcBorders>
            <w:noWrap w:val="0"/>
            <w:vAlign w:val="center"/>
          </w:tcPr>
          <w:p w14:paraId="10C7B083">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1.10.2</w:t>
            </w:r>
          </w:p>
        </w:tc>
        <w:tc>
          <w:tcPr>
            <w:tcW w:w="2953" w:type="dxa"/>
            <w:vMerge w:val="restart"/>
            <w:tcBorders>
              <w:top w:val="single" w:color="auto" w:sz="4" w:space="0"/>
              <w:left w:val="single" w:color="auto" w:sz="4" w:space="0"/>
              <w:right w:val="single" w:color="auto" w:sz="4" w:space="0"/>
            </w:tcBorders>
            <w:noWrap w:val="0"/>
            <w:vAlign w:val="center"/>
          </w:tcPr>
          <w:p w14:paraId="698323E4">
            <w:pPr>
              <w:pageBreakBefore w:val="0"/>
              <w:kinsoku/>
              <w:wordWrap w:val="0"/>
              <w:bidi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投标人在投标预备会前提出问题</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02FD5A2A">
            <w:pPr>
              <w:pageBreakBefore w:val="0"/>
              <w:kinsoku/>
              <w:wordWrap w:val="0"/>
              <w:bidi w:val="0"/>
              <w:spacing w:line="440" w:lineRule="exact"/>
              <w:rPr>
                <w:rFonts w:hint="eastAsia"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时间：</w:t>
            </w:r>
            <w:r>
              <w:rPr>
                <w:rFonts w:hint="eastAsia" w:cs="Times New Roman"/>
                <w:color w:val="auto"/>
                <w:sz w:val="24"/>
                <w:szCs w:val="24"/>
                <w:highlight w:val="none"/>
                <w:lang w:val="en-US" w:eastAsia="zh-CN"/>
              </w:rPr>
              <w:t>/</w:t>
            </w:r>
          </w:p>
        </w:tc>
      </w:tr>
      <w:tr w14:paraId="1481D23E">
        <w:tblPrEx>
          <w:tblCellMar>
            <w:top w:w="0" w:type="dxa"/>
            <w:left w:w="108" w:type="dxa"/>
            <w:bottom w:w="0" w:type="dxa"/>
            <w:right w:w="108" w:type="dxa"/>
          </w:tblCellMar>
        </w:tblPrEx>
        <w:trPr>
          <w:trHeight w:val="340" w:hRule="atLeast"/>
        </w:trPr>
        <w:tc>
          <w:tcPr>
            <w:tcW w:w="1036" w:type="dxa"/>
            <w:vMerge w:val="continue"/>
            <w:tcBorders>
              <w:left w:val="single" w:color="auto" w:sz="4" w:space="0"/>
              <w:bottom w:val="single" w:color="auto" w:sz="4" w:space="0"/>
              <w:right w:val="single" w:color="auto" w:sz="4" w:space="0"/>
            </w:tcBorders>
            <w:noWrap w:val="0"/>
            <w:vAlign w:val="center"/>
          </w:tcPr>
          <w:p w14:paraId="722CEB80">
            <w:pPr>
              <w:pageBreakBefore w:val="0"/>
              <w:kinsoku/>
              <w:wordWrap w:val="0"/>
              <w:bidi w:val="0"/>
              <w:spacing w:line="360" w:lineRule="atLeast"/>
              <w:jc w:val="center"/>
              <w:rPr>
                <w:rFonts w:hint="default" w:ascii="Times New Roman" w:hAnsi="Times New Roman" w:cs="Times New Roman"/>
                <w:sz w:val="24"/>
                <w:szCs w:val="24"/>
                <w:highlight w:val="none"/>
              </w:rPr>
            </w:pPr>
          </w:p>
        </w:tc>
        <w:tc>
          <w:tcPr>
            <w:tcW w:w="2953" w:type="dxa"/>
            <w:vMerge w:val="continue"/>
            <w:tcBorders>
              <w:left w:val="single" w:color="auto" w:sz="4" w:space="0"/>
              <w:bottom w:val="single" w:color="auto" w:sz="4" w:space="0"/>
              <w:right w:val="single" w:color="auto" w:sz="4" w:space="0"/>
            </w:tcBorders>
            <w:noWrap w:val="0"/>
            <w:vAlign w:val="center"/>
          </w:tcPr>
          <w:p w14:paraId="6FD464B7">
            <w:pPr>
              <w:pageBreakBefore w:val="0"/>
              <w:kinsoku/>
              <w:wordWrap w:val="0"/>
              <w:bidi w:val="0"/>
              <w:spacing w:line="360" w:lineRule="atLeast"/>
              <w:jc w:val="center"/>
              <w:rPr>
                <w:rFonts w:hint="default" w:ascii="Times New Roman" w:hAnsi="Times New Roman" w:cs="Times New Roman"/>
                <w:color w:val="auto"/>
                <w:sz w:val="24"/>
                <w:szCs w:val="24"/>
                <w:highlight w:val="none"/>
              </w:rPr>
            </w:pPr>
          </w:p>
        </w:tc>
        <w:tc>
          <w:tcPr>
            <w:tcW w:w="5868" w:type="dxa"/>
            <w:tcBorders>
              <w:top w:val="single" w:color="auto" w:sz="4" w:space="0"/>
              <w:left w:val="single" w:color="auto" w:sz="4" w:space="0"/>
              <w:bottom w:val="single" w:color="auto" w:sz="4" w:space="0"/>
              <w:right w:val="single" w:color="auto" w:sz="4" w:space="0"/>
            </w:tcBorders>
            <w:noWrap w:val="0"/>
            <w:vAlign w:val="center"/>
          </w:tcPr>
          <w:p w14:paraId="7AA4C705">
            <w:pP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lang w:val="en-US" w:eastAsia="zh-CN"/>
              </w:rPr>
              <w:t>形式：使用CA数字证书登录</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电子交易平台</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，在</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答疑澄清</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菜单以书面形式将提出的问题送达招标人</w:t>
            </w:r>
          </w:p>
        </w:tc>
      </w:tr>
      <w:tr w14:paraId="29E9E146">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203B097B">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1.11.1</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0D987393">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分  包</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6352D4D8">
            <w:pPr>
              <w:pageBreakBefore w:val="0"/>
              <w:kinsoku/>
              <w:wordWrap w:val="0"/>
              <w:bidi w:val="0"/>
              <w:spacing w:line="360" w:lineRule="atLeast"/>
              <w:rPr>
                <w:rFonts w:hint="default" w:ascii="Times New Roman" w:hAnsi="Times New Roman" w:cs="Times New Roman"/>
                <w:sz w:val="24"/>
                <w:szCs w:val="24"/>
                <w:highlight w:val="none"/>
              </w:rPr>
            </w:pPr>
            <w:r>
              <w:rPr>
                <w:rFonts w:hint="eastAsia" w:cs="Times New Roman"/>
                <w:sz w:val="24"/>
                <w:szCs w:val="24"/>
                <w:highlight w:val="none"/>
                <w:lang w:eastAsia="zh-CN"/>
              </w:rPr>
              <w:t>☑</w:t>
            </w:r>
            <w:r>
              <w:rPr>
                <w:rFonts w:hint="default" w:ascii="Times New Roman" w:hAnsi="Times New Roman" w:cs="Times New Roman"/>
                <w:sz w:val="24"/>
                <w:szCs w:val="24"/>
                <w:highlight w:val="none"/>
              </w:rPr>
              <w:t>不允许</w:t>
            </w:r>
          </w:p>
          <w:p w14:paraId="0CBD9E86">
            <w:pPr>
              <w:pStyle w:val="14"/>
              <w:pageBreakBefore w:val="0"/>
              <w:kinsoku/>
              <w:wordWrap w:val="0"/>
              <w:bidi w:val="0"/>
              <w:spacing w:line="360" w:lineRule="atLeast"/>
              <w:ind w:left="160" w:hanging="120" w:hangingChars="50"/>
              <w:jc w:val="both"/>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□允许，允许分包的专项工程（或不允许分包的专项工程）：</w:t>
            </w:r>
            <w:r>
              <w:rPr>
                <w:rFonts w:hint="default" w:ascii="Times New Roman" w:hAnsi="Times New Roman" w:cs="Times New Roman"/>
                <w:sz w:val="24"/>
                <w:szCs w:val="24"/>
                <w:highlight w:val="none"/>
                <w:u w:val="single"/>
              </w:rPr>
              <w:t xml:space="preserve">         </w:t>
            </w:r>
          </w:p>
          <w:p w14:paraId="700ADA80">
            <w:pPr>
              <w:pStyle w:val="14"/>
              <w:pageBreakBefore w:val="0"/>
              <w:kinsoku/>
              <w:wordWrap w:val="0"/>
              <w:bidi w:val="0"/>
              <w:spacing w:line="360" w:lineRule="atLeast"/>
              <w:ind w:firstLine="120" w:firstLineChars="50"/>
              <w:jc w:val="both"/>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对分包人的资格要求：</w:t>
            </w:r>
            <w:r>
              <w:rPr>
                <w:rFonts w:hint="default" w:ascii="Times New Roman" w:hAnsi="Times New Roman" w:cs="Times New Roman"/>
                <w:sz w:val="24"/>
                <w:szCs w:val="24"/>
                <w:highlight w:val="none"/>
                <w:u w:val="single"/>
              </w:rPr>
              <w:t xml:space="preserve">         </w:t>
            </w:r>
          </w:p>
        </w:tc>
      </w:tr>
      <w:tr w14:paraId="7A057D4C">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345409CC">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2.1</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78EE3D10">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构成招标文件的其他资料</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7FF2F33B">
            <w:pPr>
              <w:pageBreakBefore w:val="0"/>
              <w:kinsoku/>
              <w:wordWrap w:val="0"/>
              <w:bidi w:val="0"/>
              <w:spacing w:line="360" w:lineRule="atLeas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招标文件的澄清文件和修改文件均构成招标文件的组成部分，对所有投标人均具有约束力。当招标文件、招标文件的澄清或修改等在同一内容的表述上不一致时，以电子交易平台最后发出的书面文件为准。</w:t>
            </w:r>
          </w:p>
        </w:tc>
      </w:tr>
      <w:tr w14:paraId="11CD8B3B">
        <w:tblPrEx>
          <w:tblCellMar>
            <w:top w:w="0" w:type="dxa"/>
            <w:left w:w="108" w:type="dxa"/>
            <w:bottom w:w="0" w:type="dxa"/>
            <w:right w:w="108" w:type="dxa"/>
          </w:tblCellMar>
        </w:tblPrEx>
        <w:trPr>
          <w:trHeight w:val="340" w:hRule="atLeast"/>
        </w:trPr>
        <w:tc>
          <w:tcPr>
            <w:tcW w:w="1036" w:type="dxa"/>
            <w:vMerge w:val="restart"/>
            <w:tcBorders>
              <w:top w:val="single" w:color="auto" w:sz="4" w:space="0"/>
              <w:left w:val="single" w:color="auto" w:sz="4" w:space="0"/>
              <w:right w:val="single" w:color="auto" w:sz="4" w:space="0"/>
            </w:tcBorders>
            <w:noWrap w:val="0"/>
            <w:vAlign w:val="center"/>
          </w:tcPr>
          <w:p w14:paraId="5FAA162F">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2.2.1</w:t>
            </w:r>
          </w:p>
        </w:tc>
        <w:tc>
          <w:tcPr>
            <w:tcW w:w="2953" w:type="dxa"/>
            <w:vMerge w:val="restart"/>
            <w:tcBorders>
              <w:top w:val="single" w:color="auto" w:sz="4" w:space="0"/>
              <w:left w:val="single" w:color="auto" w:sz="4" w:space="0"/>
              <w:right w:val="single" w:color="auto" w:sz="4" w:space="0"/>
            </w:tcBorders>
            <w:noWrap w:val="0"/>
            <w:vAlign w:val="center"/>
          </w:tcPr>
          <w:p w14:paraId="204DBF72">
            <w:pPr>
              <w:pageBreakBefore w:val="0"/>
              <w:kinsoku/>
              <w:wordWrap w:val="0"/>
              <w:bidi w:val="0"/>
              <w:jc w:val="center"/>
              <w:rPr>
                <w:rFonts w:hint="default" w:ascii="Times New Roman" w:hAnsi="Times New Roman" w:cs="Times New Roman"/>
                <w:sz w:val="24"/>
                <w:szCs w:val="24"/>
                <w:highlight w:val="none"/>
              </w:rPr>
            </w:pPr>
            <w:r>
              <w:rPr>
                <w:rFonts w:hint="default" w:ascii="Times New Roman" w:hAnsi="Times New Roman" w:cs="Times New Roman"/>
                <w:color w:val="000000"/>
                <w:sz w:val="24"/>
                <w:szCs w:val="24"/>
                <w:highlight w:val="none"/>
              </w:rPr>
              <w:t>投标人要求澄清招标文件</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7E6D0D36">
            <w:pP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 xml:space="preserve">时间：递交投标文件截止之日  </w:t>
            </w:r>
            <w:r>
              <w:rPr>
                <w:rFonts w:hint="eastAsia" w:ascii="Times New Roman" w:hAnsi="Times New Roman" w:eastAsia="宋体" w:cs="Times New Roman"/>
                <w:color w:val="auto"/>
                <w:sz w:val="24"/>
                <w:szCs w:val="24"/>
                <w:highlight w:val="none"/>
                <w:lang w:val="en-US" w:eastAsia="zh-CN"/>
              </w:rPr>
              <w:t>10</w:t>
            </w:r>
            <w:r>
              <w:rPr>
                <w:rFonts w:hint="default" w:ascii="Times New Roman" w:hAnsi="Times New Roman" w:eastAsia="宋体" w:cs="Times New Roman"/>
                <w:color w:val="auto"/>
                <w:sz w:val="24"/>
                <w:szCs w:val="24"/>
                <w:highlight w:val="none"/>
                <w:lang w:val="en-US" w:eastAsia="zh-CN"/>
              </w:rPr>
              <w:t xml:space="preserve">  天前（以发出时间为准）</w:t>
            </w:r>
          </w:p>
        </w:tc>
      </w:tr>
      <w:tr w14:paraId="4255CC14">
        <w:tblPrEx>
          <w:tblCellMar>
            <w:top w:w="0" w:type="dxa"/>
            <w:left w:w="108" w:type="dxa"/>
            <w:bottom w:w="0" w:type="dxa"/>
            <w:right w:w="108" w:type="dxa"/>
          </w:tblCellMar>
        </w:tblPrEx>
        <w:trPr>
          <w:trHeight w:val="340" w:hRule="atLeast"/>
        </w:trPr>
        <w:tc>
          <w:tcPr>
            <w:tcW w:w="1036" w:type="dxa"/>
            <w:vMerge w:val="continue"/>
            <w:tcBorders>
              <w:left w:val="single" w:color="auto" w:sz="4" w:space="0"/>
              <w:bottom w:val="single" w:color="auto" w:sz="4" w:space="0"/>
              <w:right w:val="single" w:color="auto" w:sz="4" w:space="0"/>
            </w:tcBorders>
            <w:noWrap w:val="0"/>
            <w:vAlign w:val="center"/>
          </w:tcPr>
          <w:p w14:paraId="1D2EBD4F">
            <w:pPr>
              <w:pageBreakBefore w:val="0"/>
              <w:kinsoku/>
              <w:wordWrap w:val="0"/>
              <w:bidi w:val="0"/>
              <w:spacing w:line="360" w:lineRule="atLeast"/>
              <w:jc w:val="center"/>
              <w:rPr>
                <w:rFonts w:hint="default" w:ascii="Times New Roman" w:hAnsi="Times New Roman" w:cs="Times New Roman"/>
                <w:sz w:val="24"/>
                <w:szCs w:val="24"/>
                <w:highlight w:val="none"/>
              </w:rPr>
            </w:pPr>
          </w:p>
        </w:tc>
        <w:tc>
          <w:tcPr>
            <w:tcW w:w="2953" w:type="dxa"/>
            <w:vMerge w:val="continue"/>
            <w:tcBorders>
              <w:left w:val="single" w:color="auto" w:sz="4" w:space="0"/>
              <w:bottom w:val="single" w:color="auto" w:sz="4" w:space="0"/>
              <w:right w:val="single" w:color="auto" w:sz="4" w:space="0"/>
            </w:tcBorders>
            <w:noWrap w:val="0"/>
            <w:vAlign w:val="center"/>
          </w:tcPr>
          <w:p w14:paraId="1046CF1F">
            <w:pPr>
              <w:pageBreakBefore w:val="0"/>
              <w:kinsoku/>
              <w:wordWrap w:val="0"/>
              <w:bidi w:val="0"/>
              <w:spacing w:line="360" w:lineRule="atLeast"/>
              <w:jc w:val="center"/>
              <w:rPr>
                <w:rFonts w:hint="default" w:ascii="Times New Roman" w:hAnsi="Times New Roman" w:cs="Times New Roman"/>
                <w:sz w:val="24"/>
                <w:szCs w:val="24"/>
                <w:highlight w:val="none"/>
              </w:rPr>
            </w:pPr>
          </w:p>
        </w:tc>
        <w:tc>
          <w:tcPr>
            <w:tcW w:w="5868" w:type="dxa"/>
            <w:tcBorders>
              <w:top w:val="single" w:color="auto" w:sz="4" w:space="0"/>
              <w:left w:val="single" w:color="auto" w:sz="4" w:space="0"/>
              <w:bottom w:val="single" w:color="auto" w:sz="4" w:space="0"/>
              <w:right w:val="single" w:color="auto" w:sz="4" w:space="0"/>
            </w:tcBorders>
            <w:noWrap w:val="0"/>
            <w:vAlign w:val="center"/>
          </w:tcPr>
          <w:p w14:paraId="10B122D0">
            <w:pP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形式：使用CA数字证书登录</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电子交易平台</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，在</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答疑澄清</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菜单以书面形式将提出的问题送达招标人</w:t>
            </w:r>
          </w:p>
        </w:tc>
      </w:tr>
      <w:tr w14:paraId="3BE7EC14">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0D8A72C6">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2.2.2</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21F083D2">
            <w:pPr>
              <w:pageBreakBefore w:val="0"/>
              <w:kinsoku/>
              <w:wordWrap w:val="0"/>
              <w:bidi w:val="0"/>
              <w:spacing w:line="440" w:lineRule="exact"/>
              <w:jc w:val="center"/>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cs="Times New Roman"/>
                <w:color w:val="000000"/>
                <w:sz w:val="24"/>
                <w:szCs w:val="24"/>
                <w:highlight w:val="none"/>
              </w:rPr>
              <w:t>招标文件澄清发出的形式</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24A9B5E9">
            <w:pPr>
              <w:pageBreakBefore w:val="0"/>
              <w:kinsoku/>
              <w:wordWrap w:val="0"/>
              <w:bidi w:val="0"/>
              <w:spacing w:line="440" w:lineRule="exact"/>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cs="Times New Roman"/>
                <w:color w:val="000000"/>
                <w:sz w:val="24"/>
                <w:szCs w:val="24"/>
                <w:highlight w:val="none"/>
              </w:rPr>
              <w:t>通过</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电子交易平台</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发出招标文件澄清</w:t>
            </w:r>
          </w:p>
        </w:tc>
      </w:tr>
      <w:tr w14:paraId="4BCC5F14">
        <w:tblPrEx>
          <w:tblCellMar>
            <w:top w:w="0" w:type="dxa"/>
            <w:left w:w="108" w:type="dxa"/>
            <w:bottom w:w="0" w:type="dxa"/>
            <w:right w:w="108" w:type="dxa"/>
          </w:tblCellMar>
        </w:tblPrEx>
        <w:trPr>
          <w:trHeight w:val="720" w:hRule="atLeast"/>
        </w:trPr>
        <w:tc>
          <w:tcPr>
            <w:tcW w:w="1036" w:type="dxa"/>
            <w:tcBorders>
              <w:top w:val="single" w:color="auto" w:sz="4" w:space="0"/>
              <w:left w:val="single" w:color="auto" w:sz="4" w:space="0"/>
              <w:right w:val="single" w:color="auto" w:sz="4" w:space="0"/>
            </w:tcBorders>
            <w:noWrap w:val="0"/>
            <w:vAlign w:val="center"/>
          </w:tcPr>
          <w:p w14:paraId="254C96EE">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2.2.3</w:t>
            </w:r>
          </w:p>
        </w:tc>
        <w:tc>
          <w:tcPr>
            <w:tcW w:w="2953" w:type="dxa"/>
            <w:tcBorders>
              <w:top w:val="single" w:color="auto" w:sz="4" w:space="0"/>
              <w:left w:val="single" w:color="auto" w:sz="4" w:space="0"/>
              <w:right w:val="single" w:color="auto" w:sz="4" w:space="0"/>
            </w:tcBorders>
            <w:noWrap w:val="0"/>
            <w:vAlign w:val="center"/>
          </w:tcPr>
          <w:p w14:paraId="73141398">
            <w:pPr>
              <w:pageBreakBefore w:val="0"/>
              <w:kinsoku/>
              <w:wordWrap w:val="0"/>
              <w:bidi w:val="0"/>
              <w:jc w:val="center"/>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cs="Times New Roman"/>
                <w:color w:val="000000"/>
                <w:sz w:val="24"/>
                <w:szCs w:val="24"/>
                <w:highlight w:val="none"/>
              </w:rPr>
              <w:t>投标人确认收到招标文件澄清</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58E9C5C7">
            <w:pP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招标文件澄清通过</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电子交易平台</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发出完成即视为潜在投标人已收悉，无需回函确认。</w:t>
            </w:r>
          </w:p>
        </w:tc>
      </w:tr>
      <w:tr w14:paraId="71ADC30F">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61B5F00A">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2.3.1</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2F64B048">
            <w:pPr>
              <w:pageBreakBefore w:val="0"/>
              <w:kinsoku/>
              <w:wordWrap w:val="0"/>
              <w:bidi w:val="0"/>
              <w:spacing w:line="440" w:lineRule="exact"/>
              <w:jc w:val="center"/>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cs="Times New Roman"/>
                <w:color w:val="000000"/>
                <w:sz w:val="24"/>
                <w:szCs w:val="24"/>
                <w:highlight w:val="none"/>
              </w:rPr>
              <w:t>招标文件修改发出的形式</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109FD442">
            <w:pP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通过</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电子交易平台</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发出招标文件修改</w:t>
            </w:r>
          </w:p>
        </w:tc>
      </w:tr>
      <w:tr w14:paraId="0295C390">
        <w:tblPrEx>
          <w:tblCellMar>
            <w:top w:w="0" w:type="dxa"/>
            <w:left w:w="108" w:type="dxa"/>
            <w:bottom w:w="0" w:type="dxa"/>
            <w:right w:w="108" w:type="dxa"/>
          </w:tblCellMar>
        </w:tblPrEx>
        <w:trPr>
          <w:trHeight w:val="720" w:hRule="atLeast"/>
        </w:trPr>
        <w:tc>
          <w:tcPr>
            <w:tcW w:w="1036" w:type="dxa"/>
            <w:tcBorders>
              <w:top w:val="single" w:color="auto" w:sz="4" w:space="0"/>
              <w:left w:val="single" w:color="auto" w:sz="4" w:space="0"/>
              <w:right w:val="single" w:color="auto" w:sz="4" w:space="0"/>
            </w:tcBorders>
            <w:noWrap w:val="0"/>
            <w:vAlign w:val="center"/>
          </w:tcPr>
          <w:p w14:paraId="7D1DA6D5">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2.3.2</w:t>
            </w:r>
          </w:p>
        </w:tc>
        <w:tc>
          <w:tcPr>
            <w:tcW w:w="2953" w:type="dxa"/>
            <w:tcBorders>
              <w:top w:val="single" w:color="auto" w:sz="4" w:space="0"/>
              <w:left w:val="single" w:color="auto" w:sz="4" w:space="0"/>
              <w:right w:val="single" w:color="auto" w:sz="4" w:space="0"/>
            </w:tcBorders>
            <w:noWrap w:val="0"/>
            <w:vAlign w:val="center"/>
          </w:tcPr>
          <w:p w14:paraId="1553B9CE">
            <w:pPr>
              <w:pageBreakBefore w:val="0"/>
              <w:kinsoku/>
              <w:wordWrap w:val="0"/>
              <w:bidi w:val="0"/>
              <w:jc w:val="center"/>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cs="Times New Roman"/>
                <w:color w:val="000000"/>
                <w:sz w:val="24"/>
                <w:szCs w:val="24"/>
                <w:highlight w:val="none"/>
              </w:rPr>
              <w:t>投标人确认收到招标文件修改</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17C26E79">
            <w:pP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招标文件修改通过</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电子交易平台</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发出完成即视为潜在投标人已收悉，无需回函确认。</w:t>
            </w:r>
          </w:p>
        </w:tc>
      </w:tr>
      <w:tr w14:paraId="76FD99A4">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48FF604A">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3.1.1</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1AB2EDA1">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构成投标文件的其他资料</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782CE8D2">
            <w:pPr>
              <w:pageBreakBefore w:val="0"/>
              <w:kinsoku/>
              <w:wordWrap w:val="0"/>
              <w:bidi w:val="0"/>
              <w:spacing w:line="360" w:lineRule="atLeast"/>
              <w:rPr>
                <w:rFonts w:hint="eastAsia" w:ascii="Times New Roman" w:hAnsi="Times New Roman" w:eastAsia="宋体" w:cs="Times New Roman"/>
                <w:sz w:val="24"/>
                <w:szCs w:val="24"/>
                <w:highlight w:val="none"/>
                <w:lang w:val="en-US" w:eastAsia="zh-CN"/>
              </w:rPr>
            </w:pPr>
            <w:r>
              <w:rPr>
                <w:rFonts w:hint="eastAsia" w:cs="Times New Roman"/>
                <w:sz w:val="24"/>
                <w:szCs w:val="24"/>
                <w:highlight w:val="none"/>
                <w:lang w:val="en-US" w:eastAsia="zh-CN"/>
              </w:rPr>
              <w:t>无</w:t>
            </w:r>
          </w:p>
        </w:tc>
      </w:tr>
      <w:tr w14:paraId="4EC87DE1">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1F7B2AC6">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3.2.1</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065DDC1E">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增值税税金的计算方法</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0A53C820">
            <w:pPr>
              <w:rPr>
                <w:rFonts w:hint="eastAsia" w:ascii="宋体" w:hAnsi="宋体" w:eastAsia="宋体" w:cs="宋体"/>
                <w:color w:val="auto"/>
                <w:sz w:val="24"/>
                <w:szCs w:val="24"/>
                <w:highlight w:val="none"/>
              </w:rPr>
            </w:pPr>
            <w:sdt>
              <w:sdtPr>
                <w:rPr>
                  <w:rFonts w:hint="eastAsia" w:ascii="宋体" w:hAnsi="宋体" w:eastAsia="宋体" w:cs="宋体"/>
                  <w:b/>
                  <w:bCs/>
                  <w:color w:val="auto"/>
                  <w:sz w:val="24"/>
                  <w:szCs w:val="24"/>
                  <w:highlight w:val="none"/>
                  <w:shd w:val="clear" w:color="auto" w:fill="FFFFFF"/>
                </w:rPr>
                <w:id w:val="-116449711"/>
                <w14:checkbox>
                  <w14:checked w14:val="1"/>
                  <w14:checkedState w14:val="0052" w14:font="Wingdings 2"/>
                  <w14:uncheckedState w14:val="2610" w14:font="MS Gothic"/>
                </w14:checkbox>
              </w:sdtPr>
              <w:sdtEndPr>
                <w:rPr>
                  <w:rFonts w:hint="eastAsia" w:ascii="宋体" w:hAnsi="宋体" w:eastAsia="宋体" w:cs="宋体"/>
                  <w:b/>
                  <w:bCs/>
                  <w:color w:val="auto"/>
                  <w:sz w:val="24"/>
                  <w:szCs w:val="24"/>
                  <w:highlight w:val="none"/>
                  <w:shd w:val="clear" w:color="auto" w:fill="FFFFFF"/>
                </w:rPr>
              </w:sdtEndPr>
              <w:sdtContent>
                <w:r>
                  <w:rPr>
                    <w:rFonts w:hint="eastAsia" w:ascii="Wingdings 2" w:hAnsi="Wingdings 2" w:eastAsia="宋体" w:cs="宋体"/>
                    <w:b/>
                    <w:bCs/>
                    <w:color w:val="auto"/>
                    <w:kern w:val="2"/>
                    <w:sz w:val="24"/>
                    <w:szCs w:val="24"/>
                    <w:highlight w:val="none"/>
                    <w:shd w:val="clear" w:color="auto" w:fill="FFFFFF"/>
                    <w:lang w:val="en-US" w:eastAsia="zh-CN" w:bidi="ar-SA"/>
                  </w:rPr>
                  <w:t>R</w:t>
                </w:r>
              </w:sdtContent>
            </w:sdt>
            <w:r>
              <w:rPr>
                <w:rFonts w:hint="eastAsia" w:ascii="宋体" w:hAnsi="宋体" w:eastAsia="宋体" w:cs="宋体"/>
                <w:color w:val="auto"/>
                <w:sz w:val="24"/>
                <w:szCs w:val="24"/>
                <w:highlight w:val="none"/>
              </w:rPr>
              <w:t xml:space="preserve"> 一般计税法</w:t>
            </w:r>
          </w:p>
          <w:p w14:paraId="767B0DF3">
            <w:pPr>
              <w:rPr>
                <w:rFonts w:hint="eastAsia" w:ascii="宋体" w:hAnsi="宋体" w:eastAsia="宋体" w:cs="宋体"/>
                <w:color w:val="auto"/>
                <w:sz w:val="24"/>
                <w:szCs w:val="24"/>
                <w:highlight w:val="none"/>
              </w:rPr>
            </w:pPr>
            <w:sdt>
              <w:sdtPr>
                <w:rPr>
                  <w:rFonts w:hint="eastAsia" w:ascii="宋体" w:hAnsi="宋体" w:eastAsia="宋体" w:cs="宋体"/>
                  <w:b/>
                  <w:bCs/>
                  <w:color w:val="auto"/>
                  <w:sz w:val="24"/>
                  <w:szCs w:val="24"/>
                  <w:highlight w:val="none"/>
                  <w:shd w:val="clear" w:color="auto" w:fill="FFFFFF"/>
                </w:rPr>
                <w:id w:val="-1626915597"/>
                <w14:checkbox>
                  <w14:checked w14:val="0"/>
                  <w14:checkedState w14:val="0052" w14:font="Wingdings 2"/>
                  <w14:uncheckedState w14:val="2610" w14:font="MS Gothic"/>
                </w14:checkbox>
              </w:sdtPr>
              <w:sdtEndPr>
                <w:rPr>
                  <w:rFonts w:hint="eastAsia" w:ascii="宋体" w:hAnsi="宋体" w:eastAsia="宋体" w:cs="宋体"/>
                  <w:b/>
                  <w:bCs/>
                  <w:color w:val="auto"/>
                  <w:sz w:val="24"/>
                  <w:szCs w:val="24"/>
                  <w:highlight w:val="none"/>
                  <w:shd w:val="clear" w:color="auto" w:fill="FFFFFF"/>
                </w:rPr>
              </w:sdtEndPr>
              <w:sdtContent>
                <w:r>
                  <w:rPr>
                    <w:rFonts w:hint="eastAsia" w:ascii="宋体" w:hAnsi="宋体" w:eastAsia="宋体" w:cs="宋体"/>
                    <w:b/>
                    <w:bCs/>
                    <w:color w:val="auto"/>
                    <w:sz w:val="24"/>
                    <w:szCs w:val="24"/>
                    <w:highlight w:val="none"/>
                    <w:shd w:val="clear" w:color="auto" w:fill="FFFFFF"/>
                  </w:rPr>
                  <w:t>☐</w:t>
                </w:r>
              </w:sdtContent>
            </w:sdt>
            <w:r>
              <w:rPr>
                <w:rFonts w:hint="eastAsia" w:ascii="宋体" w:hAnsi="宋体" w:eastAsia="宋体" w:cs="宋体"/>
                <w:color w:val="auto"/>
                <w:sz w:val="24"/>
                <w:szCs w:val="24"/>
                <w:highlight w:val="none"/>
              </w:rPr>
              <w:t xml:space="preserve"> 简易计税法</w:t>
            </w:r>
          </w:p>
          <w:p w14:paraId="34A7D6CA">
            <w:pPr>
              <w:rPr>
                <w:rFonts w:hint="eastAsia" w:ascii="宋体" w:hAnsi="宋体" w:eastAsia="宋体" w:cs="宋体"/>
                <w:color w:val="auto"/>
                <w:sz w:val="24"/>
                <w:szCs w:val="24"/>
                <w:highlight w:val="none"/>
              </w:rPr>
            </w:pPr>
            <w:sdt>
              <w:sdtPr>
                <w:rPr>
                  <w:rFonts w:hint="eastAsia" w:ascii="宋体" w:hAnsi="宋体" w:eastAsia="宋体" w:cs="宋体"/>
                  <w:b/>
                  <w:bCs/>
                  <w:color w:val="auto"/>
                  <w:sz w:val="24"/>
                  <w:szCs w:val="24"/>
                  <w:highlight w:val="none"/>
                  <w:shd w:val="clear" w:color="auto" w:fill="FFFFFF"/>
                </w:rPr>
                <w:id w:val="1370408587"/>
                <w14:checkbox>
                  <w14:checked w14:val="0"/>
                  <w14:checkedState w14:val="0052" w14:font="Wingdings 2"/>
                  <w14:uncheckedState w14:val="2610" w14:font="MS Gothic"/>
                </w14:checkbox>
              </w:sdtPr>
              <w:sdtEndPr>
                <w:rPr>
                  <w:rFonts w:hint="eastAsia" w:ascii="宋体" w:hAnsi="宋体" w:eastAsia="宋体" w:cs="宋体"/>
                  <w:b/>
                  <w:bCs/>
                  <w:color w:val="auto"/>
                  <w:sz w:val="24"/>
                  <w:szCs w:val="24"/>
                  <w:highlight w:val="none"/>
                  <w:shd w:val="clear" w:color="auto" w:fill="FFFFFF"/>
                </w:rPr>
              </w:sdtEndPr>
              <w:sdtContent>
                <w:r>
                  <w:rPr>
                    <w:rFonts w:hint="eastAsia" w:ascii="宋体" w:hAnsi="宋体" w:eastAsia="宋体" w:cs="宋体"/>
                    <w:b/>
                    <w:bCs/>
                    <w:color w:val="auto"/>
                    <w:sz w:val="24"/>
                    <w:szCs w:val="24"/>
                    <w:highlight w:val="none"/>
                    <w:shd w:val="clear" w:color="auto" w:fill="FFFFFF"/>
                  </w:rPr>
                  <w:t>☐</w:t>
                </w:r>
              </w:sdtContent>
            </w:sdt>
            <w:r>
              <w:rPr>
                <w:rFonts w:hint="eastAsia" w:ascii="宋体" w:hAnsi="宋体" w:eastAsia="宋体" w:cs="宋体"/>
                <w:color w:val="auto"/>
                <w:sz w:val="24"/>
                <w:szCs w:val="24"/>
                <w:highlight w:val="none"/>
              </w:rPr>
              <w:t xml:space="preserve"> 扣缴计税法</w:t>
            </w:r>
          </w:p>
          <w:p w14:paraId="2F9BE34D">
            <w:pPr>
              <w:pageBreakBefore w:val="0"/>
              <w:kinsoku/>
              <w:wordWrap w:val="0"/>
              <w:bidi w:val="0"/>
              <w:spacing w:line="360" w:lineRule="atLeast"/>
              <w:ind w:left="460" w:hanging="482" w:hangingChars="200"/>
              <w:rPr>
                <w:rFonts w:hint="default" w:ascii="Times New Roman" w:hAnsi="Times New Roman" w:cs="Times New Roman"/>
                <w:spacing w:val="10"/>
                <w:sz w:val="24"/>
                <w:szCs w:val="24"/>
                <w:highlight w:val="none"/>
                <w:bdr w:val="single" w:color="auto" w:sz="4" w:space="0"/>
              </w:rPr>
            </w:pPr>
            <w:sdt>
              <w:sdtPr>
                <w:rPr>
                  <w:rFonts w:hint="eastAsia" w:ascii="宋体" w:hAnsi="宋体" w:eastAsia="宋体" w:cs="宋体"/>
                  <w:b/>
                  <w:bCs/>
                  <w:color w:val="auto"/>
                  <w:sz w:val="24"/>
                  <w:szCs w:val="24"/>
                  <w:highlight w:val="none"/>
                  <w:shd w:val="clear" w:color="auto" w:fill="FFFFFF"/>
                </w:rPr>
                <w:id w:val="-1677881217"/>
                <w14:checkbox>
                  <w14:checked w14:val="0"/>
                  <w14:checkedState w14:val="0052" w14:font="Wingdings 2"/>
                  <w14:uncheckedState w14:val="2610" w14:font="MS Gothic"/>
                </w14:checkbox>
              </w:sdtPr>
              <w:sdtEndPr>
                <w:rPr>
                  <w:rFonts w:hint="eastAsia" w:ascii="宋体" w:hAnsi="宋体" w:eastAsia="宋体" w:cs="宋体"/>
                  <w:b/>
                  <w:bCs/>
                  <w:color w:val="auto"/>
                  <w:sz w:val="24"/>
                  <w:szCs w:val="24"/>
                  <w:highlight w:val="none"/>
                  <w:shd w:val="clear" w:color="auto" w:fill="FFFFFF"/>
                </w:rPr>
              </w:sdtEndPr>
              <w:sdtContent>
                <w:r>
                  <w:rPr>
                    <w:rFonts w:hint="eastAsia" w:ascii="宋体" w:hAnsi="宋体" w:eastAsia="宋体" w:cs="宋体"/>
                    <w:b/>
                    <w:bCs/>
                    <w:color w:val="auto"/>
                    <w:sz w:val="24"/>
                    <w:szCs w:val="24"/>
                    <w:highlight w:val="none"/>
                    <w:shd w:val="clear" w:color="auto" w:fill="FFFFFF"/>
                  </w:rPr>
                  <w:t>☐</w:t>
                </w:r>
              </w:sdtContent>
            </w:sdt>
            <w:r>
              <w:rPr>
                <w:rFonts w:hint="eastAsia" w:ascii="宋体" w:hAnsi="宋体" w:eastAsia="宋体" w:cs="宋体"/>
                <w:color w:val="auto"/>
                <w:sz w:val="24"/>
                <w:szCs w:val="24"/>
                <w:highlight w:val="none"/>
              </w:rPr>
              <w:t xml:space="preserve"> 其他</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计税法</w:t>
            </w:r>
          </w:p>
        </w:tc>
      </w:tr>
      <w:tr w14:paraId="30C4C225">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7084B7E1">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3.2.1</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485E6DB4">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工程量清单的填写方式</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4BD8580D">
            <w:pPr>
              <w:pageBreakBefore w:val="0"/>
              <w:kinsoku/>
              <w:wordWrap w:val="0"/>
              <w:bidi w:val="0"/>
              <w:spacing w:line="360" w:lineRule="atLeast"/>
              <w:ind w:left="160" w:hanging="120" w:hangingChars="50"/>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投标人按照招标人提供的</w:t>
            </w:r>
            <w:r>
              <w:rPr>
                <w:rFonts w:hint="eastAsia" w:cs="Times New Roman"/>
                <w:sz w:val="24"/>
                <w:szCs w:val="24"/>
                <w:highlight w:val="none"/>
                <w:lang w:eastAsia="zh-CN"/>
              </w:rPr>
              <w:t>工程量清单</w:t>
            </w:r>
            <w:r>
              <w:rPr>
                <w:rFonts w:hint="default" w:ascii="Times New Roman" w:hAnsi="Times New Roman" w:cs="Times New Roman"/>
                <w:sz w:val="24"/>
                <w:szCs w:val="24"/>
                <w:highlight w:val="none"/>
              </w:rPr>
              <w:t>电子文件填写工程量清单，下载网站：</w:t>
            </w:r>
            <w:r>
              <w:rPr>
                <w:rFonts w:hint="default" w:ascii="Times New Roman" w:hAnsi="Times New Roman" w:cs="Times New Roman"/>
                <w:sz w:val="24"/>
                <w:szCs w:val="24"/>
                <w:highlight w:val="none"/>
                <w:u w:val="single"/>
              </w:rPr>
              <w:t xml:space="preserve"> 通过</w:t>
            </w:r>
            <w:r>
              <w:rPr>
                <w:rFonts w:hint="eastAsia" w:ascii="宋体" w:hAnsi="宋体" w:eastAsia="宋体" w:cs="宋体"/>
                <w:sz w:val="24"/>
                <w:szCs w:val="24"/>
                <w:highlight w:val="none"/>
                <w:u w:val="single"/>
              </w:rPr>
              <w:t>“</w:t>
            </w:r>
            <w:r>
              <w:rPr>
                <w:rFonts w:hint="default" w:ascii="Times New Roman" w:hAnsi="Times New Roman" w:cs="Times New Roman"/>
                <w:sz w:val="24"/>
                <w:szCs w:val="24"/>
                <w:highlight w:val="none"/>
                <w:u w:val="single"/>
              </w:rPr>
              <w:t>电子交易平台</w:t>
            </w:r>
            <w:r>
              <w:rPr>
                <w:rFonts w:hint="eastAsia" w:ascii="宋体" w:hAnsi="宋体" w:eastAsia="宋体" w:cs="宋体"/>
                <w:sz w:val="24"/>
                <w:szCs w:val="24"/>
                <w:highlight w:val="none"/>
                <w:u w:val="single"/>
              </w:rPr>
              <w:t>”</w:t>
            </w:r>
            <w:r>
              <w:rPr>
                <w:rFonts w:hint="default" w:ascii="Times New Roman" w:hAnsi="Times New Roman" w:cs="Times New Roman"/>
                <w:sz w:val="24"/>
                <w:szCs w:val="24"/>
                <w:highlight w:val="none"/>
                <w:u w:val="single"/>
              </w:rPr>
              <w:t>发出</w:t>
            </w:r>
          </w:p>
        </w:tc>
      </w:tr>
      <w:tr w14:paraId="64C45E88">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2AB6554F">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3.2.3</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17BCAD4A">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报价方式</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6E1EC013">
            <w:pPr>
              <w:pageBreakBefore w:val="0"/>
              <w:kinsoku/>
              <w:wordWrap w:val="0"/>
              <w:bidi w:val="0"/>
              <w:spacing w:line="360" w:lineRule="atLeas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□单价</w:t>
            </w:r>
          </w:p>
          <w:p w14:paraId="06D9899F">
            <w:pPr>
              <w:pageBreakBefore w:val="0"/>
              <w:kinsoku/>
              <w:wordWrap w:val="0"/>
              <w:bidi w:val="0"/>
              <w:spacing w:line="360" w:lineRule="atLeast"/>
              <w:rPr>
                <w:rFonts w:hint="default" w:ascii="Times New Roman" w:hAnsi="Times New Roman" w:cs="Times New Roman"/>
                <w:sz w:val="24"/>
                <w:szCs w:val="24"/>
                <w:highlight w:val="none"/>
              </w:rPr>
            </w:pPr>
            <w:r>
              <w:rPr>
                <w:rFonts w:hint="eastAsia" w:cs="Times New Roman"/>
                <w:sz w:val="24"/>
                <w:szCs w:val="24"/>
                <w:highlight w:val="none"/>
                <w:lang w:eastAsia="zh-CN"/>
              </w:rPr>
              <w:t>☑</w:t>
            </w:r>
            <w:r>
              <w:rPr>
                <w:rFonts w:hint="default" w:ascii="Times New Roman" w:hAnsi="Times New Roman" w:cs="Times New Roman"/>
                <w:sz w:val="24"/>
                <w:szCs w:val="24"/>
                <w:highlight w:val="none"/>
              </w:rPr>
              <w:t>总价</w:t>
            </w:r>
          </w:p>
        </w:tc>
      </w:tr>
      <w:tr w14:paraId="40D24D71">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10CEE2B8">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3.2.6</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01A130EE">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是否接受调价函</w:t>
            </w:r>
            <w:r>
              <w:rPr>
                <w:rStyle w:val="56"/>
                <w:rFonts w:hint="default" w:ascii="Times New Roman" w:hAnsi="Times New Roman" w:cs="Times New Roman"/>
                <w:sz w:val="24"/>
                <w:szCs w:val="24"/>
                <w:highlight w:val="none"/>
              </w:rPr>
              <w:footnoteReference w:id="4"/>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3B9D2E68">
            <w:pPr>
              <w:pageBreakBefore w:val="0"/>
              <w:kinsoku/>
              <w:wordWrap w:val="0"/>
              <w:bidi w:val="0"/>
              <w:spacing w:line="360" w:lineRule="atLeas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□是</w:t>
            </w:r>
          </w:p>
          <w:p w14:paraId="58A995A7">
            <w:pPr>
              <w:pageBreakBefore w:val="0"/>
              <w:kinsoku/>
              <w:wordWrap w:val="0"/>
              <w:bidi w:val="0"/>
              <w:spacing w:line="360" w:lineRule="atLeast"/>
              <w:rPr>
                <w:rFonts w:hint="default" w:ascii="Times New Roman" w:hAnsi="Times New Roman" w:cs="Times New Roman"/>
                <w:sz w:val="24"/>
                <w:szCs w:val="24"/>
                <w:highlight w:val="none"/>
              </w:rPr>
            </w:pPr>
            <w:r>
              <w:rPr>
                <w:rFonts w:hint="eastAsia" w:cs="Times New Roman"/>
                <w:sz w:val="24"/>
                <w:szCs w:val="24"/>
                <w:highlight w:val="none"/>
                <w:lang w:eastAsia="zh-CN"/>
              </w:rPr>
              <w:t>☑</w:t>
            </w:r>
            <w:r>
              <w:rPr>
                <w:rFonts w:hint="default" w:ascii="Times New Roman" w:hAnsi="Times New Roman" w:cs="Times New Roman"/>
                <w:sz w:val="24"/>
                <w:szCs w:val="24"/>
                <w:highlight w:val="none"/>
              </w:rPr>
              <w:t>否</w:t>
            </w:r>
          </w:p>
        </w:tc>
      </w:tr>
      <w:tr w14:paraId="6FE76184">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4ED1275F">
            <w:pPr>
              <w:pageBreakBefore w:val="0"/>
              <w:kinsoku/>
              <w:wordWrap w:val="0"/>
              <w:bidi w:val="0"/>
              <w:spacing w:line="360" w:lineRule="atLeast"/>
              <w:jc w:val="center"/>
              <w:rPr>
                <w:rFonts w:hint="eastAsia" w:ascii="Times New Roman" w:hAnsi="Times New Roman" w:eastAsia="宋体" w:cs="Times New Roman"/>
                <w:sz w:val="24"/>
                <w:szCs w:val="24"/>
                <w:highlight w:val="none"/>
                <w:lang w:eastAsia="zh-CN"/>
              </w:rPr>
            </w:pPr>
            <w:r>
              <w:rPr>
                <w:rFonts w:hint="default" w:ascii="Times New Roman" w:hAnsi="Times New Roman" w:cs="Times New Roman"/>
                <w:sz w:val="24"/>
                <w:szCs w:val="24"/>
                <w:highlight w:val="none"/>
              </w:rPr>
              <w:t>3.2.</w:t>
            </w:r>
            <w:r>
              <w:rPr>
                <w:rFonts w:hint="eastAsia" w:cs="Times New Roman"/>
                <w:sz w:val="24"/>
                <w:szCs w:val="24"/>
                <w:highlight w:val="none"/>
                <w:lang w:val="en-US" w:eastAsia="zh-CN"/>
              </w:rPr>
              <w:t>7</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4076BA54">
            <w:pPr>
              <w:pageBreakBefore w:val="0"/>
              <w:kinsoku/>
              <w:wordWrap w:val="0"/>
              <w:overflowPunct/>
              <w:bidi w:val="0"/>
              <w:spacing w:line="360" w:lineRule="atLeast"/>
              <w:jc w:val="center"/>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cs="Times New Roman"/>
                <w:sz w:val="24"/>
                <w:szCs w:val="24"/>
                <w:highlight w:val="none"/>
              </w:rPr>
              <w:t>最高投标限价</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4DF720EC">
            <w:pPr>
              <w:pageBreakBefore w:val="0"/>
              <w:kinsoku/>
              <w:wordWrap w:val="0"/>
              <w:bidi w:val="0"/>
              <w:spacing w:line="440" w:lineRule="exact"/>
              <w:rPr>
                <w:rFonts w:hint="default" w:ascii="Times New Roman" w:hAnsi="Times New Roman" w:cs="Times New Roman"/>
                <w:color w:val="000000"/>
                <w:sz w:val="24"/>
                <w:szCs w:val="24"/>
                <w:highlight w:val="none"/>
              </w:rPr>
            </w:pPr>
            <w:r>
              <w:rPr>
                <w:rFonts w:hint="default" w:ascii="Times New Roman" w:hAnsi="Times New Roman" w:cs="Times New Roman"/>
                <w:sz w:val="24"/>
                <w:szCs w:val="24"/>
                <w:highlight w:val="none"/>
              </w:rPr>
              <w:t>□无</w:t>
            </w:r>
          </w:p>
          <w:p w14:paraId="0FB8A155">
            <w:pPr>
              <w:spacing w:line="440" w:lineRule="exact"/>
              <w:rPr>
                <w:rFonts w:hint="default" w:ascii="Times New Roman" w:hAnsi="Times New Roman" w:eastAsia="宋体" w:cs="Times New Roman"/>
                <w:kern w:val="2"/>
                <w:sz w:val="24"/>
                <w:szCs w:val="24"/>
                <w:highlight w:val="none"/>
                <w:lang w:val="en-US" w:eastAsia="zh-CN" w:bidi="ar-SA"/>
              </w:rPr>
            </w:pPr>
            <w:r>
              <w:rPr>
                <w:rFonts w:hint="eastAsia" w:cs="Times New Roman"/>
                <w:sz w:val="24"/>
                <w:szCs w:val="24"/>
                <w:highlight w:val="none"/>
                <w:lang w:eastAsia="zh-CN"/>
              </w:rPr>
              <w:t>☑</w:t>
            </w:r>
            <w:r>
              <w:rPr>
                <w:rFonts w:hint="default" w:ascii="Times New Roman" w:hAnsi="Times New Roman" w:cs="Times New Roman"/>
                <w:sz w:val="24"/>
                <w:szCs w:val="24"/>
                <w:highlight w:val="none"/>
              </w:rPr>
              <w:t>有，最高投标限价：</w:t>
            </w:r>
            <w:r>
              <w:rPr>
                <w:rFonts w:hint="default" w:ascii="Times New Roman" w:hAnsi="Times New Roman" w:cs="Times New Roman"/>
                <w:sz w:val="24"/>
                <w:szCs w:val="24"/>
                <w:highlight w:val="none"/>
                <w:u w:val="single"/>
                <w:lang w:val="en-US" w:eastAsia="zh-CN"/>
              </w:rPr>
              <w:t xml:space="preserve"> </w:t>
            </w:r>
            <w:r>
              <w:rPr>
                <w:rFonts w:hint="eastAsia" w:cs="Times New Roman"/>
                <w:sz w:val="24"/>
                <w:szCs w:val="24"/>
                <w:highlight w:val="none"/>
                <w:u w:val="single"/>
                <w:lang w:val="en-US" w:eastAsia="zh-CN"/>
              </w:rPr>
              <w:t>7297819.00</w:t>
            </w:r>
            <w:r>
              <w:rPr>
                <w:rFonts w:hint="default" w:ascii="Times New Roman" w:hAnsi="Times New Roman" w:cs="Times New Roman"/>
                <w:sz w:val="24"/>
                <w:szCs w:val="24"/>
                <w:highlight w:val="none"/>
              </w:rPr>
              <w:t>元</w:t>
            </w:r>
            <w:r>
              <w:rPr>
                <w:rFonts w:hint="eastAsia" w:cs="Times New Roman"/>
                <w:color w:val="auto"/>
                <w:sz w:val="24"/>
                <w:szCs w:val="24"/>
                <w:highlight w:val="none"/>
                <w:shd w:val="clear"/>
                <w:lang w:val="en-US" w:eastAsia="zh-CN"/>
              </w:rPr>
              <w:t>（大写人民币柒佰贰拾玖万柒仟捌佰壹拾玖元整）（含税），其中安全生产费：</w:t>
            </w:r>
            <w:r>
              <w:rPr>
                <w:rFonts w:hint="eastAsia" w:cs="Times New Roman"/>
                <w:color w:val="auto"/>
                <w:sz w:val="24"/>
                <w:szCs w:val="24"/>
                <w:highlight w:val="none"/>
                <w:u w:val="single"/>
                <w:shd w:val="clear"/>
                <w:lang w:val="en-US" w:eastAsia="zh-CN"/>
              </w:rPr>
              <w:t>109467.00</w:t>
            </w:r>
            <w:r>
              <w:rPr>
                <w:rFonts w:hint="eastAsia" w:cs="Times New Roman"/>
                <w:color w:val="auto"/>
                <w:sz w:val="24"/>
                <w:szCs w:val="24"/>
                <w:highlight w:val="none"/>
                <w:shd w:val="clear"/>
                <w:lang w:val="en-US" w:eastAsia="zh-CN"/>
              </w:rPr>
              <w:t>元</w:t>
            </w:r>
          </w:p>
        </w:tc>
      </w:tr>
      <w:tr w14:paraId="1520FB15">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14BD1618">
            <w:pPr>
              <w:pageBreakBefore w:val="0"/>
              <w:kinsoku/>
              <w:wordWrap w:val="0"/>
              <w:bidi w:val="0"/>
              <w:spacing w:line="360" w:lineRule="atLeast"/>
              <w:jc w:val="center"/>
              <w:rPr>
                <w:rFonts w:hint="eastAsia" w:ascii="Times New Roman" w:hAnsi="Times New Roman" w:eastAsia="宋体" w:cs="Times New Roman"/>
                <w:sz w:val="24"/>
                <w:szCs w:val="24"/>
                <w:highlight w:val="none"/>
                <w:lang w:eastAsia="zh-CN"/>
              </w:rPr>
            </w:pPr>
            <w:r>
              <w:rPr>
                <w:rFonts w:hint="default" w:ascii="Times New Roman" w:hAnsi="Times New Roman" w:cs="Times New Roman"/>
                <w:sz w:val="24"/>
                <w:szCs w:val="24"/>
                <w:highlight w:val="none"/>
              </w:rPr>
              <w:t>3.2.</w:t>
            </w:r>
            <w:r>
              <w:rPr>
                <w:rFonts w:hint="eastAsia" w:cs="Times New Roman"/>
                <w:sz w:val="24"/>
                <w:szCs w:val="24"/>
                <w:highlight w:val="none"/>
                <w:lang w:val="en-US" w:eastAsia="zh-CN"/>
              </w:rPr>
              <w:t>8</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59115EE9">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投标报价的其他要求</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5BB0F4B9">
            <w:pPr>
              <w:pageBreakBefore w:val="0"/>
              <w:kinsoku/>
              <w:wordWrap w:val="0"/>
              <w:bidi w:val="0"/>
              <w:spacing w:line="360" w:lineRule="atLeas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详见本投标人须知前附表中补充的其他内容及工程量清单编制说明</w:t>
            </w:r>
          </w:p>
        </w:tc>
      </w:tr>
      <w:tr w14:paraId="3EA66FBE">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46F03233">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3.3.1</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65DD7BF3">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投标有效期</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7E2920E8">
            <w:pPr>
              <w:pageBreakBefore w:val="0"/>
              <w:kinsoku/>
              <w:wordWrap w:val="0"/>
              <w:bidi w:val="0"/>
              <w:spacing w:line="360" w:lineRule="atLeas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自投标人提交投标文件截止之日起计算</w:t>
            </w:r>
            <w:r>
              <w:rPr>
                <w:rFonts w:hint="default" w:ascii="Times New Roman" w:hAnsi="Times New Roman" w:cs="Times New Roman"/>
                <w:sz w:val="24"/>
                <w:szCs w:val="24"/>
                <w:highlight w:val="none"/>
                <w:u w:val="single"/>
              </w:rPr>
              <w:t xml:space="preserve"> </w:t>
            </w:r>
            <w:r>
              <w:rPr>
                <w:rFonts w:hint="eastAsia" w:cs="Times New Roman"/>
                <w:sz w:val="24"/>
                <w:szCs w:val="24"/>
                <w:highlight w:val="none"/>
                <w:u w:val="single"/>
                <w:lang w:val="en-US" w:eastAsia="zh-CN"/>
              </w:rPr>
              <w:t>90</w:t>
            </w:r>
            <w:r>
              <w:rPr>
                <w:rFonts w:hint="default" w:ascii="Times New Roman" w:hAnsi="Times New Roman" w:cs="Times New Roman"/>
                <w:sz w:val="24"/>
                <w:szCs w:val="24"/>
                <w:highlight w:val="none"/>
              </w:rPr>
              <w:t>日</w:t>
            </w:r>
          </w:p>
        </w:tc>
      </w:tr>
      <w:tr w14:paraId="248569E7">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76A3C7EA">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3.4.1</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01212298">
            <w:pPr>
              <w:spacing w:line="360" w:lineRule="atLeast"/>
              <w:jc w:val="center"/>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cs="Times New Roman"/>
                <w:sz w:val="24"/>
                <w:szCs w:val="24"/>
                <w:highlight w:val="none"/>
              </w:rPr>
              <w:t>投标保证金</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64C4AFD1">
            <w:pPr>
              <w:pStyle w:val="15"/>
              <w:topLinePunct/>
              <w:spacing w:line="360" w:lineRule="atLeas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是否要求投标人递交投标保证金：</w:t>
            </w:r>
          </w:p>
          <w:p w14:paraId="191956FC">
            <w:pPr>
              <w:pStyle w:val="15"/>
              <w:topLinePunct/>
              <w:spacing w:line="360" w:lineRule="atLeast"/>
              <w:rPr>
                <w:rFonts w:hint="default" w:ascii="Times New Roman" w:hAnsi="Times New Roman" w:cs="Times New Roman"/>
                <w:sz w:val="24"/>
                <w:szCs w:val="24"/>
                <w:highlight w:val="none"/>
                <w:lang w:eastAsia="zh-CN"/>
              </w:rPr>
            </w:pPr>
            <w:r>
              <w:rPr>
                <w:rFonts w:hint="eastAsia" w:ascii="Times New Roman" w:cs="Times New Roman"/>
                <w:sz w:val="24"/>
                <w:szCs w:val="24"/>
                <w:highlight w:val="none"/>
                <w:lang w:eastAsia="zh-CN"/>
              </w:rPr>
              <w:t>☑</w:t>
            </w:r>
            <w:r>
              <w:rPr>
                <w:rFonts w:hint="default" w:ascii="Times New Roman" w:hAnsi="Times New Roman" w:cs="Times New Roman"/>
                <w:sz w:val="24"/>
                <w:szCs w:val="24"/>
                <w:highlight w:val="none"/>
              </w:rPr>
              <w:t>要求</w:t>
            </w:r>
            <w:r>
              <w:rPr>
                <w:rFonts w:hint="default" w:ascii="Times New Roman" w:hAnsi="Times New Roman" w:cs="Times New Roman"/>
                <w:sz w:val="24"/>
                <w:szCs w:val="24"/>
                <w:highlight w:val="none"/>
                <w:lang w:eastAsia="zh-CN"/>
              </w:rPr>
              <w:t>：</w:t>
            </w:r>
          </w:p>
          <w:p w14:paraId="4F13BD35">
            <w:pPr>
              <w:pStyle w:val="15"/>
              <w:topLinePunct/>
              <w:spacing w:line="360" w:lineRule="atLeas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lang w:eastAsia="zh-CN"/>
              </w:rPr>
              <w:t>（</w:t>
            </w:r>
            <w:r>
              <w:rPr>
                <w:rFonts w:hint="default" w:ascii="Times New Roman" w:hAnsi="Times New Roman" w:cs="Times New Roman"/>
                <w:sz w:val="24"/>
                <w:szCs w:val="24"/>
                <w:highlight w:val="none"/>
                <w:lang w:val="en-US" w:eastAsia="zh-CN"/>
              </w:rPr>
              <w:t>1</w:t>
            </w:r>
            <w:r>
              <w:rPr>
                <w:rFonts w:hint="default" w:ascii="Times New Roman" w:hAnsi="Times New Roman" w:cs="Times New Roman"/>
                <w:sz w:val="24"/>
                <w:szCs w:val="24"/>
                <w:highlight w:val="none"/>
                <w:lang w:eastAsia="zh-CN"/>
              </w:rPr>
              <w:t>）</w:t>
            </w:r>
            <w:r>
              <w:rPr>
                <w:rFonts w:hint="default" w:ascii="Times New Roman" w:hAnsi="Times New Roman" w:cs="Times New Roman"/>
                <w:sz w:val="24"/>
                <w:szCs w:val="24"/>
                <w:highlight w:val="none"/>
              </w:rPr>
              <w:t>投标保证金的金额：</w:t>
            </w:r>
            <w:r>
              <w:rPr>
                <w:rFonts w:hint="default" w:ascii="Times New Roman" w:hAnsi="Times New Roman" w:cs="Times New Roman"/>
                <w:sz w:val="24"/>
                <w:szCs w:val="24"/>
                <w:highlight w:val="none"/>
                <w:u w:val="single"/>
              </w:rPr>
              <w:t xml:space="preserve"> </w:t>
            </w:r>
            <w:r>
              <w:rPr>
                <w:rFonts w:hint="eastAsia" w:ascii="Times New Roman" w:cs="Times New Roman"/>
                <w:sz w:val="24"/>
                <w:szCs w:val="24"/>
                <w:highlight w:val="none"/>
                <w:u w:val="single"/>
                <w:lang w:val="en-US" w:eastAsia="zh-CN"/>
              </w:rPr>
              <w:t xml:space="preserve">  70000元</w:t>
            </w:r>
            <w:r>
              <w:rPr>
                <w:rFonts w:hint="default" w:ascii="Times New Roman" w:hAnsi="Times New Roman" w:cs="Times New Roman"/>
                <w:sz w:val="24"/>
                <w:szCs w:val="24"/>
                <w:highlight w:val="none"/>
                <w:u w:val="single"/>
              </w:rPr>
              <w:t xml:space="preserve"> </w:t>
            </w:r>
            <w:r>
              <w:rPr>
                <w:rStyle w:val="56"/>
                <w:rFonts w:hint="default" w:ascii="Times New Roman" w:hAnsi="Times New Roman" w:cs="Times New Roman"/>
                <w:sz w:val="24"/>
                <w:szCs w:val="24"/>
                <w:highlight w:val="none"/>
              </w:rPr>
              <w:footnoteReference w:id="5"/>
            </w:r>
            <w:r>
              <w:rPr>
                <w:rFonts w:hint="default" w:ascii="Times New Roman" w:hAnsi="Times New Roman" w:cs="Times New Roman"/>
                <w:sz w:val="24"/>
                <w:szCs w:val="24"/>
                <w:highlight w:val="none"/>
              </w:rPr>
              <w:t xml:space="preserve"> </w:t>
            </w:r>
          </w:p>
          <w:p w14:paraId="5FDA1070">
            <w:pPr>
              <w:pStyle w:val="15"/>
              <w:topLinePunct/>
              <w:spacing w:line="360" w:lineRule="atLeast"/>
              <w:rPr>
                <w:rFonts w:hint="default" w:ascii="Times New Roman" w:hAnsi="Times New Roman" w:cs="Times New Roman"/>
                <w:sz w:val="24"/>
                <w:szCs w:val="24"/>
                <w:highlight w:val="none"/>
                <w:u w:val="single"/>
              </w:rPr>
            </w:pPr>
            <w:r>
              <w:rPr>
                <w:rFonts w:hint="default" w:ascii="Times New Roman" w:hAnsi="Times New Roman" w:cs="Times New Roman"/>
                <w:sz w:val="24"/>
                <w:szCs w:val="24"/>
                <w:highlight w:val="none"/>
                <w:lang w:eastAsia="zh-CN"/>
              </w:rPr>
              <w:t>（</w:t>
            </w:r>
            <w:r>
              <w:rPr>
                <w:rFonts w:hint="default" w:ascii="Times New Roman" w:hAnsi="Times New Roman" w:cs="Times New Roman"/>
                <w:sz w:val="24"/>
                <w:szCs w:val="24"/>
                <w:highlight w:val="none"/>
                <w:lang w:val="en-US" w:eastAsia="zh-CN"/>
              </w:rPr>
              <w:t>2</w:t>
            </w:r>
            <w:r>
              <w:rPr>
                <w:rFonts w:hint="default" w:ascii="Times New Roman" w:hAnsi="Times New Roman" w:cs="Times New Roman"/>
                <w:sz w:val="24"/>
                <w:szCs w:val="24"/>
                <w:highlight w:val="none"/>
                <w:lang w:eastAsia="zh-CN"/>
              </w:rPr>
              <w:t>）</w:t>
            </w:r>
            <w:r>
              <w:rPr>
                <w:rFonts w:hint="default" w:ascii="Times New Roman" w:hAnsi="Times New Roman" w:cs="Times New Roman"/>
                <w:sz w:val="24"/>
                <w:szCs w:val="24"/>
                <w:highlight w:val="none"/>
              </w:rPr>
              <w:t>投标保证金</w:t>
            </w:r>
            <w:r>
              <w:rPr>
                <w:rFonts w:hint="default" w:ascii="Times New Roman" w:hAnsi="Times New Roman" w:cs="Times New Roman"/>
                <w:sz w:val="24"/>
                <w:szCs w:val="24"/>
                <w:highlight w:val="none"/>
                <w:lang w:eastAsia="zh-CN"/>
              </w:rPr>
              <w:t>的</w:t>
            </w:r>
            <w:r>
              <w:rPr>
                <w:rFonts w:hint="default" w:ascii="Times New Roman" w:hAnsi="Times New Roman" w:cs="Times New Roman"/>
                <w:sz w:val="24"/>
                <w:szCs w:val="24"/>
                <w:highlight w:val="none"/>
              </w:rPr>
              <w:t>形式</w:t>
            </w:r>
            <w:r>
              <w:rPr>
                <w:rStyle w:val="56"/>
                <w:rFonts w:hint="default" w:ascii="Times New Roman" w:hAnsi="Times New Roman" w:cs="Times New Roman"/>
                <w:sz w:val="24"/>
                <w:szCs w:val="24"/>
                <w:highlight w:val="none"/>
              </w:rPr>
              <w:footnoteReference w:id="6"/>
            </w:r>
          </w:p>
          <w:p w14:paraId="3E07AC46">
            <w:pPr>
              <w:keepNext w:val="0"/>
              <w:keepLines w:val="0"/>
              <w:pageBreakBefore w:val="0"/>
              <w:widowControl w:val="0"/>
              <w:kinsoku/>
              <w:wordWrap/>
              <w:overflowPunct/>
              <w:autoSpaceDE/>
              <w:autoSpaceDN/>
              <w:bidi w:val="0"/>
              <w:adjustRightInd/>
              <w:snapToGrid/>
              <w:spacing w:line="360" w:lineRule="atLeast"/>
              <w:ind w:firstLine="240" w:firstLineChars="100"/>
              <w:textAlignment w:val="auto"/>
              <w:rPr>
                <w:rFonts w:hint="default" w:ascii="Times New Roman" w:hAnsi="Times New Roman" w:cs="Times New Roman"/>
                <w:sz w:val="24"/>
                <w:szCs w:val="24"/>
                <w:highlight w:val="none"/>
              </w:rPr>
            </w:pPr>
            <w:r>
              <w:rPr>
                <w:rFonts w:hint="eastAsia" w:cs="Times New Roman"/>
                <w:sz w:val="24"/>
                <w:szCs w:val="24"/>
                <w:highlight w:val="none"/>
                <w:lang w:eastAsia="zh-CN"/>
              </w:rPr>
              <w:t>☑</w:t>
            </w:r>
            <w:r>
              <w:rPr>
                <w:rFonts w:hint="default" w:ascii="Times New Roman" w:hAnsi="Times New Roman" w:cs="Times New Roman"/>
                <w:sz w:val="24"/>
                <w:szCs w:val="24"/>
                <w:highlight w:val="none"/>
              </w:rPr>
              <w:t>采用现金（银行电汇或网银转账或转账支票）形式：</w:t>
            </w:r>
          </w:p>
          <w:p w14:paraId="118603F3">
            <w:pPr>
              <w:keepNext w:val="0"/>
              <w:keepLines w:val="0"/>
              <w:pageBreakBefore w:val="0"/>
              <w:widowControl w:val="0"/>
              <w:kinsoku/>
              <w:wordWrap/>
              <w:overflowPunct/>
              <w:autoSpaceDE/>
              <w:autoSpaceDN/>
              <w:bidi w:val="0"/>
              <w:adjustRightInd/>
              <w:snapToGrid/>
              <w:spacing w:line="360" w:lineRule="atLeast"/>
              <w:ind w:firstLine="240" w:firstLineChars="100"/>
              <w:textAlignment w:val="auto"/>
              <w:rPr>
                <w:rFonts w:hint="default" w:ascii="Times New Roman" w:hAnsi="Times New Roman" w:eastAsia="黑体" w:cs="Times New Roman"/>
                <w:bCs/>
                <w:i/>
                <w:iCs/>
                <w:sz w:val="24"/>
                <w:szCs w:val="24"/>
                <w:highlight w:val="none"/>
              </w:rPr>
            </w:pPr>
            <w:r>
              <w:rPr>
                <w:rFonts w:hint="default" w:ascii="Times New Roman" w:hAnsi="Times New Roman" w:cs="Times New Roman"/>
                <w:sz w:val="24"/>
                <w:szCs w:val="24"/>
                <w:highlight w:val="none"/>
              </w:rPr>
              <w:t>招标人指定的开户银行及账号如下：</w:t>
            </w:r>
          </w:p>
          <w:p w14:paraId="6D526367">
            <w:pPr>
              <w:keepNext w:val="0"/>
              <w:keepLines w:val="0"/>
              <w:pageBreakBefore w:val="0"/>
              <w:widowControl w:val="0"/>
              <w:kinsoku/>
              <w:wordWrap/>
              <w:overflowPunct/>
              <w:autoSpaceDE/>
              <w:autoSpaceDN/>
              <w:bidi w:val="0"/>
              <w:adjustRightInd/>
              <w:snapToGrid/>
              <w:spacing w:line="360" w:lineRule="atLeast"/>
              <w:ind w:firstLine="240" w:firstLineChars="100"/>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账户名称：</w:t>
            </w:r>
            <w:r>
              <w:rPr>
                <w:rFonts w:hint="default" w:ascii="Times New Roman" w:hAnsi="Times New Roman" w:cs="Times New Roman"/>
                <w:sz w:val="24"/>
                <w:szCs w:val="24"/>
                <w:highlight w:val="none"/>
                <w:u w:val="single"/>
              </w:rPr>
              <w:t xml:space="preserve"> </w:t>
            </w:r>
            <w:r>
              <w:rPr>
                <w:rFonts w:hint="default" w:ascii="Times New Roman" w:hAnsi="Times New Roman" w:cs="Times New Roman"/>
                <w:sz w:val="24"/>
                <w:szCs w:val="24"/>
                <w:highlight w:val="none"/>
                <w:u w:val="single"/>
                <w:lang w:eastAsia="zh-CN"/>
              </w:rPr>
              <w:t>辽宁君启阳项目管理有限公司</w:t>
            </w:r>
            <w:r>
              <w:rPr>
                <w:rFonts w:hint="default" w:ascii="Times New Roman" w:hAnsi="Times New Roman" w:cs="Times New Roman"/>
                <w:sz w:val="24"/>
                <w:szCs w:val="24"/>
                <w:highlight w:val="none"/>
                <w:u w:val="single"/>
              </w:rPr>
              <w:t xml:space="preserve">   </w:t>
            </w:r>
          </w:p>
          <w:p w14:paraId="4FE40783">
            <w:pPr>
              <w:keepNext w:val="0"/>
              <w:keepLines w:val="0"/>
              <w:pageBreakBefore w:val="0"/>
              <w:widowControl w:val="0"/>
              <w:kinsoku/>
              <w:wordWrap/>
              <w:overflowPunct/>
              <w:autoSpaceDE/>
              <w:autoSpaceDN/>
              <w:bidi w:val="0"/>
              <w:adjustRightInd/>
              <w:snapToGrid/>
              <w:spacing w:line="360" w:lineRule="atLeast"/>
              <w:ind w:firstLine="240" w:firstLineChars="100"/>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开户银行：</w:t>
            </w:r>
            <w:r>
              <w:rPr>
                <w:rFonts w:hint="default" w:ascii="Times New Roman" w:hAnsi="Times New Roman" w:cs="Times New Roman"/>
                <w:sz w:val="24"/>
                <w:szCs w:val="24"/>
                <w:highlight w:val="none"/>
                <w:u w:val="single"/>
                <w:lang w:eastAsia="zh-CN"/>
              </w:rPr>
              <w:t>辽宁农村商业银行股份有限公司营开支行</w:t>
            </w:r>
          </w:p>
          <w:p w14:paraId="479FF359">
            <w:pPr>
              <w:keepNext w:val="0"/>
              <w:keepLines w:val="0"/>
              <w:pageBreakBefore w:val="0"/>
              <w:widowControl w:val="0"/>
              <w:kinsoku/>
              <w:wordWrap/>
              <w:overflowPunct/>
              <w:topLinePunct/>
              <w:autoSpaceDE/>
              <w:autoSpaceDN/>
              <w:bidi w:val="0"/>
              <w:adjustRightInd/>
              <w:snapToGrid/>
              <w:spacing w:line="360" w:lineRule="atLeast"/>
              <w:ind w:firstLine="240" w:firstLineChars="100"/>
              <w:textAlignment w:val="auto"/>
              <w:rPr>
                <w:rFonts w:hint="default" w:ascii="Times New Roman" w:hAnsi="Times New Roman" w:cs="Times New Roman"/>
                <w:sz w:val="24"/>
                <w:szCs w:val="24"/>
                <w:highlight w:val="none"/>
                <w:u w:val="single"/>
              </w:rPr>
            </w:pPr>
            <w:r>
              <w:rPr>
                <w:rFonts w:hint="default" w:ascii="Times New Roman" w:hAnsi="Times New Roman" w:cs="Times New Roman"/>
                <w:sz w:val="24"/>
                <w:szCs w:val="24"/>
                <w:highlight w:val="none"/>
              </w:rPr>
              <w:t>账    号：</w:t>
            </w:r>
            <w:r>
              <w:rPr>
                <w:rFonts w:hint="default" w:ascii="Times New Roman" w:hAnsi="Times New Roman" w:cs="Times New Roman"/>
                <w:sz w:val="24"/>
                <w:szCs w:val="24"/>
                <w:highlight w:val="none"/>
                <w:u w:val="single"/>
                <w:lang w:eastAsia="zh-CN"/>
              </w:rPr>
              <w:t>86632100000000000036</w:t>
            </w:r>
            <w:r>
              <w:rPr>
                <w:rFonts w:hint="default" w:ascii="Times New Roman" w:hAnsi="Times New Roman" w:cs="Times New Roman"/>
                <w:sz w:val="24"/>
                <w:szCs w:val="24"/>
                <w:highlight w:val="none"/>
                <w:u w:val="single"/>
              </w:rPr>
              <w:t xml:space="preserve">  </w:t>
            </w:r>
          </w:p>
          <w:p w14:paraId="1A4E87FF">
            <w:pPr>
              <w:keepNext w:val="0"/>
              <w:keepLines w:val="0"/>
              <w:pageBreakBefore w:val="0"/>
              <w:widowControl w:val="0"/>
              <w:kinsoku/>
              <w:wordWrap/>
              <w:overflowPunct/>
              <w:autoSpaceDE/>
              <w:autoSpaceDN/>
              <w:bidi w:val="0"/>
              <w:adjustRightInd/>
              <w:snapToGrid/>
              <w:spacing w:line="360" w:lineRule="atLeast"/>
              <w:ind w:firstLine="240" w:firstLineChars="100"/>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为确保在</w:t>
            </w:r>
            <w:r>
              <w:rPr>
                <w:rFonts w:hint="default" w:ascii="Times New Roman" w:hAnsi="Times New Roman" w:cs="Times New Roman"/>
                <w:sz w:val="24"/>
                <w:szCs w:val="24"/>
                <w:highlight w:val="none"/>
                <w:lang w:val="en-US" w:eastAsia="zh-CN"/>
              </w:rPr>
              <w:t>规定</w:t>
            </w:r>
            <w:r>
              <w:rPr>
                <w:rFonts w:hint="default" w:ascii="Times New Roman" w:hAnsi="Times New Roman" w:cs="Times New Roman"/>
                <w:sz w:val="24"/>
                <w:szCs w:val="24"/>
                <w:highlight w:val="none"/>
              </w:rPr>
              <w:t>时间前投标保证金能到达招标人指定账户，投标人在汇款时须充分考虑银行汇款的时间误差风险，否则所造成的后果由投标人自负。</w:t>
            </w:r>
          </w:p>
          <w:p w14:paraId="7E7DD836">
            <w:pPr>
              <w:pStyle w:val="15"/>
              <w:keepNext w:val="0"/>
              <w:keepLines w:val="0"/>
              <w:pageBreakBefore w:val="0"/>
              <w:widowControl w:val="0"/>
              <w:kinsoku/>
              <w:wordWrap/>
              <w:overflowPunct/>
              <w:topLinePunct/>
              <w:autoSpaceDE/>
              <w:autoSpaceDN/>
              <w:bidi w:val="0"/>
              <w:adjustRightInd/>
              <w:snapToGrid/>
              <w:spacing w:line="360" w:lineRule="atLeast"/>
              <w:ind w:firstLine="240" w:firstLineChars="100"/>
              <w:textAlignment w:val="auto"/>
              <w:rPr>
                <w:rFonts w:hint="default" w:ascii="Times New Roman" w:hAnsi="Times New Roman" w:cs="Times New Roman"/>
                <w:spacing w:val="-8"/>
                <w:sz w:val="24"/>
                <w:szCs w:val="24"/>
                <w:highlight w:val="none"/>
                <w:lang w:val="en-US" w:eastAsia="zh-CN"/>
              </w:rPr>
            </w:pPr>
            <w:r>
              <w:rPr>
                <w:rFonts w:hint="eastAsia" w:ascii="Times New Roman" w:cs="Times New Roman"/>
                <w:sz w:val="24"/>
                <w:szCs w:val="24"/>
                <w:highlight w:val="none"/>
                <w:lang w:eastAsia="zh-CN"/>
              </w:rPr>
              <w:t>☑</w:t>
            </w:r>
            <w:r>
              <w:rPr>
                <w:rFonts w:hint="default" w:ascii="Times New Roman" w:hAnsi="Times New Roman" w:cs="Times New Roman"/>
                <w:spacing w:val="-8"/>
                <w:sz w:val="24"/>
                <w:szCs w:val="24"/>
                <w:highlight w:val="none"/>
              </w:rPr>
              <w:t>采用保函</w:t>
            </w:r>
            <w:r>
              <w:rPr>
                <w:rFonts w:hint="default" w:ascii="Times New Roman" w:hAnsi="Times New Roman" w:cs="Times New Roman"/>
                <w:spacing w:val="-8"/>
                <w:sz w:val="24"/>
                <w:szCs w:val="24"/>
                <w:highlight w:val="none"/>
                <w:lang w:val="en-US" w:eastAsia="zh-CN"/>
              </w:rPr>
              <w:t>形式：</w:t>
            </w:r>
          </w:p>
          <w:p w14:paraId="118048AC">
            <w:pPr>
              <w:pStyle w:val="15"/>
              <w:keepNext w:val="0"/>
              <w:keepLines w:val="0"/>
              <w:pageBreakBefore w:val="0"/>
              <w:widowControl w:val="0"/>
              <w:kinsoku/>
              <w:wordWrap/>
              <w:overflowPunct/>
              <w:topLinePunct/>
              <w:autoSpaceDE/>
              <w:autoSpaceDN/>
              <w:bidi w:val="0"/>
              <w:adjustRightInd/>
              <w:snapToGrid/>
              <w:spacing w:line="360" w:lineRule="atLeast"/>
              <w:textAlignment w:val="auto"/>
              <w:rPr>
                <w:rFonts w:hint="eastAsia" w:ascii="Times New Roman" w:hAnsi="Times New Roman" w:eastAsia="宋体" w:cs="Times New Roman"/>
                <w:sz w:val="24"/>
                <w:szCs w:val="24"/>
                <w:highlight w:val="none"/>
                <w:u w:val="single"/>
                <w:lang w:val="en-US" w:eastAsia="zh-CN"/>
              </w:rPr>
            </w:pPr>
            <w:r>
              <w:rPr>
                <w:rFonts w:hint="default" w:ascii="Times New Roman" w:hAnsi="Times New Roman" w:cs="Times New Roman"/>
                <w:sz w:val="24"/>
                <w:szCs w:val="24"/>
                <w:highlight w:val="none"/>
              </w:rPr>
              <w:t>出具保函的级别：</w:t>
            </w:r>
            <w:r>
              <w:rPr>
                <w:rFonts w:hint="default" w:ascii="Times New Roman" w:hAnsi="Times New Roman" w:cs="Times New Roman"/>
                <w:sz w:val="24"/>
                <w:szCs w:val="24"/>
                <w:highlight w:val="none"/>
                <w:u w:val="single"/>
              </w:rPr>
              <w:t xml:space="preserve"> </w:t>
            </w:r>
            <w:r>
              <w:rPr>
                <w:rFonts w:hint="eastAsia" w:ascii="Times New Roman" w:cs="Times New Roman"/>
                <w:sz w:val="24"/>
                <w:szCs w:val="24"/>
                <w:highlight w:val="none"/>
                <w:u w:val="single"/>
                <w:lang w:val="en-US" w:eastAsia="zh-CN"/>
              </w:rPr>
              <w:t>/</w:t>
            </w:r>
            <w:r>
              <w:rPr>
                <w:rFonts w:hint="default" w:ascii="Times New Roman" w:hAnsi="Times New Roman" w:cs="Times New Roman"/>
                <w:sz w:val="24"/>
                <w:szCs w:val="24"/>
                <w:highlight w:val="none"/>
                <w:u w:val="single"/>
              </w:rPr>
              <w:t xml:space="preserve"> </w:t>
            </w:r>
          </w:p>
          <w:p w14:paraId="41765439">
            <w:pPr>
              <w:pStyle w:val="15"/>
              <w:keepNext w:val="0"/>
              <w:keepLines w:val="0"/>
              <w:pageBreakBefore w:val="0"/>
              <w:widowControl w:val="0"/>
              <w:kinsoku/>
              <w:wordWrap/>
              <w:overflowPunct/>
              <w:topLinePunct/>
              <w:autoSpaceDE/>
              <w:autoSpaceDN/>
              <w:bidi w:val="0"/>
              <w:adjustRightInd/>
              <w:snapToGrid/>
              <w:spacing w:line="360" w:lineRule="atLeast"/>
              <w:ind w:firstLine="240" w:firstLineChars="100"/>
              <w:textAlignment w:val="auto"/>
              <w:rPr>
                <w:highlight w:val="none"/>
              </w:rPr>
            </w:pPr>
            <w:r>
              <w:rPr>
                <w:rFonts w:hint="default" w:ascii="Times New Roman" w:hAnsi="Times New Roman" w:cs="Times New Roman"/>
                <w:sz w:val="24"/>
                <w:szCs w:val="24"/>
                <w:highlight w:val="none"/>
                <w:u w:val="none"/>
              </w:rPr>
              <w:t>保函应采用招标文件提供的格式，若采用自有格式，其提交的保函内容不得对担保金额、担保范围、担保期限、担保内容作出降低担保效力的实质性修改。</w:t>
            </w:r>
          </w:p>
          <w:p w14:paraId="53B62728">
            <w:pPr>
              <w:pStyle w:val="15"/>
              <w:keepNext w:val="0"/>
              <w:keepLines w:val="0"/>
              <w:pageBreakBefore w:val="0"/>
              <w:widowControl w:val="0"/>
              <w:kinsoku/>
              <w:wordWrap/>
              <w:overflowPunct/>
              <w:topLinePunct/>
              <w:autoSpaceDE/>
              <w:autoSpaceDN/>
              <w:bidi w:val="0"/>
              <w:adjustRightInd/>
              <w:snapToGrid/>
              <w:spacing w:line="360" w:lineRule="atLeast"/>
              <w:ind w:firstLine="240" w:firstLineChars="100"/>
              <w:textAlignment w:val="auto"/>
              <w:rPr>
                <w:rFonts w:hint="default" w:ascii="Times New Roman" w:hAnsi="Times New Roman" w:cs="Times New Roman"/>
                <w:sz w:val="24"/>
                <w:szCs w:val="24"/>
                <w:highlight w:val="none"/>
                <w:lang w:val="en-US" w:eastAsia="zh-CN"/>
              </w:rPr>
            </w:pPr>
            <w:r>
              <w:rPr>
                <w:rFonts w:hint="eastAsia" w:ascii="Times New Roman" w:cs="Times New Roman"/>
                <w:sz w:val="24"/>
                <w:szCs w:val="24"/>
                <w:highlight w:val="none"/>
                <w:lang w:eastAsia="zh-CN"/>
              </w:rPr>
              <w:t>☑</w:t>
            </w:r>
            <w:r>
              <w:rPr>
                <w:rFonts w:hint="default" w:ascii="Times New Roman" w:hAnsi="Times New Roman" w:cs="Times New Roman"/>
                <w:sz w:val="24"/>
                <w:szCs w:val="24"/>
                <w:highlight w:val="none"/>
                <w:lang w:val="en-US" w:eastAsia="zh-CN"/>
              </w:rPr>
              <w:t>采用电子保函形式：</w:t>
            </w:r>
          </w:p>
          <w:p w14:paraId="609795D4">
            <w:pPr>
              <w:pStyle w:val="15"/>
              <w:keepNext w:val="0"/>
              <w:keepLines w:val="0"/>
              <w:pageBreakBefore w:val="0"/>
              <w:widowControl w:val="0"/>
              <w:kinsoku/>
              <w:wordWrap/>
              <w:overflowPunct/>
              <w:topLinePunct/>
              <w:autoSpaceDE/>
              <w:autoSpaceDN/>
              <w:bidi w:val="0"/>
              <w:adjustRightInd/>
              <w:snapToGrid/>
              <w:spacing w:line="360" w:lineRule="atLeast"/>
              <w:ind w:firstLine="240" w:firstLineChars="100"/>
              <w:textAlignment w:val="auto"/>
              <w:rPr>
                <w:rFonts w:hint="default" w:ascii="Times New Roman" w:hAnsi="Times New Roman" w:cs="Times New Roman"/>
                <w:b w:val="0"/>
                <w:bCs w:val="0"/>
                <w:sz w:val="24"/>
                <w:szCs w:val="24"/>
                <w:highlight w:val="none"/>
                <w:lang w:val="en-US" w:eastAsia="zh-CN"/>
              </w:rPr>
            </w:pPr>
            <w:r>
              <w:rPr>
                <w:rFonts w:hint="default" w:ascii="Times New Roman" w:hAnsi="Times New Roman" w:cs="Times New Roman"/>
                <w:b w:val="0"/>
                <w:bCs w:val="0"/>
                <w:sz w:val="24"/>
                <w:szCs w:val="24"/>
                <w:highlight w:val="none"/>
                <w:lang w:val="en-US" w:eastAsia="zh-CN"/>
              </w:rPr>
              <w:t>保函应由投标人自主选择便企金融服务平台或金融机构出具，保函办理机构应提供电子化保函验真渠道和保函财务费用支付信息。</w:t>
            </w:r>
          </w:p>
          <w:p w14:paraId="0F8CDA39">
            <w:pPr>
              <w:pStyle w:val="15"/>
              <w:keepNext w:val="0"/>
              <w:keepLines w:val="0"/>
              <w:pageBreakBefore w:val="0"/>
              <w:widowControl w:val="0"/>
              <w:kinsoku/>
              <w:wordWrap/>
              <w:overflowPunct/>
              <w:topLinePunct/>
              <w:autoSpaceDE/>
              <w:autoSpaceDN/>
              <w:bidi w:val="0"/>
              <w:adjustRightInd/>
              <w:snapToGrid/>
              <w:spacing w:line="360" w:lineRule="atLeast"/>
              <w:ind w:firstLine="240" w:firstLineChars="100"/>
              <w:textAlignment w:val="auto"/>
              <w:rPr>
                <w:rFonts w:hint="default" w:ascii="Times New Roman" w:hAnsi="Times New Roman" w:cs="Times New Roman"/>
                <w:sz w:val="24"/>
                <w:szCs w:val="24"/>
                <w:highlight w:val="none"/>
                <w:u w:val="single"/>
                <w:lang w:val="en-US" w:eastAsia="zh-CN"/>
              </w:rPr>
            </w:pPr>
            <w:r>
              <w:rPr>
                <w:rFonts w:hint="eastAsia" w:ascii="Times New Roman" w:cs="Times New Roman"/>
                <w:sz w:val="24"/>
                <w:szCs w:val="24"/>
                <w:highlight w:val="none"/>
                <w:lang w:eastAsia="zh-CN"/>
              </w:rPr>
              <w:t>☑</w:t>
            </w:r>
            <w:r>
              <w:rPr>
                <w:rFonts w:hint="default" w:ascii="Times New Roman" w:hAnsi="Times New Roman" w:cs="Times New Roman"/>
                <w:sz w:val="24"/>
                <w:szCs w:val="24"/>
                <w:highlight w:val="none"/>
                <w:lang w:val="en-US" w:eastAsia="zh-CN"/>
              </w:rPr>
              <w:t>其他</w:t>
            </w:r>
            <w:r>
              <w:rPr>
                <w:rFonts w:hint="eastAsia" w:ascii="Times New Roman" w:cs="Times New Roman"/>
                <w:sz w:val="24"/>
                <w:szCs w:val="24"/>
                <w:highlight w:val="none"/>
                <w:lang w:val="en-US" w:eastAsia="zh-CN"/>
              </w:rPr>
              <w:t>要求</w:t>
            </w:r>
            <w:r>
              <w:rPr>
                <w:rFonts w:hint="default" w:ascii="Times New Roman" w:hAnsi="Times New Roman" w:cs="Times New Roman"/>
                <w:sz w:val="24"/>
                <w:szCs w:val="24"/>
                <w:highlight w:val="none"/>
                <w:lang w:val="en-US" w:eastAsia="zh-CN"/>
              </w:rPr>
              <w:t>：</w:t>
            </w:r>
            <w:r>
              <w:rPr>
                <w:rFonts w:hint="default" w:ascii="Times New Roman" w:hAnsi="Times New Roman" w:cs="Times New Roman"/>
                <w:sz w:val="24"/>
                <w:szCs w:val="24"/>
                <w:highlight w:val="none"/>
                <w:u w:val="single"/>
                <w:lang w:val="en-US" w:eastAsia="zh-CN"/>
              </w:rPr>
              <w:t xml:space="preserve"> </w:t>
            </w:r>
            <w:r>
              <w:rPr>
                <w:rFonts w:hint="default" w:ascii="Times New Roman" w:hAnsi="Times New Roman" w:cs="Times New Roman"/>
                <w:sz w:val="24"/>
                <w:szCs w:val="24"/>
                <w:highlight w:val="none"/>
                <w:u w:val="single"/>
              </w:rPr>
              <w:t xml:space="preserve">1.投标保证金缴纳方式 1.1 采用电汇或支票方式缴纳的，应在投标截止时间前通过企业基本户缴纳至以下账户，并按照招标文件中投标文件格式要求填写缴纳信息和上传缴纳凭证、基本户开户许可证等证明材料，投标保证金截止时间之后递交的投标保证金将被拒绝。 请投标人在汇款时务必注明所投标项目的名称，标段，否则因款项用途不明导致投标无效等后果由投标人自行承担。 投标人请自行将投标保证金银行汇款凭证制作为电子图片，附加在“投标文件格式”指定位置。作为投标文件的重要组成部分，代理机构不再对投标保证金开具收据。 1.2 </w:t>
            </w:r>
            <w:r>
              <w:rPr>
                <w:rFonts w:hint="eastAsia" w:ascii="Times New Roman" w:cs="Times New Roman"/>
                <w:sz w:val="24"/>
                <w:szCs w:val="24"/>
                <w:highlight w:val="none"/>
                <w:u w:val="single"/>
                <w:lang w:val="en-US" w:eastAsia="zh-CN"/>
              </w:rPr>
              <w:t>使用</w:t>
            </w:r>
            <w:r>
              <w:rPr>
                <w:rFonts w:hint="default" w:ascii="Times New Roman" w:hAnsi="Times New Roman" w:cs="Times New Roman"/>
                <w:sz w:val="24"/>
                <w:szCs w:val="24"/>
                <w:highlight w:val="none"/>
                <w:u w:val="single"/>
              </w:rPr>
              <w:t>保函或担保保函形式缴纳投标保证金的投标人保函需制作为电子图片，附加在“投标文件格式”指定位置。投标人提供的保函需注明所投标项目、标段名称，否则，由此导致投标无效等后果由投标人自行承担。保函的有效期应与投标有效期一致或长于投标有效期。 1.3 采用电子保函方式缴纳的，应在投标截止时间前开具完成，按照招标文件中投标文件格式要求填写缴纳信息和上传担保文书、保函财务费用支付凭证、基本户开户许可证等证明材料，并提供查询平台网址，如验证未通过则视为投标保函未提交。 1.4.投标人应按照招标文件中给定的投标文件格式完整准确填写投标保证金缴纳信息、缴纳凭证等证明材料，否则由此造成的不一致或错误由投标人自行承担。</w:t>
            </w:r>
            <w:r>
              <w:rPr>
                <w:rFonts w:hint="default" w:ascii="Times New Roman" w:hAnsi="Times New Roman" w:cs="Times New Roman"/>
                <w:sz w:val="24"/>
                <w:szCs w:val="24"/>
                <w:highlight w:val="none"/>
                <w:u w:val="single"/>
                <w:lang w:val="en-US" w:eastAsia="zh-CN"/>
              </w:rPr>
              <w:t xml:space="preserve">       </w:t>
            </w:r>
          </w:p>
          <w:p w14:paraId="55A1EC35">
            <w:pPr>
              <w:spacing w:line="360" w:lineRule="atLeast"/>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cs="Times New Roman"/>
                <w:sz w:val="24"/>
                <w:szCs w:val="24"/>
                <w:highlight w:val="none"/>
              </w:rPr>
              <w:t>□不要求</w:t>
            </w:r>
          </w:p>
        </w:tc>
      </w:tr>
      <w:tr w14:paraId="400A2AD8">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24AA8672">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3.4.3</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013D8811">
            <w:pPr>
              <w:spacing w:line="400" w:lineRule="exact"/>
              <w:jc w:val="center"/>
              <w:rPr>
                <w:rFonts w:hint="default" w:ascii="Times New Roman" w:hAnsi="Times New Roman" w:eastAsia="宋体" w:cs="Times New Roman"/>
                <w:b w:val="0"/>
                <w:bCs w:val="0"/>
                <w:kern w:val="2"/>
                <w:sz w:val="24"/>
                <w:szCs w:val="24"/>
                <w:highlight w:val="none"/>
                <w:lang w:val="en-US" w:eastAsia="zh-CN" w:bidi="ar-SA"/>
              </w:rPr>
            </w:pPr>
            <w:r>
              <w:rPr>
                <w:rFonts w:hint="default" w:ascii="Times New Roman" w:hAnsi="Times New Roman" w:eastAsia="宋体" w:cs="Times New Roman"/>
                <w:b w:val="0"/>
                <w:bCs w:val="0"/>
                <w:kern w:val="2"/>
                <w:sz w:val="24"/>
                <w:szCs w:val="24"/>
                <w:highlight w:val="none"/>
                <w:lang w:val="en-US" w:eastAsia="zh-CN" w:bidi="ar-SA"/>
              </w:rPr>
              <w:t>投标保证金利息计算原则</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343C76A4">
            <w:pPr>
              <w:pStyle w:val="15"/>
              <w:spacing w:line="400" w:lineRule="exact"/>
              <w:rPr>
                <w:rFonts w:hint="eastAsia" w:ascii="宋体" w:hAnsi="宋体" w:eastAsia="宋体" w:cs="宋体"/>
                <w:color w:val="auto"/>
                <w:spacing w:val="-6"/>
                <w:highlight w:val="none"/>
              </w:rPr>
            </w:pPr>
            <w:r>
              <w:rPr>
                <w:rFonts w:hint="eastAsia" w:ascii="宋体" w:hAnsi="宋体" w:eastAsia="宋体" w:cs="宋体"/>
                <w:color w:val="auto"/>
                <w:spacing w:val="-6"/>
                <w:highlight w:val="none"/>
              </w:rPr>
              <w:t xml:space="preserve">计息标准：人民银行同期活期存款利率。 </w:t>
            </w:r>
          </w:p>
          <w:p w14:paraId="662330B5">
            <w:pPr>
              <w:pStyle w:val="15"/>
              <w:spacing w:line="400" w:lineRule="exact"/>
              <w:rPr>
                <w:rFonts w:hint="eastAsia" w:ascii="宋体" w:hAnsi="宋体" w:eastAsia="宋体" w:cs="宋体"/>
                <w:color w:val="auto"/>
                <w:spacing w:val="-6"/>
                <w:highlight w:val="none"/>
              </w:rPr>
            </w:pPr>
            <w:r>
              <w:rPr>
                <w:rFonts w:hint="eastAsia" w:ascii="宋体" w:hAnsi="宋体" w:eastAsia="宋体" w:cs="宋体"/>
                <w:color w:val="auto"/>
                <w:spacing w:val="-6"/>
                <w:highlight w:val="none"/>
              </w:rPr>
              <w:t xml:space="preserve">计息时间：投标截止之日至退还的前一日。 </w:t>
            </w:r>
          </w:p>
          <w:p w14:paraId="4A4E5F5B">
            <w:pPr>
              <w:pStyle w:val="15"/>
              <w:spacing w:line="400" w:lineRule="exact"/>
              <w:rPr>
                <w:rFonts w:hint="eastAsia" w:ascii="宋体" w:hAnsi="宋体" w:eastAsia="宋体" w:cs="宋体"/>
                <w:color w:val="auto"/>
                <w:spacing w:val="-6"/>
                <w:highlight w:val="none"/>
              </w:rPr>
            </w:pPr>
            <w:r>
              <w:rPr>
                <w:rFonts w:hint="eastAsia" w:ascii="宋体" w:hAnsi="宋体" w:eastAsia="宋体" w:cs="宋体"/>
                <w:color w:val="auto"/>
                <w:spacing w:val="-6"/>
                <w:highlight w:val="none"/>
              </w:rPr>
              <w:t>保证金退还方式：电汇或保函</w:t>
            </w:r>
          </w:p>
          <w:p w14:paraId="593A41CA">
            <w:pPr>
              <w:pStyle w:val="15"/>
              <w:spacing w:line="400" w:lineRule="exact"/>
              <w:rPr>
                <w:rFonts w:hint="default" w:ascii="Times New Roman" w:hAnsi="Times New Roman" w:eastAsia="宋体" w:cs="Times New Roman"/>
                <w:b w:val="0"/>
                <w:bCs w:val="0"/>
                <w:kern w:val="2"/>
                <w:sz w:val="24"/>
                <w:szCs w:val="24"/>
                <w:highlight w:val="none"/>
                <w:lang w:val="en-US" w:eastAsia="zh-CN" w:bidi="ar-SA"/>
              </w:rPr>
            </w:pPr>
            <w:r>
              <w:rPr>
                <w:rFonts w:hint="eastAsia" w:ascii="宋体" w:hAnsi="宋体" w:eastAsia="宋体" w:cs="宋体"/>
                <w:color w:val="auto"/>
                <w:spacing w:val="-6"/>
                <w:highlight w:val="none"/>
              </w:rPr>
              <w:t>按照《招投标法实施条例》第五十七条规定：保证金退返时间最迟应在书面合同签订后5日内。</w:t>
            </w:r>
          </w:p>
        </w:tc>
      </w:tr>
      <w:tr w14:paraId="5A8AD8A0">
        <w:tblPrEx>
          <w:tblCellMar>
            <w:top w:w="0" w:type="dxa"/>
            <w:left w:w="108" w:type="dxa"/>
            <w:bottom w:w="0" w:type="dxa"/>
            <w:right w:w="108" w:type="dxa"/>
          </w:tblCellMar>
        </w:tblPrEx>
        <w:trPr>
          <w:trHeight w:val="4634"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17D7BC9D">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3.4.4</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1BAEC099">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其他可以不予退还投标保证金的情形</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695CA71E">
            <w:pPr>
              <w:pStyle w:val="15"/>
              <w:spacing w:line="400" w:lineRule="exact"/>
              <w:rPr>
                <w:rFonts w:hint="default" w:ascii="Times New Roman" w:hAnsi="Times New Roman" w:cs="Times New Roman"/>
                <w:sz w:val="24"/>
                <w:szCs w:val="24"/>
                <w:highlight w:val="none"/>
                <w:u w:val="single"/>
              </w:rPr>
            </w:pPr>
            <w:r>
              <w:rPr>
                <w:rFonts w:hint="eastAsia" w:ascii="宋体" w:hAnsi="宋体" w:eastAsia="宋体" w:cs="宋体"/>
                <w:color w:val="auto"/>
                <w:spacing w:val="-6"/>
                <w:highlight w:val="none"/>
              </w:rPr>
              <w:t>有下列情形之一的，投标保证金可不予退还：（1）投标人不接受依据评标办法的规定对其投标文件中细微偏差进行澄清和补正；（2）投标人在规定的投标有效期内撤销或修改其投标文件，包括在收到中标通知书前放弃中标候选人资格的情形；（3）中标人在收到中标通知书后，无正当理由拒签合同协议书；（4）中标人在签订合同时向招标人提出附加条件，或不按照招标文件要求提交履约保证金；（5）投标人提交了虚假资料；（6）投标人有串标、围标、“挂靠”其他单位参与投标，贿赂评标专家或招标工作人员，以及其他违反国家招标投标管理有关规定的行为</w:t>
            </w:r>
          </w:p>
        </w:tc>
      </w:tr>
      <w:tr w14:paraId="5F57341F">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2ACE6A0E">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3.5</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7A2DC0E2">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资格审查资料的特殊要求</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4B7E6502">
            <w:pPr>
              <w:pStyle w:val="15"/>
              <w:pageBreakBefore w:val="0"/>
              <w:kinsoku/>
              <w:wordWrap w:val="0"/>
              <w:topLinePunct/>
              <w:bidi w:val="0"/>
              <w:spacing w:line="360" w:lineRule="atLeast"/>
              <w:rPr>
                <w:rFonts w:hint="default" w:ascii="Times New Roman" w:hAnsi="Times New Roman" w:cs="Times New Roman"/>
                <w:sz w:val="24"/>
                <w:szCs w:val="24"/>
                <w:highlight w:val="none"/>
              </w:rPr>
            </w:pPr>
            <w:r>
              <w:rPr>
                <w:rFonts w:hint="eastAsia" w:ascii="Times New Roman" w:cs="Times New Roman"/>
                <w:sz w:val="24"/>
                <w:szCs w:val="24"/>
                <w:highlight w:val="none"/>
                <w:lang w:eastAsia="zh-CN"/>
              </w:rPr>
              <w:t>□</w:t>
            </w:r>
            <w:r>
              <w:rPr>
                <w:rFonts w:hint="default" w:ascii="Times New Roman" w:hAnsi="Times New Roman" w:cs="Times New Roman"/>
                <w:sz w:val="24"/>
                <w:szCs w:val="24"/>
                <w:highlight w:val="none"/>
              </w:rPr>
              <w:t>无</w:t>
            </w:r>
          </w:p>
          <w:p w14:paraId="122A75AA">
            <w:pPr>
              <w:pStyle w:val="15"/>
              <w:pageBreakBefore w:val="0"/>
              <w:kinsoku/>
              <w:wordWrap w:val="0"/>
              <w:topLinePunct/>
              <w:bidi w:val="0"/>
              <w:spacing w:line="360" w:lineRule="atLeast"/>
              <w:rPr>
                <w:rFonts w:hint="default" w:ascii="Times New Roman" w:hAnsi="Times New Roman" w:cs="Times New Roman"/>
                <w:sz w:val="24"/>
                <w:szCs w:val="24"/>
                <w:highlight w:val="none"/>
                <w:u w:val="single"/>
              </w:rPr>
            </w:pPr>
            <w:r>
              <w:rPr>
                <w:rFonts w:hint="eastAsia" w:ascii="Times New Roman" w:cs="Times New Roman"/>
                <w:sz w:val="24"/>
                <w:szCs w:val="24"/>
                <w:highlight w:val="none"/>
                <w:lang w:eastAsia="zh-CN"/>
              </w:rPr>
              <w:t>☑</w:t>
            </w:r>
            <w:r>
              <w:rPr>
                <w:rFonts w:hint="default" w:ascii="Times New Roman" w:hAnsi="Times New Roman" w:cs="Times New Roman"/>
                <w:sz w:val="24"/>
                <w:szCs w:val="24"/>
                <w:highlight w:val="none"/>
              </w:rPr>
              <w:t>有，具体要求</w:t>
            </w:r>
            <w:r>
              <w:rPr>
                <w:rFonts w:hint="default" w:ascii="Times New Roman" w:hAnsi="Times New Roman" w:cs="Times New Roman"/>
                <w:sz w:val="24"/>
                <w:szCs w:val="24"/>
                <w:highlight w:val="none"/>
                <w:u w:val="single"/>
              </w:rPr>
              <w:t>：投标文件“资格审查资料” 各项表格应提供的证明材料以本附表各附录中的规定为准</w:t>
            </w:r>
            <w:r>
              <w:rPr>
                <w:rFonts w:hint="default" w:ascii="Times New Roman" w:hAnsi="Times New Roman" w:cs="Times New Roman"/>
                <w:sz w:val="24"/>
                <w:szCs w:val="24"/>
                <w:highlight w:val="none"/>
                <w:u w:val="single"/>
                <w:lang w:val="en-US" w:eastAsia="zh-CN"/>
              </w:rPr>
              <w:t xml:space="preserve"> </w:t>
            </w:r>
          </w:p>
        </w:tc>
      </w:tr>
      <w:tr w14:paraId="7430FB45">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1EE48BD4">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3.5.2</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1C0A5C74">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近年财务状况的年份要求</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0C9DDFDD">
            <w:pPr>
              <w:pageBreakBefore w:val="0"/>
              <w:kinsoku/>
              <w:wordWrap w:val="0"/>
              <w:bidi w:val="0"/>
              <w:spacing w:line="360" w:lineRule="atLeast"/>
              <w:rPr>
                <w:rFonts w:hint="default" w:ascii="Times New Roman" w:hAnsi="Times New Roman" w:cs="Times New Roman"/>
                <w:sz w:val="24"/>
                <w:szCs w:val="24"/>
                <w:highlight w:val="none"/>
              </w:rPr>
            </w:pPr>
            <w:r>
              <w:rPr>
                <w:rFonts w:hint="default" w:ascii="Times New Roman" w:hAnsi="Times New Roman" w:eastAsia="黑体" w:cs="Times New Roman"/>
                <w:sz w:val="24"/>
                <w:szCs w:val="24"/>
                <w:highlight w:val="none"/>
                <w:u w:val="single"/>
              </w:rPr>
              <w:t xml:space="preserve">  </w:t>
            </w:r>
            <w:r>
              <w:rPr>
                <w:rFonts w:hint="eastAsia" w:eastAsia="黑体" w:cs="Times New Roman"/>
                <w:sz w:val="24"/>
                <w:szCs w:val="24"/>
                <w:highlight w:val="none"/>
                <w:u w:val="single"/>
                <w:lang w:val="en-US" w:eastAsia="zh-CN"/>
              </w:rPr>
              <w:t>/</w:t>
            </w:r>
            <w:r>
              <w:rPr>
                <w:rFonts w:hint="default" w:ascii="Times New Roman" w:hAnsi="Times New Roman" w:eastAsia="黑体" w:cs="Times New Roman"/>
                <w:sz w:val="24"/>
                <w:szCs w:val="24"/>
                <w:highlight w:val="none"/>
                <w:u w:val="single"/>
              </w:rPr>
              <w:t xml:space="preserve">  </w:t>
            </w:r>
            <w:r>
              <w:rPr>
                <w:rFonts w:hint="default" w:ascii="Times New Roman" w:hAnsi="Times New Roman" w:cs="Times New Roman"/>
                <w:sz w:val="24"/>
                <w:szCs w:val="24"/>
                <w:highlight w:val="none"/>
              </w:rPr>
              <w:t>年至</w:t>
            </w:r>
            <w:r>
              <w:rPr>
                <w:rFonts w:hint="default" w:ascii="Times New Roman" w:hAnsi="Times New Roman" w:eastAsia="黑体" w:cs="Times New Roman"/>
                <w:sz w:val="24"/>
                <w:szCs w:val="24"/>
                <w:highlight w:val="none"/>
                <w:u w:val="single"/>
              </w:rPr>
              <w:t xml:space="preserve">   </w:t>
            </w:r>
            <w:r>
              <w:rPr>
                <w:rFonts w:hint="eastAsia" w:eastAsia="黑体" w:cs="Times New Roman"/>
                <w:sz w:val="24"/>
                <w:szCs w:val="24"/>
                <w:highlight w:val="none"/>
                <w:u w:val="single"/>
                <w:lang w:val="en-US" w:eastAsia="zh-CN"/>
              </w:rPr>
              <w:t xml:space="preserve">/ </w:t>
            </w:r>
            <w:r>
              <w:rPr>
                <w:rFonts w:hint="default" w:ascii="Times New Roman" w:hAnsi="Times New Roman" w:eastAsia="黑体" w:cs="Times New Roman"/>
                <w:sz w:val="24"/>
                <w:szCs w:val="24"/>
                <w:highlight w:val="none"/>
                <w:u w:val="single"/>
              </w:rPr>
              <w:t xml:space="preserve"> </w:t>
            </w:r>
            <w:r>
              <w:rPr>
                <w:rFonts w:hint="default" w:ascii="Times New Roman" w:hAnsi="Times New Roman" w:cs="Times New Roman"/>
                <w:sz w:val="24"/>
                <w:szCs w:val="24"/>
                <w:highlight w:val="none"/>
              </w:rPr>
              <w:t>年</w:t>
            </w:r>
          </w:p>
        </w:tc>
      </w:tr>
      <w:tr w14:paraId="263A496B">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69E30F54">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3.5.3</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6654FF6D">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近年完成的类似项目情况的时间要求</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2CBCEF18">
            <w:pPr>
              <w:pageBreakBefore w:val="0"/>
              <w:kinsoku/>
              <w:wordWrap w:val="0"/>
              <w:bidi w:val="0"/>
              <w:spacing w:line="360" w:lineRule="atLeast"/>
              <w:rPr>
                <w:rFonts w:hint="default" w:ascii="Times New Roman" w:hAnsi="Times New Roman" w:cs="Times New Roman"/>
                <w:sz w:val="24"/>
                <w:szCs w:val="24"/>
                <w:highlight w:val="none"/>
              </w:rPr>
            </w:pPr>
            <w:r>
              <w:rPr>
                <w:rFonts w:hint="default" w:ascii="Times New Roman" w:hAnsi="Times New Roman" w:eastAsia="黑体" w:cs="Times New Roman"/>
                <w:sz w:val="24"/>
                <w:szCs w:val="24"/>
                <w:highlight w:val="none"/>
                <w:u w:val="single"/>
              </w:rPr>
              <w:t xml:space="preserve">  </w:t>
            </w:r>
            <w:r>
              <w:rPr>
                <w:rFonts w:hint="eastAsia" w:eastAsia="黑体" w:cs="Times New Roman"/>
                <w:sz w:val="24"/>
                <w:szCs w:val="24"/>
                <w:highlight w:val="none"/>
                <w:u w:val="single"/>
                <w:lang w:val="en-US" w:eastAsia="zh-CN"/>
              </w:rPr>
              <w:t>2023</w:t>
            </w:r>
            <w:r>
              <w:rPr>
                <w:rFonts w:hint="default" w:ascii="Times New Roman" w:hAnsi="Times New Roman" w:eastAsia="黑体" w:cs="Times New Roman"/>
                <w:sz w:val="24"/>
                <w:szCs w:val="24"/>
                <w:highlight w:val="none"/>
                <w:u w:val="single"/>
              </w:rPr>
              <w:t xml:space="preserve"> </w:t>
            </w:r>
            <w:r>
              <w:rPr>
                <w:rFonts w:hint="default" w:ascii="Times New Roman" w:hAnsi="Times New Roman" w:cs="Times New Roman"/>
                <w:sz w:val="24"/>
                <w:szCs w:val="24"/>
                <w:highlight w:val="none"/>
              </w:rPr>
              <w:t>年</w:t>
            </w:r>
            <w:r>
              <w:rPr>
                <w:rFonts w:hint="default" w:ascii="Times New Roman" w:hAnsi="Times New Roman" w:eastAsia="黑体" w:cs="Times New Roman"/>
                <w:sz w:val="24"/>
                <w:szCs w:val="24"/>
                <w:highlight w:val="none"/>
                <w:u w:val="single"/>
              </w:rPr>
              <w:t xml:space="preserve">  </w:t>
            </w:r>
            <w:r>
              <w:rPr>
                <w:rFonts w:hint="eastAsia" w:eastAsia="黑体" w:cs="Times New Roman"/>
                <w:sz w:val="24"/>
                <w:szCs w:val="24"/>
                <w:highlight w:val="none"/>
                <w:u w:val="single"/>
                <w:lang w:val="en-US" w:eastAsia="zh-CN"/>
              </w:rPr>
              <w:t>1</w:t>
            </w:r>
            <w:r>
              <w:rPr>
                <w:rFonts w:hint="default" w:ascii="Times New Roman" w:hAnsi="Times New Roman" w:eastAsia="黑体" w:cs="Times New Roman"/>
                <w:sz w:val="24"/>
                <w:szCs w:val="24"/>
                <w:highlight w:val="none"/>
                <w:u w:val="single"/>
              </w:rPr>
              <w:t xml:space="preserve"> </w:t>
            </w:r>
            <w:r>
              <w:rPr>
                <w:rFonts w:hint="default" w:ascii="Times New Roman" w:hAnsi="Times New Roman" w:cs="Times New Roman"/>
                <w:sz w:val="24"/>
                <w:szCs w:val="24"/>
                <w:highlight w:val="none"/>
              </w:rPr>
              <w:t>月</w:t>
            </w:r>
            <w:r>
              <w:rPr>
                <w:rFonts w:hint="default" w:ascii="Times New Roman" w:hAnsi="Times New Roman" w:eastAsia="黑体" w:cs="Times New Roman"/>
                <w:sz w:val="24"/>
                <w:szCs w:val="24"/>
                <w:highlight w:val="none"/>
                <w:u w:val="single"/>
              </w:rPr>
              <w:t xml:space="preserve">  </w:t>
            </w:r>
            <w:r>
              <w:rPr>
                <w:rFonts w:hint="eastAsia" w:eastAsia="黑体" w:cs="Times New Roman"/>
                <w:sz w:val="24"/>
                <w:szCs w:val="24"/>
                <w:highlight w:val="none"/>
                <w:u w:val="single"/>
                <w:lang w:val="en-US" w:eastAsia="zh-CN"/>
              </w:rPr>
              <w:t>1</w:t>
            </w:r>
            <w:r>
              <w:rPr>
                <w:rFonts w:hint="default" w:ascii="Times New Roman" w:hAnsi="Times New Roman" w:cs="Times New Roman"/>
                <w:sz w:val="24"/>
                <w:szCs w:val="24"/>
                <w:highlight w:val="none"/>
              </w:rPr>
              <w:t>日</w:t>
            </w:r>
            <w:r>
              <w:rPr>
                <w:rFonts w:hint="default" w:ascii="Times New Roman" w:hAnsi="Times New Roman" w:cs="Times New Roman"/>
                <w:color w:val="000000"/>
                <w:sz w:val="24"/>
                <w:szCs w:val="24"/>
                <w:highlight w:val="none"/>
              </w:rPr>
              <w:t>至投标文件递交截止日</w:t>
            </w:r>
          </w:p>
        </w:tc>
      </w:tr>
      <w:tr w14:paraId="764AEC91">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32D07DF6">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3.6.1</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57D6E5A6">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是否允许递交备选投标方案</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3EB7DAB2">
            <w:pPr>
              <w:pStyle w:val="15"/>
              <w:pageBreakBefore w:val="0"/>
              <w:kinsoku/>
              <w:wordWrap w:val="0"/>
              <w:topLinePunct/>
              <w:bidi w:val="0"/>
              <w:spacing w:line="360" w:lineRule="atLeast"/>
              <w:rPr>
                <w:rFonts w:hint="default" w:ascii="Times New Roman" w:hAnsi="Times New Roman" w:cs="Times New Roman"/>
                <w:sz w:val="24"/>
                <w:szCs w:val="24"/>
                <w:highlight w:val="none"/>
              </w:rPr>
            </w:pPr>
            <w:r>
              <w:rPr>
                <w:rFonts w:hint="eastAsia" w:ascii="Times New Roman" w:cs="Times New Roman"/>
                <w:sz w:val="24"/>
                <w:szCs w:val="24"/>
                <w:highlight w:val="none"/>
                <w:lang w:eastAsia="zh-CN"/>
              </w:rPr>
              <w:t>☑</w:t>
            </w:r>
            <w:r>
              <w:rPr>
                <w:rFonts w:hint="default" w:ascii="Times New Roman" w:hAnsi="Times New Roman" w:cs="Times New Roman"/>
                <w:sz w:val="24"/>
                <w:szCs w:val="24"/>
                <w:highlight w:val="none"/>
              </w:rPr>
              <w:t>不允许</w:t>
            </w:r>
          </w:p>
          <w:p w14:paraId="0AE0ACA1">
            <w:pPr>
              <w:pageBreakBefore w:val="0"/>
              <w:kinsoku/>
              <w:wordWrap w:val="0"/>
              <w:bidi w:val="0"/>
              <w:spacing w:line="360" w:lineRule="atLeas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□允许</w:t>
            </w:r>
          </w:p>
        </w:tc>
      </w:tr>
      <w:tr w14:paraId="1482900B">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010C95C2">
            <w:pPr>
              <w:pageBreakBefore w:val="0"/>
              <w:kinsoku/>
              <w:wordWrap w:val="0"/>
              <w:overflowPunct/>
              <w:bidi w:val="0"/>
              <w:spacing w:line="360" w:lineRule="atLeast"/>
              <w:jc w:val="center"/>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cs="Times New Roman"/>
                <w:sz w:val="24"/>
                <w:szCs w:val="24"/>
                <w:highlight w:val="none"/>
              </w:rPr>
              <w:t>3.7.</w:t>
            </w:r>
            <w:r>
              <w:rPr>
                <w:rFonts w:hint="eastAsia" w:cs="Times New Roman"/>
                <w:sz w:val="24"/>
                <w:szCs w:val="24"/>
                <w:highlight w:val="none"/>
                <w:lang w:val="en-US" w:eastAsia="zh-CN"/>
              </w:rPr>
              <w:t>5</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09D2D69D">
            <w:pPr>
              <w:pageBreakBefore w:val="0"/>
              <w:kinsoku/>
              <w:wordWrap w:val="0"/>
              <w:bidi w:val="0"/>
              <w:spacing w:line="400" w:lineRule="exact"/>
              <w:jc w:val="center"/>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cs="Times New Roman"/>
                <w:color w:val="000000"/>
                <w:sz w:val="24"/>
                <w:szCs w:val="24"/>
                <w:highlight w:val="none"/>
              </w:rPr>
              <w:t>投标文件</w:t>
            </w:r>
            <w:r>
              <w:rPr>
                <w:rFonts w:hint="default" w:ascii="Times New Roman" w:hAnsi="Times New Roman" w:cs="Times New Roman"/>
                <w:color w:val="000000"/>
                <w:sz w:val="24"/>
                <w:szCs w:val="24"/>
                <w:highlight w:val="none"/>
                <w:lang w:val="en-US" w:eastAsia="zh-CN"/>
              </w:rPr>
              <w:t>上传</w:t>
            </w:r>
            <w:r>
              <w:rPr>
                <w:rFonts w:hint="default" w:ascii="Times New Roman" w:hAnsi="Times New Roman" w:cs="Times New Roman"/>
                <w:color w:val="000000"/>
                <w:sz w:val="24"/>
                <w:szCs w:val="24"/>
                <w:highlight w:val="none"/>
              </w:rPr>
              <w:t>要求</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78E7B3A9">
            <w:pPr>
              <w:pStyle w:val="15"/>
              <w:pageBreakBefore w:val="0"/>
              <w:kinsoku/>
              <w:wordWrap w:val="0"/>
              <w:topLinePunct/>
              <w:bidi w:val="0"/>
              <w:spacing w:line="400" w:lineRule="exact"/>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cs="Times New Roman"/>
                <w:color w:val="000000"/>
                <w:sz w:val="24"/>
                <w:szCs w:val="24"/>
                <w:highlight w:val="none"/>
              </w:rPr>
              <w:t>投标人应在规定的投标截止时间前，通过互联网适用CA数字证书登录</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电子交易平台</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，将加密的投标文件上传。投标人应充分考虑上传文件时的不可预见因素，未在投标截止时间前完成上传的，视为逾期送达，招标人（</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电子交易平台</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）将拒绝接收。</w:t>
            </w:r>
          </w:p>
        </w:tc>
      </w:tr>
      <w:tr w14:paraId="6A7802C6">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B7239A1">
            <w:pPr>
              <w:wordWrap w:val="0"/>
              <w:spacing w:before="0" w:line="360" w:lineRule="atLeast"/>
              <w:ind w:left="0" w:leftChars="0"/>
              <w:jc w:val="center"/>
              <w:rPr>
                <w:rFonts w:hint="default" w:ascii="Times New Roman" w:hAnsi="Times New Roman" w:eastAsia="宋体" w:cs="Times New Roman"/>
                <w:kern w:val="2"/>
                <w:sz w:val="24"/>
                <w:szCs w:val="24"/>
                <w:highlight w:val="none"/>
                <w:lang w:val="en-US" w:eastAsia="zh-CN" w:bidi="ar-SA"/>
              </w:rPr>
            </w:pPr>
            <w:r>
              <w:rPr>
                <w:rFonts w:hint="default" w:cs="Times New Roman"/>
                <w:kern w:val="2"/>
                <w:sz w:val="24"/>
                <w:szCs w:val="24"/>
                <w:highlight w:val="none"/>
                <w:lang w:val="en-US" w:eastAsia="zh-CN" w:bidi="ar-SA"/>
              </w:rPr>
              <w:t>3.7.6</w:t>
            </w:r>
          </w:p>
        </w:tc>
        <w:tc>
          <w:tcPr>
            <w:tcW w:w="295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F29ADD7">
            <w:pPr>
              <w:wordWrap w:val="0"/>
              <w:spacing w:line="400" w:lineRule="exact"/>
              <w:jc w:val="center"/>
              <w:rPr>
                <w:rFonts w:hint="default" w:ascii="Times New Roman" w:hAnsi="Times New Roman" w:eastAsia="宋体" w:cs="Times New Roman"/>
                <w:color w:val="000000"/>
                <w:kern w:val="2"/>
                <w:sz w:val="24"/>
                <w:szCs w:val="24"/>
                <w:highlight w:val="none"/>
                <w:lang w:val="en-US" w:eastAsia="en-US" w:bidi="ar-SA"/>
              </w:rPr>
            </w:pPr>
            <w:r>
              <w:rPr>
                <w:color w:val="000000"/>
                <w:spacing w:val="0"/>
                <w:sz w:val="24"/>
                <w:highlight w:val="none"/>
              </w:rPr>
              <w:t>投标文件其他要求</w:t>
            </w:r>
          </w:p>
        </w:tc>
        <w:tc>
          <w:tcPr>
            <w:tcW w:w="58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7C36D33">
            <w:pP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本项目采用电子招标投标形式。中标人在合同签订前需向招标人提交资料：</w:t>
            </w:r>
          </w:p>
          <w:p w14:paraId="765C3008">
            <w:pPr>
              <w:jc w:val="left"/>
              <w:rPr>
                <w:rFonts w:hint="default" w:ascii="Times New Roman" w:hAnsi="Times New Roman" w:cs="Times New Roman"/>
                <w:color w:val="auto"/>
                <w:sz w:val="24"/>
                <w:szCs w:val="24"/>
                <w:highlight w:val="none"/>
              </w:rPr>
            </w:pPr>
            <w:sdt>
              <w:sdtPr>
                <w:rPr>
                  <w:rFonts w:hint="default" w:ascii="Times New Roman" w:hAnsi="Times New Roman" w:cs="Times New Roman"/>
                  <w:b/>
                  <w:bCs/>
                  <w:color w:val="auto"/>
                  <w:sz w:val="24"/>
                  <w:szCs w:val="24"/>
                  <w:highlight w:val="none"/>
                  <w:shd w:val="clear" w:color="auto" w:fill="FFFFFF" w:themeFill="background1"/>
                </w:rPr>
                <w:id w:val="147474650"/>
                <w14:checkbox>
                  <w14:checked w14:val="1"/>
                  <w14:checkedState w14:val="0052" w14:font="Wingdings 2"/>
                  <w14:uncheckedState w14:val="2610" w14:font="MS Gothic"/>
                </w14:checkbox>
              </w:sdtPr>
              <w:sdtEndPr>
                <w:rPr>
                  <w:rFonts w:hint="default" w:ascii="Times New Roman" w:hAnsi="Times New Roman" w:cs="Times New Roman"/>
                  <w:b/>
                  <w:bCs/>
                  <w:color w:val="auto"/>
                  <w:sz w:val="24"/>
                  <w:szCs w:val="24"/>
                  <w:highlight w:val="none"/>
                  <w:shd w:val="clear" w:color="auto" w:fill="FFFFFF" w:themeFill="background1"/>
                </w:rPr>
              </w:sdtEndPr>
              <w:sdtContent>
                <w:r>
                  <w:rPr>
                    <w:rFonts w:hint="default" w:ascii="Wingdings 2" w:hAnsi="Wingdings 2" w:eastAsia="MS Gothic" w:cs="Times New Roman"/>
                    <w:b/>
                    <w:bCs/>
                    <w:color w:val="auto"/>
                    <w:kern w:val="2"/>
                    <w:sz w:val="24"/>
                    <w:szCs w:val="24"/>
                    <w:highlight w:val="none"/>
                    <w:shd w:val="clear" w:color="auto" w:fill="FFFFFF" w:themeFill="background1"/>
                    <w:lang w:val="en-US" w:eastAsia="zh-CN" w:bidi="ar-SA"/>
                  </w:rPr>
                  <w:t>R</w:t>
                </w:r>
              </w:sdtContent>
            </w:sdt>
            <w:r>
              <w:rPr>
                <w:rFonts w:hint="default" w:ascii="Times New Roman" w:hAnsi="Times New Roman" w:cs="Times New Roman"/>
                <w:color w:val="auto"/>
                <w:sz w:val="24"/>
                <w:szCs w:val="24"/>
                <w:highlight w:val="none"/>
              </w:rPr>
              <w:t xml:space="preserve"> 纸质版投标文件：</w:t>
            </w:r>
            <w:r>
              <w:rPr>
                <w:rFonts w:hint="default" w:ascii="Times New Roman" w:hAnsi="Times New Roman" w:cs="Times New Roman"/>
                <w:color w:val="auto"/>
                <w:sz w:val="24"/>
                <w:szCs w:val="24"/>
                <w:highlight w:val="none"/>
                <w:u w:val="single"/>
              </w:rPr>
              <w:t xml:space="preserve">  </w:t>
            </w:r>
            <w:r>
              <w:rPr>
                <w:rFonts w:hint="eastAsia" w:cs="Times New Roman"/>
                <w:color w:val="auto"/>
                <w:sz w:val="24"/>
                <w:szCs w:val="24"/>
                <w:highlight w:val="none"/>
                <w:u w:val="single"/>
                <w:lang w:val="en-US" w:eastAsia="zh-CN"/>
              </w:rPr>
              <w:t>5</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套；</w:t>
            </w:r>
          </w:p>
          <w:p w14:paraId="2AEC147E">
            <w:pPr>
              <w:pStyle w:val="15"/>
              <w:rPr>
                <w:rFonts w:hint="default" w:ascii="Times New Roman" w:hAnsi="Times New Roman" w:eastAsia="宋体" w:cs="Times New Roman"/>
                <w:color w:val="000000"/>
                <w:kern w:val="2"/>
                <w:sz w:val="24"/>
                <w:szCs w:val="24"/>
                <w:highlight w:val="none"/>
                <w:lang w:val="en-US" w:eastAsia="zh-CN" w:bidi="ar-SA"/>
              </w:rPr>
            </w:pPr>
            <w:sdt>
              <w:sdtPr>
                <w:rPr>
                  <w:rFonts w:hint="default" w:ascii="Times New Roman" w:hAnsi="Times New Roman" w:cs="Times New Roman"/>
                  <w:b/>
                  <w:bCs/>
                  <w:color w:val="auto"/>
                  <w:szCs w:val="24"/>
                  <w:highlight w:val="none"/>
                  <w:shd w:val="clear" w:color="auto" w:fill="FFFFFF" w:themeFill="background1"/>
                </w:rPr>
                <w:id w:val="147455373"/>
                <w14:checkbox>
                  <w14:checked w14:val="1"/>
                  <w14:checkedState w14:val="0052" w14:font="Wingdings 2"/>
                  <w14:uncheckedState w14:val="2610" w14:font="MS Gothic"/>
                </w14:checkbox>
              </w:sdtPr>
              <w:sdtEndPr>
                <w:rPr>
                  <w:rFonts w:hint="default" w:ascii="Times New Roman" w:hAnsi="Times New Roman" w:cs="Times New Roman"/>
                  <w:b/>
                  <w:bCs/>
                  <w:color w:val="auto"/>
                  <w:szCs w:val="24"/>
                  <w:highlight w:val="none"/>
                  <w:shd w:val="clear" w:color="auto" w:fill="FFFFFF" w:themeFill="background1"/>
                </w:rPr>
              </w:sdtEndPr>
              <w:sdtContent>
                <w:r>
                  <w:rPr>
                    <w:rFonts w:hint="default" w:ascii="Wingdings 2" w:hAnsi="Wingdings 2" w:eastAsia="MS Gothic" w:cs="Times New Roman"/>
                    <w:b/>
                    <w:bCs/>
                    <w:color w:val="auto"/>
                    <w:kern w:val="2"/>
                    <w:sz w:val="24"/>
                    <w:szCs w:val="24"/>
                    <w:highlight w:val="none"/>
                    <w:shd w:val="clear" w:color="auto" w:fill="FFFFFF" w:themeFill="background1"/>
                    <w:lang w:val="en-US" w:eastAsia="zh-CN" w:bidi="ar-SA"/>
                  </w:rPr>
                  <w:t>R</w:t>
                </w:r>
              </w:sdtContent>
            </w:sdt>
            <w:r>
              <w:rPr>
                <w:rFonts w:hint="default" w:ascii="Times New Roman" w:hAnsi="Times New Roman" w:cs="Times New Roman"/>
                <w:color w:val="auto"/>
                <w:szCs w:val="24"/>
                <w:highlight w:val="none"/>
              </w:rPr>
              <w:t xml:space="preserve"> 电子版投标文件，具体要求为：</w:t>
            </w:r>
            <w:r>
              <w:rPr>
                <w:rFonts w:hint="default" w:ascii="Times New Roman" w:hAnsi="Times New Roman" w:cs="Times New Roman"/>
                <w:b/>
                <w:bCs/>
                <w:color w:val="auto"/>
                <w:szCs w:val="24"/>
                <w:highlight w:val="none"/>
                <w:u w:val="none"/>
              </w:rPr>
              <w:t xml:space="preserve"> 电子投标文件 U 盘2 份(PDF 格式）。本项目采用远程解密、远程直播开标。投标文件需要用实体 CA 数字证书或移动 CA 数字证书生成上传,解密时由投标人自行携带解密工具。解密时限为递交投标文件截止时间起 30 分钟内(因开标系统发生不可抗力产生延误解密时间的，招标人将延长相应的解密时长，其他原因不予延长解密时间)，登录交易系统进入所投开标项目，使用 CA 数字证书解密。未在规定时间内完成解密的投标人，视为放弃本次投标，招标人不再接收。</w:t>
            </w:r>
          </w:p>
        </w:tc>
      </w:tr>
      <w:tr w14:paraId="7D63C383">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231B35BE">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5.1</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335774CB">
            <w:pPr>
              <w:shd w:val="clear"/>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rPr>
              <w:t>开标时间和地点</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6970859E">
            <w:pP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投标文件第一个信封（商务及技术文件）开标时间：同投标截止时间</w:t>
            </w:r>
            <w:r>
              <w:rPr>
                <w:rFonts w:hint="eastAsia" w:ascii="Times New Roman" w:hAnsi="Times New Roman" w:eastAsia="宋体" w:cs="Times New Roman"/>
                <w:color w:val="auto"/>
                <w:sz w:val="24"/>
                <w:szCs w:val="24"/>
                <w:highlight w:val="none"/>
                <w:lang w:val="en-US" w:eastAsia="zh-CN"/>
              </w:rPr>
              <w:t>。</w:t>
            </w:r>
          </w:p>
          <w:p w14:paraId="44C4B5B2">
            <w:pP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投标文件第二个信封（报价文件）开标时间：另行通知</w:t>
            </w:r>
            <w:r>
              <w:rPr>
                <w:rFonts w:hint="eastAsia" w:ascii="Times New Roman" w:hAnsi="Times New Roman" w:eastAsia="宋体" w:cs="Times New Roman"/>
                <w:color w:val="auto"/>
                <w:sz w:val="24"/>
                <w:szCs w:val="24"/>
                <w:highlight w:val="none"/>
                <w:lang w:val="en-US" w:eastAsia="zh-CN"/>
              </w:rPr>
              <w:t>。</w:t>
            </w:r>
          </w:p>
          <w:p w14:paraId="200B145F">
            <w:pP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地点：本项目采用不见面开标，投标人无需至开标现场。</w:t>
            </w:r>
          </w:p>
          <w:p w14:paraId="379052EE">
            <w:pP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开标系统：“辽宁省公共资源交易中心不见面开标大厅（https:/ /www.lnsggzy.com/BidOpening</w:t>
            </w:r>
          </w:p>
          <w:p w14:paraId="3804B12A">
            <w:pP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lang w:val="en-US" w:eastAsia="zh-CN"/>
              </w:rPr>
              <w:t xml:space="preserve">Hall/bidhall/dqliaoning/login）进入所投标项目，使用生成投标文件的同一实体 CA 数字证书或移动 CA 数字证书远程解密投标文件   </w:t>
            </w:r>
            <w:r>
              <w:rPr>
                <w:rFonts w:hint="default" w:ascii="Times New Roman" w:hAnsi="Times New Roman" w:cs="Times New Roman"/>
                <w:color w:val="auto"/>
                <w:kern w:val="2"/>
                <w:sz w:val="24"/>
                <w:szCs w:val="24"/>
                <w:highlight w:val="none"/>
                <w:lang w:val="en-US" w:eastAsia="zh-CN" w:bidi="ar-SA"/>
              </w:rPr>
              <w:t xml:space="preserve">                 </w:t>
            </w:r>
          </w:p>
        </w:tc>
      </w:tr>
      <w:tr w14:paraId="2A16FD83">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4FBBDB66">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5.2.1</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735CF006">
            <w:pPr>
              <w:pageBreakBefore w:val="0"/>
              <w:kinsoku/>
              <w:wordWrap w:val="0"/>
              <w:bidi w:val="0"/>
              <w:spacing w:line="440" w:lineRule="exact"/>
              <w:jc w:val="center"/>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cs="Times New Roman"/>
                <w:color w:val="000000"/>
                <w:sz w:val="24"/>
                <w:szCs w:val="24"/>
                <w:highlight w:val="none"/>
              </w:rPr>
              <w:t>第一个信封（商务及技术文件）开标程序</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726C7546">
            <w:pPr>
              <w:pageBreakBefore w:val="0"/>
              <w:numPr>
                <w:ilvl w:val="0"/>
                <w:numId w:val="0"/>
              </w:numPr>
              <w:kinsoku/>
              <w:wordWrap w:val="0"/>
              <w:bidi w:val="0"/>
              <w:spacing w:line="440" w:lineRule="exact"/>
              <w:rPr>
                <w:rFonts w:hint="default" w:ascii="Times New Roman" w:hAnsi="Times New Roman" w:cs="Times New Roman"/>
                <w:color w:val="000000"/>
                <w:sz w:val="24"/>
                <w:szCs w:val="24"/>
                <w:highlight w:val="none"/>
                <w:lang w:eastAsia="zh-CN"/>
              </w:rPr>
            </w:pPr>
            <w:r>
              <w:rPr>
                <w:rFonts w:hint="default" w:ascii="Times New Roman" w:hAnsi="Times New Roman" w:cs="Times New Roman"/>
                <w:color w:val="000000"/>
                <w:sz w:val="24"/>
                <w:szCs w:val="24"/>
                <w:highlight w:val="none"/>
                <w:lang w:eastAsia="zh-CN"/>
              </w:rPr>
              <w:t>投标文件</w:t>
            </w:r>
            <w:r>
              <w:rPr>
                <w:rFonts w:hint="default" w:ascii="Times New Roman" w:hAnsi="Times New Roman" w:cs="Times New Roman"/>
                <w:color w:val="000000"/>
                <w:sz w:val="24"/>
                <w:szCs w:val="24"/>
                <w:highlight w:val="none"/>
                <w:lang w:val="en-US" w:eastAsia="zh-CN"/>
              </w:rPr>
              <w:t>第一个信封</w:t>
            </w:r>
            <w:r>
              <w:rPr>
                <w:rFonts w:hint="default" w:ascii="Times New Roman" w:hAnsi="Times New Roman" w:cs="Times New Roman"/>
                <w:color w:val="000000"/>
                <w:sz w:val="24"/>
                <w:szCs w:val="24"/>
                <w:highlight w:val="none"/>
              </w:rPr>
              <w:t>（商务及技术文件）</w:t>
            </w:r>
            <w:r>
              <w:rPr>
                <w:rFonts w:hint="default" w:ascii="Times New Roman" w:hAnsi="Times New Roman" w:cs="Times New Roman"/>
                <w:color w:val="000000"/>
                <w:sz w:val="24"/>
                <w:szCs w:val="24"/>
                <w:highlight w:val="none"/>
                <w:lang w:eastAsia="zh-CN"/>
              </w:rPr>
              <w:t>解密</w:t>
            </w:r>
            <w:r>
              <w:rPr>
                <w:rFonts w:hint="eastAsia" w:cs="Times New Roman"/>
                <w:color w:val="000000"/>
                <w:sz w:val="24"/>
                <w:szCs w:val="24"/>
                <w:highlight w:val="none"/>
                <w:lang w:val="en-US" w:eastAsia="zh-CN"/>
              </w:rPr>
              <w:t>时长：</w:t>
            </w:r>
            <w:r>
              <w:rPr>
                <w:rFonts w:hint="default" w:ascii="Times New Roman" w:hAnsi="Times New Roman" w:cs="Times New Roman"/>
                <w:sz w:val="24"/>
                <w:szCs w:val="24"/>
                <w:highlight w:val="none"/>
                <w:u w:val="single"/>
              </w:rPr>
              <w:t xml:space="preserve"> </w:t>
            </w:r>
            <w:r>
              <w:rPr>
                <w:rFonts w:hint="eastAsia" w:cs="Times New Roman"/>
                <w:sz w:val="24"/>
                <w:szCs w:val="24"/>
                <w:highlight w:val="none"/>
                <w:u w:val="single"/>
                <w:lang w:val="en-US" w:eastAsia="zh-CN"/>
              </w:rPr>
              <w:t xml:space="preserve">30分钟   </w:t>
            </w:r>
          </w:p>
          <w:p w14:paraId="251505C9">
            <w:pPr>
              <w:pageBreakBefore w:val="0"/>
              <w:numPr>
                <w:ilvl w:val="0"/>
                <w:numId w:val="0"/>
              </w:numPr>
              <w:kinsoku/>
              <w:wordWrap w:val="0"/>
              <w:bidi w:val="0"/>
              <w:spacing w:line="440" w:lineRule="exact"/>
              <w:ind w:left="0" w:leftChars="0" w:firstLine="480" w:firstLineChars="200"/>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eastAsia="宋体" w:cs="Times New Roman"/>
                <w:color w:val="000000"/>
                <w:kern w:val="2"/>
                <w:sz w:val="24"/>
                <w:szCs w:val="24"/>
                <w:highlight w:val="none"/>
                <w:lang w:val="en-US" w:eastAsia="zh-CN" w:bidi="ar-SA"/>
              </w:rPr>
              <w:t>投标人必须在规定解密时间内完成投标文件的远程解密。如因投标人自身原因而导致投标文件无法上传或规定时间内投标文件无法解密或电子评标无法正常进行的，其投标视为无效，投标人自行承担由此导致的全部责任。如因开标现场发生《第二章 投标人须知正文》5.3.3 项所列情况产生延误解密时间的，招标人将延长相应的解密时长，其他原因不予延长解密时间。</w:t>
            </w:r>
          </w:p>
        </w:tc>
      </w:tr>
      <w:tr w14:paraId="06AFCCB5">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37AC58E3">
            <w:pPr>
              <w:spacing w:line="400" w:lineRule="exact"/>
              <w:jc w:val="center"/>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cs="Times New Roman"/>
                <w:sz w:val="24"/>
                <w:szCs w:val="24"/>
                <w:highlight w:val="none"/>
                <w:lang w:val="en-US" w:eastAsia="zh-CN"/>
              </w:rPr>
              <w:t>5.2.1</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2D6840CA">
            <w:pPr>
              <w:spacing w:line="400" w:lineRule="exact"/>
              <w:jc w:val="center"/>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cs="Times New Roman"/>
                <w:sz w:val="24"/>
                <w:szCs w:val="24"/>
                <w:highlight w:val="none"/>
              </w:rPr>
              <w:t>投标人参与详细评审的具体标段号的随机确定程序</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02821B06">
            <w:pPr>
              <w:pageBreakBefore w:val="0"/>
              <w:kinsoku/>
              <w:wordWrap w:val="0"/>
              <w:bidi w:val="0"/>
              <w:spacing w:line="440" w:lineRule="exact"/>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eastAsia="宋体" w:cs="Times New Roman"/>
                <w:color w:val="000000"/>
                <w:kern w:val="2"/>
                <w:sz w:val="24"/>
                <w:szCs w:val="24"/>
                <w:highlight w:val="none"/>
                <w:lang w:val="en-US" w:eastAsia="zh-CN" w:bidi="ar-SA"/>
              </w:rPr>
              <w:t xml:space="preserve">□适用，随机确定投标标段：        </w:t>
            </w:r>
          </w:p>
          <w:p w14:paraId="14743D85">
            <w:pPr>
              <w:pageBreakBefore w:val="0"/>
              <w:kinsoku/>
              <w:wordWrap w:val="0"/>
              <w:bidi w:val="0"/>
              <w:spacing w:line="440" w:lineRule="exact"/>
              <w:rPr>
                <w:rFonts w:hint="default" w:ascii="Times New Roman" w:hAnsi="Times New Roman" w:eastAsia="宋体" w:cs="Times New Roman"/>
                <w:color w:val="000000"/>
                <w:kern w:val="2"/>
                <w:sz w:val="24"/>
                <w:szCs w:val="24"/>
                <w:highlight w:val="none"/>
                <w:lang w:val="en-US" w:eastAsia="zh-CN" w:bidi="ar-SA"/>
              </w:rPr>
            </w:pPr>
            <w:r>
              <w:rPr>
                <w:rFonts w:hint="eastAsia" w:cs="Times New Roman"/>
                <w:color w:val="000000"/>
                <w:kern w:val="2"/>
                <w:sz w:val="24"/>
                <w:szCs w:val="24"/>
                <w:highlight w:val="none"/>
                <w:lang w:val="en-US" w:eastAsia="zh-CN" w:bidi="ar-SA"/>
              </w:rPr>
              <w:t>☑</w:t>
            </w:r>
            <w:r>
              <w:rPr>
                <w:rFonts w:hint="default" w:ascii="Times New Roman" w:hAnsi="Times New Roman" w:eastAsia="宋体" w:cs="Times New Roman"/>
                <w:color w:val="000000"/>
                <w:kern w:val="2"/>
                <w:sz w:val="24"/>
                <w:szCs w:val="24"/>
                <w:highlight w:val="none"/>
                <w:lang w:val="en-US" w:eastAsia="zh-CN" w:bidi="ar-SA"/>
              </w:rPr>
              <w:t>不适用</w:t>
            </w:r>
          </w:p>
        </w:tc>
      </w:tr>
      <w:tr w14:paraId="46565A11">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36162A72">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5.2.3</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71669529">
            <w:pPr>
              <w:spacing w:line="400" w:lineRule="exact"/>
              <w:jc w:val="center"/>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cs="Times New Roman"/>
                <w:sz w:val="24"/>
                <w:szCs w:val="24"/>
                <w:highlight w:val="none"/>
              </w:rPr>
              <w:t>第二个信封（报价文件）开标程序</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3EF079E1">
            <w:pPr>
              <w:pageBreakBefore w:val="0"/>
              <w:numPr>
                <w:ilvl w:val="0"/>
                <w:numId w:val="0"/>
              </w:numPr>
              <w:kinsoku/>
              <w:wordWrap w:val="0"/>
              <w:bidi w:val="0"/>
              <w:spacing w:line="440" w:lineRule="exact"/>
              <w:rPr>
                <w:rFonts w:hint="default" w:ascii="Times New Roman" w:hAnsi="Times New Roman" w:cs="Times New Roman"/>
                <w:color w:val="000000"/>
                <w:sz w:val="24"/>
                <w:szCs w:val="24"/>
                <w:highlight w:val="none"/>
                <w:lang w:eastAsia="zh-CN"/>
              </w:rPr>
            </w:pPr>
            <w:r>
              <w:rPr>
                <w:rFonts w:hint="default" w:ascii="Times New Roman" w:hAnsi="Times New Roman" w:cs="Times New Roman"/>
                <w:color w:val="000000"/>
                <w:sz w:val="24"/>
                <w:szCs w:val="24"/>
                <w:highlight w:val="none"/>
                <w:lang w:eastAsia="zh-CN"/>
              </w:rPr>
              <w:t>投标文件</w:t>
            </w:r>
            <w:r>
              <w:rPr>
                <w:rFonts w:hint="default" w:ascii="Times New Roman" w:hAnsi="Times New Roman" w:cs="Times New Roman"/>
                <w:color w:val="000000"/>
                <w:sz w:val="24"/>
                <w:szCs w:val="24"/>
                <w:highlight w:val="none"/>
              </w:rPr>
              <w:t>第二个信封（报价文件）</w:t>
            </w:r>
            <w:r>
              <w:rPr>
                <w:rFonts w:hint="default" w:ascii="Times New Roman" w:hAnsi="Times New Roman" w:cs="Times New Roman"/>
                <w:color w:val="000000"/>
                <w:sz w:val="24"/>
                <w:szCs w:val="24"/>
                <w:highlight w:val="none"/>
                <w:lang w:eastAsia="zh-CN"/>
              </w:rPr>
              <w:t>解密</w:t>
            </w:r>
            <w:r>
              <w:rPr>
                <w:rFonts w:hint="eastAsia" w:cs="Times New Roman"/>
                <w:color w:val="000000"/>
                <w:sz w:val="24"/>
                <w:szCs w:val="24"/>
                <w:highlight w:val="none"/>
                <w:lang w:val="en-US" w:eastAsia="zh-CN"/>
              </w:rPr>
              <w:t>时长：</w:t>
            </w:r>
            <w:r>
              <w:rPr>
                <w:rFonts w:hint="default" w:ascii="Times New Roman" w:hAnsi="Times New Roman" w:cs="Times New Roman"/>
                <w:sz w:val="24"/>
                <w:szCs w:val="24"/>
                <w:highlight w:val="none"/>
                <w:u w:val="single"/>
              </w:rPr>
              <w:t xml:space="preserve">  </w:t>
            </w:r>
            <w:r>
              <w:rPr>
                <w:rFonts w:hint="eastAsia" w:cs="Times New Roman"/>
                <w:sz w:val="24"/>
                <w:szCs w:val="24"/>
                <w:highlight w:val="none"/>
                <w:u w:val="single"/>
                <w:lang w:val="en-US" w:eastAsia="zh-CN"/>
              </w:rPr>
              <w:t xml:space="preserve">30分钟  </w:t>
            </w:r>
          </w:p>
          <w:p w14:paraId="58BFE5A1">
            <w:pPr>
              <w:pageBreakBefore w:val="0"/>
              <w:kinsoku/>
              <w:wordWrap w:val="0"/>
              <w:bidi w:val="0"/>
              <w:spacing w:line="440" w:lineRule="exact"/>
              <w:ind w:firstLine="480" w:firstLineChars="200"/>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eastAsia="宋体" w:cs="Times New Roman"/>
                <w:color w:val="000000"/>
                <w:kern w:val="2"/>
                <w:sz w:val="24"/>
                <w:szCs w:val="24"/>
                <w:highlight w:val="none"/>
                <w:lang w:val="en-US" w:eastAsia="zh-CN" w:bidi="ar-SA"/>
              </w:rPr>
              <w:t>投标人必须在规定解密时间内完成投标文件的远程解密。如因投标人自身原因而导致投标文件无法上传或规定时间内投标文件无法解密或电子评标无法正常进行的，其投标视为无效，投标人自行承担由此导致的全部责任。如因开标现场发生《第二章 投标人须知正文》5.3.3 项所列情况产生延误解密时间的，招标人将延长相应的解密时长，其他原因不予延长解密时间。</w:t>
            </w:r>
          </w:p>
          <w:p w14:paraId="28C30307">
            <w:pPr>
              <w:pageBreakBefore w:val="0"/>
              <w:kinsoku/>
              <w:wordWrap w:val="0"/>
              <w:bidi w:val="0"/>
              <w:spacing w:line="440" w:lineRule="exact"/>
              <w:ind w:firstLine="480" w:firstLineChars="200"/>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eastAsia="宋体" w:cs="Times New Roman"/>
                <w:color w:val="000000"/>
                <w:kern w:val="2"/>
                <w:sz w:val="24"/>
                <w:szCs w:val="24"/>
                <w:highlight w:val="none"/>
                <w:lang w:val="en-US" w:eastAsia="zh-CN" w:bidi="ar-SA"/>
              </w:rPr>
              <w:t>投标人应确保“电子交易平台”所留项目联系方式正确且开评标期间全程畅通。如若投标人未解密文件或投标人电话未接通或投标人所留联系方式不正确，导致未在规定时间内解密，投标视为无效。</w:t>
            </w:r>
          </w:p>
        </w:tc>
      </w:tr>
      <w:tr w14:paraId="70D78D7C">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540A053A">
            <w:pPr>
              <w:pageBreakBefore w:val="0"/>
              <w:kinsoku/>
              <w:wordWrap w:val="0"/>
              <w:bidi w:val="0"/>
              <w:spacing w:line="440" w:lineRule="exact"/>
              <w:jc w:val="center"/>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cs="Times New Roman"/>
                <w:color w:val="000000"/>
                <w:sz w:val="24"/>
                <w:szCs w:val="24"/>
                <w:highlight w:val="none"/>
                <w:lang w:val="en-US" w:eastAsia="zh-CN"/>
              </w:rPr>
              <w:t>5.3.1</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30C6BD86">
            <w:pPr>
              <w:pageBreakBefore w:val="0"/>
              <w:kinsoku/>
              <w:wordWrap w:val="0"/>
              <w:bidi w:val="0"/>
              <w:spacing w:line="440" w:lineRule="exact"/>
              <w:jc w:val="center"/>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cs="Times New Roman"/>
                <w:color w:val="000000"/>
                <w:sz w:val="24"/>
                <w:szCs w:val="24"/>
                <w:highlight w:val="none"/>
                <w:lang w:val="en-US" w:eastAsia="zh-CN"/>
              </w:rPr>
              <w:t>开标补救措施</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0A737007">
            <w:pPr>
              <w:pageBreakBefore w:val="0"/>
              <w:kinsoku/>
              <w:wordWrap w:val="0"/>
              <w:bidi w:val="0"/>
              <w:spacing w:line="360" w:lineRule="atLeas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 xml:space="preserve">开标过程中因本章正文第 5.3.2 项、第 5.3.3 </w:t>
            </w:r>
          </w:p>
          <w:p w14:paraId="620CC6ED">
            <w:pPr>
              <w:pageBreakBefore w:val="0"/>
              <w:kinsoku/>
              <w:wordWrap w:val="0"/>
              <w:bidi w:val="0"/>
              <w:spacing w:line="360" w:lineRule="atLeas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项所列原因，导致系统无法正常运行，与客服</w:t>
            </w:r>
          </w:p>
          <w:p w14:paraId="3B3F41F7">
            <w:pPr>
              <w:pageBreakBefore w:val="0"/>
              <w:kinsoku/>
              <w:wordWrap w:val="0"/>
              <w:bidi w:val="0"/>
              <w:spacing w:line="360" w:lineRule="atLeas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及时沟通处理。</w:t>
            </w:r>
          </w:p>
        </w:tc>
      </w:tr>
      <w:tr w14:paraId="14794645">
        <w:tblPrEx>
          <w:tblCellMar>
            <w:top w:w="0" w:type="dxa"/>
            <w:left w:w="108" w:type="dxa"/>
            <w:bottom w:w="0" w:type="dxa"/>
            <w:right w:w="108" w:type="dxa"/>
          </w:tblCellMar>
        </w:tblPrEx>
        <w:trPr>
          <w:trHeight w:val="9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6010A08A">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6.1.1</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17C501C9">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评标委员会的组建</w:t>
            </w:r>
            <w:r>
              <w:rPr>
                <w:rStyle w:val="56"/>
                <w:rFonts w:hint="default" w:ascii="Times New Roman" w:hAnsi="Times New Roman" w:cs="Times New Roman"/>
                <w:sz w:val="24"/>
                <w:szCs w:val="24"/>
                <w:highlight w:val="none"/>
              </w:rPr>
              <w:footnoteReference w:id="7"/>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0DC9492A">
            <w:pPr>
              <w:pageBreakBefore w:val="0"/>
              <w:kinsoku/>
              <w:wordWrap w:val="0"/>
              <w:bidi w:val="0"/>
              <w:spacing w:line="360" w:lineRule="atLeast"/>
              <w:rPr>
                <w:rFonts w:hint="default" w:ascii="Times New Roman" w:hAnsi="Times New Roman" w:eastAsia="宋体" w:cs="Times New Roman"/>
                <w:sz w:val="24"/>
                <w:szCs w:val="24"/>
                <w:highlight w:val="none"/>
                <w:lang w:val="en-US" w:eastAsia="zh-CN"/>
              </w:rPr>
            </w:pPr>
            <w:r>
              <w:rPr>
                <w:rFonts w:hint="default" w:ascii="Times New Roman" w:hAnsi="Times New Roman" w:cs="Times New Roman"/>
                <w:sz w:val="24"/>
                <w:szCs w:val="24"/>
                <w:highlight w:val="none"/>
              </w:rPr>
              <w:t>评标委员会构成：</w:t>
            </w:r>
            <w:r>
              <w:rPr>
                <w:rFonts w:hint="default" w:ascii="Times New Roman" w:hAnsi="Times New Roman" w:cs="Times New Roman"/>
                <w:sz w:val="24"/>
                <w:szCs w:val="24"/>
                <w:highlight w:val="none"/>
                <w:u w:val="single"/>
              </w:rPr>
              <w:t xml:space="preserve">  </w:t>
            </w:r>
            <w:r>
              <w:rPr>
                <w:rFonts w:hint="eastAsia" w:cs="Times New Roman"/>
                <w:sz w:val="24"/>
                <w:szCs w:val="24"/>
                <w:highlight w:val="none"/>
                <w:u w:val="single"/>
                <w:lang w:val="en-US" w:eastAsia="zh-CN"/>
              </w:rPr>
              <w:t>5</w:t>
            </w:r>
            <w:r>
              <w:rPr>
                <w:rFonts w:hint="default" w:ascii="Times New Roman" w:hAnsi="Times New Roman" w:cs="Times New Roman"/>
                <w:sz w:val="24"/>
                <w:szCs w:val="24"/>
                <w:highlight w:val="none"/>
                <w:u w:val="single"/>
              </w:rPr>
              <w:t xml:space="preserve">  </w:t>
            </w:r>
            <w:r>
              <w:rPr>
                <w:rFonts w:hint="default" w:ascii="Times New Roman" w:hAnsi="Times New Roman" w:cs="Times New Roman"/>
                <w:sz w:val="24"/>
                <w:szCs w:val="24"/>
                <w:highlight w:val="none"/>
              </w:rPr>
              <w:t>人，其中招标人代表</w:t>
            </w:r>
            <w:r>
              <w:rPr>
                <w:rFonts w:hint="default" w:ascii="Times New Roman" w:hAnsi="Times New Roman" w:cs="Times New Roman"/>
                <w:sz w:val="24"/>
                <w:szCs w:val="24"/>
                <w:highlight w:val="none"/>
                <w:u w:val="single"/>
              </w:rPr>
              <w:t xml:space="preserve">  </w:t>
            </w:r>
            <w:r>
              <w:rPr>
                <w:rFonts w:hint="eastAsia" w:cs="Times New Roman"/>
                <w:sz w:val="24"/>
                <w:szCs w:val="24"/>
                <w:highlight w:val="none"/>
                <w:u w:val="single"/>
                <w:lang w:val="en-US" w:eastAsia="zh-CN"/>
              </w:rPr>
              <w:t>0</w:t>
            </w:r>
            <w:r>
              <w:rPr>
                <w:rFonts w:hint="default" w:ascii="Times New Roman" w:hAnsi="Times New Roman" w:cs="Times New Roman"/>
                <w:sz w:val="24"/>
                <w:szCs w:val="24"/>
                <w:highlight w:val="none"/>
                <w:u w:val="single"/>
              </w:rPr>
              <w:t xml:space="preserve">  </w:t>
            </w:r>
            <w:r>
              <w:rPr>
                <w:rFonts w:hint="default" w:ascii="Times New Roman" w:hAnsi="Times New Roman" w:cs="Times New Roman"/>
                <w:sz w:val="24"/>
                <w:szCs w:val="24"/>
                <w:highlight w:val="none"/>
              </w:rPr>
              <w:t>人，专家</w:t>
            </w:r>
            <w:r>
              <w:rPr>
                <w:rFonts w:hint="default" w:ascii="Times New Roman" w:hAnsi="Times New Roman" w:cs="Times New Roman"/>
                <w:sz w:val="24"/>
                <w:szCs w:val="24"/>
                <w:highlight w:val="none"/>
                <w:u w:val="single"/>
              </w:rPr>
              <w:t xml:space="preserve">  </w:t>
            </w:r>
            <w:r>
              <w:rPr>
                <w:rFonts w:hint="eastAsia" w:cs="Times New Roman"/>
                <w:sz w:val="24"/>
                <w:szCs w:val="24"/>
                <w:highlight w:val="none"/>
                <w:u w:val="single"/>
                <w:lang w:val="en-US" w:eastAsia="zh-CN"/>
              </w:rPr>
              <w:t>5</w:t>
            </w:r>
            <w:r>
              <w:rPr>
                <w:rFonts w:hint="default" w:ascii="Times New Roman" w:hAnsi="Times New Roman" w:cs="Times New Roman"/>
                <w:sz w:val="24"/>
                <w:szCs w:val="24"/>
                <w:highlight w:val="none"/>
                <w:u w:val="single"/>
              </w:rPr>
              <w:t xml:space="preserve">  </w:t>
            </w:r>
            <w:r>
              <w:rPr>
                <w:rFonts w:hint="default" w:ascii="Times New Roman" w:hAnsi="Times New Roman" w:cs="Times New Roman"/>
                <w:sz w:val="24"/>
                <w:szCs w:val="24"/>
                <w:highlight w:val="none"/>
              </w:rPr>
              <w:t>人；</w:t>
            </w:r>
          </w:p>
          <w:p w14:paraId="59987F0E">
            <w:pPr>
              <w:pageBreakBefore w:val="0"/>
              <w:kinsoku/>
              <w:wordWrap w:val="0"/>
              <w:bidi w:val="0"/>
              <w:spacing w:line="360" w:lineRule="atLeas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评标专家确定方式：</w:t>
            </w:r>
            <w:r>
              <w:rPr>
                <w:rFonts w:hint="default" w:ascii="Times New Roman" w:hAnsi="Times New Roman" w:cs="Times New Roman"/>
                <w:sz w:val="24"/>
                <w:szCs w:val="24"/>
                <w:highlight w:val="none"/>
                <w:u w:val="single"/>
              </w:rPr>
              <w:t xml:space="preserve"> 依法从相应评标专家库中随机抽取</w:t>
            </w:r>
            <w:r>
              <w:rPr>
                <w:rFonts w:hint="default" w:ascii="Times New Roman" w:hAnsi="Times New Roman" w:cs="Times New Roman"/>
                <w:sz w:val="24"/>
                <w:szCs w:val="24"/>
                <w:highlight w:val="none"/>
                <w:u w:val="single"/>
                <w:lang w:val="en-US" w:eastAsia="zh-CN"/>
              </w:rPr>
              <w:t xml:space="preserve">  </w:t>
            </w:r>
          </w:p>
        </w:tc>
      </w:tr>
      <w:tr w14:paraId="5B32AF4E">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235AB49C">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6.3.2</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54CC15C6">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评标委员会推荐中标候选人的人数</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43FB4F40">
            <w:pPr>
              <w:pageBreakBefore w:val="0"/>
              <w:kinsoku/>
              <w:wordWrap w:val="0"/>
              <w:bidi w:val="0"/>
              <w:spacing w:line="360" w:lineRule="atLeast"/>
              <w:rPr>
                <w:rFonts w:hint="default" w:ascii="Times New Roman" w:hAnsi="Times New Roman" w:eastAsia="宋体" w:cs="Times New Roman"/>
                <w:spacing w:val="10"/>
                <w:sz w:val="24"/>
                <w:szCs w:val="24"/>
                <w:highlight w:val="none"/>
                <w:bdr w:val="single" w:color="auto" w:sz="4" w:space="0"/>
                <w:lang w:val="en-US" w:eastAsia="zh-CN"/>
              </w:rPr>
            </w:pPr>
            <w:r>
              <w:rPr>
                <w:rFonts w:hint="eastAsia" w:cs="Times New Roman"/>
                <w:sz w:val="24"/>
                <w:szCs w:val="24"/>
                <w:highlight w:val="none"/>
                <w:lang w:val="en-US" w:eastAsia="zh-CN"/>
              </w:rPr>
              <w:t>3名</w:t>
            </w:r>
          </w:p>
        </w:tc>
      </w:tr>
      <w:tr w14:paraId="0DB29F89">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47B5C0F3">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7.1</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70E8768A">
            <w:pPr>
              <w:pageBreakBefore w:val="0"/>
              <w:kinsoku/>
              <w:wordWrap w:val="0"/>
              <w:overflowPunct/>
              <w:bidi w:val="0"/>
              <w:spacing w:line="360" w:lineRule="atLeast"/>
              <w:jc w:val="center"/>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cs="Times New Roman"/>
                <w:sz w:val="24"/>
                <w:szCs w:val="24"/>
                <w:highlight w:val="none"/>
              </w:rPr>
              <w:t>中标候选人公示媒介及期限</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326B7EB2">
            <w:pPr>
              <w:keepNext w:val="0"/>
              <w:keepLines w:val="0"/>
              <w:pageBreakBefore w:val="0"/>
              <w:widowControl w:val="0"/>
              <w:kinsoku/>
              <w:wordWrap w:val="0"/>
              <w:overflowPunct/>
              <w:topLinePunct w:val="0"/>
              <w:autoSpaceDE/>
              <w:autoSpaceDN/>
              <w:bidi w:val="0"/>
              <w:adjustRightInd/>
              <w:snapToGrid/>
              <w:spacing w:line="360" w:lineRule="atLeast"/>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公示媒介：同发布招标公告媒介</w:t>
            </w:r>
          </w:p>
          <w:p w14:paraId="412C7067">
            <w:pPr>
              <w:keepNext w:val="0"/>
              <w:keepLines w:val="0"/>
              <w:pageBreakBefore w:val="0"/>
              <w:widowControl w:val="0"/>
              <w:kinsoku/>
              <w:wordWrap w:val="0"/>
              <w:overflowPunct/>
              <w:topLinePunct w:val="0"/>
              <w:autoSpaceDE/>
              <w:autoSpaceDN/>
              <w:bidi w:val="0"/>
              <w:adjustRightInd/>
              <w:snapToGrid/>
              <w:spacing w:line="360" w:lineRule="atLeast"/>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公示期限：</w:t>
            </w:r>
            <w:r>
              <w:rPr>
                <w:rFonts w:hint="default" w:ascii="Times New Roman" w:hAnsi="Times New Roman" w:cs="Times New Roman"/>
                <w:sz w:val="24"/>
                <w:szCs w:val="24"/>
                <w:highlight w:val="none"/>
                <w:u w:val="single"/>
              </w:rPr>
              <w:t xml:space="preserve">  </w:t>
            </w:r>
            <w:r>
              <w:rPr>
                <w:rFonts w:hint="eastAsia" w:cs="Times New Roman"/>
                <w:sz w:val="24"/>
                <w:szCs w:val="24"/>
                <w:highlight w:val="none"/>
                <w:u w:val="single"/>
                <w:lang w:val="en-US" w:eastAsia="zh-CN"/>
              </w:rPr>
              <w:t xml:space="preserve"> </w:t>
            </w:r>
            <w:r>
              <w:rPr>
                <w:rFonts w:hint="default" w:ascii="Times New Roman" w:hAnsi="Times New Roman" w:cs="Times New Roman"/>
                <w:sz w:val="24"/>
                <w:szCs w:val="24"/>
                <w:highlight w:val="none"/>
                <w:u w:val="single"/>
              </w:rPr>
              <w:t xml:space="preserve">不少于 3    </w:t>
            </w:r>
            <w:r>
              <w:rPr>
                <w:rFonts w:hint="default" w:ascii="Times New Roman" w:hAnsi="Times New Roman" w:cs="Times New Roman"/>
                <w:sz w:val="24"/>
                <w:szCs w:val="24"/>
                <w:highlight w:val="none"/>
              </w:rPr>
              <w:t>日</w:t>
            </w:r>
          </w:p>
          <w:p w14:paraId="77975FEE">
            <w:pPr>
              <w:keepNext w:val="0"/>
              <w:keepLines w:val="0"/>
              <w:pageBreakBefore w:val="0"/>
              <w:widowControl w:val="0"/>
              <w:kinsoku/>
              <w:wordWrap w:val="0"/>
              <w:overflowPunct/>
              <w:topLinePunct w:val="0"/>
              <w:autoSpaceDE/>
              <w:autoSpaceDN/>
              <w:bidi w:val="0"/>
              <w:adjustRightInd/>
              <w:snapToGrid/>
              <w:spacing w:line="360" w:lineRule="atLeast"/>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公示的其他内容：</w:t>
            </w:r>
          </w:p>
          <w:p w14:paraId="4CC4C9B2">
            <w:pPr>
              <w:keepNext w:val="0"/>
              <w:keepLines w:val="0"/>
              <w:pageBreakBefore w:val="0"/>
              <w:widowControl w:val="0"/>
              <w:kinsoku/>
              <w:wordWrap w:val="0"/>
              <w:overflowPunct/>
              <w:topLinePunct w:val="0"/>
              <w:autoSpaceDE/>
              <w:autoSpaceDN/>
              <w:bidi w:val="0"/>
              <w:adjustRightInd/>
              <w:snapToGrid/>
              <w:spacing w:line="360" w:lineRule="atLeast"/>
              <w:textAlignment w:val="auto"/>
              <w:rPr>
                <w:rFonts w:hint="default" w:ascii="Times New Roman" w:hAnsi="Times New Roman" w:cs="Times New Roman"/>
                <w:sz w:val="24"/>
                <w:szCs w:val="24"/>
                <w:highlight w:val="none"/>
                <w:u w:val="single"/>
              </w:rPr>
            </w:pPr>
            <w:r>
              <w:rPr>
                <w:rFonts w:hint="default" w:ascii="Times New Roman" w:hAnsi="Times New Roman" w:cs="Times New Roman"/>
                <w:color w:val="000000"/>
                <w:sz w:val="24"/>
                <w:szCs w:val="24"/>
                <w:highlight w:val="none"/>
              </w:rPr>
              <w:t>□第一个信封和第二个信封开标记录</w:t>
            </w:r>
          </w:p>
          <w:p w14:paraId="673C5B4A">
            <w:pPr>
              <w:keepNext w:val="0"/>
              <w:keepLines w:val="0"/>
              <w:pageBreakBefore w:val="0"/>
              <w:widowControl w:val="0"/>
              <w:kinsoku/>
              <w:wordWrap w:val="0"/>
              <w:overflowPunct/>
              <w:topLinePunct w:val="0"/>
              <w:autoSpaceDE/>
              <w:autoSpaceDN/>
              <w:bidi w:val="0"/>
              <w:adjustRightInd/>
              <w:snapToGrid/>
              <w:spacing w:line="360" w:lineRule="atLeast"/>
              <w:textAlignment w:val="auto"/>
              <w:rPr>
                <w:rFonts w:hint="default" w:ascii="Times New Roman" w:hAnsi="Times New Roman" w:cs="Times New Roman"/>
                <w:sz w:val="24"/>
                <w:szCs w:val="24"/>
                <w:highlight w:val="none"/>
                <w:u w:val="single"/>
              </w:rPr>
            </w:pPr>
            <w:r>
              <w:rPr>
                <w:rFonts w:hint="default" w:ascii="Times New Roman" w:hAnsi="Times New Roman" w:cs="Times New Roman"/>
                <w:color w:val="000000"/>
                <w:sz w:val="24"/>
                <w:szCs w:val="24"/>
                <w:highlight w:val="none"/>
              </w:rPr>
              <w:t>□详细评审的评标委员会成员打分</w:t>
            </w:r>
          </w:p>
          <w:p w14:paraId="2980AE2C">
            <w:pPr>
              <w:keepNext w:val="0"/>
              <w:keepLines w:val="0"/>
              <w:pageBreakBefore w:val="0"/>
              <w:widowControl w:val="0"/>
              <w:kinsoku/>
              <w:wordWrap w:val="0"/>
              <w:overflowPunct/>
              <w:topLinePunct w:val="0"/>
              <w:autoSpaceDE/>
              <w:autoSpaceDN/>
              <w:bidi w:val="0"/>
              <w:adjustRightInd/>
              <w:snapToGrid/>
              <w:spacing w:line="360" w:lineRule="atLeast"/>
              <w:textAlignment w:val="auto"/>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cs="Times New Roman"/>
                <w:sz w:val="24"/>
                <w:szCs w:val="24"/>
                <w:highlight w:val="none"/>
                <w:u w:val="none"/>
              </w:rPr>
              <w:t>如发现投标人存在弄虚作假行为，招标人将取消其中标候选人资格，并上报省级交通主管部门，作为不良记录纳入公路建设市场信用信息管理系统。</w:t>
            </w:r>
          </w:p>
        </w:tc>
      </w:tr>
      <w:tr w14:paraId="47B784E7">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701690FC">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7.4</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76204D7B">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是否授权评标委员会确定中标人</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4B02B36A">
            <w:pPr>
              <w:pageBreakBefore w:val="0"/>
              <w:kinsoku/>
              <w:wordWrap w:val="0"/>
              <w:bidi w:val="0"/>
              <w:spacing w:line="360" w:lineRule="atLeast"/>
              <w:rPr>
                <w:rFonts w:hint="default" w:ascii="Times New Roman" w:hAnsi="Times New Roman" w:cs="Times New Roman"/>
                <w:sz w:val="24"/>
                <w:szCs w:val="24"/>
                <w:highlight w:val="none"/>
              </w:rPr>
            </w:pPr>
            <w:r>
              <w:rPr>
                <w:rFonts w:hint="eastAsia" w:cs="Times New Roman"/>
                <w:sz w:val="24"/>
                <w:szCs w:val="24"/>
                <w:highlight w:val="none"/>
                <w:lang w:eastAsia="zh-CN"/>
              </w:rPr>
              <w:t>□</w:t>
            </w:r>
            <w:r>
              <w:rPr>
                <w:rFonts w:hint="default" w:ascii="Times New Roman" w:hAnsi="Times New Roman" w:cs="Times New Roman"/>
                <w:sz w:val="24"/>
                <w:szCs w:val="24"/>
                <w:highlight w:val="none"/>
              </w:rPr>
              <w:t>是</w:t>
            </w:r>
          </w:p>
          <w:p w14:paraId="66D65E1B">
            <w:pPr>
              <w:pageBreakBefore w:val="0"/>
              <w:kinsoku/>
              <w:wordWrap w:val="0"/>
              <w:bidi w:val="0"/>
              <w:snapToGrid w:val="0"/>
              <w:spacing w:line="360" w:lineRule="atLeast"/>
              <w:rPr>
                <w:rFonts w:hint="default" w:ascii="Times New Roman" w:hAnsi="Times New Roman" w:cs="Times New Roman"/>
                <w:sz w:val="24"/>
                <w:szCs w:val="24"/>
                <w:highlight w:val="none"/>
              </w:rPr>
            </w:pPr>
            <w:r>
              <w:rPr>
                <w:rFonts w:hint="eastAsia" w:cs="Times New Roman"/>
                <w:sz w:val="24"/>
                <w:szCs w:val="24"/>
                <w:highlight w:val="none"/>
                <w:lang w:eastAsia="zh-CN"/>
              </w:rPr>
              <w:t>☑</w:t>
            </w:r>
            <w:r>
              <w:rPr>
                <w:rFonts w:hint="default" w:ascii="Times New Roman" w:hAnsi="Times New Roman" w:cs="Times New Roman"/>
                <w:sz w:val="24"/>
                <w:szCs w:val="24"/>
                <w:highlight w:val="none"/>
              </w:rPr>
              <w:t>否</w:t>
            </w:r>
          </w:p>
        </w:tc>
      </w:tr>
      <w:tr w14:paraId="5F19C92F">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4370FCCF">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7.5</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0D8797EA">
            <w:pPr>
              <w:pageBreakBefore w:val="0"/>
              <w:kinsoku/>
              <w:wordWrap w:val="0"/>
              <w:overflowPunct/>
              <w:bidi w:val="0"/>
              <w:spacing w:line="360" w:lineRule="atLeast"/>
              <w:jc w:val="center"/>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cs="Times New Roman"/>
                <w:color w:val="000000"/>
                <w:sz w:val="24"/>
                <w:szCs w:val="24"/>
                <w:highlight w:val="none"/>
              </w:rPr>
              <w:t>中标通知书和中标结果通知发出的形式</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5922BFC2">
            <w:pPr>
              <w:pageBreakBefore w:val="0"/>
              <w:kinsoku/>
              <w:wordWrap w:val="0"/>
              <w:bidi w:val="0"/>
              <w:spacing w:line="440" w:lineRule="exact"/>
              <w:rPr>
                <w:rFonts w:hint="default" w:ascii="Times New Roman" w:hAnsi="Times New Roman" w:eastAsia="宋体" w:cs="Times New Roman"/>
                <w:sz w:val="24"/>
                <w:szCs w:val="24"/>
                <w:highlight w:val="none"/>
                <w:lang w:val="en-US" w:eastAsia="zh-CN"/>
              </w:rPr>
            </w:pPr>
            <w:r>
              <w:rPr>
                <w:rFonts w:hint="eastAsia" w:cs="Times New Roman"/>
                <w:sz w:val="24"/>
                <w:szCs w:val="24"/>
                <w:highlight w:val="none"/>
                <w:lang w:eastAsia="zh-CN"/>
              </w:rPr>
              <w:t>☑</w:t>
            </w:r>
            <w:r>
              <w:rPr>
                <w:rFonts w:hint="default" w:ascii="Times New Roman" w:hAnsi="Times New Roman" w:cs="Times New Roman"/>
                <w:sz w:val="24"/>
                <w:szCs w:val="24"/>
                <w:highlight w:val="none"/>
                <w:lang w:val="en-US" w:eastAsia="zh-CN"/>
              </w:rPr>
              <w:t>书面形式</w:t>
            </w:r>
          </w:p>
          <w:p w14:paraId="2A5902F5">
            <w:pPr>
              <w:pageBreakBefore w:val="0"/>
              <w:kinsoku/>
              <w:wordWrap w:val="0"/>
              <w:overflowPunct/>
              <w:bidi w:val="0"/>
              <w:spacing w:line="360" w:lineRule="atLeast"/>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cs="Times New Roman"/>
                <w:sz w:val="24"/>
                <w:szCs w:val="24"/>
                <w:highlight w:val="none"/>
              </w:rPr>
              <w:t>□</w:t>
            </w:r>
            <w:r>
              <w:rPr>
                <w:rFonts w:hint="default" w:ascii="Times New Roman" w:hAnsi="Times New Roman" w:cs="Times New Roman"/>
                <w:sz w:val="24"/>
                <w:szCs w:val="24"/>
                <w:highlight w:val="none"/>
                <w:lang w:val="en-US" w:eastAsia="zh-CN"/>
              </w:rPr>
              <w:t>电子形式：通过</w:t>
            </w:r>
            <w:r>
              <w:rPr>
                <w:rFonts w:hint="eastAsia" w:ascii="宋体" w:hAnsi="宋体" w:eastAsia="宋体" w:cs="宋体"/>
                <w:sz w:val="24"/>
                <w:highlight w:val="none"/>
              </w:rPr>
              <w:t>“</w:t>
            </w:r>
            <w:r>
              <w:rPr>
                <w:rFonts w:hint="default" w:ascii="Times New Roman" w:hAnsi="Times New Roman" w:cs="Times New Roman"/>
                <w:sz w:val="24"/>
                <w:highlight w:val="none"/>
              </w:rPr>
              <w:t>电子交易平台</w:t>
            </w:r>
            <w:r>
              <w:rPr>
                <w:rFonts w:hint="eastAsia" w:ascii="宋体" w:hAnsi="宋体" w:eastAsia="宋体" w:cs="宋体"/>
                <w:sz w:val="24"/>
                <w:highlight w:val="none"/>
              </w:rPr>
              <w:t>”</w:t>
            </w:r>
            <w:r>
              <w:rPr>
                <w:rFonts w:hint="default" w:ascii="Times New Roman" w:hAnsi="Times New Roman" w:cs="Times New Roman"/>
                <w:sz w:val="24"/>
                <w:highlight w:val="none"/>
              </w:rPr>
              <w:t>以数据电文</w:t>
            </w:r>
            <w:r>
              <w:rPr>
                <w:rFonts w:hint="default" w:ascii="Times New Roman" w:hAnsi="Times New Roman" w:cs="Times New Roman"/>
                <w:sz w:val="24"/>
                <w:highlight w:val="none"/>
                <w:lang w:val="en-US" w:eastAsia="zh-CN"/>
              </w:rPr>
              <w:t>形式发出</w:t>
            </w:r>
          </w:p>
        </w:tc>
      </w:tr>
      <w:tr w14:paraId="62FCDD94">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5A9E0AAB">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7.6</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739320CF">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中标结果公告媒介及期限</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040B0AE2">
            <w:pPr>
              <w:keepNext w:val="0"/>
              <w:keepLines w:val="0"/>
              <w:pageBreakBefore w:val="0"/>
              <w:widowControl w:val="0"/>
              <w:kinsoku/>
              <w:wordWrap w:val="0"/>
              <w:overflowPunct/>
              <w:topLinePunct w:val="0"/>
              <w:autoSpaceDE/>
              <w:autoSpaceDN/>
              <w:bidi w:val="0"/>
              <w:adjustRightInd/>
              <w:snapToGrid/>
              <w:spacing w:line="360" w:lineRule="atLeast"/>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公</w:t>
            </w:r>
            <w:r>
              <w:rPr>
                <w:rFonts w:hint="eastAsia" w:cs="Times New Roman"/>
                <w:sz w:val="24"/>
                <w:szCs w:val="24"/>
                <w:highlight w:val="none"/>
                <w:lang w:val="en-US" w:eastAsia="zh-CN"/>
              </w:rPr>
              <w:t>告</w:t>
            </w:r>
            <w:r>
              <w:rPr>
                <w:rFonts w:hint="default" w:ascii="Times New Roman" w:hAnsi="Times New Roman" w:cs="Times New Roman"/>
                <w:sz w:val="24"/>
                <w:szCs w:val="24"/>
                <w:highlight w:val="none"/>
              </w:rPr>
              <w:t>媒介：同发布招标公告媒介</w:t>
            </w:r>
          </w:p>
          <w:p w14:paraId="26689D35">
            <w:pPr>
              <w:keepNext w:val="0"/>
              <w:keepLines w:val="0"/>
              <w:pageBreakBefore w:val="0"/>
              <w:widowControl w:val="0"/>
              <w:kinsoku/>
              <w:wordWrap w:val="0"/>
              <w:overflowPunct/>
              <w:topLinePunct w:val="0"/>
              <w:autoSpaceDE/>
              <w:autoSpaceDN/>
              <w:bidi w:val="0"/>
              <w:adjustRightInd/>
              <w:snapToGrid/>
              <w:spacing w:line="360" w:lineRule="atLeast"/>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公</w:t>
            </w:r>
            <w:r>
              <w:rPr>
                <w:rFonts w:hint="eastAsia" w:cs="Times New Roman"/>
                <w:sz w:val="24"/>
                <w:szCs w:val="24"/>
                <w:highlight w:val="none"/>
                <w:lang w:val="en-US" w:eastAsia="zh-CN"/>
              </w:rPr>
              <w:t>告</w:t>
            </w:r>
            <w:r>
              <w:rPr>
                <w:rFonts w:hint="default" w:ascii="Times New Roman" w:hAnsi="Times New Roman" w:cs="Times New Roman"/>
                <w:sz w:val="24"/>
                <w:szCs w:val="24"/>
                <w:highlight w:val="none"/>
              </w:rPr>
              <w:t>期限：</w:t>
            </w:r>
            <w:r>
              <w:rPr>
                <w:rFonts w:hint="default" w:ascii="Times New Roman" w:hAnsi="Times New Roman" w:cs="Times New Roman"/>
                <w:sz w:val="24"/>
                <w:szCs w:val="24"/>
                <w:highlight w:val="none"/>
                <w:u w:val="single"/>
              </w:rPr>
              <w:t xml:space="preserve">  </w:t>
            </w:r>
            <w:r>
              <w:rPr>
                <w:rFonts w:hint="eastAsia" w:cs="Times New Roman"/>
                <w:sz w:val="24"/>
                <w:szCs w:val="24"/>
                <w:highlight w:val="none"/>
                <w:u w:val="single"/>
                <w:lang w:val="en-US" w:eastAsia="zh-CN"/>
              </w:rPr>
              <w:t>1</w:t>
            </w:r>
            <w:r>
              <w:rPr>
                <w:rFonts w:hint="default" w:ascii="Times New Roman" w:hAnsi="Times New Roman" w:cs="Times New Roman"/>
                <w:sz w:val="24"/>
                <w:szCs w:val="24"/>
                <w:highlight w:val="none"/>
                <w:u w:val="single"/>
              </w:rPr>
              <w:t xml:space="preserve">   </w:t>
            </w:r>
            <w:r>
              <w:rPr>
                <w:rFonts w:hint="default" w:ascii="Times New Roman" w:hAnsi="Times New Roman" w:cs="Times New Roman"/>
                <w:sz w:val="24"/>
                <w:szCs w:val="24"/>
                <w:highlight w:val="none"/>
              </w:rPr>
              <w:t>日</w:t>
            </w:r>
          </w:p>
        </w:tc>
      </w:tr>
      <w:tr w14:paraId="57D6B2F4">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78617B3A">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7.7.1</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380B9EE3">
            <w:pPr>
              <w:spacing w:line="360" w:lineRule="atLeast"/>
              <w:jc w:val="center"/>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cs="Times New Roman"/>
                <w:sz w:val="24"/>
                <w:szCs w:val="24"/>
                <w:highlight w:val="none"/>
              </w:rPr>
              <w:t>履约保证金</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11C5D2DC">
            <w:pPr>
              <w:pStyle w:val="15"/>
              <w:topLinePunct/>
              <w:spacing w:line="360" w:lineRule="atLeas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是否要求中标人提交履约保证金：</w:t>
            </w:r>
          </w:p>
          <w:p w14:paraId="7FDB2ADE">
            <w:pPr>
              <w:pStyle w:val="15"/>
              <w:keepNext w:val="0"/>
              <w:keepLines w:val="0"/>
              <w:pageBreakBefore w:val="0"/>
              <w:widowControl w:val="0"/>
              <w:kinsoku/>
              <w:wordWrap w:val="0"/>
              <w:overflowPunct/>
              <w:topLinePunct/>
              <w:autoSpaceDE/>
              <w:autoSpaceDN/>
              <w:bidi w:val="0"/>
              <w:adjustRightInd/>
              <w:snapToGrid/>
              <w:spacing w:line="360" w:lineRule="atLeast"/>
              <w:textAlignment w:val="auto"/>
              <w:rPr>
                <w:rFonts w:hint="default" w:ascii="Times New Roman" w:hAnsi="Times New Roman" w:cs="Times New Roman"/>
                <w:sz w:val="24"/>
                <w:szCs w:val="24"/>
                <w:highlight w:val="none"/>
                <w:u w:val="single"/>
              </w:rPr>
            </w:pPr>
            <w:r>
              <w:rPr>
                <w:rFonts w:hint="eastAsia" w:ascii="Times New Roman" w:cs="Times New Roman"/>
                <w:sz w:val="24"/>
                <w:szCs w:val="24"/>
                <w:highlight w:val="none"/>
                <w:lang w:eastAsia="zh-CN"/>
              </w:rPr>
              <w:t>☑</w:t>
            </w:r>
            <w:r>
              <w:rPr>
                <w:rFonts w:hint="default" w:ascii="Times New Roman" w:hAnsi="Times New Roman" w:cs="Times New Roman"/>
                <w:sz w:val="24"/>
                <w:szCs w:val="24"/>
                <w:highlight w:val="none"/>
              </w:rPr>
              <w:t>要求，履约保证金的形式：</w:t>
            </w:r>
            <w:r>
              <w:rPr>
                <w:rFonts w:hint="default" w:ascii="Times New Roman" w:hAnsi="Times New Roman" w:cs="Times New Roman"/>
                <w:sz w:val="24"/>
                <w:szCs w:val="24"/>
                <w:highlight w:val="none"/>
                <w:u w:val="single"/>
              </w:rPr>
              <w:t>由中标人自主选择银行保函或者现金、支票等招标人可接受的支付形式。</w:t>
            </w:r>
            <w:r>
              <w:rPr>
                <w:rFonts w:hint="default" w:ascii="Times New Roman" w:hAnsi="Times New Roman" w:cs="Times New Roman"/>
                <w:sz w:val="24"/>
                <w:szCs w:val="24"/>
                <w:highlight w:val="none"/>
                <w:u w:val="single"/>
                <w:lang w:val="en-US" w:eastAsia="zh-CN"/>
              </w:rPr>
              <w:t xml:space="preserve"> </w:t>
            </w:r>
            <w:r>
              <w:rPr>
                <w:rStyle w:val="56"/>
                <w:rFonts w:hint="default" w:ascii="Times New Roman" w:hAnsi="Times New Roman" w:cs="Times New Roman"/>
                <w:sz w:val="24"/>
                <w:szCs w:val="24"/>
                <w:highlight w:val="none"/>
                <w:u w:val="single"/>
              </w:rPr>
              <w:footnoteReference w:id="8"/>
            </w:r>
          </w:p>
          <w:p w14:paraId="6759C3F2">
            <w:pPr>
              <w:keepNext w:val="0"/>
              <w:keepLines w:val="0"/>
              <w:pageBreakBefore w:val="0"/>
              <w:widowControl w:val="0"/>
              <w:kinsoku/>
              <w:wordWrap w:val="0"/>
              <w:overflowPunct/>
              <w:autoSpaceDE/>
              <w:autoSpaceDN/>
              <w:bidi w:val="0"/>
              <w:adjustRightInd/>
              <w:snapToGrid/>
              <w:spacing w:line="360" w:lineRule="atLeast"/>
              <w:ind w:firstLine="480" w:firstLineChars="200"/>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履约保证金的金额：</w:t>
            </w:r>
            <w:r>
              <w:rPr>
                <w:rFonts w:hint="default" w:ascii="Times New Roman" w:hAnsi="Times New Roman" w:cs="Times New Roman"/>
                <w:b/>
                <w:bCs/>
                <w:sz w:val="24"/>
                <w:szCs w:val="24"/>
                <w:highlight w:val="none"/>
                <w:u w:val="single"/>
              </w:rPr>
              <w:t xml:space="preserve"> </w:t>
            </w:r>
            <w:r>
              <w:rPr>
                <w:rFonts w:hint="eastAsia" w:cs="Times New Roman"/>
                <w:b/>
                <w:bCs/>
                <w:sz w:val="24"/>
                <w:szCs w:val="24"/>
                <w:highlight w:val="none"/>
                <w:u w:val="single"/>
                <w:lang w:val="en-US" w:eastAsia="zh-CN"/>
              </w:rPr>
              <w:t>5%</w:t>
            </w:r>
            <w:r>
              <w:rPr>
                <w:rFonts w:hint="default" w:ascii="Times New Roman" w:hAnsi="Times New Roman" w:cs="Times New Roman"/>
                <w:sz w:val="24"/>
                <w:szCs w:val="24"/>
                <w:highlight w:val="none"/>
              </w:rPr>
              <w:t>签约合同价</w:t>
            </w:r>
            <w:r>
              <w:rPr>
                <w:rFonts w:hint="default" w:ascii="Times New Roman" w:hAnsi="Times New Roman" w:cs="Times New Roman"/>
                <w:spacing w:val="-6"/>
                <w:sz w:val="24"/>
                <w:szCs w:val="24"/>
                <w:highlight w:val="none"/>
              </w:rPr>
              <w:t>，被招标项目所在地省级交通运输主管部门评为</w:t>
            </w:r>
            <w:r>
              <w:rPr>
                <w:rFonts w:hint="default" w:ascii="Times New Roman" w:hAnsi="Times New Roman" w:cs="Times New Roman"/>
                <w:spacing w:val="-6"/>
                <w:sz w:val="24"/>
                <w:szCs w:val="24"/>
                <w:highlight w:val="none"/>
                <w:u w:val="single"/>
              </w:rPr>
              <w:t xml:space="preserve">  </w:t>
            </w:r>
            <w:r>
              <w:rPr>
                <w:rFonts w:hint="eastAsia" w:cs="Times New Roman"/>
                <w:spacing w:val="-6"/>
                <w:sz w:val="24"/>
                <w:szCs w:val="24"/>
                <w:highlight w:val="none"/>
                <w:u w:val="single"/>
                <w:lang w:val="en-US" w:eastAsia="zh-CN"/>
              </w:rPr>
              <w:t>/</w:t>
            </w:r>
            <w:r>
              <w:rPr>
                <w:rFonts w:hint="default" w:ascii="Times New Roman" w:hAnsi="Times New Roman" w:cs="Times New Roman"/>
                <w:spacing w:val="-6"/>
                <w:sz w:val="24"/>
                <w:szCs w:val="24"/>
                <w:highlight w:val="none"/>
                <w:u w:val="single"/>
              </w:rPr>
              <w:t xml:space="preserve">  </w:t>
            </w:r>
            <w:r>
              <w:rPr>
                <w:rFonts w:hint="default" w:ascii="Times New Roman" w:hAnsi="Times New Roman" w:cs="Times New Roman"/>
                <w:spacing w:val="-6"/>
                <w:sz w:val="24"/>
                <w:szCs w:val="24"/>
                <w:highlight w:val="none"/>
              </w:rPr>
              <w:t>信用等级的中标人，履约保证金金额为</w:t>
            </w:r>
            <w:r>
              <w:rPr>
                <w:rFonts w:hint="default" w:ascii="Times New Roman" w:hAnsi="Times New Roman" w:cs="Times New Roman"/>
                <w:sz w:val="24"/>
                <w:szCs w:val="24"/>
                <w:highlight w:val="none"/>
                <w:u w:val="single"/>
              </w:rPr>
              <w:t xml:space="preserve">  </w:t>
            </w:r>
            <w:r>
              <w:rPr>
                <w:rFonts w:hint="eastAsia" w:cs="Times New Roman"/>
                <w:sz w:val="24"/>
                <w:szCs w:val="24"/>
                <w:highlight w:val="none"/>
                <w:u w:val="single"/>
                <w:lang w:val="en-US" w:eastAsia="zh-CN"/>
              </w:rPr>
              <w:t>/</w:t>
            </w:r>
            <w:r>
              <w:rPr>
                <w:rFonts w:hint="default" w:ascii="Times New Roman" w:hAnsi="Times New Roman" w:cs="Times New Roman"/>
                <w:sz w:val="24"/>
                <w:szCs w:val="24"/>
                <w:highlight w:val="none"/>
                <w:u w:val="single"/>
              </w:rPr>
              <w:t xml:space="preserve"> </w:t>
            </w:r>
            <w:r>
              <w:rPr>
                <w:rFonts w:hint="default" w:ascii="Times New Roman" w:hAnsi="Times New Roman" w:cs="Times New Roman"/>
                <w:sz w:val="24"/>
                <w:szCs w:val="24"/>
                <w:highlight w:val="none"/>
              </w:rPr>
              <w:t>%签约合同价</w:t>
            </w:r>
            <w:r>
              <w:rPr>
                <w:rStyle w:val="56"/>
                <w:rFonts w:hint="default" w:ascii="Times New Roman" w:hAnsi="Times New Roman" w:cs="Times New Roman"/>
                <w:sz w:val="24"/>
                <w:szCs w:val="24"/>
                <w:highlight w:val="none"/>
              </w:rPr>
              <w:footnoteReference w:id="9"/>
            </w:r>
          </w:p>
          <w:p w14:paraId="054C5EDC">
            <w:pPr>
              <w:keepNext w:val="0"/>
              <w:keepLines w:val="0"/>
              <w:pageBreakBefore w:val="0"/>
              <w:widowControl w:val="0"/>
              <w:kinsoku/>
              <w:wordWrap w:val="0"/>
              <w:overflowPunct/>
              <w:autoSpaceDE/>
              <w:autoSpaceDN/>
              <w:bidi w:val="0"/>
              <w:adjustRightInd/>
              <w:snapToGrid/>
              <w:spacing w:line="360" w:lineRule="atLeast"/>
              <w:ind w:firstLine="448" w:firstLineChars="200"/>
              <w:textAlignment w:val="auto"/>
              <w:rPr>
                <w:rFonts w:hint="default" w:ascii="Times New Roman" w:hAnsi="Times New Roman" w:eastAsia="宋体" w:cs="Times New Roman"/>
                <w:sz w:val="24"/>
                <w:szCs w:val="24"/>
                <w:highlight w:val="none"/>
                <w:lang w:val="en-US" w:eastAsia="zh-CN"/>
              </w:rPr>
            </w:pPr>
            <w:r>
              <w:rPr>
                <w:rFonts w:hint="default" w:ascii="Times New Roman" w:hAnsi="Times New Roman" w:cs="Times New Roman"/>
                <w:spacing w:val="-8"/>
                <w:sz w:val="24"/>
                <w:szCs w:val="24"/>
                <w:highlight w:val="none"/>
              </w:rPr>
              <w:t>采用保函时，出具保函的级别</w:t>
            </w:r>
            <w:r>
              <w:rPr>
                <w:rFonts w:hint="default" w:ascii="Times New Roman" w:hAnsi="Times New Roman" w:cs="Times New Roman"/>
                <w:sz w:val="24"/>
                <w:szCs w:val="24"/>
                <w:highlight w:val="none"/>
              </w:rPr>
              <w:t>：</w:t>
            </w:r>
            <w:r>
              <w:rPr>
                <w:rFonts w:hint="default" w:ascii="Times New Roman" w:hAnsi="Times New Roman" w:cs="Times New Roman"/>
                <w:sz w:val="24"/>
                <w:szCs w:val="24"/>
                <w:highlight w:val="none"/>
                <w:u w:val="single"/>
              </w:rPr>
              <w:t xml:space="preserve">  </w:t>
            </w:r>
            <w:r>
              <w:rPr>
                <w:rFonts w:hint="eastAsia" w:cs="Times New Roman"/>
                <w:sz w:val="24"/>
                <w:szCs w:val="24"/>
                <w:highlight w:val="none"/>
                <w:u w:val="single"/>
                <w:lang w:eastAsia="zh-CN"/>
              </w:rPr>
              <w:t>国有商业银行或股份制商业银行的支行及以上</w:t>
            </w:r>
            <w:r>
              <w:rPr>
                <w:rFonts w:hint="eastAsia" w:cs="Times New Roman"/>
                <w:sz w:val="24"/>
                <w:szCs w:val="24"/>
                <w:highlight w:val="none"/>
                <w:u w:val="single"/>
                <w:lang w:val="en-US" w:eastAsia="zh-CN"/>
              </w:rPr>
              <w:t xml:space="preserve">   </w:t>
            </w:r>
          </w:p>
          <w:p w14:paraId="24B25D15">
            <w:pPr>
              <w:keepNext w:val="0"/>
              <w:keepLines w:val="0"/>
              <w:pageBreakBefore w:val="0"/>
              <w:widowControl w:val="0"/>
              <w:kinsoku/>
              <w:wordWrap w:val="0"/>
              <w:overflowPunct/>
              <w:autoSpaceDE/>
              <w:autoSpaceDN/>
              <w:bidi w:val="0"/>
              <w:adjustRightInd/>
              <w:snapToGrid/>
              <w:spacing w:line="360" w:lineRule="atLeast"/>
              <w:textAlignment w:val="auto"/>
              <w:rPr>
                <w:rFonts w:hint="default" w:ascii="Times New Roman" w:hAnsi="Times New Roman" w:eastAsia="宋体" w:cs="Times New Roman"/>
                <w:kern w:val="2"/>
                <w:sz w:val="24"/>
                <w:szCs w:val="24"/>
                <w:highlight w:val="none"/>
                <w:lang w:val="en-US" w:eastAsia="zh-CN" w:bidi="ar-SA"/>
              </w:rPr>
            </w:pPr>
            <w:r>
              <w:rPr>
                <w:rFonts w:hint="eastAsia" w:cs="Times New Roman"/>
                <w:sz w:val="24"/>
                <w:szCs w:val="24"/>
                <w:highlight w:val="none"/>
                <w:lang w:eastAsia="zh-CN"/>
              </w:rPr>
              <w:t>□</w:t>
            </w:r>
            <w:r>
              <w:rPr>
                <w:rFonts w:hint="default" w:ascii="Times New Roman" w:hAnsi="Times New Roman" w:cs="Times New Roman"/>
                <w:sz w:val="24"/>
                <w:szCs w:val="24"/>
                <w:highlight w:val="none"/>
              </w:rPr>
              <w:t>不要求</w:t>
            </w:r>
          </w:p>
        </w:tc>
      </w:tr>
      <w:tr w14:paraId="5360C883">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257609FA">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8.5.1</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7FD237EA">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监督部门</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5B9E7F3F">
            <w:pPr>
              <w:pageBreakBefore w:val="0"/>
              <w:kinsoku/>
              <w:wordWrap w:val="0"/>
              <w:bidi w:val="0"/>
              <w:spacing w:line="360" w:lineRule="atLeast"/>
              <w:rPr>
                <w:rFonts w:hint="eastAsia" w:ascii="宋体" w:hAnsi="宋体" w:eastAsia="宋体" w:cs="宋体"/>
                <w:spacing w:val="9"/>
                <w:sz w:val="23"/>
                <w:szCs w:val="23"/>
                <w:highlight w:val="none"/>
                <w:u w:val="single"/>
                <w:lang w:eastAsia="zh-CN"/>
              </w:rPr>
            </w:pPr>
            <w:r>
              <w:rPr>
                <w:rFonts w:hint="default" w:ascii="Times New Roman" w:hAnsi="Times New Roman" w:cs="Times New Roman"/>
                <w:sz w:val="24"/>
                <w:szCs w:val="24"/>
                <w:highlight w:val="none"/>
              </w:rPr>
              <w:t>监督部门：</w:t>
            </w:r>
            <w:r>
              <w:rPr>
                <w:rFonts w:hint="eastAsia" w:cs="Times New Roman"/>
                <w:sz w:val="24"/>
                <w:szCs w:val="24"/>
                <w:highlight w:val="none"/>
                <w:u w:val="single"/>
                <w:lang w:val="en-US" w:eastAsia="zh-CN"/>
              </w:rPr>
              <w:t>大石桥市发展和改革局</w:t>
            </w:r>
          </w:p>
          <w:p w14:paraId="61C07A8B">
            <w:pPr>
              <w:pageBreakBefore w:val="0"/>
              <w:kinsoku/>
              <w:wordWrap w:val="0"/>
              <w:bidi w:val="0"/>
              <w:spacing w:line="360" w:lineRule="atLeast"/>
              <w:rPr>
                <w:rFonts w:hint="default" w:ascii="Times New Roman" w:hAnsi="Times New Roman" w:cs="Times New Roman"/>
                <w:sz w:val="24"/>
                <w:szCs w:val="24"/>
                <w:highlight w:val="none"/>
                <w:u w:val="single"/>
              </w:rPr>
            </w:pPr>
            <w:r>
              <w:rPr>
                <w:rFonts w:hint="default" w:ascii="Times New Roman" w:hAnsi="Times New Roman" w:cs="Times New Roman"/>
                <w:sz w:val="24"/>
                <w:szCs w:val="24"/>
                <w:highlight w:val="none"/>
              </w:rPr>
              <w:t>地    址：</w:t>
            </w:r>
            <w:r>
              <w:rPr>
                <w:rFonts w:hint="eastAsia" w:ascii="宋体" w:hAnsi="宋体" w:cs="宋体"/>
                <w:color w:val="auto"/>
                <w:sz w:val="24"/>
                <w:szCs w:val="24"/>
                <w:highlight w:val="none"/>
                <w:u w:val="single"/>
                <w:lang w:eastAsia="zh-CN"/>
              </w:rPr>
              <w:t>大石桥市胜利大街 36 号</w:t>
            </w:r>
            <w:r>
              <w:rPr>
                <w:rFonts w:hint="default" w:ascii="Times New Roman" w:hAnsi="Times New Roman" w:cs="Times New Roman"/>
                <w:sz w:val="24"/>
                <w:szCs w:val="24"/>
                <w:highlight w:val="none"/>
                <w:u w:val="single"/>
              </w:rPr>
              <w:t xml:space="preserve">   </w:t>
            </w:r>
          </w:p>
          <w:p w14:paraId="0C24F59F">
            <w:pPr>
              <w:pageBreakBefore w:val="0"/>
              <w:kinsoku/>
              <w:wordWrap w:val="0"/>
              <w:bidi w:val="0"/>
              <w:spacing w:line="360" w:lineRule="atLeast"/>
              <w:rPr>
                <w:rFonts w:hint="default" w:ascii="宋体" w:hAnsi="宋体" w:eastAsia="宋体" w:cs="宋体"/>
                <w:spacing w:val="9"/>
                <w:sz w:val="23"/>
                <w:szCs w:val="23"/>
                <w:highlight w:val="none"/>
                <w:u w:val="single"/>
                <w:lang w:val="en-US"/>
              </w:rPr>
            </w:pPr>
            <w:r>
              <w:rPr>
                <w:rFonts w:hint="default" w:ascii="Times New Roman" w:hAnsi="Times New Roman" w:cs="Times New Roman"/>
                <w:sz w:val="24"/>
                <w:szCs w:val="24"/>
                <w:highlight w:val="none"/>
              </w:rPr>
              <w:t>电    话：</w:t>
            </w:r>
            <w:r>
              <w:rPr>
                <w:rFonts w:hint="eastAsia" w:ascii="宋体" w:hAnsi="宋体" w:cs="宋体"/>
                <w:color w:val="auto"/>
                <w:sz w:val="24"/>
                <w:szCs w:val="24"/>
                <w:highlight w:val="none"/>
                <w:u w:val="single"/>
                <w:lang w:val="en-US" w:eastAsia="zh-CN"/>
              </w:rPr>
              <w:t>0417-5620156</w:t>
            </w:r>
          </w:p>
          <w:p w14:paraId="6CA2D89E">
            <w:pPr>
              <w:pageBreakBefore w:val="0"/>
              <w:kinsoku/>
              <w:wordWrap w:val="0"/>
              <w:bidi w:val="0"/>
              <w:spacing w:line="360" w:lineRule="atLeas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传    真：</w:t>
            </w:r>
            <w:r>
              <w:rPr>
                <w:rFonts w:hint="default" w:ascii="Times New Roman" w:hAnsi="Times New Roman" w:cs="Times New Roman"/>
                <w:sz w:val="24"/>
                <w:szCs w:val="24"/>
                <w:highlight w:val="none"/>
                <w:u w:val="single"/>
              </w:rPr>
              <w:t xml:space="preserve">            </w:t>
            </w:r>
          </w:p>
          <w:p w14:paraId="2B688594">
            <w:pPr>
              <w:pageBreakBefore w:val="0"/>
              <w:kinsoku/>
              <w:wordWrap w:val="0"/>
              <w:bidi w:val="0"/>
              <w:spacing w:line="360" w:lineRule="atLeast"/>
              <w:rPr>
                <w:rFonts w:hint="default" w:ascii="Times New Roman" w:hAnsi="Times New Roman" w:cs="Times New Roman"/>
                <w:sz w:val="24"/>
                <w:szCs w:val="24"/>
                <w:highlight w:val="none"/>
                <w:u w:val="single"/>
              </w:rPr>
            </w:pPr>
            <w:r>
              <w:rPr>
                <w:rFonts w:hint="default" w:ascii="Times New Roman" w:hAnsi="Times New Roman" w:cs="Times New Roman"/>
                <w:sz w:val="24"/>
                <w:szCs w:val="24"/>
                <w:highlight w:val="none"/>
              </w:rPr>
              <w:t>邮政编码：</w:t>
            </w:r>
            <w:r>
              <w:rPr>
                <w:rFonts w:hint="default" w:ascii="Times New Roman" w:hAnsi="Times New Roman" w:cs="Times New Roman"/>
                <w:sz w:val="24"/>
                <w:szCs w:val="24"/>
                <w:highlight w:val="none"/>
                <w:u w:val="single"/>
              </w:rPr>
              <w:t xml:space="preserve">            </w:t>
            </w:r>
          </w:p>
          <w:p w14:paraId="236F8976">
            <w:pPr>
              <w:widowControl w:val="0"/>
              <w:spacing w:line="360" w:lineRule="exact"/>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补充：</w:t>
            </w:r>
          </w:p>
          <w:p w14:paraId="002C6BFF">
            <w:pPr>
              <w:widowControl w:val="0"/>
              <w:spacing w:line="360" w:lineRule="exact"/>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行政监督部门按照《招标投标法实施条例》《工程建设项目招标投标活动投诉处理办法》（2013年3月国家发展改革委第23号令修改）、《</w:t>
            </w: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lang w:val="en-US" w:eastAsia="zh-CN" w:bidi="ar-SA"/>
              </w:rPr>
              <w:instrText xml:space="preserve"> HYPERLINK "https://www.ndrc.gov.cn/xwdt/tzgg/202102/t20210225_1267906.html"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u w:val="none"/>
                <w:lang w:val="en-US" w:eastAsia="zh-CN" w:bidi="ar-SA"/>
              </w:rPr>
              <w:t>关于建立健全招标投标领域优化营商环境长效机制的通知</w:t>
            </w:r>
            <w:r>
              <w:rPr>
                <w:rFonts w:hint="default" w:ascii="Times New Roman" w:hAnsi="Times New Roman" w:eastAsia="宋体" w:cs="Times New Roman"/>
                <w:color w:val="auto"/>
                <w:kern w:val="2"/>
                <w:sz w:val="24"/>
                <w:szCs w:val="24"/>
                <w:highlight w:val="none"/>
                <w:u w:val="none"/>
                <w:lang w:val="en-US" w:eastAsia="zh-CN" w:bidi="ar-SA"/>
              </w:rPr>
              <w:fldChar w:fldCharType="end"/>
            </w:r>
            <w:r>
              <w:rPr>
                <w:rFonts w:hint="default" w:ascii="Times New Roman" w:hAnsi="Times New Roman" w:eastAsia="宋体" w:cs="Times New Roman"/>
                <w:color w:val="auto"/>
                <w:kern w:val="2"/>
                <w:sz w:val="24"/>
                <w:szCs w:val="24"/>
                <w:highlight w:val="none"/>
                <w:lang w:val="en-US" w:eastAsia="zh-CN" w:bidi="ar-SA"/>
              </w:rPr>
              <w:t>》（</w:t>
            </w:r>
            <w:r>
              <w:rPr>
                <w:rFonts w:hint="default" w:ascii="Times New Roman" w:hAnsi="Times New Roman" w:eastAsia="宋体" w:cs="Times New Roman"/>
                <w:bCs/>
                <w:color w:val="auto"/>
                <w:kern w:val="2"/>
                <w:sz w:val="24"/>
                <w:szCs w:val="24"/>
                <w:highlight w:val="none"/>
                <w:lang w:val="en-US" w:eastAsia="zh-CN" w:bidi="ar-SA"/>
              </w:rPr>
              <w:t>发改法规〔2021〕240号）、交通运输部</w:t>
            </w:r>
            <w:r>
              <w:rPr>
                <w:rFonts w:hint="default" w:ascii="Times New Roman" w:hAnsi="Times New Roman" w:eastAsia="宋体" w:cs="Times New Roman"/>
                <w:color w:val="auto"/>
                <w:kern w:val="2"/>
                <w:sz w:val="24"/>
                <w:szCs w:val="24"/>
                <w:highlight w:val="none"/>
                <w:lang w:val="en-US" w:eastAsia="zh-CN" w:bidi="ar-SA"/>
              </w:rPr>
              <w:t>《公路工程建设项目招标投标管理办法》等相关规定，接受针对公示内容的投诉。投诉材料要求、投诉受理条件及查处按照上述规定执行。</w:t>
            </w:r>
          </w:p>
          <w:p w14:paraId="71E405E9">
            <w:pPr>
              <w:pageBreakBefore w:val="0"/>
              <w:kinsoku/>
              <w:wordWrap w:val="0"/>
              <w:bidi w:val="0"/>
              <w:spacing w:line="360" w:lineRule="atLeas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如果投标人或其他利害关系人就招标文件、开标及评标结果等事项投诉的，应当按法律、法规有关异议的规定先向招标人提出异议，对招标人的答复不满意或招标人未答复的，可向有关行政监督部门投诉，异议的答复期间不计算在规定的10日期限内。</w:t>
            </w:r>
          </w:p>
          <w:p w14:paraId="113F8073">
            <w:pPr>
              <w:pageBreakBefore w:val="0"/>
              <w:kinsoku/>
              <w:wordWrap w:val="0"/>
              <w:bidi w:val="0"/>
              <w:spacing w:line="360" w:lineRule="atLeas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对于按法律法规规定需要先提出异议的投诉，行政监督部门在受理投诉时另要求投诉人递交提出异议的证明文件，已向其他有关行政监督部门投诉的，应当一并说明。未按规定提出异议或者未提交已提出异议的证明文件的投诉，不予受理。</w:t>
            </w:r>
          </w:p>
          <w:p w14:paraId="3DADEFC2">
            <w:pPr>
              <w:pageBreakBefore w:val="0"/>
              <w:kinsoku/>
              <w:wordWrap w:val="0"/>
              <w:bidi w:val="0"/>
              <w:spacing w:line="360" w:lineRule="atLeas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投诉人缺乏事实根据或者法律依据进行投诉的，或者有证据表明投诉人捏造事实、伪造材料的，或者投诉人以非法手段取得证明材料进行投诉的，交通运输主管部门应当予以驳回，并对恶意投诉按照有关规定追究投诉人责任。</w:t>
            </w:r>
          </w:p>
          <w:p w14:paraId="11DC403B">
            <w:pPr>
              <w:pageBreakBefore w:val="0"/>
              <w:kinsoku/>
              <w:wordWrap w:val="0"/>
              <w:bidi w:val="0"/>
              <w:spacing w:line="360" w:lineRule="atLeast"/>
              <w:rPr>
                <w:rFonts w:hint="default" w:ascii="Times New Roman" w:hAnsi="Times New Roman" w:cs="Times New Roman"/>
                <w:sz w:val="24"/>
                <w:szCs w:val="24"/>
                <w:highlight w:val="none"/>
                <w:u w:val="single"/>
              </w:rPr>
            </w:pPr>
            <w:r>
              <w:rPr>
                <w:rFonts w:hint="default" w:ascii="Times New Roman" w:hAnsi="Times New Roman" w:eastAsia="宋体" w:cs="Times New Roman"/>
                <w:color w:val="auto"/>
                <w:sz w:val="24"/>
                <w:szCs w:val="24"/>
                <w:highlight w:val="none"/>
              </w:rPr>
              <w:t>（4）行政监督部门对投诉事项作出的处理决定，在对该项目具有招标监督职责的部门网站上进行公告，包括投诉的事由、调查结果、处理决定、处罚依据以及处罚意见等内容。</w:t>
            </w:r>
          </w:p>
        </w:tc>
      </w:tr>
      <w:tr w14:paraId="28CC53FE">
        <w:tblPrEx>
          <w:tblCellMar>
            <w:top w:w="0" w:type="dxa"/>
            <w:left w:w="108" w:type="dxa"/>
            <w:bottom w:w="0" w:type="dxa"/>
            <w:right w:w="108" w:type="dxa"/>
          </w:tblCellMar>
        </w:tblPrEx>
        <w:trPr>
          <w:trHeight w:val="340" w:hRule="atLeast"/>
        </w:trPr>
        <w:tc>
          <w:tcPr>
            <w:tcW w:w="9857" w:type="dxa"/>
            <w:gridSpan w:val="3"/>
            <w:tcBorders>
              <w:top w:val="single" w:color="auto" w:sz="4" w:space="0"/>
              <w:left w:val="single" w:color="auto" w:sz="4" w:space="0"/>
              <w:bottom w:val="single" w:color="auto" w:sz="4" w:space="0"/>
              <w:right w:val="single" w:color="auto" w:sz="4" w:space="0"/>
            </w:tcBorders>
            <w:noWrap w:val="0"/>
            <w:vAlign w:val="center"/>
          </w:tcPr>
          <w:p w14:paraId="66B80421">
            <w:pPr>
              <w:pageBreakBefore w:val="0"/>
              <w:kinsoku/>
              <w:wordWrap w:val="0"/>
              <w:bidi w:val="0"/>
              <w:spacing w:line="360" w:lineRule="atLeast"/>
              <w:rPr>
                <w:rFonts w:hint="default" w:ascii="Times New Roman" w:hAnsi="Times New Roman" w:cs="Times New Roman"/>
                <w:b/>
                <w:sz w:val="24"/>
                <w:szCs w:val="24"/>
                <w:highlight w:val="none"/>
              </w:rPr>
            </w:pPr>
            <w:r>
              <w:rPr>
                <w:rFonts w:hint="default" w:ascii="Times New Roman" w:hAnsi="Times New Roman" w:cs="Times New Roman"/>
                <w:b/>
                <w:sz w:val="24"/>
                <w:szCs w:val="24"/>
                <w:highlight w:val="none"/>
              </w:rPr>
              <w:t>需要补充的其他内容</w:t>
            </w:r>
          </w:p>
        </w:tc>
      </w:tr>
      <w:tr w14:paraId="3EBE3F62">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36DBB2F2">
            <w:pPr>
              <w:pageBreakBefore w:val="0"/>
              <w:kinsoku/>
              <w:wordWrap w:val="0"/>
              <w:bidi w:val="0"/>
              <w:spacing w:line="440" w:lineRule="exact"/>
              <w:jc w:val="center"/>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cs="Times New Roman"/>
                <w:color w:val="000000"/>
                <w:sz w:val="24"/>
                <w:szCs w:val="24"/>
                <w:highlight w:val="none"/>
                <w:lang w:val="en-US" w:eastAsia="zh-CN"/>
              </w:rPr>
              <w:t>9.1</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4B35E264">
            <w:pPr>
              <w:pageBreakBefore w:val="0"/>
              <w:kinsoku/>
              <w:wordWrap w:val="0"/>
              <w:bidi w:val="0"/>
              <w:spacing w:line="440" w:lineRule="exact"/>
              <w:jc w:val="center"/>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cs="Times New Roman"/>
                <w:color w:val="000000"/>
                <w:sz w:val="24"/>
                <w:szCs w:val="24"/>
                <w:highlight w:val="none"/>
                <w:lang w:val="en-US" w:eastAsia="zh-CN"/>
              </w:rPr>
              <w:t>施工组织设计的编制要求</w:t>
            </w:r>
            <w:r>
              <w:rPr>
                <w:rFonts w:hint="eastAsia" w:ascii="宋体" w:hAnsi="宋体" w:eastAsia="宋体" w:cs="宋体"/>
                <w:b/>
                <w:bCs/>
                <w:color w:val="auto"/>
                <w:sz w:val="24"/>
                <w:szCs w:val="24"/>
                <w:highlight w:val="none"/>
                <w:lang w:val="en-US" w:eastAsia="zh-CN"/>
              </w:rPr>
              <w:t>（本项目不适用）</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66C6D5B9">
            <w:pPr>
              <w:pageBreakBefore w:val="0"/>
              <w:kinsoku/>
              <w:wordWrap w:val="0"/>
              <w:bidi w:val="0"/>
              <w:spacing w:line="440" w:lineRule="exact"/>
              <w:jc w:val="left"/>
              <w:rPr>
                <w:rFonts w:hint="default" w:ascii="Times New Roman" w:hAnsi="Times New Roman" w:cs="Times New Roman"/>
                <w:color w:val="auto"/>
                <w:sz w:val="24"/>
                <w:szCs w:val="24"/>
                <w:highlight w:val="none"/>
              </w:rPr>
            </w:pPr>
            <w:r>
              <w:rPr>
                <w:rFonts w:hint="default" w:ascii="Times New Roman" w:hAnsi="Times New Roman" w:cs="Times New Roman"/>
                <w:color w:val="000000"/>
                <w:sz w:val="24"/>
                <w:szCs w:val="24"/>
                <w:highlight w:val="none"/>
              </w:rPr>
              <w:t>投标文件</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lang w:val="en-US" w:eastAsia="zh-CN"/>
              </w:rPr>
              <w:t>施工组织设计</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编制要求：采用暗标形式，必须按下列格式编制，否则视为未</w:t>
            </w:r>
            <w:r>
              <w:rPr>
                <w:rFonts w:hint="default" w:ascii="Times New Roman" w:hAnsi="Times New Roman" w:cs="Times New Roman"/>
                <w:color w:val="auto"/>
                <w:sz w:val="24"/>
                <w:szCs w:val="24"/>
                <w:highlight w:val="none"/>
              </w:rPr>
              <w:t>对招标文件作出实质性响应，按否决投标处理。</w:t>
            </w:r>
          </w:p>
          <w:p w14:paraId="1468C513">
            <w:pPr>
              <w:pageBreakBefore w:val="0"/>
              <w:kinsoku/>
              <w:wordWrap/>
              <w:bidi w:val="0"/>
              <w:spacing w:line="440" w:lineRule="exact"/>
              <w:jc w:val="lef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（1）采用</w:t>
            </w:r>
            <w:r>
              <w:rPr>
                <w:rFonts w:hint="default" w:ascii="Times New Roman" w:hAnsi="Times New Roman" w:cs="Times New Roman"/>
                <w:color w:val="auto"/>
                <w:sz w:val="24"/>
                <w:szCs w:val="24"/>
                <w:highlight w:val="none"/>
                <w:u w:val="single"/>
                <w:lang w:val="en-US" w:eastAsia="zh-CN"/>
              </w:rPr>
              <w:t xml:space="preserve"> </w:t>
            </w:r>
            <w:r>
              <w:rPr>
                <w:rFonts w:hint="eastAsia" w:cs="Times New Roman"/>
                <w:color w:val="auto"/>
                <w:sz w:val="24"/>
                <w:szCs w:val="24"/>
                <w:highlight w:val="none"/>
                <w:u w:val="single"/>
                <w:lang w:val="en-US" w:eastAsia="zh-CN"/>
              </w:rPr>
              <w:t>A4</w:t>
            </w:r>
            <w:r>
              <w:rPr>
                <w:rFonts w:hint="default" w:ascii="Times New Roman" w:hAnsi="Times New Roman" w:cs="Times New Roman"/>
                <w:color w:val="auto"/>
                <w:sz w:val="24"/>
                <w:szCs w:val="24"/>
                <w:highlight w:val="none"/>
                <w:u w:val="single"/>
                <w:lang w:val="en-US" w:eastAsia="zh-CN"/>
              </w:rPr>
              <w:t xml:space="preserve"> </w:t>
            </w:r>
            <w:r>
              <w:rPr>
                <w:rFonts w:hint="default" w:ascii="Times New Roman" w:hAnsi="Times New Roman" w:cs="Times New Roman"/>
                <w:color w:val="auto"/>
                <w:sz w:val="24"/>
                <w:szCs w:val="24"/>
                <w:highlight w:val="none"/>
              </w:rPr>
              <w:t>纸张。页边距：</w:t>
            </w:r>
            <w:r>
              <w:rPr>
                <w:rFonts w:hint="default" w:ascii="Times New Roman" w:hAnsi="Times New Roman" w:cs="Times New Roman"/>
                <w:color w:val="auto"/>
                <w:sz w:val="24"/>
                <w:szCs w:val="24"/>
                <w:highlight w:val="none"/>
                <w:u w:val="single"/>
                <w:lang w:val="en-US" w:eastAsia="zh-CN"/>
              </w:rPr>
              <w:t xml:space="preserve"> 左边距为3.17厘米、右边及上下边距为2.54厘米</w:t>
            </w:r>
            <w:r>
              <w:rPr>
                <w:rFonts w:hint="default" w:ascii="Times New Roman" w:hAnsi="Times New Roman" w:cs="Times New Roman"/>
                <w:color w:val="auto"/>
                <w:sz w:val="24"/>
                <w:szCs w:val="24"/>
                <w:highlight w:val="none"/>
              </w:rPr>
              <w:t>。</w:t>
            </w:r>
          </w:p>
          <w:p w14:paraId="1536CA54">
            <w:pPr>
              <w:pageBreakBefore w:val="0"/>
              <w:kinsoku/>
              <w:wordWrap w:val="0"/>
              <w:bidi w:val="0"/>
              <w:spacing w:line="440" w:lineRule="exact"/>
              <w:jc w:val="lef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（2）除图纸、图表外所用文字采用</w:t>
            </w:r>
            <w:r>
              <w:rPr>
                <w:rFonts w:hint="default" w:ascii="Times New Roman" w:hAnsi="Times New Roman" w:cs="Times New Roman"/>
                <w:color w:val="auto"/>
                <w:sz w:val="24"/>
                <w:szCs w:val="24"/>
                <w:highlight w:val="none"/>
                <w:u w:val="single"/>
                <w:lang w:val="en-US" w:eastAsia="zh-CN"/>
              </w:rPr>
              <w:t xml:space="preserve"> </w:t>
            </w:r>
            <w:r>
              <w:rPr>
                <w:rFonts w:hint="eastAsia" w:cs="Times New Roman"/>
                <w:color w:val="auto"/>
                <w:sz w:val="24"/>
                <w:szCs w:val="24"/>
                <w:highlight w:val="none"/>
                <w:u w:val="single"/>
                <w:lang w:val="en-US" w:eastAsia="zh-CN"/>
              </w:rPr>
              <w:t>黑色</w:t>
            </w:r>
            <w:r>
              <w:rPr>
                <w:rFonts w:hint="default" w:ascii="Times New Roman" w:hAnsi="Times New Roman" w:cs="Times New Roman"/>
                <w:color w:val="auto"/>
                <w:sz w:val="24"/>
                <w:szCs w:val="24"/>
                <w:highlight w:val="none"/>
                <w:u w:val="single"/>
                <w:lang w:val="en-US" w:eastAsia="zh-CN"/>
              </w:rPr>
              <w:t>宋体</w:t>
            </w:r>
            <w:r>
              <w:rPr>
                <w:rFonts w:hint="eastAsia" w:cs="Times New Roman"/>
                <w:color w:val="auto"/>
                <w:sz w:val="24"/>
                <w:szCs w:val="24"/>
                <w:highlight w:val="none"/>
                <w:u w:val="single"/>
                <w:lang w:val="en-US" w:eastAsia="zh-CN"/>
              </w:rPr>
              <w:t>四</w:t>
            </w:r>
            <w:r>
              <w:rPr>
                <w:rFonts w:hint="default" w:ascii="Times New Roman" w:hAnsi="Times New Roman" w:cs="Times New Roman"/>
                <w:color w:val="auto"/>
                <w:sz w:val="24"/>
                <w:szCs w:val="24"/>
                <w:highlight w:val="none"/>
                <w:u w:val="single"/>
                <w:lang w:val="en-US" w:eastAsia="zh-CN"/>
              </w:rPr>
              <w:t>号</w:t>
            </w:r>
            <w:r>
              <w:rPr>
                <w:rFonts w:hint="eastAsia" w:cs="Times New Roman"/>
                <w:color w:val="auto"/>
                <w:sz w:val="24"/>
                <w:szCs w:val="24"/>
                <w:highlight w:val="none"/>
                <w:u w:val="single"/>
                <w:lang w:val="en-US" w:eastAsia="zh-CN"/>
              </w:rPr>
              <w:t>（含标题及目录）</w:t>
            </w:r>
            <w:r>
              <w:rPr>
                <w:rFonts w:hint="default" w:ascii="Times New Roman" w:hAnsi="Times New Roman" w:cs="Times New Roman"/>
                <w:color w:val="auto"/>
                <w:sz w:val="24"/>
                <w:szCs w:val="24"/>
                <w:highlight w:val="none"/>
                <w:u w:val="single"/>
                <w:lang w:val="en-US" w:eastAsia="zh-CN"/>
              </w:rPr>
              <w:t xml:space="preserve"> </w:t>
            </w:r>
            <w:r>
              <w:rPr>
                <w:rFonts w:hint="default" w:ascii="Times New Roman" w:hAnsi="Times New Roman" w:cs="Times New Roman"/>
                <w:color w:val="auto"/>
                <w:sz w:val="24"/>
                <w:szCs w:val="24"/>
                <w:highlight w:val="none"/>
              </w:rPr>
              <w:t>，图纸、图表中所有文字采用</w:t>
            </w:r>
            <w:r>
              <w:rPr>
                <w:rFonts w:hint="default" w:ascii="Times New Roman" w:hAnsi="Times New Roman" w:cs="Times New Roman"/>
                <w:color w:val="auto"/>
                <w:sz w:val="24"/>
                <w:szCs w:val="24"/>
                <w:highlight w:val="none"/>
                <w:u w:val="single"/>
                <w:lang w:val="en-US" w:eastAsia="zh-CN"/>
              </w:rPr>
              <w:t xml:space="preserve"> </w:t>
            </w:r>
            <w:r>
              <w:rPr>
                <w:rFonts w:hint="eastAsia" w:cs="Times New Roman"/>
                <w:color w:val="auto"/>
                <w:sz w:val="24"/>
                <w:szCs w:val="24"/>
                <w:highlight w:val="none"/>
                <w:u w:val="single"/>
                <w:lang w:val="en-US" w:eastAsia="zh-CN"/>
              </w:rPr>
              <w:t>黑色</w:t>
            </w:r>
            <w:r>
              <w:rPr>
                <w:rFonts w:hint="default" w:ascii="Times New Roman" w:hAnsi="Times New Roman" w:cs="Times New Roman"/>
                <w:color w:val="auto"/>
                <w:sz w:val="24"/>
                <w:szCs w:val="24"/>
                <w:highlight w:val="none"/>
                <w:u w:val="single"/>
                <w:lang w:val="en-US" w:eastAsia="zh-CN"/>
              </w:rPr>
              <w:t>宋体</w:t>
            </w:r>
            <w:r>
              <w:rPr>
                <w:rFonts w:hint="eastAsia" w:cs="Times New Roman"/>
                <w:color w:val="auto"/>
                <w:sz w:val="24"/>
                <w:szCs w:val="24"/>
                <w:highlight w:val="none"/>
                <w:u w:val="single"/>
                <w:lang w:val="en-US" w:eastAsia="zh-CN"/>
              </w:rPr>
              <w:t>五</w:t>
            </w:r>
            <w:r>
              <w:rPr>
                <w:rFonts w:hint="default" w:ascii="Times New Roman" w:hAnsi="Times New Roman" w:cs="Times New Roman"/>
                <w:color w:val="auto"/>
                <w:sz w:val="24"/>
                <w:szCs w:val="24"/>
                <w:highlight w:val="none"/>
                <w:u w:val="single"/>
                <w:lang w:val="en-US" w:eastAsia="zh-CN"/>
              </w:rPr>
              <w:t xml:space="preserve">号 </w:t>
            </w:r>
            <w:r>
              <w:rPr>
                <w:rFonts w:hint="default" w:ascii="Times New Roman" w:hAnsi="Times New Roman" w:cs="Times New Roman"/>
                <w:color w:val="auto"/>
                <w:sz w:val="24"/>
                <w:szCs w:val="24"/>
                <w:highlight w:val="none"/>
              </w:rPr>
              <w:t>；不得有任何加粗、斜体、下划线、边框、底纹、阴影等标记。不得设置页码、页眉、页脚；段落设置：</w:t>
            </w:r>
            <w:r>
              <w:rPr>
                <w:rFonts w:hint="default" w:ascii="Times New Roman" w:hAnsi="Times New Roman" w:cs="Times New Roman"/>
                <w:color w:val="auto"/>
                <w:sz w:val="24"/>
                <w:szCs w:val="24"/>
                <w:highlight w:val="none"/>
                <w:u w:val="single"/>
                <w:lang w:val="en-US" w:eastAsia="zh-CN"/>
              </w:rPr>
              <w:t xml:space="preserve"> </w:t>
            </w:r>
            <w:r>
              <w:rPr>
                <w:rFonts w:hint="eastAsia" w:cs="Times New Roman"/>
                <w:color w:val="auto"/>
                <w:sz w:val="24"/>
                <w:szCs w:val="24"/>
                <w:highlight w:val="none"/>
                <w:u w:val="single"/>
                <w:lang w:val="en-US" w:eastAsia="zh-CN"/>
              </w:rPr>
              <w:t xml:space="preserve">行距为固定值18磅 </w:t>
            </w:r>
            <w:r>
              <w:rPr>
                <w:rFonts w:hint="default" w:ascii="Times New Roman" w:hAnsi="Times New Roman" w:cs="Times New Roman"/>
                <w:color w:val="auto"/>
                <w:sz w:val="24"/>
                <w:szCs w:val="24"/>
                <w:highlight w:val="none"/>
              </w:rPr>
              <w:t>，段落设置中</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如果定义了文档网格，则自动调整右缩进</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不打勾，</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如果定义了文档网格，则对齐到网格</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要打勾。</w:t>
            </w:r>
          </w:p>
          <w:p w14:paraId="44F92191">
            <w:pPr>
              <w:pageBreakBefore w:val="0"/>
              <w:kinsoku/>
              <w:wordWrap w:val="0"/>
              <w:bidi w:val="0"/>
              <w:spacing w:line="440" w:lineRule="exact"/>
              <w:jc w:val="both"/>
              <w:rPr>
                <w:rFonts w:hint="default" w:ascii="Times New Roman" w:hAnsi="Times New Roman" w:cs="Times New Roman"/>
                <w:color w:val="000000"/>
                <w:sz w:val="24"/>
                <w:szCs w:val="24"/>
                <w:highlight w:val="none"/>
                <w:lang w:eastAsia="zh-CN"/>
              </w:rPr>
            </w:pPr>
            <w:r>
              <w:rPr>
                <w:rFonts w:hint="default" w:ascii="Times New Roman" w:hAnsi="Times New Roman" w:cs="Times New Roman"/>
                <w:color w:val="auto"/>
                <w:sz w:val="24"/>
                <w:szCs w:val="24"/>
                <w:highlight w:val="none"/>
              </w:rPr>
              <w:t>（3）内容、文字均不得出现彩色文字与彩色图形，不得出现投标单位名称、相关人员姓名等能体现有关投标单位信息的提示性标记、文字、语句等，不得出现</w:t>
            </w:r>
            <w:r>
              <w:rPr>
                <w:rFonts w:hint="default" w:ascii="Times New Roman" w:hAnsi="Times New Roman" w:cs="Times New Roman"/>
                <w:color w:val="auto"/>
                <w:sz w:val="24"/>
                <w:szCs w:val="24"/>
                <w:highlight w:val="none"/>
                <w:lang w:val="en-US" w:eastAsia="zh-CN"/>
              </w:rPr>
              <w:t>投标人</w:t>
            </w:r>
            <w:r>
              <w:rPr>
                <w:rFonts w:hint="default" w:ascii="Times New Roman" w:hAnsi="Times New Roman" w:cs="Times New Roman"/>
                <w:color w:val="auto"/>
                <w:sz w:val="24"/>
                <w:szCs w:val="24"/>
                <w:highlight w:val="none"/>
              </w:rPr>
              <w:t>或人员电子签章，不得出现其他不符合暗标要求的内容</w:t>
            </w:r>
            <w:r>
              <w:rPr>
                <w:rFonts w:hint="default" w:ascii="Times New Roman" w:hAnsi="Times New Roman" w:cs="Times New Roman"/>
                <w:color w:val="auto"/>
                <w:sz w:val="24"/>
                <w:szCs w:val="24"/>
                <w:highlight w:val="none"/>
                <w:lang w:eastAsia="zh-CN"/>
              </w:rPr>
              <w:t>。</w:t>
            </w:r>
          </w:p>
          <w:p w14:paraId="1BC4135A">
            <w:pPr>
              <w:pageBreakBefore w:val="0"/>
              <w:kinsoku/>
              <w:wordWrap w:val="0"/>
              <w:bidi w:val="0"/>
              <w:spacing w:line="440" w:lineRule="exact"/>
              <w:jc w:val="left"/>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cs="Times New Roman"/>
                <w:color w:val="000000"/>
                <w:sz w:val="24"/>
                <w:szCs w:val="24"/>
                <w:highlight w:val="none"/>
                <w:lang w:eastAsia="zh-CN"/>
              </w:rPr>
              <w:t>（</w:t>
            </w:r>
            <w:r>
              <w:rPr>
                <w:rFonts w:hint="default" w:ascii="Times New Roman" w:hAnsi="Times New Roman" w:cs="Times New Roman"/>
                <w:color w:val="000000"/>
                <w:sz w:val="24"/>
                <w:szCs w:val="24"/>
                <w:highlight w:val="none"/>
                <w:lang w:val="en-US" w:eastAsia="zh-CN"/>
              </w:rPr>
              <w:t>4</w:t>
            </w:r>
            <w:r>
              <w:rPr>
                <w:rFonts w:hint="default" w:ascii="Times New Roman" w:hAnsi="Times New Roman" w:cs="Times New Roman"/>
                <w:color w:val="000000"/>
                <w:sz w:val="24"/>
                <w:szCs w:val="24"/>
                <w:highlight w:val="none"/>
                <w:lang w:eastAsia="zh-CN"/>
              </w:rPr>
              <w:t>）</w:t>
            </w:r>
            <w:r>
              <w:rPr>
                <w:rFonts w:hint="default" w:ascii="Times New Roman" w:hAnsi="Times New Roman" w:cs="Times New Roman"/>
                <w:color w:val="000000"/>
                <w:sz w:val="24"/>
                <w:szCs w:val="24"/>
                <w:highlight w:val="none"/>
                <w:lang w:val="en-US" w:eastAsia="zh-CN"/>
              </w:rPr>
              <w:t>其他要求：</w:t>
            </w:r>
            <w:r>
              <w:rPr>
                <w:rFonts w:hint="default" w:ascii="Times New Roman" w:hAnsi="Times New Roman" w:cs="Times New Roman"/>
                <w:color w:val="000000"/>
                <w:sz w:val="24"/>
                <w:szCs w:val="24"/>
                <w:highlight w:val="none"/>
                <w:u w:val="single"/>
                <w:lang w:val="en-US" w:eastAsia="zh-CN"/>
              </w:rPr>
              <w:t xml:space="preserve">  </w:t>
            </w:r>
            <w:r>
              <w:rPr>
                <w:rFonts w:hint="eastAsia" w:cs="Times New Roman"/>
                <w:color w:val="000000"/>
                <w:sz w:val="24"/>
                <w:szCs w:val="24"/>
                <w:highlight w:val="none"/>
                <w:u w:val="single"/>
                <w:lang w:val="en-US" w:eastAsia="zh-CN"/>
              </w:rPr>
              <w:t>本项目不采用暗标形式</w:t>
            </w:r>
            <w:r>
              <w:rPr>
                <w:rFonts w:hint="default" w:ascii="Times New Roman" w:hAnsi="Times New Roman" w:cs="Times New Roman"/>
                <w:color w:val="000000"/>
                <w:sz w:val="24"/>
                <w:szCs w:val="24"/>
                <w:highlight w:val="none"/>
                <w:u w:val="single"/>
                <w:lang w:val="en-US" w:eastAsia="zh-CN"/>
              </w:rPr>
              <w:t xml:space="preserve">  </w:t>
            </w:r>
            <w:r>
              <w:rPr>
                <w:rFonts w:hint="default" w:ascii="Times New Roman" w:hAnsi="Times New Roman" w:cs="Times New Roman"/>
                <w:color w:val="000000"/>
                <w:sz w:val="24"/>
                <w:szCs w:val="24"/>
                <w:highlight w:val="none"/>
              </w:rPr>
              <w:t>。</w:t>
            </w:r>
          </w:p>
        </w:tc>
      </w:tr>
      <w:tr w14:paraId="233DAC42">
        <w:tblPrEx>
          <w:tblCellMar>
            <w:top w:w="0" w:type="dxa"/>
            <w:left w:w="108" w:type="dxa"/>
            <w:bottom w:w="0" w:type="dxa"/>
            <w:right w:w="108" w:type="dxa"/>
          </w:tblCellMar>
        </w:tblPrEx>
        <w:trPr>
          <w:trHeight w:val="1504" w:hRule="atLeast"/>
        </w:trPr>
        <w:tc>
          <w:tcPr>
            <w:tcW w:w="1036"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763C6760">
            <w:pPr>
              <w:spacing w:line="275" w:lineRule="auto"/>
              <w:rPr>
                <w:rFonts w:hint="eastAsia" w:ascii="宋体" w:hAnsi="宋体" w:eastAsia="宋体" w:cs="宋体"/>
                <w:sz w:val="24"/>
                <w:highlight w:val="none"/>
              </w:rPr>
            </w:pPr>
          </w:p>
          <w:p w14:paraId="53CAD1D8">
            <w:pPr>
              <w:pageBreakBefore w:val="0"/>
              <w:kinsoku/>
              <w:wordWrap w:val="0"/>
              <w:bidi w:val="0"/>
              <w:spacing w:line="360" w:lineRule="exact"/>
              <w:jc w:val="both"/>
              <w:rPr>
                <w:rFonts w:hint="default" w:ascii="宋体" w:hAnsi="宋体" w:eastAsia="宋体" w:cs="宋体"/>
                <w:kern w:val="2"/>
                <w:sz w:val="24"/>
                <w:szCs w:val="24"/>
                <w:highlight w:val="none"/>
                <w:lang w:val="en-US" w:eastAsia="zh-CN" w:bidi="ar-SA"/>
              </w:rPr>
            </w:pPr>
            <w:r>
              <w:rPr>
                <w:rFonts w:hint="eastAsia" w:cs="Times New Roman"/>
                <w:color w:val="000000"/>
                <w:sz w:val="24"/>
                <w:szCs w:val="24"/>
                <w:highlight w:val="none"/>
                <w:lang w:val="en-US" w:eastAsia="zh-CN"/>
              </w:rPr>
              <w:t>10.3</w:t>
            </w:r>
          </w:p>
        </w:tc>
        <w:tc>
          <w:tcPr>
            <w:tcW w:w="8821" w:type="dxa"/>
            <w:gridSpan w:val="2"/>
            <w:tcBorders>
              <w:top w:val="single" w:color="auto" w:sz="4" w:space="0"/>
              <w:left w:val="single" w:color="auto" w:sz="4" w:space="0"/>
              <w:bottom w:val="single" w:color="auto" w:sz="4" w:space="0"/>
              <w:right w:val="single" w:color="auto" w:sz="4" w:space="0"/>
            </w:tcBorders>
            <w:shd w:val="clear" w:color="auto" w:fill="auto"/>
            <w:noWrap w:val="0"/>
            <w:vAlign w:val="top"/>
          </w:tcPr>
          <w:p w14:paraId="0ED0A67D">
            <w:pPr>
              <w:pStyle w:val="102"/>
              <w:spacing w:before="148" w:line="220" w:lineRule="auto"/>
              <w:ind w:left="111"/>
              <w:rPr>
                <w:rFonts w:hint="eastAsia" w:ascii="宋体" w:hAnsi="宋体" w:eastAsia="宋体" w:cs="宋体"/>
                <w:kern w:val="2"/>
                <w:sz w:val="24"/>
                <w:szCs w:val="24"/>
                <w:highlight w:val="none"/>
                <w:lang w:val="en-US" w:eastAsia="zh-CN" w:bidi="ar-SA"/>
              </w:rPr>
            </w:pPr>
            <w:r>
              <w:rPr>
                <w:rFonts w:hint="eastAsia" w:ascii="宋体" w:hAnsi="宋体" w:eastAsia="宋体" w:cs="宋体"/>
                <w:spacing w:val="-8"/>
                <w:sz w:val="24"/>
                <w:szCs w:val="24"/>
                <w:highlight w:val="none"/>
              </w:rPr>
              <w:t>投标人须知正文补充第</w:t>
            </w:r>
            <w:r>
              <w:rPr>
                <w:rFonts w:hint="eastAsia" w:ascii="宋体" w:hAnsi="宋体" w:eastAsia="宋体" w:cs="宋体"/>
                <w:spacing w:val="-36"/>
                <w:sz w:val="24"/>
                <w:szCs w:val="24"/>
                <w:highlight w:val="none"/>
              </w:rPr>
              <w:t xml:space="preserve"> </w:t>
            </w:r>
            <w:r>
              <w:rPr>
                <w:rFonts w:hint="eastAsia" w:cs="宋体"/>
                <w:spacing w:val="-8"/>
                <w:sz w:val="24"/>
                <w:szCs w:val="24"/>
                <w:highlight w:val="none"/>
                <w:lang w:val="en-US" w:eastAsia="zh-CN"/>
              </w:rPr>
              <w:t>10.3</w:t>
            </w:r>
            <w:r>
              <w:rPr>
                <w:rFonts w:hint="eastAsia" w:ascii="宋体" w:hAnsi="宋体" w:eastAsia="宋体" w:cs="宋体"/>
                <w:spacing w:val="18"/>
                <w:sz w:val="24"/>
                <w:szCs w:val="24"/>
                <w:highlight w:val="none"/>
              </w:rPr>
              <w:t xml:space="preserve"> </w:t>
            </w:r>
            <w:r>
              <w:rPr>
                <w:rFonts w:hint="eastAsia" w:ascii="宋体" w:hAnsi="宋体" w:eastAsia="宋体" w:cs="宋体"/>
                <w:spacing w:val="-8"/>
                <w:sz w:val="24"/>
                <w:szCs w:val="24"/>
                <w:highlight w:val="none"/>
              </w:rPr>
              <w:t>款:</w:t>
            </w:r>
            <w:r>
              <w:rPr>
                <w:rFonts w:hint="eastAsia" w:ascii="宋体" w:hAnsi="宋体" w:eastAsia="宋体" w:cs="宋体"/>
                <w:sz w:val="24"/>
                <w:highlight w:val="none"/>
              </w:rPr>
              <w:t>本项目实施过程中推广以工代赈，在确保工程</w:t>
            </w:r>
            <w:r>
              <w:rPr>
                <w:rFonts w:hint="eastAsia" w:ascii="宋体" w:hAnsi="宋体" w:eastAsia="宋体" w:cs="宋体"/>
                <w:spacing w:val="-1"/>
                <w:sz w:val="24"/>
                <w:highlight w:val="none"/>
              </w:rPr>
              <w:t>质量安全和符合进度要求等</w:t>
            </w:r>
            <w:r>
              <w:rPr>
                <w:rFonts w:hint="eastAsia" w:ascii="宋体" w:hAnsi="宋体" w:eastAsia="宋体" w:cs="宋体"/>
                <w:sz w:val="24"/>
                <w:highlight w:val="none"/>
              </w:rPr>
              <w:t>前提下，应充分挖掘主体工程建设及附属临</w:t>
            </w:r>
            <w:r>
              <w:rPr>
                <w:rFonts w:hint="eastAsia" w:ascii="宋体" w:hAnsi="宋体" w:eastAsia="宋体" w:cs="宋体"/>
                <w:spacing w:val="-1"/>
                <w:sz w:val="24"/>
                <w:highlight w:val="none"/>
              </w:rPr>
              <w:t>建、工地服务保障、建后管护</w:t>
            </w:r>
            <w:r>
              <w:rPr>
                <w:rFonts w:hint="eastAsia" w:ascii="宋体" w:hAnsi="宋体" w:eastAsia="宋体" w:cs="宋体"/>
                <w:sz w:val="24"/>
                <w:highlight w:val="none"/>
              </w:rPr>
              <w:t>等方面用工潜力，平衡好建设和管护领域劳</w:t>
            </w:r>
            <w:r>
              <w:rPr>
                <w:rFonts w:hint="eastAsia" w:ascii="宋体" w:hAnsi="宋体" w:eastAsia="宋体" w:cs="宋体"/>
                <w:spacing w:val="-1"/>
                <w:sz w:val="24"/>
                <w:highlight w:val="none"/>
              </w:rPr>
              <w:t>动合同制用工和以工代赈劳务</w:t>
            </w:r>
            <w:r>
              <w:rPr>
                <w:rFonts w:hint="eastAsia" w:ascii="宋体" w:hAnsi="宋体" w:eastAsia="宋体" w:cs="宋体"/>
                <w:spacing w:val="-3"/>
                <w:sz w:val="24"/>
                <w:highlight w:val="none"/>
              </w:rPr>
              <w:t>用工之间关系，尽可能多地通过以工代赈方式吸纳当地群众参与工程建设。</w:t>
            </w:r>
          </w:p>
        </w:tc>
      </w:tr>
      <w:tr w14:paraId="010DEE95">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E20C8E9">
            <w:pPr>
              <w:pageBreakBefore w:val="0"/>
              <w:kinsoku/>
              <w:wordWrap w:val="0"/>
              <w:bidi w:val="0"/>
              <w:spacing w:line="360" w:lineRule="exact"/>
              <w:jc w:val="center"/>
              <w:rPr>
                <w:rFonts w:hint="default" w:ascii="Times New Roman" w:hAnsi="Times New Roman" w:eastAsia="宋体" w:cs="Times New Roman"/>
                <w:color w:val="000000"/>
                <w:kern w:val="2"/>
                <w:sz w:val="24"/>
                <w:szCs w:val="24"/>
                <w:highlight w:val="none"/>
                <w:lang w:val="en-US" w:eastAsia="zh-CN" w:bidi="ar-SA"/>
              </w:rPr>
            </w:pPr>
            <w:r>
              <w:rPr>
                <w:rFonts w:hint="eastAsia" w:cs="Times New Roman"/>
                <w:color w:val="000000"/>
                <w:sz w:val="24"/>
                <w:szCs w:val="24"/>
                <w:highlight w:val="none"/>
                <w:lang w:val="en-US" w:eastAsia="zh-CN"/>
              </w:rPr>
              <w:t>10.2</w:t>
            </w:r>
          </w:p>
        </w:tc>
        <w:tc>
          <w:tcPr>
            <w:tcW w:w="882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5FC5FA94">
            <w:pPr>
              <w:wordWrap w:val="0"/>
              <w:spacing w:line="360" w:lineRule="exact"/>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投标人须知正文补充第</w:t>
            </w:r>
            <w:r>
              <w:rPr>
                <w:rFonts w:hint="eastAsia" w:cs="Times New Roman"/>
                <w:color w:val="auto"/>
                <w:sz w:val="24"/>
                <w:szCs w:val="24"/>
                <w:highlight w:val="none"/>
                <w:lang w:val="en-US" w:eastAsia="zh-CN"/>
              </w:rPr>
              <w:t>10.2</w:t>
            </w:r>
            <w:r>
              <w:rPr>
                <w:rFonts w:hint="default" w:ascii="Times New Roman" w:hAnsi="Times New Roman" w:eastAsia="宋体" w:cs="Times New Roman"/>
                <w:color w:val="auto"/>
                <w:sz w:val="24"/>
                <w:szCs w:val="24"/>
                <w:highlight w:val="none"/>
              </w:rPr>
              <w:t>条：</w:t>
            </w:r>
          </w:p>
          <w:p w14:paraId="6F200845">
            <w:pPr>
              <w:pageBreakBefore w:val="0"/>
              <w:kinsoku/>
              <w:wordWrap w:val="0"/>
              <w:bidi w:val="0"/>
              <w:spacing w:line="360" w:lineRule="exact"/>
              <w:jc w:val="left"/>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eastAsia="宋体" w:cs="Times New Roman"/>
                <w:color w:val="auto"/>
                <w:sz w:val="24"/>
                <w:szCs w:val="24"/>
                <w:highlight w:val="none"/>
              </w:rPr>
              <w:t>招标人向承包人提供工程款支付担保额度</w:t>
            </w:r>
            <w:r>
              <w:rPr>
                <w:rFonts w:hint="default" w:ascii="Times New Roman" w:hAnsi="Times New Roman" w:eastAsia="宋体" w:cs="Times New Roman"/>
                <w:color w:val="auto"/>
                <w:sz w:val="24"/>
                <w:szCs w:val="24"/>
                <w:highlight w:val="none"/>
                <w:vertAlign w:val="superscript"/>
              </w:rPr>
              <w:footnoteReference w:id="10"/>
            </w:r>
            <w:r>
              <w:rPr>
                <w:rFonts w:hint="default" w:ascii="Times New Roman" w:hAnsi="Times New Roman" w:eastAsia="宋体" w:cs="Times New Roman"/>
                <w:color w:val="auto"/>
                <w:sz w:val="24"/>
                <w:szCs w:val="24"/>
                <w:highlight w:val="none"/>
              </w:rPr>
              <w:t>：签约合同价的[</w:t>
            </w:r>
            <w:sdt>
              <w:sdtPr>
                <w:rPr>
                  <w:rFonts w:hint="default" w:ascii="Times New Roman" w:hAnsi="Times New Roman" w:eastAsia="宋体" w:cs="Times New Roman"/>
                  <w:b/>
                  <w:bCs/>
                  <w:color w:val="auto"/>
                  <w:sz w:val="24"/>
                  <w:szCs w:val="24"/>
                  <w:highlight w:val="none"/>
                  <w:shd w:val="clear" w:color="auto" w:fill="FFFFFF"/>
                </w:rPr>
                <w:id w:val="147477937"/>
                <w14:checkbox>
                  <w14:checked w14:val="0"/>
                  <w14:checkedState w14:val="0052" w14:font="Wingdings 2"/>
                  <w14:uncheckedState w14:val="2610" w14:font="MS Gothic"/>
                </w14:checkbox>
              </w:sdtPr>
              <w:sdtEndPr>
                <w:rPr>
                  <w:rFonts w:hint="default" w:ascii="Times New Roman" w:hAnsi="Times New Roman" w:eastAsia="宋体" w:cs="Times New Roman"/>
                  <w:b/>
                  <w:bCs/>
                  <w:color w:val="auto"/>
                  <w:sz w:val="24"/>
                  <w:szCs w:val="24"/>
                  <w:highlight w:val="none"/>
                  <w:shd w:val="clear" w:color="auto" w:fill="FFFFFF"/>
                </w:rPr>
              </w:sdtEndPr>
              <w:sdtContent>
                <w:r>
                  <w:rPr>
                    <w:rFonts w:hint="default" w:ascii="Times New Roman" w:hAnsi="Times New Roman" w:eastAsia="MS Gothic" w:cs="Times New Roman"/>
                    <w:b/>
                    <w:bCs/>
                    <w:color w:val="auto"/>
                    <w:sz w:val="24"/>
                    <w:szCs w:val="24"/>
                    <w:highlight w:val="none"/>
                    <w:shd w:val="clear" w:color="auto" w:fill="FFFFFF"/>
                  </w:rPr>
                  <w:t>☐</w:t>
                </w:r>
              </w:sdtContent>
            </w:sdt>
            <w:r>
              <w:rPr>
                <w:rFonts w:hint="default" w:ascii="Times New Roman" w:hAnsi="Times New Roman" w:eastAsia="宋体" w:cs="Times New Roman"/>
                <w:color w:val="auto"/>
                <w:sz w:val="24"/>
                <w:szCs w:val="24"/>
                <w:highlight w:val="none"/>
              </w:rPr>
              <w:t xml:space="preserve">5% </w:t>
            </w:r>
            <w:sdt>
              <w:sdtPr>
                <w:rPr>
                  <w:rFonts w:hint="default" w:ascii="Times New Roman" w:hAnsi="Times New Roman" w:eastAsia="宋体" w:cs="Times New Roman"/>
                  <w:b/>
                  <w:bCs/>
                  <w:color w:val="auto"/>
                  <w:sz w:val="24"/>
                  <w:szCs w:val="24"/>
                  <w:highlight w:val="none"/>
                  <w:shd w:val="clear" w:color="auto" w:fill="FFFFFF"/>
                </w:rPr>
                <w:id w:val="147456737"/>
                <w14:checkbox>
                  <w14:checked w14:val="0"/>
                  <w14:checkedState w14:val="0052" w14:font="Wingdings 2"/>
                  <w14:uncheckedState w14:val="2610" w14:font="MS Gothic"/>
                </w14:checkbox>
              </w:sdtPr>
              <w:sdtEndPr>
                <w:rPr>
                  <w:rFonts w:hint="default" w:ascii="Times New Roman" w:hAnsi="Times New Roman" w:eastAsia="宋体" w:cs="Times New Roman"/>
                  <w:b/>
                  <w:bCs/>
                  <w:color w:val="auto"/>
                  <w:sz w:val="24"/>
                  <w:szCs w:val="24"/>
                  <w:highlight w:val="none"/>
                  <w:shd w:val="clear" w:color="auto" w:fill="FFFFFF"/>
                </w:rPr>
              </w:sdtEndPr>
              <w:sdtContent>
                <w:r>
                  <w:rPr>
                    <w:rFonts w:hint="default" w:ascii="Times New Roman" w:hAnsi="Times New Roman" w:eastAsia="MS Gothic" w:cs="Times New Roman"/>
                    <w:b/>
                    <w:bCs/>
                    <w:color w:val="auto"/>
                    <w:sz w:val="24"/>
                    <w:szCs w:val="24"/>
                    <w:highlight w:val="none"/>
                    <w:shd w:val="clear" w:color="auto" w:fill="FFFFFF"/>
                  </w:rPr>
                  <w:t>☐</w:t>
                </w:r>
              </w:sdtContent>
            </w:sdt>
            <w:r>
              <w:rPr>
                <w:rFonts w:hint="default" w:ascii="Times New Roman" w:hAnsi="Times New Roman" w:eastAsia="宋体" w:cs="Times New Roman"/>
                <w:color w:val="auto"/>
                <w:sz w:val="24"/>
                <w:szCs w:val="24"/>
                <w:highlight w:val="none"/>
              </w:rPr>
              <w:t xml:space="preserve">8% </w:t>
            </w:r>
            <w:sdt>
              <w:sdtPr>
                <w:rPr>
                  <w:rFonts w:hint="default" w:ascii="Times New Roman" w:hAnsi="Times New Roman" w:eastAsia="宋体" w:cs="Times New Roman"/>
                  <w:color w:val="auto"/>
                  <w:sz w:val="24"/>
                  <w:szCs w:val="24"/>
                  <w:highlight w:val="none"/>
                  <w:shd w:val="clear" w:color="auto" w:fill="FFFFFF"/>
                </w:rPr>
                <w:id w:val="147459087"/>
                <w14:checkbox>
                  <w14:checked w14:val="0"/>
                  <w14:checkedState w14:val="0052" w14:font="Wingdings 2"/>
                  <w14:uncheckedState w14:val="2610" w14:font="MS Gothic"/>
                </w14:checkbox>
              </w:sdtPr>
              <w:sdtEndPr>
                <w:rPr>
                  <w:rFonts w:hint="default" w:ascii="Times New Roman" w:hAnsi="Times New Roman" w:eastAsia="宋体" w:cs="Times New Roman"/>
                  <w:color w:val="auto"/>
                  <w:sz w:val="24"/>
                  <w:szCs w:val="24"/>
                  <w:highlight w:val="none"/>
                  <w:shd w:val="clear" w:color="auto" w:fill="FFFFFF"/>
                </w:rPr>
              </w:sdtEndPr>
              <w:sdtContent>
                <w:r>
                  <w:rPr>
                    <w:rFonts w:hint="default" w:ascii="MS Gothic" w:hAnsi="MS Gothic" w:eastAsia="宋体" w:cs="Times New Roman"/>
                    <w:color w:val="auto"/>
                    <w:kern w:val="2"/>
                    <w:sz w:val="24"/>
                    <w:szCs w:val="24"/>
                    <w:highlight w:val="none"/>
                    <w:shd w:val="clear" w:color="auto" w:fill="FFFFFF"/>
                    <w:lang w:val="en-US" w:eastAsia="zh-CN" w:bidi="ar-SA"/>
                  </w:rPr>
                  <w:t>☐</w:t>
                </w:r>
              </w:sdtContent>
            </w:sdt>
            <w:r>
              <w:rPr>
                <w:rFonts w:hint="default" w:ascii="Times New Roman" w:hAnsi="Times New Roman" w:eastAsia="宋体" w:cs="Times New Roman"/>
                <w:color w:val="auto"/>
                <w:sz w:val="24"/>
                <w:szCs w:val="24"/>
                <w:highlight w:val="none"/>
                <w:shd w:val="clear" w:color="auto" w:fill="FFFFFF"/>
              </w:rPr>
              <w:t>10</w:t>
            </w:r>
            <w:r>
              <w:rPr>
                <w:rFonts w:hint="default" w:ascii="Times New Roman" w:hAnsi="Times New Roman" w:eastAsia="宋体" w:cs="Times New Roman"/>
                <w:color w:val="auto"/>
                <w:sz w:val="24"/>
                <w:szCs w:val="24"/>
                <w:highlight w:val="none"/>
              </w:rPr>
              <w:t xml:space="preserve">% </w:t>
            </w:r>
            <w:sdt>
              <w:sdtPr>
                <w:rPr>
                  <w:rFonts w:hint="default" w:ascii="Times New Roman" w:hAnsi="Times New Roman" w:eastAsia="宋体" w:cs="Times New Roman"/>
                  <w:b/>
                  <w:bCs/>
                  <w:color w:val="auto"/>
                  <w:sz w:val="24"/>
                  <w:szCs w:val="24"/>
                  <w:highlight w:val="none"/>
                  <w:shd w:val="clear" w:color="auto" w:fill="FFFFFF"/>
                </w:rPr>
                <w:id w:val="147477915"/>
                <w14:checkbox>
                  <w14:checked w14:val="0"/>
                  <w14:checkedState w14:val="0052" w14:font="Wingdings 2"/>
                  <w14:uncheckedState w14:val="2610" w14:font="MS Gothic"/>
                </w14:checkbox>
              </w:sdtPr>
              <w:sdtEndPr>
                <w:rPr>
                  <w:rFonts w:hint="default" w:ascii="Times New Roman" w:hAnsi="Times New Roman" w:eastAsia="宋体" w:cs="Times New Roman"/>
                  <w:b/>
                  <w:bCs/>
                  <w:color w:val="auto"/>
                  <w:sz w:val="24"/>
                  <w:szCs w:val="24"/>
                  <w:highlight w:val="none"/>
                  <w:shd w:val="clear" w:color="auto" w:fill="FFFFFF"/>
                </w:rPr>
              </w:sdtEndPr>
              <w:sdtContent>
                <w:r>
                  <w:rPr>
                    <w:rFonts w:hint="default" w:ascii="Times New Roman" w:hAnsi="Times New Roman" w:eastAsia="MS Gothic" w:cs="Times New Roman"/>
                    <w:b/>
                    <w:bCs/>
                    <w:color w:val="auto"/>
                    <w:sz w:val="24"/>
                    <w:szCs w:val="24"/>
                    <w:highlight w:val="none"/>
                    <w:shd w:val="clear" w:color="auto" w:fill="FFFFFF"/>
                  </w:rPr>
                  <w:t>☐</w:t>
                </w:r>
              </w:sdtContent>
            </w:sdt>
            <w:r>
              <w:rPr>
                <w:rFonts w:hint="default" w:ascii="Times New Roman" w:hAnsi="Times New Roman" w:eastAsia="宋体" w:cs="Times New Roman"/>
                <w:color w:val="auto"/>
                <w:sz w:val="24"/>
                <w:szCs w:val="24"/>
                <w:highlight w:val="none"/>
                <w:u w:val="single"/>
                <w:shd w:val="clear" w:color="auto" w:fill="FFFFFF"/>
              </w:rPr>
              <w:t xml:space="preserve">    </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32"/>
                <w:highlight w:val="none"/>
              </w:rPr>
              <w:t>原则上工程款支付担保额度应与履约担保额度相同，见7.7.1项。</w:t>
            </w:r>
            <w:r>
              <w:rPr>
                <w:rFonts w:hint="default" w:ascii="Times New Roman" w:hAnsi="Times New Roman" w:eastAsia="宋体" w:cs="Times New Roman"/>
                <w:color w:val="auto"/>
                <w:sz w:val="24"/>
                <w:szCs w:val="24"/>
                <w:highlight w:val="none"/>
              </w:rPr>
              <w:t>支付方式</w:t>
            </w:r>
            <w:r>
              <w:rPr>
                <w:rFonts w:hint="eastAsia" w:ascii="Times New Roman" w:hAnsi="Times New Roman" w:eastAsia="宋体" w:cs="Times New Roman"/>
                <w:color w:val="auto"/>
                <w:sz w:val="24"/>
                <w:szCs w:val="24"/>
                <w:highlight w:val="none"/>
                <w:lang w:val="en-US" w:eastAsia="zh-CN"/>
              </w:rPr>
              <w:t>以</w:t>
            </w:r>
            <w:r>
              <w:rPr>
                <w:rFonts w:hint="default" w:ascii="Times New Roman" w:hAnsi="Times New Roman" w:eastAsia="宋体" w:cs="Times New Roman"/>
                <w:color w:val="auto"/>
                <w:sz w:val="24"/>
                <w:szCs w:val="24"/>
                <w:highlight w:val="none"/>
              </w:rPr>
              <w:t>项目专用合同条款</w:t>
            </w:r>
            <w:r>
              <w:rPr>
                <w:rFonts w:hint="default" w:ascii="Times New Roman" w:hAnsi="Times New Roman" w:eastAsia="宋体" w:cs="Times New Roman"/>
                <w:bCs/>
                <w:color w:val="auto"/>
                <w:sz w:val="24"/>
                <w:szCs w:val="24"/>
                <w:highlight w:val="none"/>
              </w:rPr>
              <w:t>相关约定</w:t>
            </w:r>
            <w:r>
              <w:rPr>
                <w:rFonts w:hint="eastAsia" w:ascii="Times New Roman" w:hAnsi="Times New Roman" w:eastAsia="宋体" w:cs="Times New Roman"/>
                <w:bCs/>
                <w:color w:val="auto"/>
                <w:sz w:val="24"/>
                <w:szCs w:val="24"/>
                <w:highlight w:val="none"/>
                <w:lang w:val="en-US" w:eastAsia="zh-CN"/>
              </w:rPr>
              <w:t>执行</w:t>
            </w:r>
            <w:r>
              <w:rPr>
                <w:rFonts w:hint="default" w:ascii="Times New Roman" w:hAnsi="Times New Roman" w:eastAsia="宋体" w:cs="Times New Roman"/>
                <w:bCs/>
                <w:color w:val="auto"/>
                <w:sz w:val="24"/>
                <w:szCs w:val="24"/>
                <w:highlight w:val="none"/>
              </w:rPr>
              <w:t>。</w:t>
            </w:r>
          </w:p>
        </w:tc>
      </w:tr>
      <w:tr w14:paraId="0EDC703A">
        <w:tblPrEx>
          <w:tblCellMar>
            <w:top w:w="0" w:type="dxa"/>
            <w:left w:w="108" w:type="dxa"/>
            <w:bottom w:w="0" w:type="dxa"/>
            <w:right w:w="108" w:type="dxa"/>
          </w:tblCellMar>
        </w:tblPrEx>
        <w:trPr>
          <w:trHeight w:val="108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4871DB6B">
            <w:pPr>
              <w:pageBreakBefore w:val="0"/>
              <w:kinsoku/>
              <w:wordWrap w:val="0"/>
              <w:bidi w:val="0"/>
              <w:spacing w:line="44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000000"/>
                <w:sz w:val="24"/>
                <w:szCs w:val="24"/>
                <w:highlight w:val="none"/>
                <w:lang w:val="en-US" w:eastAsia="zh-CN"/>
              </w:rPr>
              <w:t>10.4</w:t>
            </w:r>
          </w:p>
        </w:tc>
        <w:tc>
          <w:tcPr>
            <w:tcW w:w="8821" w:type="dxa"/>
            <w:gridSpan w:val="2"/>
            <w:tcBorders>
              <w:top w:val="single" w:color="auto" w:sz="4" w:space="0"/>
              <w:left w:val="single" w:color="auto" w:sz="4" w:space="0"/>
              <w:bottom w:val="single" w:color="auto" w:sz="4" w:space="0"/>
              <w:right w:val="single" w:color="auto" w:sz="4" w:space="0"/>
            </w:tcBorders>
            <w:noWrap w:val="0"/>
            <w:vAlign w:val="center"/>
          </w:tcPr>
          <w:p w14:paraId="54294256">
            <w:pPr>
              <w:pageBreakBefore w:val="0"/>
              <w:kinsoku/>
              <w:wordWrap w:val="0"/>
              <w:bidi w:val="0"/>
              <w:spacing w:line="440" w:lineRule="exact"/>
              <w:jc w:val="left"/>
              <w:rPr>
                <w:rFonts w:hint="eastAsia" w:cs="Times New Roman"/>
                <w:color w:val="000000"/>
                <w:sz w:val="24"/>
                <w:szCs w:val="24"/>
                <w:highlight w:val="none"/>
                <w:lang w:val="en-US" w:eastAsia="zh-CN"/>
              </w:rPr>
            </w:pPr>
            <w:r>
              <w:rPr>
                <w:rFonts w:hint="eastAsia" w:cs="Times New Roman"/>
                <w:color w:val="000000"/>
                <w:sz w:val="24"/>
                <w:szCs w:val="24"/>
                <w:highlight w:val="none"/>
                <w:lang w:val="en-US" w:eastAsia="zh-CN"/>
              </w:rPr>
              <w:t>澄清和修改内容将以编号的补遗书形式发布给投标人。补遗书作为招标文件的组成部分，对所有投标人均具有约束力。当招标文件、补遗书在同一内容的表述上不一致时，以最后发出的书面文件为准。</w:t>
            </w:r>
          </w:p>
        </w:tc>
      </w:tr>
      <w:tr w14:paraId="4DAA0405">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797B5941">
            <w:pPr>
              <w:pageBreakBefore w:val="0"/>
              <w:kinsoku/>
              <w:wordWrap w:val="0"/>
              <w:bidi w:val="0"/>
              <w:spacing w:line="440" w:lineRule="exact"/>
              <w:jc w:val="center"/>
              <w:rPr>
                <w:rFonts w:hint="default" w:ascii="Times New Roman" w:hAnsi="Times New Roman" w:eastAsia="宋体" w:cs="Times New Roman"/>
                <w:color w:val="000000"/>
                <w:kern w:val="2"/>
                <w:sz w:val="24"/>
                <w:szCs w:val="24"/>
                <w:highlight w:val="none"/>
                <w:lang w:val="en-US" w:eastAsia="zh-CN" w:bidi="ar-SA"/>
              </w:rPr>
            </w:pPr>
            <w:r>
              <w:rPr>
                <w:rFonts w:hint="eastAsia" w:cs="Times New Roman"/>
                <w:color w:val="000000"/>
                <w:kern w:val="2"/>
                <w:sz w:val="24"/>
                <w:szCs w:val="24"/>
                <w:highlight w:val="none"/>
                <w:lang w:val="en-US" w:eastAsia="zh-CN" w:bidi="ar-SA"/>
              </w:rPr>
              <w:t>补充</w:t>
            </w:r>
          </w:p>
        </w:tc>
        <w:tc>
          <w:tcPr>
            <w:tcW w:w="8821" w:type="dxa"/>
            <w:gridSpan w:val="2"/>
            <w:tcBorders>
              <w:top w:val="single" w:color="auto" w:sz="4" w:space="0"/>
              <w:left w:val="single" w:color="auto" w:sz="4" w:space="0"/>
              <w:bottom w:val="single" w:color="auto" w:sz="4" w:space="0"/>
              <w:right w:val="single" w:color="auto" w:sz="4" w:space="0"/>
            </w:tcBorders>
            <w:noWrap w:val="0"/>
            <w:vAlign w:val="center"/>
          </w:tcPr>
          <w:p w14:paraId="42E4840F">
            <w:pPr>
              <w:spacing w:before="69" w:line="328" w:lineRule="auto"/>
              <w:ind w:right="96"/>
              <w:jc w:val="left"/>
              <w:rPr>
                <w:rFonts w:ascii="宋体" w:hAnsi="宋体" w:eastAsia="宋体" w:cs="宋体"/>
                <w:sz w:val="22"/>
                <w:szCs w:val="22"/>
                <w:highlight w:val="none"/>
              </w:rPr>
            </w:pPr>
            <w:r>
              <w:rPr>
                <w:rFonts w:ascii="宋体" w:hAnsi="宋体" w:eastAsia="宋体" w:cs="宋体"/>
                <w:spacing w:val="14"/>
                <w:sz w:val="22"/>
                <w:szCs w:val="22"/>
                <w:highlight w:val="none"/>
              </w:rPr>
              <w:t>投标</w:t>
            </w:r>
            <w:r>
              <w:rPr>
                <w:rFonts w:ascii="宋体" w:hAnsi="宋体" w:eastAsia="宋体" w:cs="宋体"/>
                <w:spacing w:val="7"/>
                <w:sz w:val="22"/>
                <w:szCs w:val="22"/>
                <w:highlight w:val="none"/>
              </w:rPr>
              <w:t>人应根据《公路水运工程安全生产监督管理办法》 以及《关于印发</w:t>
            </w:r>
            <w:r>
              <w:rPr>
                <w:rFonts w:ascii="Times New Roman" w:hAnsi="Times New Roman" w:eastAsia="Times New Roman" w:cs="Times New Roman"/>
                <w:spacing w:val="7"/>
                <w:sz w:val="22"/>
                <w:szCs w:val="22"/>
                <w:highlight w:val="none"/>
              </w:rPr>
              <w:t>&lt;</w:t>
            </w:r>
            <w:r>
              <w:rPr>
                <w:rFonts w:ascii="Times New Roman" w:hAnsi="Times New Roman" w:eastAsia="Times New Roman" w:cs="Times New Roman"/>
                <w:sz w:val="22"/>
                <w:szCs w:val="22"/>
                <w:highlight w:val="none"/>
              </w:rPr>
              <w:t xml:space="preserve"> </w:t>
            </w:r>
            <w:r>
              <w:rPr>
                <w:rFonts w:ascii="宋体" w:hAnsi="宋体" w:eastAsia="宋体" w:cs="宋体"/>
                <w:spacing w:val="7"/>
                <w:sz w:val="22"/>
                <w:szCs w:val="22"/>
                <w:highlight w:val="none"/>
              </w:rPr>
              <w:t>企</w:t>
            </w:r>
            <w:r>
              <w:rPr>
                <w:rFonts w:ascii="宋体" w:hAnsi="宋体" w:eastAsia="宋体" w:cs="宋体"/>
                <w:spacing w:val="5"/>
                <w:sz w:val="22"/>
                <w:szCs w:val="22"/>
                <w:highlight w:val="none"/>
              </w:rPr>
              <w:t>业安全生产</w:t>
            </w:r>
            <w:r>
              <w:rPr>
                <w:rFonts w:hint="eastAsia" w:ascii="宋体" w:hAnsi="宋体" w:eastAsia="宋体" w:cs="宋体"/>
                <w:spacing w:val="5"/>
                <w:sz w:val="22"/>
                <w:szCs w:val="22"/>
                <w:highlight w:val="none"/>
              </w:rPr>
              <w:t>费用提取和使用管理办法&gt;的通知》  (财企〔2012〕16 号) 的规</w:t>
            </w:r>
            <w:r>
              <w:rPr>
                <w:rFonts w:hint="eastAsia" w:ascii="宋体" w:hAnsi="宋体" w:eastAsia="宋体" w:cs="宋体"/>
                <w:sz w:val="22"/>
                <w:szCs w:val="22"/>
                <w:highlight w:val="none"/>
              </w:rPr>
              <w:t xml:space="preserve"> </w:t>
            </w:r>
            <w:r>
              <w:rPr>
                <w:rFonts w:hint="eastAsia" w:ascii="宋体" w:hAnsi="宋体" w:eastAsia="宋体" w:cs="宋体"/>
                <w:spacing w:val="15"/>
                <w:sz w:val="22"/>
                <w:szCs w:val="22"/>
                <w:highlight w:val="none"/>
              </w:rPr>
              <w:t>定</w:t>
            </w:r>
            <w:r>
              <w:rPr>
                <w:rFonts w:hint="eastAsia" w:ascii="宋体" w:hAnsi="宋体" w:eastAsia="宋体" w:cs="宋体"/>
                <w:spacing w:val="8"/>
                <w:sz w:val="22"/>
                <w:szCs w:val="22"/>
                <w:highlight w:val="none"/>
              </w:rPr>
              <w:t>，在投标总价中计入安全生产费用，</w:t>
            </w:r>
            <w:r>
              <w:rPr>
                <w:rFonts w:hint="eastAsia" w:ascii="宋体" w:hAnsi="宋体" w:eastAsia="宋体" w:cs="宋体"/>
                <w:b/>
                <w:bCs/>
                <w:spacing w:val="8"/>
                <w:sz w:val="22"/>
                <w:szCs w:val="22"/>
                <w:highlight w:val="none"/>
              </w:rPr>
              <w:t>安全生产费用以固定金额形式计入工程</w:t>
            </w:r>
            <w:r>
              <w:rPr>
                <w:rFonts w:hint="eastAsia" w:ascii="宋体" w:hAnsi="宋体" w:eastAsia="宋体" w:cs="宋体"/>
                <w:b/>
                <w:bCs/>
                <w:sz w:val="22"/>
                <w:szCs w:val="22"/>
                <w:highlight w:val="none"/>
              </w:rPr>
              <w:t xml:space="preserve"> </w:t>
            </w:r>
            <w:r>
              <w:rPr>
                <w:rFonts w:hint="eastAsia" w:ascii="宋体" w:hAnsi="宋体" w:eastAsia="宋体" w:cs="宋体"/>
                <w:b/>
                <w:bCs/>
                <w:spacing w:val="7"/>
                <w:sz w:val="22"/>
                <w:szCs w:val="22"/>
                <w:highlight w:val="none"/>
              </w:rPr>
              <w:t>量清单第 100 章中 (安全生产费用为招标人公布的最高投标限价的 1.5％</w:t>
            </w:r>
            <w:r>
              <w:rPr>
                <w:rFonts w:hint="eastAsia" w:ascii="宋体" w:hAnsi="宋体" w:eastAsia="宋体" w:cs="宋体"/>
                <w:b/>
                <w:bCs/>
                <w:spacing w:val="7"/>
                <w:sz w:val="22"/>
                <w:szCs w:val="22"/>
                <w:highlight w:val="none"/>
                <w:lang w:eastAsia="zh-CN"/>
              </w:rPr>
              <w:t>，</w:t>
            </w:r>
            <w:r>
              <w:rPr>
                <w:rFonts w:hint="eastAsia" w:ascii="宋体" w:hAnsi="宋体" w:eastAsia="宋体" w:cs="宋体"/>
                <w:b/>
                <w:bCs/>
                <w:spacing w:val="7"/>
                <w:sz w:val="22"/>
                <w:szCs w:val="22"/>
                <w:highlight w:val="none"/>
              </w:rPr>
              <w:t>安全生产费用</w:t>
            </w:r>
            <w:r>
              <w:rPr>
                <w:rFonts w:hint="eastAsia" w:ascii="宋体" w:hAnsi="宋体" w:eastAsia="宋体" w:cs="宋体"/>
                <w:b/>
                <w:bCs/>
                <w:spacing w:val="7"/>
                <w:sz w:val="22"/>
                <w:szCs w:val="22"/>
                <w:highlight w:val="none"/>
                <w:lang w:eastAsia="zh-CN"/>
              </w:rPr>
              <w:t>：</w:t>
            </w:r>
            <w:r>
              <w:rPr>
                <w:rFonts w:hint="eastAsia" w:ascii="宋体" w:hAnsi="宋体" w:cs="宋体"/>
                <w:b/>
                <w:bCs/>
                <w:spacing w:val="7"/>
                <w:sz w:val="22"/>
                <w:szCs w:val="22"/>
                <w:highlight w:val="none"/>
                <w:lang w:val="en-US" w:eastAsia="zh-CN"/>
              </w:rPr>
              <w:t xml:space="preserve"> 109467.00</w:t>
            </w:r>
            <w:r>
              <w:rPr>
                <w:rFonts w:hint="eastAsia" w:ascii="宋体" w:hAnsi="宋体" w:eastAsia="宋体" w:cs="宋体"/>
                <w:b/>
                <w:bCs/>
                <w:spacing w:val="7"/>
                <w:sz w:val="22"/>
                <w:szCs w:val="22"/>
                <w:highlight w:val="none"/>
                <w:lang w:val="en-US" w:eastAsia="zh-CN"/>
              </w:rPr>
              <w:t xml:space="preserve">元 </w:t>
            </w:r>
            <w:r>
              <w:rPr>
                <w:rFonts w:hint="eastAsia" w:ascii="宋体" w:hAnsi="宋体" w:eastAsia="宋体" w:cs="宋体"/>
                <w:b/>
                <w:bCs/>
                <w:spacing w:val="7"/>
                <w:sz w:val="22"/>
                <w:szCs w:val="22"/>
                <w:highlight w:val="none"/>
              </w:rPr>
              <w:t xml:space="preserve">) </w:t>
            </w:r>
            <w:r>
              <w:rPr>
                <w:rFonts w:hint="eastAsia" w:ascii="宋体" w:hAnsi="宋体" w:eastAsia="宋体" w:cs="宋体"/>
                <w:b/>
                <w:bCs/>
                <w:sz w:val="22"/>
                <w:szCs w:val="22"/>
                <w:highlight w:val="none"/>
              </w:rPr>
              <w:t xml:space="preserve">， </w:t>
            </w:r>
            <w:r>
              <w:rPr>
                <w:rFonts w:hint="eastAsia" w:ascii="宋体" w:hAnsi="宋体" w:eastAsia="宋体" w:cs="宋体"/>
                <w:spacing w:val="15"/>
                <w:sz w:val="22"/>
                <w:szCs w:val="22"/>
                <w:highlight w:val="none"/>
              </w:rPr>
              <w:t>投</w:t>
            </w:r>
            <w:r>
              <w:rPr>
                <w:rFonts w:hint="eastAsia" w:ascii="宋体" w:hAnsi="宋体" w:eastAsia="宋体" w:cs="宋体"/>
                <w:spacing w:val="8"/>
                <w:sz w:val="22"/>
                <w:szCs w:val="22"/>
                <w:highlight w:val="none"/>
              </w:rPr>
              <w:t>标人在投标报价时不得对该固定金额进行调整。如投标人须在此基础上增加</w:t>
            </w:r>
            <w:r>
              <w:rPr>
                <w:rFonts w:hint="eastAsia" w:ascii="宋体" w:hAnsi="宋体" w:eastAsia="宋体" w:cs="宋体"/>
                <w:spacing w:val="13"/>
                <w:sz w:val="22"/>
                <w:szCs w:val="22"/>
                <w:highlight w:val="none"/>
              </w:rPr>
              <w:t>安</w:t>
            </w:r>
            <w:r>
              <w:rPr>
                <w:rFonts w:hint="eastAsia" w:ascii="宋体" w:hAnsi="宋体" w:eastAsia="宋体" w:cs="宋体"/>
                <w:spacing w:val="8"/>
                <w:sz w:val="22"/>
                <w:szCs w:val="22"/>
                <w:highlight w:val="none"/>
              </w:rPr>
              <w:t>全生产费用以满足项目施工需要，则投标人应在本项目工程量清单其它</w:t>
            </w:r>
            <w:r>
              <w:rPr>
                <w:rFonts w:ascii="宋体" w:hAnsi="宋体" w:eastAsia="宋体" w:cs="宋体"/>
                <w:spacing w:val="8"/>
                <w:sz w:val="22"/>
                <w:szCs w:val="22"/>
                <w:highlight w:val="none"/>
              </w:rPr>
              <w:t>相关</w:t>
            </w:r>
            <w:r>
              <w:rPr>
                <w:rFonts w:ascii="宋体" w:hAnsi="宋体" w:eastAsia="宋体" w:cs="宋体"/>
                <w:sz w:val="22"/>
                <w:szCs w:val="22"/>
                <w:highlight w:val="none"/>
              </w:rPr>
              <w:t xml:space="preserve"> </w:t>
            </w:r>
            <w:r>
              <w:rPr>
                <w:rFonts w:ascii="宋体" w:hAnsi="宋体" w:eastAsia="宋体" w:cs="宋体"/>
                <w:spacing w:val="13"/>
                <w:sz w:val="22"/>
                <w:szCs w:val="22"/>
                <w:highlight w:val="none"/>
              </w:rPr>
              <w:t>子</w:t>
            </w:r>
            <w:r>
              <w:rPr>
                <w:rFonts w:ascii="宋体" w:hAnsi="宋体" w:eastAsia="宋体" w:cs="宋体"/>
                <w:spacing w:val="9"/>
                <w:sz w:val="22"/>
                <w:szCs w:val="22"/>
                <w:highlight w:val="none"/>
              </w:rPr>
              <w:t>目的单价或总额价中予以考虑，发包人不再单独支付。</w:t>
            </w:r>
          </w:p>
          <w:p w14:paraId="6205632B">
            <w:pPr>
              <w:pageBreakBefore w:val="0"/>
              <w:kinsoku/>
              <w:wordWrap w:val="0"/>
              <w:bidi w:val="0"/>
              <w:spacing w:line="440" w:lineRule="exact"/>
              <w:jc w:val="left"/>
              <w:rPr>
                <w:rFonts w:hint="default" w:ascii="Times New Roman" w:hAnsi="Times New Roman" w:eastAsia="宋体" w:cs="Times New Roman"/>
                <w:color w:val="000000"/>
                <w:kern w:val="2"/>
                <w:sz w:val="24"/>
                <w:szCs w:val="24"/>
                <w:highlight w:val="none"/>
                <w:lang w:val="en-US" w:eastAsia="zh-CN" w:bidi="ar-SA"/>
              </w:rPr>
            </w:pPr>
            <w:r>
              <w:rPr>
                <w:rFonts w:ascii="宋体" w:hAnsi="宋体" w:eastAsia="宋体" w:cs="宋体"/>
                <w:spacing w:val="18"/>
                <w:sz w:val="22"/>
                <w:szCs w:val="22"/>
                <w:highlight w:val="none"/>
              </w:rPr>
              <w:t>承包</w:t>
            </w:r>
            <w:r>
              <w:rPr>
                <w:rFonts w:ascii="宋体" w:hAnsi="宋体" w:eastAsia="宋体" w:cs="宋体"/>
                <w:spacing w:val="13"/>
                <w:sz w:val="22"/>
                <w:szCs w:val="22"/>
                <w:highlight w:val="none"/>
              </w:rPr>
              <w:t>人</w:t>
            </w:r>
            <w:r>
              <w:rPr>
                <w:rFonts w:ascii="宋体" w:hAnsi="宋体" w:eastAsia="宋体" w:cs="宋体"/>
                <w:spacing w:val="9"/>
                <w:sz w:val="22"/>
                <w:szCs w:val="22"/>
                <w:highlight w:val="none"/>
              </w:rPr>
              <w:t>的施工安全生产费用，应当用于施工安全防护用具及设施的采购和</w:t>
            </w:r>
            <w:r>
              <w:rPr>
                <w:rFonts w:ascii="宋体" w:hAnsi="宋体" w:eastAsia="宋体" w:cs="宋体"/>
                <w:sz w:val="22"/>
                <w:szCs w:val="22"/>
                <w:highlight w:val="none"/>
              </w:rPr>
              <w:t xml:space="preserve"> </w:t>
            </w:r>
            <w:r>
              <w:rPr>
                <w:rFonts w:ascii="宋体" w:hAnsi="宋体" w:eastAsia="宋体" w:cs="宋体"/>
                <w:spacing w:val="16"/>
                <w:sz w:val="22"/>
                <w:szCs w:val="22"/>
                <w:highlight w:val="none"/>
              </w:rPr>
              <w:t>更</w:t>
            </w:r>
            <w:r>
              <w:rPr>
                <w:rFonts w:ascii="宋体" w:hAnsi="宋体" w:eastAsia="宋体" w:cs="宋体"/>
                <w:spacing w:val="9"/>
                <w:sz w:val="22"/>
                <w:szCs w:val="22"/>
                <w:highlight w:val="none"/>
              </w:rPr>
              <w:t>新、安全施工措施的落实、安全生产条件的改善，不得挪作他用。</w:t>
            </w:r>
          </w:p>
        </w:tc>
      </w:tr>
      <w:tr w14:paraId="62E6A2D1">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10679201">
            <w:pPr>
              <w:pageBreakBefore w:val="0"/>
              <w:kinsoku/>
              <w:wordWrap w:val="0"/>
              <w:bidi w:val="0"/>
              <w:spacing w:line="440" w:lineRule="exact"/>
              <w:jc w:val="center"/>
              <w:rPr>
                <w:rFonts w:hint="eastAsia" w:cs="Times New Roman"/>
                <w:color w:val="000000"/>
                <w:kern w:val="2"/>
                <w:sz w:val="22"/>
                <w:szCs w:val="22"/>
                <w:highlight w:val="none"/>
                <w:lang w:val="en-US" w:eastAsia="zh-CN" w:bidi="ar-SA"/>
              </w:rPr>
            </w:pPr>
          </w:p>
        </w:tc>
        <w:tc>
          <w:tcPr>
            <w:tcW w:w="8821" w:type="dxa"/>
            <w:gridSpan w:val="2"/>
            <w:tcBorders>
              <w:top w:val="single" w:color="auto" w:sz="4" w:space="0"/>
              <w:left w:val="single" w:color="auto" w:sz="4" w:space="0"/>
              <w:bottom w:val="single" w:color="auto" w:sz="4" w:space="0"/>
              <w:right w:val="single" w:color="auto" w:sz="4" w:space="0"/>
            </w:tcBorders>
            <w:noWrap w:val="0"/>
            <w:vAlign w:val="center"/>
          </w:tcPr>
          <w:p w14:paraId="6F3699AE">
            <w:pPr>
              <w:pageBreakBefore w:val="0"/>
              <w:kinsoku/>
              <w:wordWrap w:val="0"/>
              <w:bidi w:val="0"/>
              <w:spacing w:line="440" w:lineRule="exact"/>
              <w:jc w:val="left"/>
              <w:rPr>
                <w:rFonts w:hint="eastAsia" w:ascii="宋体" w:hAnsi="宋体" w:eastAsia="宋体" w:cs="宋体"/>
                <w:spacing w:val="18"/>
                <w:sz w:val="22"/>
                <w:szCs w:val="22"/>
                <w:highlight w:val="none"/>
              </w:rPr>
            </w:pPr>
            <w:r>
              <w:rPr>
                <w:rFonts w:hint="eastAsia" w:ascii="宋体" w:hAnsi="宋体" w:eastAsia="宋体" w:cs="宋体"/>
                <w:spacing w:val="18"/>
                <w:sz w:val="22"/>
                <w:szCs w:val="22"/>
                <w:highlight w:val="none"/>
              </w:rPr>
              <w:t>本工程招标采用限价招标，招标人设有最高投标限价。投标人的投标报价不得超过最高投标限价，也不得在报价文件中改动招标人给定的相关费用，否则评标委员会将否决其投标，最高投标限价及招标人给定的安全生产费用如下：</w:t>
            </w:r>
          </w:p>
          <w:p w14:paraId="1960A052">
            <w:pPr>
              <w:pageBreakBefore w:val="0"/>
              <w:kinsoku/>
              <w:wordWrap w:val="0"/>
              <w:bidi w:val="0"/>
              <w:spacing w:line="440" w:lineRule="exact"/>
              <w:jc w:val="left"/>
              <w:rPr>
                <w:rFonts w:hint="eastAsia" w:ascii="宋体" w:hAnsi="宋体" w:eastAsia="宋体" w:cs="宋体"/>
                <w:b/>
                <w:bCs/>
                <w:spacing w:val="18"/>
                <w:sz w:val="22"/>
                <w:szCs w:val="22"/>
                <w:highlight w:val="none"/>
              </w:rPr>
            </w:pPr>
            <w:r>
              <w:rPr>
                <w:rFonts w:hint="eastAsia" w:ascii="宋体" w:hAnsi="宋体" w:eastAsia="宋体" w:cs="宋体"/>
                <w:b/>
                <w:bCs/>
                <w:spacing w:val="18"/>
                <w:sz w:val="22"/>
                <w:szCs w:val="22"/>
                <w:highlight w:val="none"/>
              </w:rPr>
              <w:t>本项目最高投标限价</w:t>
            </w:r>
            <w:r>
              <w:rPr>
                <w:rFonts w:hint="eastAsia" w:ascii="宋体" w:hAnsi="宋体" w:cs="宋体"/>
                <w:b/>
                <w:bCs/>
                <w:spacing w:val="18"/>
                <w:sz w:val="22"/>
                <w:szCs w:val="22"/>
                <w:highlight w:val="none"/>
                <w:lang w:val="en-US" w:eastAsia="zh-CN"/>
              </w:rPr>
              <w:t>7297819.00元</w:t>
            </w:r>
            <w:r>
              <w:rPr>
                <w:rFonts w:hint="eastAsia" w:ascii="宋体" w:hAnsi="宋体" w:eastAsia="宋体" w:cs="宋体"/>
                <w:b/>
                <w:bCs/>
                <w:spacing w:val="18"/>
                <w:sz w:val="22"/>
                <w:szCs w:val="22"/>
                <w:highlight w:val="none"/>
              </w:rPr>
              <w:t>，</w:t>
            </w:r>
            <w:r>
              <w:rPr>
                <w:rFonts w:hint="default" w:ascii="宋体" w:hAnsi="宋体" w:eastAsia="宋体" w:cs="宋体"/>
                <w:b/>
                <w:bCs/>
                <w:spacing w:val="18"/>
                <w:sz w:val="22"/>
                <w:szCs w:val="22"/>
                <w:highlight w:val="none"/>
              </w:rPr>
              <w:t>其中含</w:t>
            </w:r>
            <w:r>
              <w:rPr>
                <w:rFonts w:hint="eastAsia" w:ascii="宋体" w:hAnsi="宋体" w:eastAsia="宋体" w:cs="宋体"/>
                <w:b/>
                <w:bCs/>
                <w:spacing w:val="18"/>
                <w:sz w:val="22"/>
                <w:szCs w:val="22"/>
                <w:highlight w:val="none"/>
              </w:rPr>
              <w:t>安全生</w:t>
            </w:r>
            <w:r>
              <w:rPr>
                <w:rFonts w:hint="eastAsia" w:ascii="宋体" w:hAnsi="宋体" w:eastAsia="宋体" w:cs="宋体"/>
                <w:b/>
                <w:bCs/>
                <w:spacing w:val="7"/>
                <w:sz w:val="22"/>
                <w:szCs w:val="22"/>
                <w:highlight w:val="none"/>
              </w:rPr>
              <w:t>产费用</w:t>
            </w:r>
            <w:r>
              <w:rPr>
                <w:rFonts w:hint="eastAsia" w:ascii="宋体" w:hAnsi="宋体" w:eastAsia="宋体" w:cs="宋体"/>
                <w:b/>
                <w:bCs/>
                <w:spacing w:val="7"/>
                <w:sz w:val="22"/>
                <w:szCs w:val="22"/>
                <w:highlight w:val="none"/>
                <w:lang w:eastAsia="zh-CN"/>
              </w:rPr>
              <w:t>：</w:t>
            </w:r>
            <w:r>
              <w:rPr>
                <w:rFonts w:hint="eastAsia" w:ascii="宋体" w:hAnsi="宋体" w:cs="宋体"/>
                <w:b/>
                <w:bCs/>
                <w:spacing w:val="7"/>
                <w:sz w:val="22"/>
                <w:szCs w:val="22"/>
                <w:highlight w:val="none"/>
                <w:lang w:val="en-US" w:eastAsia="zh-CN"/>
              </w:rPr>
              <w:t>109467.00</w:t>
            </w:r>
            <w:r>
              <w:rPr>
                <w:rFonts w:hint="eastAsia" w:ascii="宋体" w:hAnsi="宋体" w:eastAsia="宋体" w:cs="宋体"/>
                <w:b/>
                <w:bCs/>
                <w:spacing w:val="7"/>
                <w:sz w:val="22"/>
                <w:szCs w:val="22"/>
                <w:highlight w:val="none"/>
                <w:lang w:val="en-US" w:eastAsia="zh-CN"/>
              </w:rPr>
              <w:t xml:space="preserve">元 </w:t>
            </w:r>
            <w:r>
              <w:rPr>
                <w:rFonts w:hint="eastAsia" w:ascii="宋体" w:hAnsi="宋体" w:eastAsia="宋体" w:cs="宋体"/>
                <w:b/>
                <w:bCs/>
                <w:spacing w:val="18"/>
                <w:sz w:val="22"/>
                <w:szCs w:val="22"/>
                <w:highlight w:val="none"/>
              </w:rPr>
              <w:t>。</w:t>
            </w:r>
          </w:p>
          <w:p w14:paraId="313E625D">
            <w:pPr>
              <w:pageBreakBefore w:val="0"/>
              <w:kinsoku/>
              <w:wordWrap w:val="0"/>
              <w:bidi w:val="0"/>
              <w:spacing w:line="440" w:lineRule="exact"/>
              <w:jc w:val="left"/>
              <w:rPr>
                <w:rFonts w:hint="eastAsia" w:ascii="宋体" w:hAnsi="宋体" w:eastAsia="宋体" w:cs="宋体"/>
                <w:spacing w:val="18"/>
                <w:sz w:val="22"/>
                <w:szCs w:val="22"/>
                <w:highlight w:val="none"/>
              </w:rPr>
            </w:pPr>
            <w:r>
              <w:rPr>
                <w:rFonts w:hint="eastAsia" w:ascii="宋体" w:hAnsi="宋体" w:eastAsia="宋体" w:cs="宋体"/>
                <w:spacing w:val="18"/>
                <w:sz w:val="22"/>
                <w:szCs w:val="22"/>
                <w:highlight w:val="none"/>
              </w:rPr>
              <w:t>3.2.9 投标报价的其他要求：</w:t>
            </w:r>
          </w:p>
          <w:p w14:paraId="4792AD1B">
            <w:pPr>
              <w:pageBreakBefore w:val="0"/>
              <w:kinsoku/>
              <w:wordWrap w:val="0"/>
              <w:bidi w:val="0"/>
              <w:spacing w:line="440" w:lineRule="exact"/>
              <w:jc w:val="left"/>
              <w:rPr>
                <w:rFonts w:hint="eastAsia" w:ascii="宋体" w:hAnsi="宋体" w:eastAsia="宋体" w:cs="宋体"/>
                <w:spacing w:val="18"/>
                <w:sz w:val="22"/>
                <w:szCs w:val="22"/>
                <w:highlight w:val="none"/>
              </w:rPr>
            </w:pPr>
            <w:r>
              <w:rPr>
                <w:rFonts w:hint="eastAsia" w:ascii="宋体" w:hAnsi="宋体" w:eastAsia="宋体" w:cs="宋体"/>
                <w:spacing w:val="18"/>
                <w:sz w:val="22"/>
                <w:szCs w:val="22"/>
                <w:highlight w:val="none"/>
              </w:rPr>
              <w:t>(1) 施工用电和水应由投标人自行调查解决，所需费用均应已含入工程 量清单各支付子目的单价或总额价中，并计入签约合同价，招标人将不另行支付。</w:t>
            </w:r>
          </w:p>
          <w:p w14:paraId="7C7011F2">
            <w:pPr>
              <w:pageBreakBefore w:val="0"/>
              <w:kinsoku/>
              <w:wordWrap w:val="0"/>
              <w:bidi w:val="0"/>
              <w:spacing w:line="440" w:lineRule="exact"/>
              <w:jc w:val="left"/>
              <w:rPr>
                <w:rFonts w:hint="eastAsia" w:ascii="宋体" w:hAnsi="宋体" w:eastAsia="宋体" w:cs="宋体"/>
                <w:spacing w:val="18"/>
                <w:sz w:val="22"/>
                <w:szCs w:val="22"/>
                <w:highlight w:val="none"/>
              </w:rPr>
            </w:pPr>
            <w:r>
              <w:rPr>
                <w:rFonts w:hint="eastAsia" w:ascii="宋体" w:hAnsi="宋体" w:eastAsia="宋体" w:cs="宋体"/>
                <w:spacing w:val="18"/>
                <w:sz w:val="22"/>
                <w:szCs w:val="22"/>
                <w:highlight w:val="none"/>
              </w:rPr>
              <w:t>(2) 中标人应根据工程实际情况确定临时占地最长使用期限，临时占地 的租地费用由投标人在投标阶段综合考虑并计入相关清单子目报价中，招标人将不另行支付。</w:t>
            </w:r>
          </w:p>
          <w:p w14:paraId="44DD9C1D">
            <w:pPr>
              <w:pageBreakBefore w:val="0"/>
              <w:kinsoku/>
              <w:wordWrap w:val="0"/>
              <w:bidi w:val="0"/>
              <w:spacing w:line="440" w:lineRule="exact"/>
              <w:jc w:val="left"/>
              <w:rPr>
                <w:rFonts w:hint="eastAsia" w:ascii="宋体" w:hAnsi="宋体" w:eastAsia="宋体" w:cs="宋体"/>
                <w:spacing w:val="18"/>
                <w:sz w:val="22"/>
                <w:szCs w:val="22"/>
                <w:highlight w:val="none"/>
              </w:rPr>
            </w:pPr>
            <w:r>
              <w:rPr>
                <w:rFonts w:hint="eastAsia" w:ascii="宋体" w:hAnsi="宋体" w:eastAsia="宋体" w:cs="宋体"/>
                <w:spacing w:val="18"/>
                <w:sz w:val="22"/>
                <w:szCs w:val="22"/>
                <w:highlight w:val="none"/>
              </w:rPr>
              <w:t>(3) 投标人的投标报价中应含各类保险费。各类保险费均应已含入工程 量清单各支付子目的单价中，并计入签约合同价，招标人将不另行支付。</w:t>
            </w:r>
          </w:p>
          <w:p w14:paraId="7760893C">
            <w:pPr>
              <w:pageBreakBefore w:val="0"/>
              <w:kinsoku/>
              <w:wordWrap w:val="0"/>
              <w:bidi w:val="0"/>
              <w:spacing w:line="440" w:lineRule="exact"/>
              <w:jc w:val="left"/>
              <w:rPr>
                <w:rFonts w:hint="eastAsia" w:ascii="宋体" w:hAnsi="宋体" w:eastAsia="宋体" w:cs="宋体"/>
                <w:spacing w:val="18"/>
                <w:sz w:val="22"/>
                <w:szCs w:val="22"/>
                <w:highlight w:val="none"/>
              </w:rPr>
            </w:pPr>
            <w:r>
              <w:rPr>
                <w:rFonts w:hint="eastAsia" w:ascii="宋体" w:hAnsi="宋体" w:eastAsia="宋体" w:cs="宋体"/>
                <w:spacing w:val="18"/>
                <w:sz w:val="22"/>
                <w:szCs w:val="22"/>
                <w:highlight w:val="none"/>
              </w:rPr>
              <w:t>(4) 投标人的投标价应包括投标人完成本招标项目施工、缺陷修复工作 的全部费用。投标人应依据相应的工程量计算规则和定额等计价依据计算报 价。</w:t>
            </w:r>
          </w:p>
          <w:p w14:paraId="50E2385A">
            <w:pPr>
              <w:pageBreakBefore w:val="0"/>
              <w:kinsoku/>
              <w:wordWrap w:val="0"/>
              <w:bidi w:val="0"/>
              <w:spacing w:line="440" w:lineRule="exact"/>
              <w:jc w:val="left"/>
              <w:rPr>
                <w:rFonts w:hint="eastAsia" w:ascii="宋体" w:hAnsi="宋体" w:eastAsia="宋体" w:cs="宋体"/>
                <w:spacing w:val="18"/>
                <w:sz w:val="22"/>
                <w:szCs w:val="22"/>
                <w:highlight w:val="none"/>
              </w:rPr>
            </w:pPr>
            <w:r>
              <w:rPr>
                <w:rFonts w:hint="eastAsia" w:ascii="宋体" w:hAnsi="宋体" w:eastAsia="宋体" w:cs="宋体"/>
                <w:spacing w:val="18"/>
                <w:sz w:val="22"/>
                <w:szCs w:val="22"/>
                <w:highlight w:val="none"/>
              </w:rPr>
              <w:t>(5) 投标人应自行踏勘现场以充分了解工地位置、情况、道路、储存空 间、装卸限制及任何其他足以影响投标报价的情况，任何因忽视或误解工地情 况而导致的索赔或工期延长申请将不被批准。</w:t>
            </w:r>
          </w:p>
          <w:p w14:paraId="0097BB71">
            <w:pPr>
              <w:pageBreakBefore w:val="0"/>
              <w:kinsoku/>
              <w:wordWrap w:val="0"/>
              <w:bidi w:val="0"/>
              <w:spacing w:line="440" w:lineRule="exact"/>
              <w:jc w:val="left"/>
              <w:rPr>
                <w:rFonts w:hint="eastAsia" w:ascii="宋体" w:hAnsi="宋体" w:eastAsia="宋体" w:cs="宋体"/>
                <w:spacing w:val="18"/>
                <w:sz w:val="22"/>
                <w:szCs w:val="22"/>
                <w:highlight w:val="none"/>
              </w:rPr>
            </w:pPr>
            <w:r>
              <w:rPr>
                <w:rFonts w:hint="eastAsia" w:ascii="宋体" w:hAnsi="宋体" w:eastAsia="宋体" w:cs="宋体"/>
                <w:spacing w:val="18"/>
                <w:sz w:val="22"/>
                <w:szCs w:val="22"/>
                <w:highlight w:val="none"/>
              </w:rPr>
              <w:t>(6) 施工期间承包人必须严格执行国家、地方政府有关施工安全管理方 面的法律、法规及规章制度，同时严格执行发包人制订的本项目安全生产管理 方面的规章制度、安全检查程序及施工安全管理要求，所需费用均已含入工程 量清单各支付子目的单价或总额价中，并计入签约合同价，招标人将不另行支 付。</w:t>
            </w:r>
          </w:p>
          <w:p w14:paraId="72DFD1DE">
            <w:pPr>
              <w:pageBreakBefore w:val="0"/>
              <w:kinsoku/>
              <w:wordWrap w:val="0"/>
              <w:bidi w:val="0"/>
              <w:spacing w:line="440" w:lineRule="exact"/>
              <w:jc w:val="left"/>
              <w:rPr>
                <w:rFonts w:hint="eastAsia" w:ascii="宋体" w:hAnsi="宋体" w:eastAsia="宋体" w:cs="宋体"/>
                <w:spacing w:val="18"/>
                <w:sz w:val="22"/>
                <w:szCs w:val="22"/>
                <w:highlight w:val="none"/>
              </w:rPr>
            </w:pPr>
            <w:r>
              <w:rPr>
                <w:rFonts w:hint="eastAsia" w:ascii="宋体" w:hAnsi="宋体" w:eastAsia="宋体" w:cs="宋体"/>
                <w:spacing w:val="18"/>
                <w:sz w:val="22"/>
                <w:szCs w:val="22"/>
                <w:highlight w:val="none"/>
              </w:rPr>
              <w:t>(7) 投标人应充分考虑采购满足招标人要求的材料所需的一切费用，所 需费用均应已含入工程量清单各支付子目的单价或总额价中，并计入签约合同 价，招标人将不另行支付。</w:t>
            </w:r>
          </w:p>
          <w:p w14:paraId="320C6869">
            <w:pPr>
              <w:pageBreakBefore w:val="0"/>
              <w:kinsoku/>
              <w:wordWrap w:val="0"/>
              <w:bidi w:val="0"/>
              <w:spacing w:line="440" w:lineRule="exact"/>
              <w:jc w:val="left"/>
              <w:rPr>
                <w:rFonts w:hint="eastAsia" w:ascii="宋体" w:hAnsi="宋体" w:eastAsia="宋体" w:cs="宋体"/>
                <w:spacing w:val="18"/>
                <w:sz w:val="22"/>
                <w:szCs w:val="22"/>
                <w:highlight w:val="none"/>
              </w:rPr>
            </w:pPr>
            <w:r>
              <w:rPr>
                <w:rFonts w:hint="eastAsia" w:ascii="宋体" w:hAnsi="宋体" w:eastAsia="宋体" w:cs="宋体"/>
                <w:spacing w:val="18"/>
                <w:sz w:val="22"/>
                <w:szCs w:val="22"/>
                <w:highlight w:val="none"/>
              </w:rPr>
              <w:t>(8) 投标人应充分考虑将本项目旧钢护栏、旧标志标牌等原有设施 (如 有) 运送到招标人指定地点以及对已有的里程碑、百米桩进行维护所需的一切 费用，上述材料及设施归招标人所有，所需运输费用均已含入工程量清单各支 付子目的单价或总额价中，并计入签约合同价，招标人将不另行支付。投标人在投标报价时无需单独考虑该部分费用。</w:t>
            </w:r>
          </w:p>
          <w:p w14:paraId="6C32DAB7">
            <w:pPr>
              <w:pageBreakBefore w:val="0"/>
              <w:kinsoku/>
              <w:wordWrap w:val="0"/>
              <w:bidi w:val="0"/>
              <w:spacing w:line="440" w:lineRule="exact"/>
              <w:jc w:val="left"/>
              <w:rPr>
                <w:rFonts w:hint="eastAsia" w:ascii="宋体" w:hAnsi="宋体" w:eastAsia="宋体" w:cs="宋体"/>
                <w:spacing w:val="18"/>
                <w:sz w:val="22"/>
                <w:szCs w:val="22"/>
                <w:highlight w:val="none"/>
              </w:rPr>
            </w:pPr>
            <w:r>
              <w:rPr>
                <w:rFonts w:hint="eastAsia" w:ascii="宋体" w:hAnsi="宋体" w:eastAsia="宋体" w:cs="宋体"/>
                <w:spacing w:val="18"/>
                <w:sz w:val="22"/>
                <w:szCs w:val="22"/>
                <w:highlight w:val="none"/>
              </w:rPr>
              <w:t>(9) 投标人应充分考虑本项目施工过程中为保证道路通行所采取的各项 必要措施，所需费用均已含入工程量清单各支付子目的单价或总额价中，并计 入签约合同价，招标人将不另行支付。</w:t>
            </w:r>
          </w:p>
          <w:p w14:paraId="5D3C7565">
            <w:pPr>
              <w:pageBreakBefore w:val="0"/>
              <w:kinsoku/>
              <w:wordWrap w:val="0"/>
              <w:bidi w:val="0"/>
              <w:spacing w:line="440" w:lineRule="exact"/>
              <w:jc w:val="left"/>
              <w:rPr>
                <w:rFonts w:hint="eastAsia" w:ascii="宋体" w:hAnsi="宋体" w:eastAsia="宋体" w:cs="宋体"/>
                <w:spacing w:val="18"/>
                <w:sz w:val="22"/>
                <w:szCs w:val="22"/>
                <w:highlight w:val="none"/>
              </w:rPr>
            </w:pPr>
            <w:r>
              <w:rPr>
                <w:rFonts w:hint="eastAsia" w:ascii="宋体" w:hAnsi="宋体" w:eastAsia="宋体" w:cs="宋体"/>
                <w:spacing w:val="18"/>
                <w:sz w:val="22"/>
                <w:szCs w:val="22"/>
                <w:highlight w:val="none"/>
              </w:rPr>
              <w:t>(10) 投标人应充分考虑不间断施工所需的生产生活相关费用，所需费用 均已含入工程量清单各支付子目的单价或总额价中，并计入签约合同价，招标 人将不另行支付。</w:t>
            </w:r>
          </w:p>
          <w:p w14:paraId="19F7C102">
            <w:pPr>
              <w:pageBreakBefore w:val="0"/>
              <w:kinsoku/>
              <w:wordWrap w:val="0"/>
              <w:bidi w:val="0"/>
              <w:spacing w:line="440" w:lineRule="exact"/>
              <w:jc w:val="left"/>
              <w:rPr>
                <w:rFonts w:hint="eastAsia" w:ascii="宋体" w:hAnsi="宋体" w:eastAsia="宋体" w:cs="宋体"/>
                <w:spacing w:val="18"/>
                <w:sz w:val="22"/>
                <w:szCs w:val="22"/>
                <w:highlight w:val="none"/>
              </w:rPr>
            </w:pPr>
            <w:r>
              <w:rPr>
                <w:rFonts w:hint="eastAsia" w:ascii="宋体" w:hAnsi="宋体" w:eastAsia="宋体" w:cs="宋体"/>
                <w:spacing w:val="18"/>
                <w:sz w:val="22"/>
                <w:szCs w:val="22"/>
                <w:highlight w:val="none"/>
              </w:rPr>
              <w:t>(11) 本项目承包人的临时用地选址应由投标人自行调查解决，各投标人 应对临时用地位置和面积合理设置施工所需的生产生活设施，所需费用均已含 入工程量清单各支付子目的单价或总额价中，并计入签约合同价，招标人将不 另行支付。</w:t>
            </w:r>
          </w:p>
          <w:p w14:paraId="51DCE812">
            <w:pPr>
              <w:pageBreakBefore w:val="0"/>
              <w:kinsoku/>
              <w:wordWrap w:val="0"/>
              <w:bidi w:val="0"/>
              <w:spacing w:line="440" w:lineRule="exact"/>
              <w:jc w:val="left"/>
              <w:rPr>
                <w:rFonts w:hint="eastAsia" w:ascii="宋体" w:hAnsi="宋体" w:eastAsia="宋体" w:cs="宋体"/>
                <w:spacing w:val="18"/>
                <w:sz w:val="22"/>
                <w:szCs w:val="22"/>
                <w:highlight w:val="none"/>
              </w:rPr>
            </w:pPr>
            <w:r>
              <w:rPr>
                <w:rFonts w:hint="eastAsia" w:ascii="宋体" w:hAnsi="宋体" w:eastAsia="宋体" w:cs="宋体"/>
                <w:spacing w:val="18"/>
                <w:sz w:val="22"/>
                <w:szCs w:val="22"/>
                <w:highlight w:val="none"/>
              </w:rPr>
              <w:t>(12) 投标人应充分考虑本项目施工可能与其他工程等发生的干扰与交 叉，并将因此带来的费用含入工程量清单各支付子目的单价或总额价中，并计 入签约合同价，招标人将不另行支付。</w:t>
            </w:r>
          </w:p>
          <w:p w14:paraId="212C47E9">
            <w:pPr>
              <w:pageBreakBefore w:val="0"/>
              <w:kinsoku/>
              <w:wordWrap w:val="0"/>
              <w:bidi w:val="0"/>
              <w:spacing w:line="440" w:lineRule="exact"/>
              <w:jc w:val="left"/>
              <w:rPr>
                <w:rFonts w:ascii="宋体" w:hAnsi="宋体" w:eastAsia="宋体" w:cs="宋体"/>
                <w:spacing w:val="18"/>
                <w:sz w:val="22"/>
                <w:szCs w:val="22"/>
                <w:highlight w:val="none"/>
              </w:rPr>
            </w:pPr>
            <w:r>
              <w:rPr>
                <w:rFonts w:hint="eastAsia" w:ascii="宋体" w:hAnsi="宋体" w:eastAsia="宋体" w:cs="宋体"/>
                <w:spacing w:val="18"/>
                <w:sz w:val="22"/>
                <w:szCs w:val="22"/>
                <w:highlight w:val="none"/>
              </w:rPr>
              <w:t>(13) 除招标文件另有规定外，根据国家和辽宁省有关的法律、法规的规 定，以投标人作为征收对象的所有税费，包括因国家实行营业税改增值税征收 税费而引起的费用的变化，均包含在投标人的工程量清单各子目的综合单价 中，并计入签约合同价，招标人不另行支付 (增加或扣减) ，中标人按照国家 相关税收法律、法规出具各支付款项的增值税专用 (或普通) 发票。</w:t>
            </w:r>
          </w:p>
        </w:tc>
      </w:tr>
      <w:tr w14:paraId="25B8D418">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41779A0A">
            <w:pPr>
              <w:pageBreakBefore w:val="0"/>
              <w:kinsoku/>
              <w:wordWrap w:val="0"/>
              <w:bidi w:val="0"/>
              <w:spacing w:line="440" w:lineRule="exact"/>
              <w:jc w:val="both"/>
              <w:rPr>
                <w:rFonts w:hint="eastAsia" w:cs="Times New Roman"/>
                <w:color w:val="000000"/>
                <w:kern w:val="2"/>
                <w:sz w:val="22"/>
                <w:szCs w:val="22"/>
                <w:highlight w:val="none"/>
                <w:lang w:val="en-US" w:eastAsia="zh-CN" w:bidi="ar-SA"/>
              </w:rPr>
            </w:pPr>
          </w:p>
        </w:tc>
        <w:tc>
          <w:tcPr>
            <w:tcW w:w="8821" w:type="dxa"/>
            <w:gridSpan w:val="2"/>
            <w:tcBorders>
              <w:top w:val="single" w:color="auto" w:sz="4" w:space="0"/>
              <w:left w:val="single" w:color="auto" w:sz="4" w:space="0"/>
              <w:bottom w:val="single" w:color="auto" w:sz="4" w:space="0"/>
              <w:right w:val="single" w:color="auto" w:sz="4" w:space="0"/>
            </w:tcBorders>
            <w:noWrap w:val="0"/>
            <w:vAlign w:val="center"/>
          </w:tcPr>
          <w:p w14:paraId="74A86E2B">
            <w:pPr>
              <w:pageBreakBefore w:val="0"/>
              <w:kinsoku/>
              <w:wordWrap w:val="0"/>
              <w:bidi w:val="0"/>
              <w:spacing w:line="440" w:lineRule="exact"/>
              <w:jc w:val="left"/>
              <w:rPr>
                <w:rFonts w:ascii="宋体" w:hAnsi="宋体" w:eastAsia="宋体" w:cs="宋体"/>
                <w:spacing w:val="18"/>
                <w:sz w:val="22"/>
                <w:szCs w:val="22"/>
                <w:highlight w:val="none"/>
              </w:rPr>
            </w:pPr>
            <w:r>
              <w:rPr>
                <w:rFonts w:ascii="黑体" w:hAnsi="黑体" w:eastAsia="黑体" w:cs="黑体"/>
                <w:spacing w:val="2"/>
                <w:sz w:val="22"/>
                <w:szCs w:val="22"/>
                <w:highlight w:val="none"/>
              </w:rPr>
              <w:t>投标文件第一个信封(商务及技术文件)不</w:t>
            </w:r>
            <w:r>
              <w:rPr>
                <w:rFonts w:ascii="黑体" w:hAnsi="黑体" w:eastAsia="黑体" w:cs="黑体"/>
                <w:spacing w:val="1"/>
                <w:sz w:val="22"/>
                <w:szCs w:val="22"/>
                <w:highlight w:val="none"/>
              </w:rPr>
              <w:t>应出现有关投标报价的内容</w:t>
            </w:r>
          </w:p>
        </w:tc>
      </w:tr>
      <w:tr w14:paraId="69C9CC74">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436BB64D">
            <w:pPr>
              <w:pageBreakBefore w:val="0"/>
              <w:kinsoku/>
              <w:wordWrap w:val="0"/>
              <w:bidi w:val="0"/>
              <w:spacing w:line="440" w:lineRule="exact"/>
              <w:jc w:val="center"/>
              <w:rPr>
                <w:rFonts w:hint="eastAsia" w:cs="Times New Roman"/>
                <w:strike/>
                <w:dstrike w:val="0"/>
                <w:color w:val="000000"/>
                <w:kern w:val="2"/>
                <w:sz w:val="22"/>
                <w:szCs w:val="22"/>
                <w:highlight w:val="none"/>
                <w:lang w:val="en-US" w:eastAsia="zh-CN" w:bidi="ar-SA"/>
              </w:rPr>
            </w:pPr>
          </w:p>
        </w:tc>
        <w:tc>
          <w:tcPr>
            <w:tcW w:w="8821" w:type="dxa"/>
            <w:gridSpan w:val="2"/>
            <w:tcBorders>
              <w:top w:val="single" w:color="auto" w:sz="4" w:space="0"/>
              <w:left w:val="single" w:color="auto" w:sz="4" w:space="0"/>
              <w:bottom w:val="single" w:color="auto" w:sz="4" w:space="0"/>
              <w:right w:val="single" w:color="auto" w:sz="4" w:space="0"/>
            </w:tcBorders>
            <w:noWrap w:val="0"/>
            <w:vAlign w:val="center"/>
          </w:tcPr>
          <w:p w14:paraId="62422ADC">
            <w:pPr>
              <w:pageBreakBefore w:val="0"/>
              <w:kinsoku/>
              <w:wordWrap w:val="0"/>
              <w:bidi w:val="0"/>
              <w:spacing w:line="440" w:lineRule="exact"/>
              <w:jc w:val="left"/>
              <w:rPr>
                <w:rFonts w:ascii="宋体" w:hAnsi="宋体" w:eastAsia="宋体" w:cs="宋体"/>
                <w:strike/>
                <w:dstrike w:val="0"/>
                <w:spacing w:val="18"/>
                <w:sz w:val="22"/>
                <w:szCs w:val="22"/>
                <w:highlight w:val="none"/>
              </w:rPr>
            </w:pPr>
            <w:r>
              <w:rPr>
                <w:rFonts w:hint="eastAsia" w:ascii="黑体" w:hAnsi="黑体" w:eastAsia="黑体" w:cs="黑体"/>
                <w:spacing w:val="2"/>
                <w:sz w:val="22"/>
                <w:szCs w:val="22"/>
                <w:highlight w:val="none"/>
              </w:rPr>
              <w:t>如遇投标工程量清单或平台操作等问题可与新点软件</w:t>
            </w:r>
            <w:r>
              <w:rPr>
                <w:rFonts w:hint="eastAsia" w:ascii="黑体" w:hAnsi="黑体" w:eastAsia="黑体" w:cs="黑体"/>
                <w:spacing w:val="2"/>
                <w:sz w:val="22"/>
                <w:szCs w:val="22"/>
                <w:highlight w:val="none"/>
                <w:lang w:eastAsia="zh-CN"/>
              </w:rPr>
              <w:t>李</w:t>
            </w:r>
            <w:r>
              <w:rPr>
                <w:rFonts w:hint="eastAsia" w:ascii="黑体" w:hAnsi="黑体" w:eastAsia="黑体" w:cs="黑体"/>
                <w:spacing w:val="2"/>
                <w:sz w:val="22"/>
                <w:szCs w:val="22"/>
                <w:highlight w:val="none"/>
              </w:rPr>
              <w:t>工联系17609870368</w:t>
            </w:r>
          </w:p>
        </w:tc>
      </w:tr>
      <w:tr w14:paraId="71F33F15">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1D40D7F9">
            <w:pPr>
              <w:pageBreakBefore w:val="0"/>
              <w:kinsoku/>
              <w:wordWrap w:val="0"/>
              <w:bidi w:val="0"/>
              <w:spacing w:line="440" w:lineRule="exact"/>
              <w:jc w:val="center"/>
              <w:rPr>
                <w:rFonts w:hint="eastAsia" w:cs="Times New Roman"/>
                <w:color w:val="000000"/>
                <w:kern w:val="2"/>
                <w:sz w:val="22"/>
                <w:szCs w:val="22"/>
                <w:highlight w:val="none"/>
                <w:lang w:val="en-US" w:eastAsia="zh-CN" w:bidi="ar-SA"/>
              </w:rPr>
            </w:pPr>
          </w:p>
        </w:tc>
        <w:tc>
          <w:tcPr>
            <w:tcW w:w="8821" w:type="dxa"/>
            <w:gridSpan w:val="2"/>
            <w:tcBorders>
              <w:top w:val="single" w:color="auto" w:sz="4" w:space="0"/>
              <w:left w:val="single" w:color="auto" w:sz="4" w:space="0"/>
              <w:bottom w:val="single" w:color="auto" w:sz="4" w:space="0"/>
              <w:right w:val="single" w:color="auto" w:sz="4" w:space="0"/>
            </w:tcBorders>
            <w:noWrap w:val="0"/>
            <w:vAlign w:val="center"/>
          </w:tcPr>
          <w:p w14:paraId="202B4AF2">
            <w:pPr>
              <w:spacing w:before="112" w:line="231" w:lineRule="auto"/>
              <w:ind w:left="105"/>
              <w:rPr>
                <w:rFonts w:ascii="黑体" w:hAnsi="黑体" w:eastAsia="黑体" w:cs="黑体"/>
                <w:sz w:val="22"/>
                <w:szCs w:val="22"/>
                <w:highlight w:val="none"/>
              </w:rPr>
            </w:pPr>
            <w:r>
              <w:rPr>
                <w:rFonts w:ascii="Times New Roman" w:hAnsi="Times New Roman" w:eastAsia="Times New Roman" w:cs="Times New Roman"/>
                <w:spacing w:val="5"/>
                <w:sz w:val="22"/>
                <w:szCs w:val="22"/>
                <w:highlight w:val="none"/>
              </w:rPr>
              <w:t xml:space="preserve"> </w:t>
            </w:r>
            <w:r>
              <w:rPr>
                <w:rFonts w:ascii="Times New Roman" w:hAnsi="Times New Roman" w:eastAsia="Times New Roman" w:cs="Times New Roman"/>
                <w:spacing w:val="8"/>
                <w:sz w:val="22"/>
                <w:szCs w:val="22"/>
                <w:highlight w:val="none"/>
              </w:rPr>
              <w:t>7</w:t>
            </w:r>
            <w:r>
              <w:rPr>
                <w:rFonts w:ascii="Times New Roman" w:hAnsi="Times New Roman" w:eastAsia="Times New Roman" w:cs="Times New Roman"/>
                <w:spacing w:val="5"/>
                <w:sz w:val="22"/>
                <w:szCs w:val="22"/>
                <w:highlight w:val="none"/>
              </w:rPr>
              <w:t xml:space="preserve">.8  </w:t>
            </w:r>
            <w:r>
              <w:rPr>
                <w:rFonts w:ascii="黑体" w:hAnsi="黑体" w:eastAsia="黑体" w:cs="黑体"/>
                <w:spacing w:val="5"/>
                <w:sz w:val="22"/>
                <w:szCs w:val="22"/>
                <w:highlight w:val="none"/>
              </w:rPr>
              <w:t>签订合同</w:t>
            </w:r>
          </w:p>
          <w:p w14:paraId="2D136AE9">
            <w:pPr>
              <w:spacing w:before="113" w:line="227" w:lineRule="auto"/>
              <w:ind w:left="585"/>
              <w:rPr>
                <w:rFonts w:ascii="宋体" w:hAnsi="宋体" w:eastAsia="宋体" w:cs="宋体"/>
                <w:sz w:val="22"/>
                <w:szCs w:val="22"/>
                <w:highlight w:val="none"/>
              </w:rPr>
            </w:pPr>
            <w:r>
              <w:rPr>
                <w:rFonts w:ascii="宋体" w:hAnsi="宋体" w:eastAsia="宋体" w:cs="宋体"/>
                <w:spacing w:val="-1"/>
                <w:sz w:val="22"/>
                <w:szCs w:val="22"/>
                <w:highlight w:val="none"/>
              </w:rPr>
              <w:t>补充</w:t>
            </w:r>
            <w:r>
              <w:rPr>
                <w:rFonts w:ascii="宋体" w:hAnsi="宋体" w:eastAsia="宋体" w:cs="宋体"/>
                <w:sz w:val="22"/>
                <w:szCs w:val="22"/>
                <w:highlight w:val="none"/>
              </w:rPr>
              <w:t xml:space="preserve">第 </w:t>
            </w:r>
            <w:r>
              <w:rPr>
                <w:rFonts w:ascii="Times New Roman" w:hAnsi="Times New Roman" w:eastAsia="Times New Roman" w:cs="Times New Roman"/>
                <w:sz w:val="22"/>
                <w:szCs w:val="22"/>
                <w:highlight w:val="none"/>
              </w:rPr>
              <w:t xml:space="preserve">7.8.6 </w:t>
            </w:r>
            <w:r>
              <w:rPr>
                <w:rFonts w:ascii="宋体" w:hAnsi="宋体" w:eastAsia="宋体" w:cs="宋体"/>
                <w:sz w:val="22"/>
                <w:szCs w:val="22"/>
                <w:highlight w:val="none"/>
              </w:rPr>
              <w:t>项：</w:t>
            </w:r>
          </w:p>
          <w:p w14:paraId="398830A2">
            <w:pPr>
              <w:spacing w:before="115" w:line="229" w:lineRule="auto"/>
              <w:ind w:left="585"/>
              <w:rPr>
                <w:rFonts w:ascii="黑体" w:hAnsi="黑体" w:eastAsia="黑体" w:cs="黑体"/>
                <w:sz w:val="22"/>
                <w:szCs w:val="22"/>
                <w:highlight w:val="none"/>
              </w:rPr>
            </w:pPr>
            <w:r>
              <w:rPr>
                <w:rFonts w:ascii="Times New Roman" w:hAnsi="Times New Roman" w:eastAsia="Times New Roman" w:cs="Times New Roman"/>
                <w:spacing w:val="7"/>
                <w:sz w:val="22"/>
                <w:szCs w:val="22"/>
                <w:highlight w:val="none"/>
              </w:rPr>
              <w:t>7</w:t>
            </w:r>
            <w:r>
              <w:rPr>
                <w:rFonts w:ascii="Times New Roman" w:hAnsi="Times New Roman" w:eastAsia="Times New Roman" w:cs="Times New Roman"/>
                <w:spacing w:val="6"/>
                <w:sz w:val="22"/>
                <w:szCs w:val="22"/>
                <w:highlight w:val="none"/>
              </w:rPr>
              <w:t xml:space="preserve">.8.6 </w:t>
            </w:r>
            <w:r>
              <w:rPr>
                <w:rFonts w:ascii="黑体" w:hAnsi="黑体" w:eastAsia="黑体" w:cs="黑体"/>
                <w:spacing w:val="6"/>
                <w:sz w:val="22"/>
                <w:szCs w:val="22"/>
                <w:highlight w:val="none"/>
              </w:rPr>
              <w:t>人员履约要求</w:t>
            </w:r>
          </w:p>
          <w:p w14:paraId="3158B9C4">
            <w:pPr>
              <w:spacing w:before="116" w:line="321" w:lineRule="auto"/>
              <w:ind w:left="108" w:right="97" w:firstLine="499"/>
              <w:rPr>
                <w:rFonts w:ascii="宋体" w:hAnsi="宋体" w:eastAsia="宋体" w:cs="宋体"/>
                <w:sz w:val="22"/>
                <w:szCs w:val="22"/>
                <w:highlight w:val="none"/>
              </w:rPr>
            </w:pPr>
            <w:r>
              <w:rPr>
                <w:rFonts w:ascii="宋体" w:hAnsi="宋体" w:eastAsia="宋体" w:cs="宋体"/>
                <w:spacing w:val="14"/>
                <w:sz w:val="22"/>
                <w:szCs w:val="22"/>
                <w:highlight w:val="none"/>
              </w:rPr>
              <w:t>中标</w:t>
            </w:r>
            <w:r>
              <w:rPr>
                <w:rFonts w:ascii="宋体" w:hAnsi="宋体" w:eastAsia="宋体" w:cs="宋体"/>
                <w:spacing w:val="9"/>
                <w:sz w:val="22"/>
                <w:szCs w:val="22"/>
                <w:highlight w:val="none"/>
              </w:rPr>
              <w:t>人</w:t>
            </w:r>
            <w:r>
              <w:rPr>
                <w:rFonts w:ascii="宋体" w:hAnsi="宋体" w:eastAsia="宋体" w:cs="宋体"/>
                <w:spacing w:val="7"/>
                <w:sz w:val="22"/>
                <w:szCs w:val="22"/>
                <w:highlight w:val="none"/>
              </w:rPr>
              <w:t>在收到中标通知书后，应及时向招标人报送满足要求的其他管理人</w:t>
            </w:r>
            <w:r>
              <w:rPr>
                <w:rFonts w:ascii="宋体" w:hAnsi="宋体" w:eastAsia="宋体" w:cs="宋体"/>
                <w:sz w:val="22"/>
                <w:szCs w:val="22"/>
                <w:highlight w:val="none"/>
              </w:rPr>
              <w:t xml:space="preserve"> </w:t>
            </w:r>
            <w:r>
              <w:rPr>
                <w:rFonts w:ascii="宋体" w:hAnsi="宋体" w:eastAsia="宋体" w:cs="宋体"/>
                <w:spacing w:val="8"/>
                <w:sz w:val="22"/>
                <w:szCs w:val="22"/>
                <w:highlight w:val="none"/>
              </w:rPr>
              <w:t>员、其他设备的详细资料【详见合同附件格式《附件四  其他管理和技术人</w:t>
            </w:r>
            <w:r>
              <w:rPr>
                <w:rFonts w:ascii="宋体" w:hAnsi="宋体" w:eastAsia="宋体" w:cs="宋体"/>
                <w:spacing w:val="7"/>
                <w:sz w:val="22"/>
                <w:szCs w:val="22"/>
                <w:highlight w:val="none"/>
              </w:rPr>
              <w:t>员</w:t>
            </w:r>
            <w:r>
              <w:rPr>
                <w:rFonts w:ascii="宋体" w:hAnsi="宋体" w:eastAsia="宋体" w:cs="宋体"/>
                <w:sz w:val="22"/>
                <w:szCs w:val="22"/>
                <w:highlight w:val="none"/>
              </w:rPr>
              <w:t xml:space="preserve"> </w:t>
            </w:r>
            <w:r>
              <w:rPr>
                <w:rFonts w:ascii="宋体" w:hAnsi="宋体" w:eastAsia="宋体" w:cs="宋体"/>
                <w:spacing w:val="15"/>
                <w:sz w:val="22"/>
                <w:szCs w:val="22"/>
                <w:highlight w:val="none"/>
              </w:rPr>
              <w:t>最</w:t>
            </w:r>
            <w:r>
              <w:rPr>
                <w:rFonts w:ascii="宋体" w:hAnsi="宋体" w:eastAsia="宋体" w:cs="宋体"/>
                <w:spacing w:val="8"/>
                <w:sz w:val="22"/>
                <w:szCs w:val="22"/>
                <w:highlight w:val="none"/>
              </w:rPr>
              <w:t>低要求》】，如中标人报送的人员不满足招标文件要求，招标人有权取消其</w:t>
            </w:r>
            <w:r>
              <w:rPr>
                <w:rFonts w:ascii="宋体" w:hAnsi="宋体" w:eastAsia="宋体" w:cs="宋体"/>
                <w:sz w:val="22"/>
                <w:szCs w:val="22"/>
                <w:highlight w:val="none"/>
              </w:rPr>
              <w:t xml:space="preserve"> </w:t>
            </w:r>
            <w:r>
              <w:rPr>
                <w:rFonts w:ascii="宋体" w:hAnsi="宋体" w:eastAsia="宋体" w:cs="宋体"/>
                <w:spacing w:val="7"/>
                <w:sz w:val="22"/>
                <w:szCs w:val="22"/>
                <w:highlight w:val="none"/>
              </w:rPr>
              <w:t>中</w:t>
            </w:r>
            <w:r>
              <w:rPr>
                <w:rFonts w:ascii="宋体" w:hAnsi="宋体" w:eastAsia="宋体" w:cs="宋体"/>
                <w:spacing w:val="5"/>
                <w:sz w:val="22"/>
                <w:szCs w:val="22"/>
                <w:highlight w:val="none"/>
              </w:rPr>
              <w:t>标资格。</w:t>
            </w:r>
          </w:p>
          <w:p w14:paraId="6564A695">
            <w:pPr>
              <w:spacing w:line="328" w:lineRule="auto"/>
              <w:ind w:left="105" w:right="97" w:firstLine="502"/>
              <w:rPr>
                <w:rFonts w:ascii="Arial"/>
                <w:sz w:val="20"/>
                <w:szCs w:val="22"/>
                <w:highlight w:val="none"/>
              </w:rPr>
            </w:pPr>
            <w:r>
              <w:rPr>
                <w:rFonts w:ascii="宋体" w:hAnsi="宋体" w:eastAsia="宋体" w:cs="宋体"/>
                <w:spacing w:val="14"/>
                <w:sz w:val="22"/>
                <w:szCs w:val="22"/>
                <w:highlight w:val="none"/>
              </w:rPr>
              <w:t>中标</w:t>
            </w:r>
            <w:r>
              <w:rPr>
                <w:rFonts w:ascii="宋体" w:hAnsi="宋体" w:eastAsia="宋体" w:cs="宋体"/>
                <w:spacing w:val="9"/>
                <w:sz w:val="22"/>
                <w:szCs w:val="22"/>
                <w:highlight w:val="none"/>
              </w:rPr>
              <w:t>人</w:t>
            </w:r>
            <w:r>
              <w:rPr>
                <w:rFonts w:ascii="宋体" w:hAnsi="宋体" w:eastAsia="宋体" w:cs="宋体"/>
                <w:spacing w:val="7"/>
                <w:sz w:val="22"/>
                <w:szCs w:val="22"/>
                <w:highlight w:val="none"/>
              </w:rPr>
              <w:t>进场时，如果所提供的人员低于投标阶段以及中标后合同谈判阶段</w:t>
            </w:r>
            <w:r>
              <w:rPr>
                <w:rFonts w:ascii="宋体" w:hAnsi="宋体" w:eastAsia="宋体" w:cs="宋体"/>
                <w:sz w:val="22"/>
                <w:szCs w:val="22"/>
                <w:highlight w:val="none"/>
              </w:rPr>
              <w:t xml:space="preserve"> </w:t>
            </w:r>
            <w:r>
              <w:rPr>
                <w:rFonts w:ascii="宋体" w:hAnsi="宋体" w:eastAsia="宋体" w:cs="宋体"/>
                <w:spacing w:val="16"/>
                <w:sz w:val="22"/>
                <w:szCs w:val="22"/>
                <w:highlight w:val="none"/>
              </w:rPr>
              <w:t>所</w:t>
            </w:r>
            <w:r>
              <w:rPr>
                <w:rFonts w:ascii="宋体" w:hAnsi="宋体" w:eastAsia="宋体" w:cs="宋体"/>
                <w:spacing w:val="10"/>
                <w:sz w:val="22"/>
                <w:szCs w:val="22"/>
                <w:highlight w:val="none"/>
              </w:rPr>
              <w:t>承</w:t>
            </w:r>
            <w:r>
              <w:rPr>
                <w:rFonts w:ascii="宋体" w:hAnsi="宋体" w:eastAsia="宋体" w:cs="宋体"/>
                <w:spacing w:val="8"/>
                <w:sz w:val="22"/>
                <w:szCs w:val="22"/>
                <w:highlight w:val="none"/>
              </w:rPr>
              <w:t>诺的人员最低标准，即被认为未按合同文件规定履约，发包人将有权与中</w:t>
            </w:r>
            <w:r>
              <w:rPr>
                <w:rFonts w:ascii="宋体" w:hAnsi="宋体" w:eastAsia="宋体" w:cs="宋体"/>
                <w:sz w:val="22"/>
                <w:szCs w:val="22"/>
                <w:highlight w:val="none"/>
              </w:rPr>
              <w:t xml:space="preserve"> </w:t>
            </w:r>
            <w:r>
              <w:rPr>
                <w:rFonts w:ascii="宋体" w:hAnsi="宋体" w:eastAsia="宋体" w:cs="宋体"/>
                <w:spacing w:val="9"/>
                <w:sz w:val="22"/>
                <w:szCs w:val="22"/>
                <w:highlight w:val="none"/>
              </w:rPr>
              <w:t>标人解除合同，另行安排其他单位进行施工。</w:t>
            </w:r>
          </w:p>
          <w:p w14:paraId="1BBCB87B">
            <w:pPr>
              <w:spacing w:before="75" w:line="227" w:lineRule="auto"/>
              <w:ind w:left="585"/>
              <w:rPr>
                <w:rFonts w:ascii="宋体" w:hAnsi="宋体" w:eastAsia="宋体" w:cs="宋体"/>
                <w:sz w:val="22"/>
                <w:szCs w:val="22"/>
                <w:highlight w:val="none"/>
              </w:rPr>
            </w:pPr>
            <w:r>
              <w:rPr>
                <w:rFonts w:ascii="宋体" w:hAnsi="宋体" w:eastAsia="宋体" w:cs="宋体"/>
                <w:spacing w:val="-1"/>
                <w:sz w:val="22"/>
                <w:szCs w:val="22"/>
                <w:highlight w:val="none"/>
              </w:rPr>
              <w:t>补充</w:t>
            </w:r>
            <w:r>
              <w:rPr>
                <w:rFonts w:ascii="宋体" w:hAnsi="宋体" w:eastAsia="宋体" w:cs="宋体"/>
                <w:sz w:val="22"/>
                <w:szCs w:val="22"/>
                <w:highlight w:val="none"/>
              </w:rPr>
              <w:t xml:space="preserve">第 </w:t>
            </w:r>
            <w:r>
              <w:rPr>
                <w:rFonts w:ascii="Times New Roman" w:hAnsi="Times New Roman" w:eastAsia="Times New Roman" w:cs="Times New Roman"/>
                <w:sz w:val="22"/>
                <w:szCs w:val="22"/>
                <w:highlight w:val="none"/>
              </w:rPr>
              <w:t xml:space="preserve">7.8.7 </w:t>
            </w:r>
            <w:r>
              <w:rPr>
                <w:rFonts w:ascii="宋体" w:hAnsi="宋体" w:eastAsia="宋体" w:cs="宋体"/>
                <w:sz w:val="22"/>
                <w:szCs w:val="22"/>
                <w:highlight w:val="none"/>
              </w:rPr>
              <w:t>项：</w:t>
            </w:r>
          </w:p>
          <w:p w14:paraId="4855E7AD">
            <w:pPr>
              <w:spacing w:before="117" w:line="324" w:lineRule="auto"/>
              <w:ind w:left="104" w:right="36" w:firstLine="480"/>
              <w:rPr>
                <w:rFonts w:ascii="Arial"/>
                <w:sz w:val="20"/>
                <w:szCs w:val="22"/>
                <w:highlight w:val="none"/>
              </w:rPr>
            </w:pPr>
            <w:r>
              <w:rPr>
                <w:rFonts w:ascii="Times New Roman" w:hAnsi="Times New Roman" w:eastAsia="Times New Roman" w:cs="Times New Roman"/>
                <w:spacing w:val="20"/>
                <w:sz w:val="22"/>
                <w:szCs w:val="22"/>
                <w:highlight w:val="none"/>
              </w:rPr>
              <w:t>7</w:t>
            </w:r>
            <w:r>
              <w:rPr>
                <w:rFonts w:ascii="Times New Roman" w:hAnsi="Times New Roman" w:eastAsia="Times New Roman" w:cs="Times New Roman"/>
                <w:spacing w:val="15"/>
                <w:sz w:val="22"/>
                <w:szCs w:val="22"/>
                <w:highlight w:val="none"/>
              </w:rPr>
              <w:t>.</w:t>
            </w:r>
            <w:r>
              <w:rPr>
                <w:rFonts w:ascii="Times New Roman" w:hAnsi="Times New Roman" w:eastAsia="Times New Roman" w:cs="Times New Roman"/>
                <w:spacing w:val="10"/>
                <w:sz w:val="22"/>
                <w:szCs w:val="22"/>
                <w:highlight w:val="none"/>
              </w:rPr>
              <w:t xml:space="preserve">8.7  </w:t>
            </w:r>
            <w:r>
              <w:rPr>
                <w:rFonts w:ascii="宋体" w:hAnsi="宋体" w:eastAsia="宋体" w:cs="宋体"/>
                <w:spacing w:val="10"/>
                <w:sz w:val="22"/>
                <w:szCs w:val="22"/>
                <w:highlight w:val="none"/>
              </w:rPr>
              <w:t xml:space="preserve">如果根据投标人须知第 </w:t>
            </w:r>
            <w:r>
              <w:rPr>
                <w:rFonts w:ascii="Times New Roman" w:hAnsi="Times New Roman" w:eastAsia="Times New Roman" w:cs="Times New Roman"/>
                <w:spacing w:val="10"/>
                <w:sz w:val="22"/>
                <w:szCs w:val="22"/>
                <w:highlight w:val="none"/>
              </w:rPr>
              <w:t xml:space="preserve">3.5.3 </w:t>
            </w:r>
            <w:r>
              <w:rPr>
                <w:rFonts w:ascii="宋体" w:hAnsi="宋体" w:eastAsia="宋体" w:cs="宋体"/>
                <w:spacing w:val="10"/>
                <w:sz w:val="22"/>
                <w:szCs w:val="22"/>
                <w:highlight w:val="none"/>
              </w:rPr>
              <w:t>项 (适用于已进行资格预审的) 、第</w:t>
            </w:r>
            <w:r>
              <w:rPr>
                <w:rFonts w:ascii="宋体" w:hAnsi="宋体" w:eastAsia="宋体" w:cs="宋体"/>
                <w:sz w:val="22"/>
                <w:szCs w:val="22"/>
                <w:highlight w:val="none"/>
              </w:rPr>
              <w:t xml:space="preserve"> </w:t>
            </w:r>
            <w:r>
              <w:rPr>
                <w:rFonts w:ascii="Times New Roman" w:hAnsi="Times New Roman" w:eastAsia="Times New Roman" w:cs="Times New Roman"/>
                <w:spacing w:val="4"/>
                <w:sz w:val="22"/>
                <w:szCs w:val="22"/>
                <w:highlight w:val="none"/>
              </w:rPr>
              <w:t xml:space="preserve">3.5. 11 </w:t>
            </w:r>
            <w:r>
              <w:rPr>
                <w:rFonts w:ascii="宋体" w:hAnsi="宋体" w:eastAsia="宋体" w:cs="宋体"/>
                <w:spacing w:val="4"/>
                <w:sz w:val="22"/>
                <w:szCs w:val="22"/>
                <w:highlight w:val="none"/>
              </w:rPr>
              <w:t>项 (适用于未</w:t>
            </w:r>
            <w:r>
              <w:rPr>
                <w:rFonts w:ascii="宋体" w:hAnsi="宋体" w:eastAsia="宋体" w:cs="宋体"/>
                <w:spacing w:val="3"/>
                <w:sz w:val="22"/>
                <w:szCs w:val="22"/>
                <w:highlight w:val="none"/>
              </w:rPr>
              <w:t>进</w:t>
            </w:r>
            <w:r>
              <w:rPr>
                <w:rFonts w:ascii="宋体" w:hAnsi="宋体" w:eastAsia="宋体" w:cs="宋体"/>
                <w:spacing w:val="2"/>
                <w:sz w:val="22"/>
                <w:szCs w:val="22"/>
                <w:highlight w:val="none"/>
              </w:rPr>
              <w:t>行资格预审的) 规定，招标人取消了中标人的中标资格，</w:t>
            </w:r>
            <w:r>
              <w:rPr>
                <w:rFonts w:ascii="宋体" w:hAnsi="宋体" w:eastAsia="宋体" w:cs="宋体"/>
                <w:sz w:val="22"/>
                <w:szCs w:val="22"/>
                <w:highlight w:val="none"/>
              </w:rPr>
              <w:t xml:space="preserve"> </w:t>
            </w:r>
            <w:r>
              <w:rPr>
                <w:rFonts w:ascii="宋体" w:hAnsi="宋体" w:eastAsia="宋体" w:cs="宋体"/>
                <w:spacing w:val="16"/>
                <w:sz w:val="22"/>
                <w:szCs w:val="22"/>
                <w:highlight w:val="none"/>
              </w:rPr>
              <w:t>招</w:t>
            </w:r>
            <w:r>
              <w:rPr>
                <w:rFonts w:ascii="宋体" w:hAnsi="宋体" w:eastAsia="宋体" w:cs="宋体"/>
                <w:spacing w:val="11"/>
                <w:sz w:val="22"/>
                <w:szCs w:val="22"/>
                <w:highlight w:val="none"/>
              </w:rPr>
              <w:t>标</w:t>
            </w:r>
            <w:r>
              <w:rPr>
                <w:rFonts w:ascii="宋体" w:hAnsi="宋体" w:eastAsia="宋体" w:cs="宋体"/>
                <w:spacing w:val="8"/>
                <w:sz w:val="22"/>
                <w:szCs w:val="22"/>
                <w:highlight w:val="none"/>
              </w:rPr>
              <w:t>人将以《中华人民共和国招标投标法》、《中华人民共和国招标投标法实</w:t>
            </w:r>
            <w:r>
              <w:rPr>
                <w:rFonts w:ascii="宋体" w:hAnsi="宋体" w:eastAsia="宋体" w:cs="宋体"/>
                <w:sz w:val="22"/>
                <w:szCs w:val="22"/>
                <w:highlight w:val="none"/>
              </w:rPr>
              <w:t xml:space="preserve"> </w:t>
            </w:r>
            <w:r>
              <w:rPr>
                <w:rFonts w:ascii="宋体" w:hAnsi="宋体" w:eastAsia="宋体" w:cs="宋体"/>
                <w:spacing w:val="6"/>
                <w:sz w:val="22"/>
                <w:szCs w:val="22"/>
                <w:highlight w:val="none"/>
              </w:rPr>
              <w:t>施条例</w:t>
            </w:r>
            <w:r>
              <w:rPr>
                <w:rFonts w:ascii="宋体" w:hAnsi="宋体" w:eastAsia="宋体" w:cs="宋体"/>
                <w:spacing w:val="4"/>
                <w:sz w:val="22"/>
                <w:szCs w:val="22"/>
                <w:highlight w:val="none"/>
              </w:rPr>
              <w:t>》</w:t>
            </w:r>
            <w:r>
              <w:rPr>
                <w:rFonts w:ascii="宋体" w:hAnsi="宋体" w:eastAsia="宋体" w:cs="宋体"/>
                <w:spacing w:val="3"/>
                <w:sz w:val="22"/>
                <w:szCs w:val="22"/>
                <w:highlight w:val="none"/>
              </w:rPr>
              <w:t>为依据，参照《公路工程建设项目招标投标管理办法》重新组织招标；</w:t>
            </w:r>
            <w:r>
              <w:rPr>
                <w:rFonts w:ascii="宋体" w:hAnsi="宋体" w:eastAsia="宋体" w:cs="宋体"/>
                <w:sz w:val="22"/>
                <w:szCs w:val="22"/>
                <w:highlight w:val="none"/>
              </w:rPr>
              <w:t xml:space="preserve"> </w:t>
            </w:r>
            <w:r>
              <w:rPr>
                <w:rFonts w:ascii="宋体" w:hAnsi="宋体" w:eastAsia="宋体" w:cs="宋体"/>
                <w:spacing w:val="4"/>
                <w:sz w:val="22"/>
                <w:szCs w:val="22"/>
                <w:highlight w:val="none"/>
              </w:rPr>
              <w:t xml:space="preserve">如果根据投标人须知第 </w:t>
            </w:r>
            <w:r>
              <w:rPr>
                <w:rFonts w:ascii="Times New Roman" w:hAnsi="Times New Roman" w:eastAsia="Times New Roman" w:cs="Times New Roman"/>
                <w:spacing w:val="3"/>
                <w:sz w:val="22"/>
                <w:szCs w:val="22"/>
                <w:highlight w:val="none"/>
              </w:rPr>
              <w:t>7</w:t>
            </w:r>
            <w:r>
              <w:rPr>
                <w:rFonts w:ascii="Times New Roman" w:hAnsi="Times New Roman" w:eastAsia="Times New Roman" w:cs="Times New Roman"/>
                <w:spacing w:val="2"/>
                <w:sz w:val="22"/>
                <w:szCs w:val="22"/>
                <w:highlight w:val="none"/>
              </w:rPr>
              <w:t xml:space="preserve">.7.2 </w:t>
            </w:r>
            <w:r>
              <w:rPr>
                <w:rFonts w:ascii="宋体" w:hAnsi="宋体" w:eastAsia="宋体" w:cs="宋体"/>
                <w:spacing w:val="2"/>
                <w:sz w:val="22"/>
                <w:szCs w:val="22"/>
                <w:highlight w:val="none"/>
              </w:rPr>
              <w:t xml:space="preserve">项或第 </w:t>
            </w:r>
            <w:r>
              <w:rPr>
                <w:rFonts w:ascii="Times New Roman" w:hAnsi="Times New Roman" w:eastAsia="Times New Roman" w:cs="Times New Roman"/>
                <w:spacing w:val="2"/>
                <w:sz w:val="22"/>
                <w:szCs w:val="22"/>
                <w:highlight w:val="none"/>
              </w:rPr>
              <w:t xml:space="preserve">7.8. 1 </w:t>
            </w:r>
            <w:r>
              <w:rPr>
                <w:rFonts w:ascii="宋体" w:hAnsi="宋体" w:eastAsia="宋体" w:cs="宋体"/>
                <w:spacing w:val="2"/>
                <w:sz w:val="22"/>
                <w:szCs w:val="22"/>
                <w:highlight w:val="none"/>
              </w:rPr>
              <w:t>项规定，招标人取消了中标人的中标</w:t>
            </w:r>
            <w:r>
              <w:rPr>
                <w:rFonts w:ascii="宋体" w:hAnsi="宋体" w:eastAsia="宋体" w:cs="宋体"/>
                <w:sz w:val="22"/>
                <w:szCs w:val="22"/>
                <w:highlight w:val="none"/>
              </w:rPr>
              <w:t xml:space="preserve"> </w:t>
            </w:r>
            <w:r>
              <w:rPr>
                <w:rFonts w:ascii="宋体" w:hAnsi="宋体" w:eastAsia="宋体" w:cs="宋体"/>
                <w:spacing w:val="16"/>
                <w:sz w:val="22"/>
                <w:szCs w:val="22"/>
                <w:highlight w:val="none"/>
              </w:rPr>
              <w:t>资</w:t>
            </w:r>
            <w:r>
              <w:rPr>
                <w:rFonts w:ascii="宋体" w:hAnsi="宋体" w:eastAsia="宋体" w:cs="宋体"/>
                <w:spacing w:val="11"/>
                <w:sz w:val="22"/>
                <w:szCs w:val="22"/>
                <w:highlight w:val="none"/>
              </w:rPr>
              <w:t>格</w:t>
            </w:r>
            <w:r>
              <w:rPr>
                <w:rFonts w:ascii="宋体" w:hAnsi="宋体" w:eastAsia="宋体" w:cs="宋体"/>
                <w:spacing w:val="8"/>
                <w:sz w:val="22"/>
                <w:szCs w:val="22"/>
                <w:highlight w:val="none"/>
              </w:rPr>
              <w:t>，招标人可将合同授予下一个中标候选人，或者以《中华人民共和国招标</w:t>
            </w:r>
            <w:r>
              <w:rPr>
                <w:rFonts w:ascii="宋体" w:hAnsi="宋体" w:eastAsia="宋体" w:cs="宋体"/>
                <w:sz w:val="22"/>
                <w:szCs w:val="22"/>
                <w:highlight w:val="none"/>
              </w:rPr>
              <w:t xml:space="preserve"> </w:t>
            </w:r>
            <w:r>
              <w:rPr>
                <w:rFonts w:ascii="宋体" w:hAnsi="宋体" w:eastAsia="宋体" w:cs="宋体"/>
                <w:spacing w:val="16"/>
                <w:sz w:val="22"/>
                <w:szCs w:val="22"/>
                <w:highlight w:val="none"/>
              </w:rPr>
              <w:t>投</w:t>
            </w:r>
            <w:r>
              <w:rPr>
                <w:rFonts w:ascii="宋体" w:hAnsi="宋体" w:eastAsia="宋体" w:cs="宋体"/>
                <w:spacing w:val="11"/>
                <w:sz w:val="22"/>
                <w:szCs w:val="22"/>
                <w:highlight w:val="none"/>
              </w:rPr>
              <w:t>标</w:t>
            </w:r>
            <w:r>
              <w:rPr>
                <w:rFonts w:ascii="宋体" w:hAnsi="宋体" w:eastAsia="宋体" w:cs="宋体"/>
                <w:spacing w:val="8"/>
                <w:sz w:val="22"/>
                <w:szCs w:val="22"/>
                <w:highlight w:val="none"/>
              </w:rPr>
              <w:t>法》、《中华人民共和国招标投标法实施条例》为依据，参照《公路工程</w:t>
            </w:r>
            <w:r>
              <w:rPr>
                <w:rFonts w:ascii="宋体" w:hAnsi="宋体" w:eastAsia="宋体" w:cs="宋体"/>
                <w:sz w:val="22"/>
                <w:szCs w:val="22"/>
                <w:highlight w:val="none"/>
              </w:rPr>
              <w:t xml:space="preserve"> </w:t>
            </w:r>
            <w:r>
              <w:rPr>
                <w:rFonts w:ascii="宋体" w:hAnsi="宋体" w:eastAsia="宋体" w:cs="宋体"/>
                <w:spacing w:val="10"/>
                <w:sz w:val="22"/>
                <w:szCs w:val="22"/>
                <w:highlight w:val="none"/>
              </w:rPr>
              <w:t>建</w:t>
            </w:r>
            <w:r>
              <w:rPr>
                <w:rFonts w:ascii="宋体" w:hAnsi="宋体" w:eastAsia="宋体" w:cs="宋体"/>
                <w:spacing w:val="9"/>
                <w:sz w:val="22"/>
                <w:szCs w:val="22"/>
                <w:highlight w:val="none"/>
              </w:rPr>
              <w:t>设项目招标投标管理办法》重新组织招标。</w:t>
            </w:r>
          </w:p>
          <w:p w14:paraId="08A845D9">
            <w:pPr>
              <w:spacing w:before="75" w:line="227" w:lineRule="auto"/>
              <w:ind w:left="585"/>
              <w:rPr>
                <w:rFonts w:ascii="宋体" w:hAnsi="宋体" w:eastAsia="宋体" w:cs="宋体"/>
                <w:sz w:val="22"/>
                <w:szCs w:val="22"/>
                <w:highlight w:val="none"/>
              </w:rPr>
            </w:pPr>
            <w:r>
              <w:rPr>
                <w:rFonts w:ascii="宋体" w:hAnsi="宋体" w:eastAsia="宋体" w:cs="宋体"/>
                <w:spacing w:val="-1"/>
                <w:sz w:val="22"/>
                <w:szCs w:val="22"/>
                <w:highlight w:val="none"/>
              </w:rPr>
              <w:t>补充</w:t>
            </w:r>
            <w:r>
              <w:rPr>
                <w:rFonts w:ascii="宋体" w:hAnsi="宋体" w:eastAsia="宋体" w:cs="宋体"/>
                <w:sz w:val="22"/>
                <w:szCs w:val="22"/>
                <w:highlight w:val="none"/>
              </w:rPr>
              <w:t xml:space="preserve">第 </w:t>
            </w:r>
            <w:r>
              <w:rPr>
                <w:rFonts w:ascii="Times New Roman" w:hAnsi="Times New Roman" w:eastAsia="Times New Roman" w:cs="Times New Roman"/>
                <w:sz w:val="22"/>
                <w:szCs w:val="22"/>
                <w:highlight w:val="none"/>
              </w:rPr>
              <w:t xml:space="preserve">7.8.8 </w:t>
            </w:r>
            <w:r>
              <w:rPr>
                <w:rFonts w:ascii="宋体" w:hAnsi="宋体" w:eastAsia="宋体" w:cs="宋体"/>
                <w:sz w:val="22"/>
                <w:szCs w:val="22"/>
                <w:highlight w:val="none"/>
              </w:rPr>
              <w:t>项：</w:t>
            </w:r>
          </w:p>
          <w:p w14:paraId="3BCF9F82">
            <w:pPr>
              <w:spacing w:before="117" w:line="230" w:lineRule="auto"/>
              <w:ind w:left="585"/>
              <w:rPr>
                <w:rFonts w:ascii="黑体" w:hAnsi="黑体" w:eastAsia="黑体" w:cs="黑体"/>
                <w:sz w:val="22"/>
                <w:szCs w:val="22"/>
                <w:highlight w:val="none"/>
              </w:rPr>
            </w:pPr>
            <w:r>
              <w:rPr>
                <w:rFonts w:ascii="Times New Roman" w:hAnsi="Times New Roman" w:eastAsia="Times New Roman" w:cs="Times New Roman"/>
                <w:spacing w:val="12"/>
                <w:sz w:val="22"/>
                <w:szCs w:val="22"/>
                <w:highlight w:val="none"/>
              </w:rPr>
              <w:t>7</w:t>
            </w:r>
            <w:r>
              <w:rPr>
                <w:rFonts w:ascii="Times New Roman" w:hAnsi="Times New Roman" w:eastAsia="Times New Roman" w:cs="Times New Roman"/>
                <w:spacing w:val="9"/>
                <w:sz w:val="22"/>
                <w:szCs w:val="22"/>
                <w:highlight w:val="none"/>
              </w:rPr>
              <w:t>.</w:t>
            </w:r>
            <w:r>
              <w:rPr>
                <w:rFonts w:ascii="Times New Roman" w:hAnsi="Times New Roman" w:eastAsia="Times New Roman" w:cs="Times New Roman"/>
                <w:spacing w:val="6"/>
                <w:sz w:val="22"/>
                <w:szCs w:val="22"/>
                <w:highlight w:val="none"/>
              </w:rPr>
              <w:t xml:space="preserve">8.8 </w:t>
            </w:r>
            <w:r>
              <w:rPr>
                <w:rFonts w:ascii="黑体" w:hAnsi="黑体" w:eastAsia="黑体" w:cs="黑体"/>
                <w:spacing w:val="6"/>
                <w:sz w:val="22"/>
                <w:szCs w:val="22"/>
                <w:highlight w:val="none"/>
              </w:rPr>
              <w:t>不平衡单价的调整</w:t>
            </w:r>
          </w:p>
          <w:p w14:paraId="7866C92C">
            <w:pPr>
              <w:spacing w:before="114" w:line="321" w:lineRule="auto"/>
              <w:ind w:left="106" w:right="97" w:firstLine="482"/>
              <w:rPr>
                <w:rFonts w:ascii="宋体" w:hAnsi="宋体" w:eastAsia="宋体" w:cs="宋体"/>
                <w:spacing w:val="18"/>
                <w:sz w:val="22"/>
                <w:szCs w:val="22"/>
                <w:highlight w:val="none"/>
              </w:rPr>
            </w:pPr>
            <w:r>
              <w:rPr>
                <w:rFonts w:ascii="宋体" w:hAnsi="宋体" w:eastAsia="宋体" w:cs="宋体"/>
                <w:spacing w:val="30"/>
                <w:sz w:val="22"/>
                <w:szCs w:val="22"/>
                <w:highlight w:val="none"/>
              </w:rPr>
              <w:t>如</w:t>
            </w:r>
            <w:r>
              <w:rPr>
                <w:rFonts w:ascii="宋体" w:hAnsi="宋体" w:eastAsia="宋体" w:cs="宋体"/>
                <w:spacing w:val="23"/>
                <w:sz w:val="22"/>
                <w:szCs w:val="22"/>
                <w:highlight w:val="none"/>
              </w:rPr>
              <w:t>果</w:t>
            </w:r>
            <w:r>
              <w:rPr>
                <w:rFonts w:ascii="宋体" w:hAnsi="宋体" w:eastAsia="宋体" w:cs="宋体"/>
                <w:spacing w:val="15"/>
                <w:sz w:val="22"/>
                <w:szCs w:val="22"/>
                <w:highlight w:val="none"/>
              </w:rPr>
              <w:t>招标人在评标结束后发现并认为中标人工程量清单中某些子目的单</w:t>
            </w:r>
            <w:r>
              <w:rPr>
                <w:rFonts w:ascii="宋体" w:hAnsi="宋体" w:eastAsia="宋体" w:cs="宋体"/>
                <w:sz w:val="22"/>
                <w:szCs w:val="22"/>
                <w:highlight w:val="none"/>
              </w:rPr>
              <w:t xml:space="preserve"> </w:t>
            </w:r>
            <w:r>
              <w:rPr>
                <w:rFonts w:ascii="宋体" w:hAnsi="宋体" w:eastAsia="宋体" w:cs="宋体"/>
                <w:spacing w:val="16"/>
                <w:sz w:val="22"/>
                <w:szCs w:val="22"/>
                <w:highlight w:val="none"/>
              </w:rPr>
              <w:t>价</w:t>
            </w:r>
            <w:r>
              <w:rPr>
                <w:rFonts w:ascii="宋体" w:hAnsi="宋体" w:eastAsia="宋体" w:cs="宋体"/>
                <w:spacing w:val="9"/>
                <w:sz w:val="22"/>
                <w:szCs w:val="22"/>
                <w:highlight w:val="none"/>
              </w:rPr>
              <w:t>不</w:t>
            </w:r>
            <w:r>
              <w:rPr>
                <w:rFonts w:ascii="宋体" w:hAnsi="宋体" w:eastAsia="宋体" w:cs="宋体"/>
                <w:spacing w:val="8"/>
                <w:sz w:val="22"/>
                <w:szCs w:val="22"/>
                <w:highlight w:val="none"/>
              </w:rPr>
              <w:t>合理，则招标人可以要求中标人就该类子目的报价进行澄清，或提供详细</w:t>
            </w:r>
            <w:r>
              <w:rPr>
                <w:rFonts w:ascii="宋体" w:hAnsi="宋体" w:eastAsia="宋体" w:cs="宋体"/>
                <w:sz w:val="22"/>
                <w:szCs w:val="22"/>
                <w:highlight w:val="none"/>
              </w:rPr>
              <w:t xml:space="preserve"> </w:t>
            </w:r>
            <w:r>
              <w:rPr>
                <w:rFonts w:ascii="宋体" w:hAnsi="宋体" w:eastAsia="宋体" w:cs="宋体"/>
                <w:spacing w:val="16"/>
                <w:sz w:val="22"/>
                <w:szCs w:val="22"/>
                <w:highlight w:val="none"/>
              </w:rPr>
              <w:t>的</w:t>
            </w:r>
            <w:r>
              <w:rPr>
                <w:rFonts w:ascii="宋体" w:hAnsi="宋体" w:eastAsia="宋体" w:cs="宋体"/>
                <w:spacing w:val="9"/>
                <w:sz w:val="22"/>
                <w:szCs w:val="22"/>
                <w:highlight w:val="none"/>
              </w:rPr>
              <w:t>价</w:t>
            </w:r>
            <w:r>
              <w:rPr>
                <w:rFonts w:ascii="宋体" w:hAnsi="宋体" w:eastAsia="宋体" w:cs="宋体"/>
                <w:spacing w:val="8"/>
                <w:sz w:val="22"/>
                <w:szCs w:val="22"/>
                <w:highlight w:val="none"/>
              </w:rPr>
              <w:t>格分析以证明这些价格在建议的施工方法和计划的条件下具有合理性。如</w:t>
            </w:r>
            <w:r>
              <w:rPr>
                <w:rFonts w:ascii="宋体" w:hAnsi="宋体" w:eastAsia="宋体" w:cs="宋体"/>
                <w:spacing w:val="16"/>
                <w:sz w:val="22"/>
                <w:szCs w:val="22"/>
                <w:highlight w:val="none"/>
              </w:rPr>
              <w:t>不</w:t>
            </w:r>
            <w:r>
              <w:rPr>
                <w:rFonts w:ascii="宋体" w:hAnsi="宋体" w:eastAsia="宋体" w:cs="宋体"/>
                <w:spacing w:val="9"/>
                <w:sz w:val="22"/>
                <w:szCs w:val="22"/>
                <w:highlight w:val="none"/>
              </w:rPr>
              <w:t>能</w:t>
            </w:r>
            <w:r>
              <w:rPr>
                <w:rFonts w:ascii="宋体" w:hAnsi="宋体" w:eastAsia="宋体" w:cs="宋体"/>
                <w:spacing w:val="8"/>
                <w:sz w:val="22"/>
                <w:szCs w:val="22"/>
                <w:highlight w:val="none"/>
              </w:rPr>
              <w:t>证明其合理性，则在签订合同前进行澄清谈判时，招标人将有权按照总价</w:t>
            </w:r>
            <w:r>
              <w:rPr>
                <w:rFonts w:ascii="宋体" w:hAnsi="宋体" w:eastAsia="宋体" w:cs="宋体"/>
                <w:spacing w:val="14"/>
                <w:sz w:val="22"/>
                <w:szCs w:val="22"/>
                <w:highlight w:val="none"/>
              </w:rPr>
              <w:t>不</w:t>
            </w:r>
            <w:r>
              <w:rPr>
                <w:rFonts w:ascii="宋体" w:hAnsi="宋体" w:eastAsia="宋体" w:cs="宋体"/>
                <w:spacing w:val="8"/>
                <w:sz w:val="22"/>
                <w:szCs w:val="22"/>
                <w:highlight w:val="none"/>
              </w:rPr>
              <w:t>变的原则对有关单价进行调整。</w:t>
            </w:r>
          </w:p>
        </w:tc>
      </w:tr>
      <w:tr w14:paraId="5EFE25E5">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6733ED8D">
            <w:pPr>
              <w:pageBreakBefore w:val="0"/>
              <w:kinsoku/>
              <w:wordWrap w:val="0"/>
              <w:bidi w:val="0"/>
              <w:spacing w:line="440" w:lineRule="exact"/>
              <w:jc w:val="center"/>
              <w:rPr>
                <w:rFonts w:hint="eastAsia" w:cs="Times New Roman"/>
                <w:color w:val="000000"/>
                <w:kern w:val="2"/>
                <w:sz w:val="22"/>
                <w:szCs w:val="22"/>
                <w:highlight w:val="none"/>
                <w:lang w:val="en-US" w:eastAsia="zh-CN" w:bidi="ar-SA"/>
              </w:rPr>
            </w:pPr>
          </w:p>
        </w:tc>
        <w:tc>
          <w:tcPr>
            <w:tcW w:w="8821" w:type="dxa"/>
            <w:gridSpan w:val="2"/>
            <w:tcBorders>
              <w:top w:val="single" w:color="auto" w:sz="4" w:space="0"/>
              <w:left w:val="single" w:color="auto" w:sz="4" w:space="0"/>
              <w:bottom w:val="single" w:color="auto" w:sz="4" w:space="0"/>
              <w:right w:val="single" w:color="auto" w:sz="4" w:space="0"/>
            </w:tcBorders>
            <w:noWrap w:val="0"/>
            <w:vAlign w:val="center"/>
          </w:tcPr>
          <w:p w14:paraId="1A168F29">
            <w:pPr>
              <w:spacing w:before="116" w:line="230" w:lineRule="auto"/>
              <w:ind w:left="103"/>
              <w:rPr>
                <w:rFonts w:ascii="黑体" w:hAnsi="黑体" w:eastAsia="黑体" w:cs="黑体"/>
                <w:sz w:val="22"/>
                <w:szCs w:val="22"/>
                <w:highlight w:val="none"/>
              </w:rPr>
            </w:pPr>
            <w:r>
              <w:rPr>
                <w:rFonts w:ascii="黑体" w:hAnsi="黑体" w:eastAsia="黑体" w:cs="黑体"/>
                <w:spacing w:val="-1"/>
                <w:sz w:val="22"/>
                <w:szCs w:val="22"/>
                <w:highlight w:val="none"/>
              </w:rPr>
              <w:t>补充第</w:t>
            </w:r>
            <w:r>
              <w:rPr>
                <w:rFonts w:ascii="黑体" w:hAnsi="黑体" w:eastAsia="黑体" w:cs="黑体"/>
                <w:sz w:val="22"/>
                <w:szCs w:val="22"/>
                <w:highlight w:val="none"/>
              </w:rPr>
              <w:t xml:space="preserve"> </w:t>
            </w:r>
            <w:r>
              <w:rPr>
                <w:rFonts w:hint="eastAsia" w:eastAsia="宋体" w:cs="Times New Roman"/>
                <w:sz w:val="22"/>
                <w:szCs w:val="22"/>
                <w:highlight w:val="none"/>
                <w:lang w:val="en-US" w:eastAsia="zh-CN"/>
              </w:rPr>
              <w:t>9.</w:t>
            </w:r>
            <w:r>
              <w:rPr>
                <w:rFonts w:hint="eastAsia" w:cs="Times New Roman"/>
                <w:sz w:val="22"/>
                <w:szCs w:val="22"/>
                <w:highlight w:val="none"/>
                <w:lang w:val="en-US" w:eastAsia="zh-CN"/>
              </w:rPr>
              <w:t>5</w:t>
            </w:r>
            <w:r>
              <w:rPr>
                <w:rFonts w:ascii="Times New Roman" w:hAnsi="Times New Roman" w:eastAsia="Times New Roman" w:cs="Times New Roman"/>
                <w:sz w:val="22"/>
                <w:szCs w:val="22"/>
                <w:highlight w:val="none"/>
              </w:rPr>
              <w:t xml:space="preserve"> </w:t>
            </w:r>
            <w:r>
              <w:rPr>
                <w:rFonts w:ascii="黑体" w:hAnsi="黑体" w:eastAsia="黑体" w:cs="黑体"/>
                <w:sz w:val="22"/>
                <w:szCs w:val="22"/>
                <w:highlight w:val="none"/>
              </w:rPr>
              <w:t>款：</w:t>
            </w:r>
          </w:p>
          <w:p w14:paraId="6C923C47">
            <w:pPr>
              <w:spacing w:before="114" w:line="231" w:lineRule="auto"/>
              <w:ind w:left="584"/>
              <w:rPr>
                <w:rFonts w:ascii="黑体" w:hAnsi="黑体" w:eastAsia="黑体" w:cs="黑体"/>
                <w:sz w:val="22"/>
                <w:szCs w:val="22"/>
                <w:highlight w:val="none"/>
              </w:rPr>
            </w:pPr>
            <w:r>
              <w:rPr>
                <w:rFonts w:ascii="黑体" w:hAnsi="黑体" w:eastAsia="黑体" w:cs="黑体"/>
                <w:spacing w:val="18"/>
                <w:sz w:val="22"/>
                <w:szCs w:val="22"/>
                <w:highlight w:val="none"/>
              </w:rPr>
              <w:t>任</w:t>
            </w:r>
            <w:r>
              <w:rPr>
                <w:rFonts w:ascii="黑体" w:hAnsi="黑体" w:eastAsia="黑体" w:cs="黑体"/>
                <w:spacing w:val="9"/>
                <w:sz w:val="22"/>
                <w:szCs w:val="22"/>
                <w:highlight w:val="none"/>
              </w:rPr>
              <w:t>一标段存在下列情形之一的，招标人将对对应标段重新招标：</w:t>
            </w:r>
          </w:p>
          <w:p w14:paraId="50EAA74B">
            <w:pPr>
              <w:spacing w:before="110" w:line="221" w:lineRule="auto"/>
              <w:ind w:left="486"/>
              <w:rPr>
                <w:rFonts w:ascii="黑体" w:hAnsi="黑体" w:eastAsia="黑体" w:cs="黑体"/>
                <w:sz w:val="22"/>
                <w:szCs w:val="22"/>
                <w:highlight w:val="none"/>
              </w:rPr>
            </w:pPr>
            <w:r>
              <w:rPr>
                <w:rFonts w:ascii="黑体" w:hAnsi="黑体" w:eastAsia="黑体" w:cs="黑体"/>
                <w:spacing w:val="18"/>
                <w:sz w:val="22"/>
                <w:szCs w:val="22"/>
                <w:highlight w:val="none"/>
              </w:rPr>
              <w:t>(</w:t>
            </w:r>
            <w:r>
              <w:rPr>
                <w:rFonts w:ascii="Times New Roman" w:hAnsi="Times New Roman" w:eastAsia="Times New Roman" w:cs="Times New Roman"/>
                <w:spacing w:val="18"/>
                <w:sz w:val="22"/>
                <w:szCs w:val="22"/>
                <w:highlight w:val="none"/>
              </w:rPr>
              <w:t>1</w:t>
            </w:r>
            <w:r>
              <w:rPr>
                <w:rFonts w:ascii="黑体" w:hAnsi="黑体" w:eastAsia="黑体" w:cs="黑体"/>
                <w:spacing w:val="9"/>
                <w:sz w:val="22"/>
                <w:szCs w:val="22"/>
                <w:highlight w:val="none"/>
              </w:rPr>
              <w:t xml:space="preserve">) 投标截止时间止，递交投标文件或投标保证金的投标人少于 </w:t>
            </w:r>
            <w:r>
              <w:rPr>
                <w:rFonts w:ascii="Times New Roman" w:hAnsi="Times New Roman" w:eastAsia="Times New Roman" w:cs="Times New Roman"/>
                <w:spacing w:val="9"/>
                <w:sz w:val="22"/>
                <w:szCs w:val="22"/>
                <w:highlight w:val="none"/>
              </w:rPr>
              <w:t xml:space="preserve">3 </w:t>
            </w:r>
            <w:r>
              <w:rPr>
                <w:rFonts w:ascii="黑体" w:hAnsi="黑体" w:eastAsia="黑体" w:cs="黑体"/>
                <w:spacing w:val="9"/>
                <w:sz w:val="22"/>
                <w:szCs w:val="22"/>
                <w:highlight w:val="none"/>
              </w:rPr>
              <w:t>个的；</w:t>
            </w:r>
          </w:p>
          <w:p w14:paraId="12C70B94">
            <w:pPr>
              <w:pageBreakBefore w:val="0"/>
              <w:kinsoku/>
              <w:wordWrap w:val="0"/>
              <w:bidi w:val="0"/>
              <w:spacing w:line="440" w:lineRule="exact"/>
              <w:ind w:firstLine="492" w:firstLineChars="200"/>
              <w:jc w:val="left"/>
              <w:rPr>
                <w:rFonts w:ascii="黑体" w:hAnsi="黑体" w:eastAsia="黑体" w:cs="黑体"/>
                <w:spacing w:val="9"/>
                <w:sz w:val="22"/>
                <w:szCs w:val="22"/>
                <w:highlight w:val="none"/>
              </w:rPr>
            </w:pPr>
            <w:r>
              <w:rPr>
                <w:rFonts w:ascii="黑体" w:hAnsi="黑体" w:eastAsia="黑体" w:cs="黑体"/>
                <w:spacing w:val="13"/>
                <w:sz w:val="22"/>
                <w:szCs w:val="22"/>
                <w:highlight w:val="none"/>
              </w:rPr>
              <w:t>(</w:t>
            </w:r>
            <w:r>
              <w:rPr>
                <w:rFonts w:ascii="Times New Roman" w:hAnsi="Times New Roman" w:eastAsia="Times New Roman" w:cs="Times New Roman"/>
                <w:spacing w:val="13"/>
                <w:sz w:val="22"/>
                <w:szCs w:val="22"/>
                <w:highlight w:val="none"/>
              </w:rPr>
              <w:t>2</w:t>
            </w:r>
            <w:r>
              <w:rPr>
                <w:rFonts w:ascii="黑体" w:hAnsi="黑体" w:eastAsia="黑体" w:cs="黑体"/>
                <w:spacing w:val="13"/>
                <w:sz w:val="22"/>
                <w:szCs w:val="22"/>
                <w:highlight w:val="none"/>
              </w:rPr>
              <w:t>) 经评标委员会评审后否决所有投标的</w:t>
            </w:r>
            <w:r>
              <w:rPr>
                <w:rFonts w:ascii="黑体" w:hAnsi="黑体" w:eastAsia="黑体" w:cs="黑体"/>
                <w:spacing w:val="9"/>
                <w:sz w:val="22"/>
                <w:szCs w:val="22"/>
                <w:highlight w:val="none"/>
              </w:rPr>
              <w:t>；</w:t>
            </w:r>
          </w:p>
          <w:p w14:paraId="5EF82DCE">
            <w:pPr>
              <w:spacing w:before="111" w:line="221" w:lineRule="auto"/>
              <w:ind w:left="486"/>
              <w:rPr>
                <w:rFonts w:ascii="黑体" w:hAnsi="黑体" w:eastAsia="黑体" w:cs="黑体"/>
                <w:sz w:val="22"/>
                <w:szCs w:val="22"/>
                <w:highlight w:val="none"/>
              </w:rPr>
            </w:pPr>
            <w:r>
              <w:rPr>
                <w:rFonts w:ascii="黑体" w:hAnsi="黑体" w:eastAsia="黑体" w:cs="黑体"/>
                <w:spacing w:val="24"/>
                <w:sz w:val="22"/>
                <w:szCs w:val="22"/>
                <w:highlight w:val="none"/>
              </w:rPr>
              <w:t>(</w:t>
            </w:r>
            <w:r>
              <w:rPr>
                <w:rFonts w:ascii="Times New Roman" w:hAnsi="Times New Roman" w:eastAsia="Times New Roman" w:cs="Times New Roman"/>
                <w:spacing w:val="13"/>
                <w:sz w:val="22"/>
                <w:szCs w:val="22"/>
                <w:highlight w:val="none"/>
              </w:rPr>
              <w:t>3</w:t>
            </w:r>
            <w:r>
              <w:rPr>
                <w:rFonts w:ascii="黑体" w:hAnsi="黑体" w:eastAsia="黑体" w:cs="黑体"/>
                <w:spacing w:val="12"/>
                <w:sz w:val="22"/>
                <w:szCs w:val="22"/>
                <w:highlight w:val="none"/>
              </w:rPr>
              <w:t>) 经评标委员会评审后未推荐中标候选人的；</w:t>
            </w:r>
          </w:p>
          <w:p w14:paraId="695CD63D">
            <w:pPr>
              <w:spacing w:before="125" w:line="221" w:lineRule="auto"/>
              <w:ind w:left="486"/>
              <w:rPr>
                <w:rFonts w:ascii="黑体" w:hAnsi="黑体" w:eastAsia="黑体" w:cs="黑体"/>
                <w:sz w:val="22"/>
                <w:szCs w:val="22"/>
                <w:highlight w:val="none"/>
              </w:rPr>
            </w:pPr>
            <w:r>
              <w:rPr>
                <w:rFonts w:ascii="黑体" w:hAnsi="黑体" w:eastAsia="黑体" w:cs="黑体"/>
                <w:spacing w:val="13"/>
                <w:sz w:val="22"/>
                <w:szCs w:val="22"/>
                <w:highlight w:val="none"/>
              </w:rPr>
              <w:t>(</w:t>
            </w:r>
            <w:r>
              <w:rPr>
                <w:rFonts w:ascii="Times New Roman" w:hAnsi="Times New Roman" w:eastAsia="Times New Roman" w:cs="Times New Roman"/>
                <w:spacing w:val="13"/>
                <w:sz w:val="22"/>
                <w:szCs w:val="22"/>
                <w:highlight w:val="none"/>
              </w:rPr>
              <w:t>4</w:t>
            </w:r>
            <w:r>
              <w:rPr>
                <w:rFonts w:ascii="黑体" w:hAnsi="黑体" w:eastAsia="黑体" w:cs="黑体"/>
                <w:spacing w:val="13"/>
                <w:sz w:val="22"/>
                <w:szCs w:val="22"/>
                <w:highlight w:val="none"/>
              </w:rPr>
              <w:t>) 中标候选人均未与招标人签订合同的</w:t>
            </w:r>
            <w:r>
              <w:rPr>
                <w:rFonts w:ascii="黑体" w:hAnsi="黑体" w:eastAsia="黑体" w:cs="黑体"/>
                <w:spacing w:val="9"/>
                <w:sz w:val="22"/>
                <w:szCs w:val="22"/>
                <w:highlight w:val="none"/>
              </w:rPr>
              <w:t>；</w:t>
            </w:r>
          </w:p>
          <w:p w14:paraId="54031D5B">
            <w:pPr>
              <w:pageBreakBefore w:val="0"/>
              <w:kinsoku/>
              <w:wordWrap w:val="0"/>
              <w:bidi w:val="0"/>
              <w:spacing w:line="440" w:lineRule="exact"/>
              <w:ind w:firstLine="508" w:firstLineChars="200"/>
              <w:jc w:val="left"/>
              <w:rPr>
                <w:rFonts w:ascii="黑体" w:hAnsi="黑体" w:eastAsia="黑体" w:cs="黑体"/>
                <w:spacing w:val="9"/>
                <w:sz w:val="22"/>
                <w:szCs w:val="22"/>
                <w:highlight w:val="none"/>
              </w:rPr>
            </w:pPr>
            <w:r>
              <w:rPr>
                <w:rFonts w:ascii="黑体" w:hAnsi="黑体" w:eastAsia="黑体" w:cs="黑体"/>
                <w:spacing w:val="17"/>
                <w:sz w:val="22"/>
                <w:szCs w:val="22"/>
                <w:highlight w:val="none"/>
              </w:rPr>
              <w:t>(</w:t>
            </w:r>
            <w:r>
              <w:rPr>
                <w:rFonts w:ascii="Times New Roman" w:hAnsi="Times New Roman" w:eastAsia="Times New Roman" w:cs="Times New Roman"/>
                <w:spacing w:val="14"/>
                <w:sz w:val="22"/>
                <w:szCs w:val="22"/>
                <w:highlight w:val="none"/>
              </w:rPr>
              <w:t>5</w:t>
            </w:r>
            <w:r>
              <w:rPr>
                <w:rFonts w:ascii="黑体" w:hAnsi="黑体" w:eastAsia="黑体" w:cs="黑体"/>
                <w:spacing w:val="14"/>
                <w:sz w:val="22"/>
                <w:szCs w:val="22"/>
                <w:highlight w:val="none"/>
              </w:rPr>
              <w:t>) 法律规定的其他情形。</w:t>
            </w:r>
          </w:p>
        </w:tc>
      </w:tr>
      <w:tr w14:paraId="0C4B478B">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0B47C1E5">
            <w:pPr>
              <w:pageBreakBefore w:val="0"/>
              <w:kinsoku/>
              <w:wordWrap w:val="0"/>
              <w:bidi w:val="0"/>
              <w:spacing w:line="440" w:lineRule="exact"/>
              <w:jc w:val="center"/>
              <w:rPr>
                <w:rFonts w:hint="eastAsia" w:cs="Times New Roman"/>
                <w:color w:val="000000"/>
                <w:kern w:val="2"/>
                <w:sz w:val="22"/>
                <w:szCs w:val="22"/>
                <w:highlight w:val="none"/>
                <w:lang w:val="en-US" w:eastAsia="zh-CN" w:bidi="ar-SA"/>
              </w:rPr>
            </w:pPr>
          </w:p>
        </w:tc>
        <w:tc>
          <w:tcPr>
            <w:tcW w:w="8821" w:type="dxa"/>
            <w:gridSpan w:val="2"/>
            <w:tcBorders>
              <w:top w:val="single" w:color="auto" w:sz="4" w:space="0"/>
              <w:left w:val="single" w:color="auto" w:sz="4" w:space="0"/>
              <w:bottom w:val="single" w:color="auto" w:sz="4" w:space="0"/>
              <w:right w:val="single" w:color="auto" w:sz="4" w:space="0"/>
            </w:tcBorders>
            <w:noWrap w:val="0"/>
            <w:vAlign w:val="top"/>
          </w:tcPr>
          <w:p w14:paraId="60505A86">
            <w:pPr>
              <w:spacing w:before="112" w:line="230" w:lineRule="auto"/>
              <w:ind w:left="103"/>
              <w:rPr>
                <w:rFonts w:ascii="黑体" w:hAnsi="黑体" w:eastAsia="黑体" w:cs="黑体"/>
                <w:sz w:val="22"/>
                <w:szCs w:val="22"/>
                <w:highlight w:val="none"/>
              </w:rPr>
            </w:pPr>
            <w:r>
              <w:rPr>
                <w:rFonts w:ascii="黑体" w:hAnsi="黑体" w:eastAsia="黑体" w:cs="黑体"/>
                <w:spacing w:val="-1"/>
                <w:sz w:val="22"/>
                <w:szCs w:val="22"/>
                <w:highlight w:val="none"/>
              </w:rPr>
              <w:t>补充第</w:t>
            </w:r>
            <w:r>
              <w:rPr>
                <w:rFonts w:ascii="黑体" w:hAnsi="黑体" w:eastAsia="黑体" w:cs="黑体"/>
                <w:sz w:val="22"/>
                <w:szCs w:val="22"/>
                <w:highlight w:val="none"/>
              </w:rPr>
              <w:t xml:space="preserve"> </w:t>
            </w:r>
            <w:r>
              <w:rPr>
                <w:rFonts w:hint="eastAsia" w:eastAsia="宋体" w:cs="Times New Roman"/>
                <w:sz w:val="22"/>
                <w:szCs w:val="22"/>
                <w:highlight w:val="none"/>
                <w:lang w:val="en-US" w:eastAsia="zh-CN"/>
              </w:rPr>
              <w:t>9.</w:t>
            </w:r>
            <w:r>
              <w:rPr>
                <w:rFonts w:hint="eastAsia" w:cs="Times New Roman"/>
                <w:sz w:val="22"/>
                <w:szCs w:val="22"/>
                <w:highlight w:val="none"/>
                <w:lang w:val="en-US" w:eastAsia="zh-CN"/>
              </w:rPr>
              <w:t>6</w:t>
            </w:r>
            <w:r>
              <w:rPr>
                <w:rFonts w:ascii="Times New Roman" w:hAnsi="Times New Roman" w:eastAsia="Times New Roman" w:cs="Times New Roman"/>
                <w:sz w:val="22"/>
                <w:szCs w:val="22"/>
                <w:highlight w:val="none"/>
              </w:rPr>
              <w:t xml:space="preserve"> </w:t>
            </w:r>
            <w:r>
              <w:rPr>
                <w:rFonts w:ascii="黑体" w:hAnsi="黑体" w:eastAsia="黑体" w:cs="黑体"/>
                <w:sz w:val="22"/>
                <w:szCs w:val="22"/>
                <w:highlight w:val="none"/>
              </w:rPr>
              <w:t>款：</w:t>
            </w:r>
          </w:p>
          <w:p w14:paraId="6E6755FC">
            <w:pPr>
              <w:spacing w:before="114" w:line="275" w:lineRule="auto"/>
              <w:ind w:left="104" w:leftChars="0" w:right="97" w:rightChars="0" w:firstLine="478" w:firstLineChars="0"/>
              <w:rPr>
                <w:rFonts w:ascii="黑体" w:hAnsi="黑体" w:eastAsia="黑体" w:cs="黑体"/>
                <w:spacing w:val="17"/>
                <w:sz w:val="22"/>
                <w:szCs w:val="22"/>
                <w:highlight w:val="none"/>
              </w:rPr>
            </w:pPr>
            <w:r>
              <w:rPr>
                <w:rFonts w:ascii="黑体" w:hAnsi="黑体" w:eastAsia="黑体" w:cs="黑体"/>
                <w:spacing w:val="16"/>
                <w:sz w:val="22"/>
                <w:szCs w:val="22"/>
                <w:highlight w:val="none"/>
              </w:rPr>
              <w:t>构</w:t>
            </w:r>
            <w:r>
              <w:rPr>
                <w:rFonts w:ascii="黑体" w:hAnsi="黑体" w:eastAsia="黑体" w:cs="黑体"/>
                <w:spacing w:val="9"/>
                <w:sz w:val="22"/>
                <w:szCs w:val="22"/>
                <w:highlight w:val="none"/>
              </w:rPr>
              <w:t>成</w:t>
            </w:r>
            <w:r>
              <w:rPr>
                <w:rFonts w:ascii="黑体" w:hAnsi="黑体" w:eastAsia="黑体" w:cs="黑体"/>
                <w:spacing w:val="8"/>
                <w:sz w:val="22"/>
                <w:szCs w:val="22"/>
                <w:highlight w:val="none"/>
              </w:rPr>
              <w:t>本招标文件各个组成部分的文件，未经招标人书面同意，投标人不得</w:t>
            </w:r>
            <w:r>
              <w:rPr>
                <w:rFonts w:ascii="黑体" w:hAnsi="黑体" w:eastAsia="黑体" w:cs="黑体"/>
                <w:spacing w:val="11"/>
                <w:sz w:val="22"/>
                <w:szCs w:val="22"/>
                <w:highlight w:val="none"/>
              </w:rPr>
              <w:t>擅</w:t>
            </w:r>
            <w:r>
              <w:rPr>
                <w:rFonts w:ascii="黑体" w:hAnsi="黑体" w:eastAsia="黑体" w:cs="黑体"/>
                <w:spacing w:val="9"/>
                <w:sz w:val="22"/>
                <w:szCs w:val="22"/>
                <w:highlight w:val="none"/>
              </w:rPr>
              <w:t>自复印和用于非本招标项目所需的其他目的。</w:t>
            </w:r>
          </w:p>
        </w:tc>
      </w:tr>
      <w:tr w14:paraId="710FE5FF">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41F8BA61">
            <w:pPr>
              <w:pageBreakBefore w:val="0"/>
              <w:kinsoku/>
              <w:wordWrap w:val="0"/>
              <w:bidi w:val="0"/>
              <w:spacing w:line="440" w:lineRule="exact"/>
              <w:jc w:val="center"/>
              <w:rPr>
                <w:rFonts w:hint="eastAsia" w:cs="Times New Roman"/>
                <w:color w:val="000000"/>
                <w:kern w:val="2"/>
                <w:sz w:val="22"/>
                <w:szCs w:val="22"/>
                <w:highlight w:val="none"/>
                <w:lang w:val="en-US" w:eastAsia="zh-CN" w:bidi="ar-SA"/>
              </w:rPr>
            </w:pPr>
          </w:p>
        </w:tc>
        <w:tc>
          <w:tcPr>
            <w:tcW w:w="8821" w:type="dxa"/>
            <w:gridSpan w:val="2"/>
            <w:tcBorders>
              <w:top w:val="single" w:color="auto" w:sz="4" w:space="0"/>
              <w:left w:val="single" w:color="auto" w:sz="4" w:space="0"/>
              <w:bottom w:val="single" w:color="auto" w:sz="4" w:space="0"/>
              <w:right w:val="single" w:color="auto" w:sz="4" w:space="0"/>
            </w:tcBorders>
            <w:noWrap w:val="0"/>
            <w:vAlign w:val="top"/>
          </w:tcPr>
          <w:p w14:paraId="13E0A499">
            <w:pPr>
              <w:spacing w:before="115" w:line="230" w:lineRule="auto"/>
              <w:ind w:left="103"/>
              <w:rPr>
                <w:rFonts w:ascii="黑体" w:hAnsi="黑体" w:eastAsia="黑体" w:cs="黑体"/>
                <w:sz w:val="22"/>
                <w:szCs w:val="22"/>
                <w:highlight w:val="none"/>
              </w:rPr>
            </w:pPr>
            <w:r>
              <w:rPr>
                <w:rFonts w:ascii="黑体" w:hAnsi="黑体" w:eastAsia="黑体" w:cs="黑体"/>
                <w:spacing w:val="-1"/>
                <w:sz w:val="22"/>
                <w:szCs w:val="22"/>
                <w:highlight w:val="none"/>
              </w:rPr>
              <w:t>补充第</w:t>
            </w:r>
            <w:r>
              <w:rPr>
                <w:rFonts w:ascii="黑体" w:hAnsi="黑体" w:eastAsia="黑体" w:cs="黑体"/>
                <w:sz w:val="22"/>
                <w:szCs w:val="22"/>
                <w:highlight w:val="none"/>
              </w:rPr>
              <w:t xml:space="preserve"> </w:t>
            </w:r>
            <w:r>
              <w:rPr>
                <w:rFonts w:hint="eastAsia" w:eastAsia="宋体" w:cs="Times New Roman"/>
                <w:sz w:val="22"/>
                <w:szCs w:val="22"/>
                <w:highlight w:val="none"/>
                <w:lang w:val="en-US" w:eastAsia="zh-CN"/>
              </w:rPr>
              <w:t>9.</w:t>
            </w:r>
            <w:r>
              <w:rPr>
                <w:rFonts w:hint="eastAsia" w:cs="Times New Roman"/>
                <w:sz w:val="22"/>
                <w:szCs w:val="22"/>
                <w:highlight w:val="none"/>
                <w:lang w:val="en-US" w:eastAsia="zh-CN"/>
              </w:rPr>
              <w:t>7</w:t>
            </w:r>
            <w:r>
              <w:rPr>
                <w:rFonts w:ascii="Times New Roman" w:hAnsi="Times New Roman" w:eastAsia="Times New Roman" w:cs="Times New Roman"/>
                <w:sz w:val="22"/>
                <w:szCs w:val="22"/>
                <w:highlight w:val="none"/>
              </w:rPr>
              <w:t xml:space="preserve"> </w:t>
            </w:r>
            <w:r>
              <w:rPr>
                <w:rFonts w:ascii="黑体" w:hAnsi="黑体" w:eastAsia="黑体" w:cs="黑体"/>
                <w:sz w:val="22"/>
                <w:szCs w:val="22"/>
                <w:highlight w:val="none"/>
              </w:rPr>
              <w:t>款：</w:t>
            </w:r>
          </w:p>
          <w:p w14:paraId="6D23C7D2">
            <w:pPr>
              <w:spacing w:before="109" w:line="303" w:lineRule="auto"/>
              <w:ind w:left="103" w:leftChars="0" w:firstLine="471" w:firstLineChars="0"/>
              <w:rPr>
                <w:rFonts w:ascii="黑体" w:hAnsi="黑体" w:eastAsia="黑体" w:cs="黑体"/>
                <w:spacing w:val="17"/>
                <w:sz w:val="22"/>
                <w:szCs w:val="22"/>
                <w:highlight w:val="none"/>
              </w:rPr>
            </w:pPr>
            <w:r>
              <w:rPr>
                <w:rFonts w:ascii="黑体" w:hAnsi="黑体" w:eastAsia="黑体" w:cs="黑体"/>
                <w:spacing w:val="14"/>
                <w:sz w:val="22"/>
                <w:szCs w:val="22"/>
                <w:highlight w:val="none"/>
              </w:rPr>
              <w:t>构成</w:t>
            </w:r>
            <w:r>
              <w:rPr>
                <w:rFonts w:ascii="黑体" w:hAnsi="黑体" w:eastAsia="黑体" w:cs="黑体"/>
                <w:spacing w:val="8"/>
                <w:sz w:val="22"/>
                <w:szCs w:val="22"/>
                <w:highlight w:val="none"/>
              </w:rPr>
              <w:t>招</w:t>
            </w:r>
            <w:r>
              <w:rPr>
                <w:rFonts w:ascii="黑体" w:hAnsi="黑体" w:eastAsia="黑体" w:cs="黑体"/>
                <w:spacing w:val="7"/>
                <w:sz w:val="22"/>
                <w:szCs w:val="22"/>
                <w:highlight w:val="none"/>
              </w:rPr>
              <w:t>标文件组成部分的第二章、第四章</w:t>
            </w:r>
            <w:r>
              <w:rPr>
                <w:rFonts w:ascii="Times New Roman" w:hAnsi="Times New Roman" w:eastAsia="Times New Roman" w:cs="Times New Roman"/>
                <w:spacing w:val="7"/>
                <w:sz w:val="22"/>
                <w:szCs w:val="22"/>
                <w:highlight w:val="none"/>
              </w:rPr>
              <w:t>~</w:t>
            </w:r>
            <w:r>
              <w:rPr>
                <w:rFonts w:ascii="黑体" w:hAnsi="黑体" w:eastAsia="黑体" w:cs="黑体"/>
                <w:spacing w:val="7"/>
                <w:sz w:val="22"/>
                <w:szCs w:val="22"/>
                <w:highlight w:val="none"/>
              </w:rPr>
              <w:t>第八章中出现的措辞“发包人”</w:t>
            </w:r>
            <w:r>
              <w:rPr>
                <w:rFonts w:ascii="黑体" w:hAnsi="黑体" w:eastAsia="黑体" w:cs="黑体"/>
                <w:sz w:val="22"/>
                <w:szCs w:val="22"/>
                <w:highlight w:val="none"/>
              </w:rPr>
              <w:t xml:space="preserve"> </w:t>
            </w:r>
            <w:r>
              <w:rPr>
                <w:rFonts w:ascii="黑体" w:hAnsi="黑体" w:eastAsia="黑体" w:cs="黑体"/>
                <w:spacing w:val="1"/>
                <w:sz w:val="22"/>
                <w:szCs w:val="22"/>
                <w:highlight w:val="none"/>
              </w:rPr>
              <w:t>和“承包人”，在招标投标阶段应当分别按“招标人”和“投标人 (或中标人)”</w:t>
            </w:r>
            <w:r>
              <w:rPr>
                <w:rFonts w:ascii="黑体" w:hAnsi="黑体" w:eastAsia="黑体" w:cs="黑体"/>
                <w:sz w:val="22"/>
                <w:szCs w:val="22"/>
                <w:highlight w:val="none"/>
              </w:rPr>
              <w:t xml:space="preserve"> </w:t>
            </w:r>
            <w:r>
              <w:rPr>
                <w:rFonts w:ascii="黑体" w:hAnsi="黑体" w:eastAsia="黑体" w:cs="黑体"/>
                <w:spacing w:val="8"/>
                <w:sz w:val="22"/>
                <w:szCs w:val="22"/>
                <w:highlight w:val="none"/>
              </w:rPr>
              <w:t>进行理</w:t>
            </w:r>
            <w:r>
              <w:rPr>
                <w:rFonts w:ascii="黑体" w:hAnsi="黑体" w:eastAsia="黑体" w:cs="黑体"/>
                <w:spacing w:val="7"/>
                <w:sz w:val="22"/>
                <w:szCs w:val="22"/>
                <w:highlight w:val="none"/>
              </w:rPr>
              <w:t>解</w:t>
            </w:r>
            <w:r>
              <w:rPr>
                <w:rFonts w:ascii="黑体" w:hAnsi="黑体" w:eastAsia="黑体" w:cs="黑体"/>
                <w:spacing w:val="4"/>
                <w:sz w:val="22"/>
                <w:szCs w:val="22"/>
                <w:highlight w:val="none"/>
              </w:rPr>
              <w:t>；构成招标文件组成部分的第二章中出现的措辞“招标人”和“投标</w:t>
            </w:r>
            <w:r>
              <w:rPr>
                <w:rFonts w:ascii="黑体" w:hAnsi="黑体" w:eastAsia="黑体" w:cs="黑体"/>
                <w:spacing w:val="-4"/>
                <w:sz w:val="22"/>
                <w:szCs w:val="22"/>
                <w:highlight w:val="none"/>
              </w:rPr>
              <w:t xml:space="preserve">人 </w:t>
            </w:r>
            <w:r>
              <w:rPr>
                <w:rFonts w:ascii="黑体" w:hAnsi="黑体" w:eastAsia="黑体" w:cs="黑体"/>
                <w:spacing w:val="-3"/>
                <w:sz w:val="22"/>
                <w:szCs w:val="22"/>
                <w:highlight w:val="none"/>
              </w:rPr>
              <w:t>(</w:t>
            </w:r>
            <w:r>
              <w:rPr>
                <w:rFonts w:ascii="黑体" w:hAnsi="黑体" w:eastAsia="黑体" w:cs="黑体"/>
                <w:spacing w:val="-2"/>
                <w:sz w:val="22"/>
                <w:szCs w:val="22"/>
                <w:highlight w:val="none"/>
              </w:rPr>
              <w:t>或中标人) ”，且与合同文件相关的条款，在合同履约阶段应当分别按“发</w:t>
            </w:r>
            <w:r>
              <w:rPr>
                <w:rFonts w:ascii="黑体" w:hAnsi="黑体" w:eastAsia="黑体" w:cs="黑体"/>
                <w:spacing w:val="6"/>
                <w:sz w:val="22"/>
                <w:szCs w:val="22"/>
                <w:highlight w:val="none"/>
              </w:rPr>
              <w:t>包</w:t>
            </w:r>
            <w:r>
              <w:rPr>
                <w:rFonts w:ascii="黑体" w:hAnsi="黑体" w:eastAsia="黑体" w:cs="黑体"/>
                <w:spacing w:val="5"/>
                <w:sz w:val="22"/>
                <w:szCs w:val="22"/>
                <w:highlight w:val="none"/>
              </w:rPr>
              <w:t>人”和“承包人”进行理解。</w:t>
            </w:r>
          </w:p>
        </w:tc>
      </w:tr>
      <w:tr w14:paraId="2EC96D86">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267D16F6">
            <w:pPr>
              <w:pageBreakBefore w:val="0"/>
              <w:kinsoku/>
              <w:wordWrap w:val="0"/>
              <w:bidi w:val="0"/>
              <w:spacing w:line="440" w:lineRule="exact"/>
              <w:jc w:val="center"/>
              <w:rPr>
                <w:rFonts w:hint="eastAsia" w:cs="Times New Roman"/>
                <w:color w:val="000000"/>
                <w:kern w:val="2"/>
                <w:sz w:val="22"/>
                <w:szCs w:val="22"/>
                <w:highlight w:val="none"/>
                <w:lang w:val="en-US" w:eastAsia="zh-CN" w:bidi="ar-SA"/>
              </w:rPr>
            </w:pPr>
          </w:p>
        </w:tc>
        <w:tc>
          <w:tcPr>
            <w:tcW w:w="8821" w:type="dxa"/>
            <w:gridSpan w:val="2"/>
            <w:tcBorders>
              <w:top w:val="single" w:color="auto" w:sz="4" w:space="0"/>
              <w:left w:val="single" w:color="auto" w:sz="4" w:space="0"/>
              <w:bottom w:val="single" w:color="auto" w:sz="4" w:space="0"/>
              <w:right w:val="single" w:color="auto" w:sz="4" w:space="0"/>
            </w:tcBorders>
            <w:noWrap w:val="0"/>
            <w:vAlign w:val="top"/>
          </w:tcPr>
          <w:p w14:paraId="2DAF9892">
            <w:pPr>
              <w:spacing w:before="116" w:line="230" w:lineRule="auto"/>
              <w:ind w:left="103"/>
              <w:rPr>
                <w:rFonts w:ascii="黑体" w:hAnsi="黑体" w:eastAsia="黑体" w:cs="黑体"/>
                <w:sz w:val="22"/>
                <w:szCs w:val="22"/>
                <w:highlight w:val="none"/>
              </w:rPr>
            </w:pPr>
            <w:r>
              <w:rPr>
                <w:rFonts w:ascii="黑体" w:hAnsi="黑体" w:eastAsia="黑体" w:cs="黑体"/>
                <w:spacing w:val="-1"/>
                <w:sz w:val="22"/>
                <w:szCs w:val="22"/>
                <w:highlight w:val="none"/>
              </w:rPr>
              <w:t>补充第</w:t>
            </w:r>
            <w:r>
              <w:rPr>
                <w:rFonts w:hint="eastAsia" w:ascii="黑体" w:hAnsi="黑体" w:eastAsia="黑体" w:cs="黑体"/>
                <w:sz w:val="22"/>
                <w:szCs w:val="22"/>
                <w:highlight w:val="none"/>
                <w:lang w:val="en-US" w:eastAsia="zh-CN"/>
              </w:rPr>
              <w:t>9.8</w:t>
            </w:r>
            <w:r>
              <w:rPr>
                <w:rFonts w:ascii="黑体" w:hAnsi="黑体" w:eastAsia="黑体" w:cs="黑体"/>
                <w:sz w:val="22"/>
                <w:szCs w:val="22"/>
                <w:highlight w:val="none"/>
              </w:rPr>
              <w:t>款：</w:t>
            </w:r>
          </w:p>
          <w:p w14:paraId="5A0D7697">
            <w:pPr>
              <w:spacing w:before="110" w:line="308" w:lineRule="auto"/>
              <w:ind w:left="101" w:leftChars="0" w:right="97" w:rightChars="0" w:firstLine="481" w:firstLineChars="0"/>
              <w:rPr>
                <w:rFonts w:ascii="黑体" w:hAnsi="黑体" w:eastAsia="黑体" w:cs="黑体"/>
                <w:spacing w:val="17"/>
                <w:sz w:val="22"/>
                <w:szCs w:val="22"/>
                <w:highlight w:val="none"/>
              </w:rPr>
            </w:pPr>
            <w:r>
              <w:rPr>
                <w:rFonts w:ascii="黑体" w:hAnsi="黑体" w:eastAsia="黑体" w:cs="黑体"/>
                <w:spacing w:val="16"/>
                <w:sz w:val="22"/>
                <w:szCs w:val="22"/>
                <w:highlight w:val="none"/>
              </w:rPr>
              <w:t>构</w:t>
            </w:r>
            <w:r>
              <w:rPr>
                <w:rFonts w:ascii="黑体" w:hAnsi="黑体" w:eastAsia="黑体" w:cs="黑体"/>
                <w:spacing w:val="9"/>
                <w:sz w:val="22"/>
                <w:szCs w:val="22"/>
                <w:highlight w:val="none"/>
              </w:rPr>
              <w:t>成</w:t>
            </w:r>
            <w:r>
              <w:rPr>
                <w:rFonts w:ascii="黑体" w:hAnsi="黑体" w:eastAsia="黑体" w:cs="黑体"/>
                <w:spacing w:val="8"/>
                <w:sz w:val="22"/>
                <w:szCs w:val="22"/>
                <w:highlight w:val="none"/>
              </w:rPr>
              <w:t>本招标文件的各个组成文件应互为解释，互为说明；如有不明确或不</w:t>
            </w:r>
            <w:r>
              <w:rPr>
                <w:rFonts w:ascii="黑体" w:hAnsi="黑体" w:eastAsia="黑体" w:cs="黑体"/>
                <w:spacing w:val="16"/>
                <w:sz w:val="22"/>
                <w:szCs w:val="22"/>
                <w:highlight w:val="none"/>
              </w:rPr>
              <w:t>一</w:t>
            </w:r>
            <w:r>
              <w:rPr>
                <w:rFonts w:ascii="黑体" w:hAnsi="黑体" w:eastAsia="黑体" w:cs="黑体"/>
                <w:spacing w:val="15"/>
                <w:sz w:val="22"/>
                <w:szCs w:val="22"/>
                <w:highlight w:val="none"/>
              </w:rPr>
              <w:t>致</w:t>
            </w:r>
            <w:r>
              <w:rPr>
                <w:rFonts w:ascii="黑体" w:hAnsi="黑体" w:eastAsia="黑体" w:cs="黑体"/>
                <w:spacing w:val="8"/>
                <w:sz w:val="22"/>
                <w:szCs w:val="22"/>
                <w:highlight w:val="none"/>
              </w:rPr>
              <w:t>，构成合同文件组成内容的，以合同文件约定内容为准，且以合同协议书</w:t>
            </w:r>
            <w:r>
              <w:rPr>
                <w:rFonts w:ascii="黑体" w:hAnsi="黑体" w:eastAsia="黑体" w:cs="黑体"/>
                <w:sz w:val="22"/>
                <w:szCs w:val="22"/>
                <w:highlight w:val="none"/>
              </w:rPr>
              <w:t xml:space="preserve"> </w:t>
            </w:r>
            <w:r>
              <w:rPr>
                <w:rFonts w:ascii="黑体" w:hAnsi="黑体" w:eastAsia="黑体" w:cs="黑体"/>
                <w:spacing w:val="16"/>
                <w:sz w:val="22"/>
                <w:szCs w:val="22"/>
                <w:highlight w:val="none"/>
              </w:rPr>
              <w:t>约</w:t>
            </w:r>
            <w:r>
              <w:rPr>
                <w:rFonts w:ascii="黑体" w:hAnsi="黑体" w:eastAsia="黑体" w:cs="黑体"/>
                <w:spacing w:val="15"/>
                <w:sz w:val="22"/>
                <w:szCs w:val="22"/>
                <w:highlight w:val="none"/>
              </w:rPr>
              <w:t>定</w:t>
            </w:r>
            <w:r>
              <w:rPr>
                <w:rFonts w:ascii="黑体" w:hAnsi="黑体" w:eastAsia="黑体" w:cs="黑体"/>
                <w:spacing w:val="8"/>
                <w:sz w:val="22"/>
                <w:szCs w:val="22"/>
                <w:highlight w:val="none"/>
              </w:rPr>
              <w:t>的合同文件优先顺序解释；除招标文件中有特别规定外，仅适用于招标投</w:t>
            </w:r>
            <w:r>
              <w:rPr>
                <w:rFonts w:ascii="黑体" w:hAnsi="黑体" w:eastAsia="黑体" w:cs="黑体"/>
                <w:sz w:val="22"/>
                <w:szCs w:val="22"/>
                <w:highlight w:val="none"/>
              </w:rPr>
              <w:t xml:space="preserve"> </w:t>
            </w:r>
            <w:r>
              <w:rPr>
                <w:rFonts w:ascii="黑体" w:hAnsi="黑体" w:eastAsia="黑体" w:cs="黑体"/>
                <w:spacing w:val="8"/>
                <w:sz w:val="22"/>
                <w:szCs w:val="22"/>
                <w:highlight w:val="none"/>
              </w:rPr>
              <w:t>标阶段的规定，按招标公告 (投标邀请书) 、投标人须知、评标办法、投标</w:t>
            </w:r>
            <w:r>
              <w:rPr>
                <w:rFonts w:ascii="黑体" w:hAnsi="黑体" w:eastAsia="黑体" w:cs="黑体"/>
                <w:spacing w:val="7"/>
                <w:sz w:val="22"/>
                <w:szCs w:val="22"/>
                <w:highlight w:val="none"/>
              </w:rPr>
              <w:t>文</w:t>
            </w:r>
            <w:r>
              <w:rPr>
                <w:rFonts w:ascii="黑体" w:hAnsi="黑体" w:eastAsia="黑体" w:cs="黑体"/>
                <w:sz w:val="22"/>
                <w:szCs w:val="22"/>
                <w:highlight w:val="none"/>
              </w:rPr>
              <w:t xml:space="preserve"> </w:t>
            </w:r>
            <w:r>
              <w:rPr>
                <w:rFonts w:ascii="黑体" w:hAnsi="黑体" w:eastAsia="黑体" w:cs="黑体"/>
                <w:spacing w:val="16"/>
                <w:sz w:val="22"/>
                <w:szCs w:val="22"/>
                <w:highlight w:val="none"/>
              </w:rPr>
              <w:t>件</w:t>
            </w:r>
            <w:r>
              <w:rPr>
                <w:rFonts w:ascii="黑体" w:hAnsi="黑体" w:eastAsia="黑体" w:cs="黑体"/>
                <w:spacing w:val="15"/>
                <w:sz w:val="22"/>
                <w:szCs w:val="22"/>
                <w:highlight w:val="none"/>
              </w:rPr>
              <w:t>格</w:t>
            </w:r>
            <w:r>
              <w:rPr>
                <w:rFonts w:ascii="黑体" w:hAnsi="黑体" w:eastAsia="黑体" w:cs="黑体"/>
                <w:spacing w:val="8"/>
                <w:sz w:val="22"/>
                <w:szCs w:val="22"/>
                <w:highlight w:val="none"/>
              </w:rPr>
              <w:t>式的先后顺序解释；同一组成文件中就同一事项的规定或约定不一致的，</w:t>
            </w:r>
            <w:r>
              <w:rPr>
                <w:rFonts w:ascii="黑体" w:hAnsi="黑体" w:eastAsia="黑体" w:cs="黑体"/>
                <w:sz w:val="22"/>
                <w:szCs w:val="22"/>
                <w:highlight w:val="none"/>
              </w:rPr>
              <w:t xml:space="preserve"> </w:t>
            </w:r>
            <w:r>
              <w:rPr>
                <w:rFonts w:ascii="黑体" w:hAnsi="黑体" w:eastAsia="黑体" w:cs="黑体"/>
                <w:spacing w:val="16"/>
                <w:sz w:val="22"/>
                <w:szCs w:val="22"/>
                <w:highlight w:val="none"/>
              </w:rPr>
              <w:t>以</w:t>
            </w:r>
            <w:r>
              <w:rPr>
                <w:rFonts w:ascii="黑体" w:hAnsi="黑体" w:eastAsia="黑体" w:cs="黑体"/>
                <w:spacing w:val="15"/>
                <w:sz w:val="22"/>
                <w:szCs w:val="22"/>
                <w:highlight w:val="none"/>
              </w:rPr>
              <w:t>编</w:t>
            </w:r>
            <w:r>
              <w:rPr>
                <w:rFonts w:ascii="黑体" w:hAnsi="黑体" w:eastAsia="黑体" w:cs="黑体"/>
                <w:spacing w:val="8"/>
                <w:sz w:val="22"/>
                <w:szCs w:val="22"/>
                <w:highlight w:val="none"/>
              </w:rPr>
              <w:t>排顺序在后者为准；同一组成文件不同版本之间有不一致的，以形成时间</w:t>
            </w:r>
            <w:r>
              <w:rPr>
                <w:rFonts w:ascii="黑体" w:hAnsi="黑体" w:eastAsia="黑体" w:cs="黑体"/>
                <w:sz w:val="22"/>
                <w:szCs w:val="22"/>
                <w:highlight w:val="none"/>
              </w:rPr>
              <w:t xml:space="preserve"> </w:t>
            </w:r>
            <w:r>
              <w:rPr>
                <w:rFonts w:ascii="黑体" w:hAnsi="黑体" w:eastAsia="黑体" w:cs="黑体"/>
                <w:spacing w:val="18"/>
                <w:sz w:val="22"/>
                <w:szCs w:val="22"/>
                <w:highlight w:val="none"/>
              </w:rPr>
              <w:t>在</w:t>
            </w:r>
            <w:r>
              <w:rPr>
                <w:rFonts w:ascii="黑体" w:hAnsi="黑体" w:eastAsia="黑体" w:cs="黑体"/>
                <w:spacing w:val="16"/>
                <w:sz w:val="22"/>
                <w:szCs w:val="22"/>
                <w:highlight w:val="none"/>
              </w:rPr>
              <w:t>后</w:t>
            </w:r>
            <w:r>
              <w:rPr>
                <w:rFonts w:ascii="黑体" w:hAnsi="黑体" w:eastAsia="黑体" w:cs="黑体"/>
                <w:spacing w:val="9"/>
                <w:sz w:val="22"/>
                <w:szCs w:val="22"/>
                <w:highlight w:val="none"/>
              </w:rPr>
              <w:t>者为准。按本款前述规定仍不能形成结论的，由招标人负责解释。</w:t>
            </w:r>
          </w:p>
        </w:tc>
      </w:tr>
      <w:tr w14:paraId="0C453E82">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79FB90D0">
            <w:pPr>
              <w:pageBreakBefore w:val="0"/>
              <w:kinsoku/>
              <w:wordWrap w:val="0"/>
              <w:bidi w:val="0"/>
              <w:spacing w:line="440" w:lineRule="exact"/>
              <w:jc w:val="center"/>
              <w:rPr>
                <w:rFonts w:hint="eastAsia" w:cs="Times New Roman"/>
                <w:color w:val="000000"/>
                <w:kern w:val="2"/>
                <w:sz w:val="22"/>
                <w:szCs w:val="22"/>
                <w:highlight w:val="none"/>
                <w:lang w:val="en-US" w:eastAsia="zh-CN" w:bidi="ar-SA"/>
              </w:rPr>
            </w:pPr>
          </w:p>
        </w:tc>
        <w:tc>
          <w:tcPr>
            <w:tcW w:w="8821" w:type="dxa"/>
            <w:gridSpan w:val="2"/>
            <w:tcBorders>
              <w:top w:val="single" w:color="auto" w:sz="4" w:space="0"/>
              <w:left w:val="single" w:color="auto" w:sz="4" w:space="0"/>
              <w:bottom w:val="single" w:color="auto" w:sz="4" w:space="0"/>
              <w:right w:val="single" w:color="auto" w:sz="4" w:space="0"/>
            </w:tcBorders>
            <w:noWrap w:val="0"/>
            <w:vAlign w:val="top"/>
          </w:tcPr>
          <w:p w14:paraId="28B449FA">
            <w:pPr>
              <w:tabs>
                <w:tab w:val="left" w:pos="140"/>
                <w:tab w:val="left" w:pos="143"/>
              </w:tabs>
              <w:spacing w:before="118" w:line="307" w:lineRule="auto"/>
              <w:ind w:left="0" w:firstLine="600"/>
              <w:rPr>
                <w:rFonts w:ascii="黑体" w:hAnsi="黑体" w:eastAsia="黑体" w:cs="黑体"/>
                <w:sz w:val="22"/>
                <w:szCs w:val="22"/>
                <w:highlight w:val="none"/>
              </w:rPr>
            </w:pPr>
            <w:r>
              <w:rPr>
                <w:rFonts w:ascii="黑体" w:hAnsi="黑体" w:eastAsia="黑体" w:cs="黑体"/>
                <w:spacing w:val="-1"/>
                <w:sz w:val="22"/>
                <w:szCs w:val="22"/>
                <w:highlight w:val="none"/>
              </w:rPr>
              <w:t>补充第</w:t>
            </w:r>
            <w:r>
              <w:rPr>
                <w:rFonts w:hint="eastAsia" w:ascii="黑体" w:hAnsi="黑体" w:eastAsia="黑体" w:cs="黑体"/>
                <w:sz w:val="22"/>
                <w:szCs w:val="22"/>
                <w:highlight w:val="none"/>
                <w:lang w:val="en-US" w:eastAsia="zh-CN"/>
              </w:rPr>
              <w:t>9.9</w:t>
            </w:r>
            <w:r>
              <w:rPr>
                <w:rFonts w:ascii="Times New Roman" w:hAnsi="Times New Roman" w:eastAsia="Times New Roman" w:cs="Times New Roman"/>
                <w:sz w:val="22"/>
                <w:szCs w:val="22"/>
                <w:highlight w:val="none"/>
              </w:rPr>
              <w:t xml:space="preserve"> </w:t>
            </w:r>
            <w:r>
              <w:rPr>
                <w:rFonts w:ascii="黑体" w:hAnsi="黑体" w:eastAsia="黑体" w:cs="黑体"/>
                <w:sz w:val="22"/>
                <w:szCs w:val="22"/>
                <w:highlight w:val="none"/>
              </w:rPr>
              <w:t>款：</w:t>
            </w:r>
          </w:p>
          <w:p w14:paraId="045A1298">
            <w:pPr>
              <w:tabs>
                <w:tab w:val="left" w:pos="140"/>
                <w:tab w:val="left" w:pos="143"/>
              </w:tabs>
              <w:spacing w:before="118" w:line="307" w:lineRule="auto"/>
              <w:ind w:firstLine="600" w:firstLineChars="0"/>
              <w:rPr>
                <w:rFonts w:hint="eastAsia" w:ascii="黑体" w:hAnsi="黑体" w:eastAsia="黑体" w:cs="黑体"/>
                <w:spacing w:val="13"/>
                <w:sz w:val="22"/>
                <w:szCs w:val="22"/>
                <w:highlight w:val="none"/>
                <w:lang w:eastAsia="zh-CN"/>
              </w:rPr>
            </w:pPr>
            <w:r>
              <w:rPr>
                <w:rFonts w:hint="eastAsia" w:ascii="黑体" w:hAnsi="黑体" w:eastAsia="黑体" w:cs="黑体"/>
                <w:spacing w:val="13"/>
                <w:sz w:val="22"/>
                <w:szCs w:val="22"/>
                <w:highlight w:val="none"/>
              </w:rPr>
              <w:t>投标人中标后，在领取中标通知书时向招标代理单位支付招标代理费，</w:t>
            </w:r>
            <w:r>
              <w:rPr>
                <w:rFonts w:hint="eastAsia" w:ascii="黑体" w:hAnsi="黑体" w:eastAsia="黑体" w:cs="黑体"/>
                <w:spacing w:val="13"/>
                <w:sz w:val="22"/>
                <w:szCs w:val="22"/>
                <w:highlight w:val="none"/>
                <w:lang w:eastAsia="zh-CN"/>
              </w:rPr>
              <w:t>招标代理服务费</w:t>
            </w:r>
            <w:r>
              <w:rPr>
                <w:rFonts w:hint="eastAsia" w:ascii="黑体" w:hAnsi="黑体" w:eastAsia="黑体" w:cs="黑体"/>
                <w:spacing w:val="13"/>
                <w:sz w:val="22"/>
                <w:szCs w:val="22"/>
                <w:highlight w:val="none"/>
              </w:rPr>
              <w:t>参照国家计委计价格【2002】1980号文件、发改价格【2011】534号文，按工程类</w:t>
            </w:r>
            <w:r>
              <w:rPr>
                <w:rFonts w:hint="eastAsia" w:ascii="黑体" w:hAnsi="黑体" w:eastAsia="黑体" w:cs="黑体"/>
                <w:spacing w:val="13"/>
                <w:sz w:val="22"/>
                <w:szCs w:val="22"/>
                <w:highlight w:val="none"/>
                <w:lang w:eastAsia="zh-CN"/>
              </w:rPr>
              <w:t>标准</w:t>
            </w:r>
            <w:r>
              <w:rPr>
                <w:rFonts w:hint="eastAsia" w:ascii="黑体" w:hAnsi="黑体" w:eastAsia="黑体" w:cs="黑体"/>
                <w:spacing w:val="13"/>
                <w:sz w:val="22"/>
                <w:szCs w:val="22"/>
                <w:highlight w:val="none"/>
              </w:rPr>
              <w:t>向中标人收取招标代理费。中标服务费含在投标报价中，但不得在投标报价中单列</w:t>
            </w:r>
            <w:r>
              <w:rPr>
                <w:rFonts w:ascii="黑体" w:hAnsi="黑体" w:eastAsia="黑体" w:cs="黑体"/>
                <w:spacing w:val="13"/>
                <w:sz w:val="22"/>
                <w:szCs w:val="22"/>
                <w:highlight w:val="none"/>
              </w:rPr>
              <w:t>。</w:t>
            </w:r>
          </w:p>
        </w:tc>
      </w:tr>
      <w:tr w14:paraId="32EF8E69">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65C76C46">
            <w:pPr>
              <w:pageBreakBefore w:val="0"/>
              <w:kinsoku/>
              <w:wordWrap w:val="0"/>
              <w:bidi w:val="0"/>
              <w:spacing w:line="440" w:lineRule="exact"/>
              <w:jc w:val="center"/>
              <w:rPr>
                <w:rFonts w:hint="eastAsia" w:cs="Times New Roman"/>
                <w:color w:val="000000"/>
                <w:kern w:val="2"/>
                <w:sz w:val="22"/>
                <w:szCs w:val="22"/>
                <w:highlight w:val="none"/>
                <w:lang w:val="en-US" w:eastAsia="zh-CN" w:bidi="ar-SA"/>
              </w:rPr>
            </w:pPr>
          </w:p>
        </w:tc>
        <w:tc>
          <w:tcPr>
            <w:tcW w:w="8821" w:type="dxa"/>
            <w:gridSpan w:val="2"/>
            <w:tcBorders>
              <w:top w:val="single" w:color="auto" w:sz="4" w:space="0"/>
              <w:left w:val="single" w:color="auto" w:sz="4" w:space="0"/>
              <w:bottom w:val="single" w:color="auto" w:sz="4" w:space="0"/>
              <w:right w:val="single" w:color="auto" w:sz="4" w:space="0"/>
            </w:tcBorders>
            <w:noWrap w:val="0"/>
            <w:vAlign w:val="top"/>
          </w:tcPr>
          <w:p w14:paraId="64B2ADCC">
            <w:pPr>
              <w:spacing w:before="116" w:line="230" w:lineRule="auto"/>
              <w:ind w:left="103"/>
              <w:rPr>
                <w:rFonts w:ascii="黑体" w:hAnsi="黑体" w:eastAsia="黑体" w:cs="黑体"/>
                <w:sz w:val="22"/>
                <w:szCs w:val="22"/>
                <w:highlight w:val="none"/>
              </w:rPr>
            </w:pPr>
            <w:r>
              <w:rPr>
                <w:rFonts w:ascii="黑体" w:hAnsi="黑体" w:eastAsia="黑体" w:cs="黑体"/>
                <w:spacing w:val="-1"/>
                <w:sz w:val="22"/>
                <w:szCs w:val="22"/>
                <w:highlight w:val="none"/>
              </w:rPr>
              <w:t>补充第</w:t>
            </w:r>
            <w:r>
              <w:rPr>
                <w:rFonts w:hint="eastAsia" w:ascii="黑体" w:hAnsi="黑体" w:eastAsia="黑体" w:cs="黑体"/>
                <w:sz w:val="22"/>
                <w:szCs w:val="22"/>
                <w:highlight w:val="none"/>
                <w:lang w:val="en-US" w:eastAsia="zh-CN"/>
              </w:rPr>
              <w:t>9.10</w:t>
            </w:r>
            <w:r>
              <w:rPr>
                <w:rFonts w:ascii="黑体" w:hAnsi="黑体" w:eastAsia="黑体" w:cs="黑体"/>
                <w:sz w:val="22"/>
                <w:szCs w:val="22"/>
                <w:highlight w:val="none"/>
              </w:rPr>
              <w:t>款：</w:t>
            </w:r>
          </w:p>
          <w:p w14:paraId="53FEA1F6">
            <w:pPr>
              <w:spacing w:before="115" w:line="298" w:lineRule="auto"/>
              <w:ind w:left="103" w:leftChars="0" w:firstLine="479" w:firstLineChars="0"/>
              <w:rPr>
                <w:rFonts w:ascii="黑体" w:hAnsi="黑体" w:eastAsia="黑体" w:cs="黑体"/>
                <w:spacing w:val="17"/>
                <w:sz w:val="22"/>
                <w:szCs w:val="22"/>
                <w:highlight w:val="none"/>
              </w:rPr>
            </w:pPr>
            <w:r>
              <w:rPr>
                <w:rFonts w:hint="eastAsia" w:ascii="黑体" w:hAnsi="黑体" w:eastAsia="黑体" w:cs="黑体"/>
                <w:spacing w:val="17"/>
                <w:sz w:val="22"/>
                <w:szCs w:val="22"/>
                <w:highlight w:val="none"/>
              </w:rPr>
              <w:t>投标人中标后，在领取中标通知书前按“辽发改价格【2023】128号文”全额缴纳</w:t>
            </w:r>
            <w:r>
              <w:rPr>
                <w:rFonts w:hint="eastAsia" w:ascii="黑体" w:hAnsi="黑体" w:eastAsia="黑体" w:cs="黑体"/>
                <w:spacing w:val="17"/>
                <w:sz w:val="22"/>
                <w:szCs w:val="22"/>
                <w:highlight w:val="none"/>
                <w:lang w:val="en-US" w:eastAsia="zh-CN"/>
              </w:rPr>
              <w:t>公共资源交易</w:t>
            </w:r>
            <w:r>
              <w:rPr>
                <w:rFonts w:hint="eastAsia" w:ascii="黑体" w:hAnsi="黑体" w:eastAsia="黑体" w:cs="黑体"/>
                <w:spacing w:val="17"/>
                <w:sz w:val="22"/>
                <w:szCs w:val="22"/>
                <w:highlight w:val="none"/>
              </w:rPr>
              <w:t>服务费。</w:t>
            </w:r>
            <w:r>
              <w:rPr>
                <w:rFonts w:hint="eastAsia" w:ascii="黑体" w:hAnsi="黑体" w:eastAsia="黑体" w:cs="黑体"/>
                <w:spacing w:val="17"/>
                <w:sz w:val="22"/>
                <w:szCs w:val="22"/>
                <w:highlight w:val="none"/>
                <w:lang w:val="en-US" w:eastAsia="zh-CN"/>
              </w:rPr>
              <w:t>公共资源</w:t>
            </w:r>
            <w:r>
              <w:rPr>
                <w:rFonts w:hint="eastAsia" w:ascii="黑体" w:hAnsi="黑体" w:eastAsia="黑体" w:cs="黑体"/>
                <w:spacing w:val="17"/>
                <w:sz w:val="22"/>
                <w:szCs w:val="22"/>
                <w:highlight w:val="none"/>
              </w:rPr>
              <w:t>交易服务费含在投标报价中，但不得在投标报价中单列。</w:t>
            </w:r>
          </w:p>
        </w:tc>
      </w:tr>
      <w:tr w14:paraId="6CF71316">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1A7967A0">
            <w:pPr>
              <w:pageBreakBefore w:val="0"/>
              <w:kinsoku/>
              <w:wordWrap w:val="0"/>
              <w:bidi w:val="0"/>
              <w:spacing w:line="440" w:lineRule="exact"/>
              <w:jc w:val="center"/>
              <w:rPr>
                <w:rFonts w:hint="eastAsia" w:cs="Times New Roman"/>
                <w:color w:val="000000"/>
                <w:kern w:val="2"/>
                <w:sz w:val="22"/>
                <w:szCs w:val="22"/>
                <w:highlight w:val="none"/>
                <w:lang w:val="en-US" w:eastAsia="zh-CN" w:bidi="ar-SA"/>
              </w:rPr>
            </w:pPr>
          </w:p>
        </w:tc>
        <w:tc>
          <w:tcPr>
            <w:tcW w:w="8821" w:type="dxa"/>
            <w:gridSpan w:val="2"/>
            <w:tcBorders>
              <w:top w:val="single" w:color="auto" w:sz="4" w:space="0"/>
              <w:left w:val="single" w:color="auto" w:sz="4" w:space="0"/>
              <w:bottom w:val="single" w:color="auto" w:sz="4" w:space="0"/>
              <w:right w:val="single" w:color="auto" w:sz="4" w:space="0"/>
            </w:tcBorders>
            <w:noWrap w:val="0"/>
            <w:vAlign w:val="top"/>
          </w:tcPr>
          <w:p w14:paraId="36753F75">
            <w:pPr>
              <w:spacing w:before="115" w:line="298" w:lineRule="auto"/>
              <w:ind w:left="103" w:firstLine="479"/>
              <w:rPr>
                <w:rFonts w:ascii="黑体" w:hAnsi="黑体" w:eastAsia="黑体" w:cs="黑体"/>
                <w:sz w:val="22"/>
                <w:szCs w:val="22"/>
                <w:highlight w:val="none"/>
              </w:rPr>
            </w:pPr>
            <w:r>
              <w:rPr>
                <w:rFonts w:ascii="黑体" w:hAnsi="黑体" w:eastAsia="黑体" w:cs="黑体"/>
                <w:spacing w:val="-1"/>
                <w:sz w:val="22"/>
                <w:szCs w:val="22"/>
                <w:highlight w:val="none"/>
              </w:rPr>
              <w:t>补充第</w:t>
            </w:r>
            <w:r>
              <w:rPr>
                <w:rFonts w:hint="eastAsia" w:ascii="黑体" w:hAnsi="黑体" w:eastAsia="黑体" w:cs="黑体"/>
                <w:sz w:val="22"/>
                <w:szCs w:val="22"/>
                <w:highlight w:val="none"/>
                <w:lang w:val="en-US" w:eastAsia="zh-CN"/>
              </w:rPr>
              <w:t>9.11</w:t>
            </w:r>
            <w:r>
              <w:rPr>
                <w:rFonts w:ascii="黑体" w:hAnsi="黑体" w:eastAsia="黑体" w:cs="黑体"/>
                <w:sz w:val="22"/>
                <w:szCs w:val="22"/>
                <w:highlight w:val="none"/>
              </w:rPr>
              <w:t>款：</w:t>
            </w:r>
          </w:p>
          <w:p w14:paraId="01BDD64E">
            <w:pPr>
              <w:spacing w:before="115" w:line="298" w:lineRule="auto"/>
              <w:ind w:left="103" w:leftChars="0" w:firstLine="479" w:firstLineChars="0"/>
              <w:rPr>
                <w:rFonts w:hint="eastAsia" w:ascii="黑体" w:hAnsi="黑体" w:eastAsia="黑体" w:cs="黑体"/>
                <w:b/>
                <w:bCs/>
                <w:spacing w:val="6"/>
                <w:sz w:val="22"/>
                <w:szCs w:val="22"/>
                <w:highlight w:val="none"/>
              </w:rPr>
            </w:pPr>
            <w:r>
              <w:rPr>
                <w:rFonts w:hint="eastAsia" w:ascii="黑体" w:hAnsi="黑体" w:eastAsia="黑体" w:cs="黑体"/>
                <w:b/>
                <w:bCs/>
                <w:spacing w:val="6"/>
                <w:sz w:val="22"/>
                <w:szCs w:val="22"/>
                <w:highlight w:val="none"/>
              </w:rPr>
              <w:t>由于通过辽宁省公共资源交易平台制作电子招标文件时，投标文件格式中的“价格指数和权重值表”“银行信贷证明"“近年财务情况”为必选项，本次招标可不填报上述必选项资料，因此投标人无需制作上述材料或上传空白材料即可，上述必选项资料不作为本次招标的评审依据。</w:t>
            </w:r>
          </w:p>
          <w:p w14:paraId="33E85B2B">
            <w:pPr>
              <w:spacing w:before="115" w:line="298" w:lineRule="auto"/>
              <w:ind w:left="103" w:leftChars="0" w:firstLine="479" w:firstLineChars="0"/>
              <w:rPr>
                <w:rFonts w:hint="eastAsia" w:ascii="黑体" w:hAnsi="黑体" w:eastAsia="黑体" w:cs="黑体"/>
                <w:b/>
                <w:bCs/>
                <w:spacing w:val="6"/>
                <w:sz w:val="22"/>
                <w:szCs w:val="22"/>
                <w:highlight w:val="none"/>
              </w:rPr>
            </w:pPr>
            <w:r>
              <w:rPr>
                <w:rFonts w:hint="eastAsia" w:ascii="黑体" w:hAnsi="黑体" w:eastAsia="黑体" w:cs="黑体"/>
                <w:b/>
                <w:bCs/>
                <w:spacing w:val="6"/>
                <w:sz w:val="22"/>
                <w:szCs w:val="22"/>
                <w:highlight w:val="none"/>
              </w:rPr>
              <w:t>投标人的投标报价不得高于最高投标限价，超过最高投标限价的投标将被否决。</w:t>
            </w:r>
          </w:p>
        </w:tc>
      </w:tr>
      <w:tr w14:paraId="59966ACD">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707C4BD0">
            <w:pPr>
              <w:pageBreakBefore w:val="0"/>
              <w:kinsoku/>
              <w:wordWrap w:val="0"/>
              <w:bidi w:val="0"/>
              <w:spacing w:line="440" w:lineRule="exact"/>
              <w:jc w:val="center"/>
              <w:rPr>
                <w:rFonts w:hint="eastAsia" w:cs="Times New Roman"/>
                <w:color w:val="000000"/>
                <w:kern w:val="2"/>
                <w:sz w:val="22"/>
                <w:szCs w:val="22"/>
                <w:highlight w:val="none"/>
                <w:lang w:val="en-US" w:eastAsia="zh-CN" w:bidi="ar-SA"/>
              </w:rPr>
            </w:pPr>
          </w:p>
        </w:tc>
        <w:tc>
          <w:tcPr>
            <w:tcW w:w="8821" w:type="dxa"/>
            <w:gridSpan w:val="2"/>
            <w:tcBorders>
              <w:top w:val="single" w:color="auto" w:sz="4" w:space="0"/>
              <w:left w:val="single" w:color="auto" w:sz="4" w:space="0"/>
              <w:bottom w:val="single" w:color="auto" w:sz="4" w:space="0"/>
              <w:right w:val="single" w:color="auto" w:sz="4" w:space="0"/>
            </w:tcBorders>
            <w:noWrap w:val="0"/>
            <w:vAlign w:val="top"/>
          </w:tcPr>
          <w:p w14:paraId="3E028927">
            <w:pPr>
              <w:spacing w:before="115" w:line="298" w:lineRule="auto"/>
              <w:ind w:left="103" w:firstLine="479"/>
              <w:rPr>
                <w:rFonts w:ascii="黑体" w:hAnsi="黑体" w:eastAsia="黑体" w:cs="黑体"/>
                <w:sz w:val="22"/>
                <w:szCs w:val="22"/>
                <w:highlight w:val="none"/>
              </w:rPr>
            </w:pPr>
            <w:r>
              <w:rPr>
                <w:rFonts w:ascii="黑体" w:hAnsi="黑体" w:eastAsia="黑体" w:cs="黑体"/>
                <w:spacing w:val="-1"/>
                <w:sz w:val="22"/>
                <w:szCs w:val="22"/>
                <w:highlight w:val="none"/>
              </w:rPr>
              <w:t>补充第</w:t>
            </w:r>
            <w:r>
              <w:rPr>
                <w:rFonts w:hint="eastAsia" w:ascii="黑体" w:hAnsi="黑体" w:eastAsia="黑体" w:cs="黑体"/>
                <w:sz w:val="22"/>
                <w:szCs w:val="22"/>
                <w:highlight w:val="none"/>
                <w:lang w:val="en-US" w:eastAsia="zh-CN"/>
              </w:rPr>
              <w:t>9.12</w:t>
            </w:r>
            <w:r>
              <w:rPr>
                <w:rFonts w:ascii="黑体" w:hAnsi="黑体" w:eastAsia="黑体" w:cs="黑体"/>
                <w:sz w:val="22"/>
                <w:szCs w:val="22"/>
                <w:highlight w:val="none"/>
              </w:rPr>
              <w:t>款：</w:t>
            </w:r>
          </w:p>
          <w:p w14:paraId="2982F1F5">
            <w:pPr>
              <w:spacing w:before="115" w:line="298" w:lineRule="auto"/>
              <w:ind w:left="103" w:firstLine="479"/>
              <w:rPr>
                <w:rFonts w:hint="eastAsia" w:ascii="黑体" w:hAnsi="黑体" w:eastAsia="黑体" w:cs="黑体"/>
                <w:b/>
                <w:bCs/>
                <w:spacing w:val="6"/>
                <w:sz w:val="22"/>
                <w:szCs w:val="22"/>
                <w:highlight w:val="none"/>
              </w:rPr>
            </w:pPr>
            <w:r>
              <w:rPr>
                <w:rFonts w:hint="eastAsia" w:ascii="黑体" w:hAnsi="黑体" w:eastAsia="黑体" w:cs="黑体"/>
                <w:b/>
                <w:bCs/>
                <w:sz w:val="22"/>
                <w:szCs w:val="22"/>
                <w:highlight w:val="none"/>
              </w:rPr>
              <w:t>大石桥市2025年一事一议财政奖补村内道路建设项目共四个标段，四个标段兼投不兼中，每个标段最终中标人的确定按标段序号（由一至四标段）的顺序确定，例如：某一投标人在前序标段被认定为最终中标人，则该投标人在后续各标段中不再被认定为中标人。</w:t>
            </w:r>
          </w:p>
        </w:tc>
      </w:tr>
    </w:tbl>
    <w:p w14:paraId="1ED4EA11">
      <w:pPr>
        <w:pageBreakBefore w:val="0"/>
        <w:kinsoku/>
        <w:wordWrap w:val="0"/>
        <w:bidi w:val="0"/>
        <w:spacing w:line="20" w:lineRule="exact"/>
        <w:jc w:val="center"/>
        <w:rPr>
          <w:rFonts w:hint="default" w:ascii="Times New Roman" w:hAnsi="Times New Roman" w:eastAsia="黑体" w:cs="Times New Roman"/>
          <w:b/>
          <w:sz w:val="18"/>
          <w:szCs w:val="18"/>
          <w:highlight w:val="none"/>
        </w:rPr>
      </w:pPr>
      <w:r>
        <w:rPr>
          <w:rFonts w:hint="default" w:ascii="Times New Roman" w:hAnsi="Times New Roman" w:eastAsia="黑体" w:cs="Times New Roman"/>
          <w:sz w:val="28"/>
          <w:szCs w:val="28"/>
          <w:highlight w:val="none"/>
        </w:rPr>
        <w:br w:type="page"/>
      </w:r>
    </w:p>
    <w:p w14:paraId="5B0EC86D">
      <w:pPr>
        <w:pStyle w:val="2"/>
        <w:pageBreakBefore w:val="0"/>
        <w:kinsoku/>
        <w:wordWrap w:val="0"/>
        <w:bidi w:val="0"/>
        <w:spacing w:before="240" w:after="240" w:line="240" w:lineRule="atLeast"/>
        <w:jc w:val="center"/>
        <w:rPr>
          <w:rFonts w:hint="default" w:ascii="Times New Roman" w:hAnsi="Times New Roman" w:cs="Times New Roman"/>
          <w:highlight w:val="none"/>
        </w:rPr>
      </w:pPr>
      <w:bookmarkStart w:id="42" w:name="_Toc29783"/>
      <w:bookmarkStart w:id="43" w:name="_Toc11266"/>
      <w:bookmarkStart w:id="44" w:name="_Toc234832863"/>
      <w:r>
        <w:rPr>
          <w:rFonts w:hint="default" w:ascii="Times New Roman" w:hAnsi="Times New Roman" w:eastAsia="黑体" w:cs="Times New Roman"/>
          <w:sz w:val="28"/>
          <w:szCs w:val="28"/>
          <w:highlight w:val="none"/>
        </w:rPr>
        <w:t>附录1  资格审查条件（资质最低</w:t>
      </w:r>
      <w:r>
        <w:rPr>
          <w:rFonts w:hint="default" w:ascii="Times New Roman" w:hAnsi="Times New Roman" w:eastAsia="黑体" w:cs="Times New Roman"/>
          <w:sz w:val="28"/>
          <w:szCs w:val="28"/>
          <w:highlight w:val="none"/>
          <w:lang w:eastAsia="zh-CN"/>
        </w:rPr>
        <w:t>要求</w:t>
      </w:r>
      <w:r>
        <w:rPr>
          <w:rFonts w:hint="default" w:ascii="Times New Roman" w:hAnsi="Times New Roman" w:eastAsia="黑体" w:cs="Times New Roman"/>
          <w:sz w:val="28"/>
          <w:szCs w:val="28"/>
          <w:highlight w:val="none"/>
        </w:rPr>
        <w:t>）</w:t>
      </w:r>
      <w:r>
        <w:rPr>
          <w:rStyle w:val="56"/>
          <w:rFonts w:hint="default" w:ascii="Times New Roman" w:hAnsi="Times New Roman" w:eastAsia="黑体" w:cs="Times New Roman"/>
          <w:sz w:val="28"/>
          <w:szCs w:val="28"/>
          <w:highlight w:val="none"/>
        </w:rPr>
        <w:footnoteReference w:id="11"/>
      </w:r>
      <w:bookmarkEnd w:id="42"/>
      <w:bookmarkEnd w:id="43"/>
      <w:bookmarkEnd w:id="44"/>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80"/>
      </w:tblGrid>
      <w:tr w14:paraId="3CBFB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6" w:hRule="atLeast"/>
          <w:jc w:val="center"/>
        </w:trPr>
        <w:tc>
          <w:tcPr>
            <w:tcW w:w="8480" w:type="dxa"/>
            <w:noWrap w:val="0"/>
            <w:vAlign w:val="center"/>
          </w:tcPr>
          <w:p w14:paraId="4DC61848">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施工企业资质等级要求</w:t>
            </w:r>
          </w:p>
        </w:tc>
      </w:tr>
      <w:tr w14:paraId="09D8F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12" w:hRule="atLeast"/>
          <w:jc w:val="center"/>
        </w:trPr>
        <w:tc>
          <w:tcPr>
            <w:tcW w:w="8480" w:type="dxa"/>
            <w:noWrap w:val="0"/>
            <w:vAlign w:val="center"/>
          </w:tcPr>
          <w:p w14:paraId="13B21C29">
            <w:pPr>
              <w:pageBreakBefore w:val="0"/>
              <w:kinsoku/>
              <w:wordWrap w:val="0"/>
              <w:bidi w:val="0"/>
              <w:adjustRightInd w:val="0"/>
              <w:snapToGrid w:val="0"/>
              <w:spacing w:line="400" w:lineRule="atLeast"/>
              <w:jc w:val="left"/>
              <w:rPr>
                <w:rFonts w:hint="default" w:ascii="Times New Roman" w:hAnsi="Times New Roman" w:cs="Times New Roman"/>
                <w:szCs w:val="21"/>
                <w:highlight w:val="none"/>
              </w:rPr>
            </w:pPr>
          </w:p>
          <w:p w14:paraId="1B178EE4">
            <w:pPr>
              <w:pageBreakBefore w:val="0"/>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1 、投标人必须具有国内独立法人资格及有效的企业法人营业执照。</w:t>
            </w:r>
          </w:p>
          <w:p w14:paraId="309703C9">
            <w:pPr>
              <w:pageBreakBefore w:val="0"/>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2 、投标人须具有公路工程施工总承包叁级及以上资质。</w:t>
            </w:r>
          </w:p>
          <w:p w14:paraId="4416992C">
            <w:pPr>
              <w:pageBreakBefore w:val="0"/>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3 、投标人必须具有建设行政主管部门颁发的有效安全生产许可证。</w:t>
            </w:r>
          </w:p>
          <w:p w14:paraId="13C8DBFA">
            <w:pPr>
              <w:pageBreakBefore w:val="0"/>
              <w:kinsoku/>
              <w:wordWrap w:val="0"/>
              <w:bidi w:val="0"/>
              <w:adjustRightInd w:val="0"/>
              <w:snapToGrid w:val="0"/>
              <w:spacing w:line="400" w:lineRule="atLeast"/>
              <w:jc w:val="left"/>
              <w:rPr>
                <w:rFonts w:hint="default" w:ascii="Times New Roman" w:hAnsi="Times New Roman" w:cs="Times New Roman"/>
                <w:szCs w:val="21"/>
                <w:highlight w:val="none"/>
              </w:rPr>
            </w:pPr>
          </w:p>
          <w:p w14:paraId="2971144F">
            <w:pPr>
              <w:pageBreakBefore w:val="0"/>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注：1、“投标人基本情况表”后应附企业法人营业执照副本和组织机构代码证副本（按照</w:t>
            </w:r>
          </w:p>
          <w:p w14:paraId="782B840A">
            <w:pPr>
              <w:pageBreakBefore w:val="0"/>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“三证合一”或“五证合一”登记制度进行登记的，可仅提供营业执照副本，下同）、资质证书</w:t>
            </w:r>
          </w:p>
          <w:p w14:paraId="48D7698C">
            <w:pPr>
              <w:pageBreakBefore w:val="0"/>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副本、安全生产许可证副本、基本账户开户证明的复印件，以及投标人在国家企业信用信</w:t>
            </w:r>
          </w:p>
          <w:p w14:paraId="7BEEE5DB">
            <w:pPr>
              <w:pageBreakBefore w:val="0"/>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息公示系统中基础信息（体现股东及出资详细信息）的网页截图或由法定的社会验资机构</w:t>
            </w:r>
          </w:p>
          <w:p w14:paraId="4E90D344">
            <w:pPr>
              <w:pageBreakBefore w:val="0"/>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出具的验资报告或注册地工商部门出具的股东出资情况证明复印件。</w:t>
            </w:r>
          </w:p>
          <w:p w14:paraId="0F6AB716">
            <w:pPr>
              <w:pageBreakBefore w:val="0"/>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2、投标人须提供其在交通运输部全国公路建设市场监督管理系统公路工程施工资质企业名</w:t>
            </w:r>
          </w:p>
          <w:p w14:paraId="57CAB016">
            <w:pPr>
              <w:pageBreakBefore w:val="0"/>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录中的网页截图复印件</w:t>
            </w:r>
          </w:p>
        </w:tc>
      </w:tr>
    </w:tbl>
    <w:p w14:paraId="3B32934E">
      <w:pPr>
        <w:pageBreakBefore w:val="0"/>
        <w:kinsoku/>
        <w:wordWrap w:val="0"/>
        <w:bidi w:val="0"/>
        <w:adjustRightInd w:val="0"/>
        <w:snapToGrid w:val="0"/>
        <w:spacing w:line="300" w:lineRule="exact"/>
        <w:rPr>
          <w:rFonts w:hint="default" w:ascii="Times New Roman" w:hAnsi="Times New Roman" w:eastAsia="隶书" w:cs="Times New Roman"/>
          <w:b/>
          <w:sz w:val="32"/>
          <w:highlight w:val="none"/>
        </w:rPr>
      </w:pPr>
    </w:p>
    <w:p w14:paraId="4BCF851D">
      <w:pPr>
        <w:pageBreakBefore w:val="0"/>
        <w:kinsoku/>
        <w:wordWrap w:val="0"/>
        <w:bidi w:val="0"/>
        <w:adjustRightInd w:val="0"/>
        <w:snapToGrid w:val="0"/>
        <w:spacing w:line="300" w:lineRule="exact"/>
        <w:rPr>
          <w:rFonts w:hint="default" w:ascii="Times New Roman" w:hAnsi="Times New Roman" w:eastAsia="隶书" w:cs="Times New Roman"/>
          <w:b/>
          <w:sz w:val="32"/>
          <w:highlight w:val="none"/>
        </w:rPr>
      </w:pPr>
    </w:p>
    <w:p w14:paraId="38CA1182">
      <w:pPr>
        <w:pageBreakBefore w:val="0"/>
        <w:kinsoku/>
        <w:wordWrap w:val="0"/>
        <w:bidi w:val="0"/>
        <w:adjustRightInd w:val="0"/>
        <w:snapToGrid w:val="0"/>
        <w:spacing w:line="300" w:lineRule="exact"/>
        <w:rPr>
          <w:rFonts w:hint="default" w:ascii="Times New Roman" w:hAnsi="Times New Roman" w:eastAsia="隶书" w:cs="Times New Roman"/>
          <w:b/>
          <w:sz w:val="32"/>
          <w:highlight w:val="none"/>
        </w:rPr>
      </w:pPr>
    </w:p>
    <w:p w14:paraId="26D004C6">
      <w:pPr>
        <w:pageBreakBefore w:val="0"/>
        <w:kinsoku/>
        <w:wordWrap w:val="0"/>
        <w:bidi w:val="0"/>
        <w:adjustRightInd w:val="0"/>
        <w:snapToGrid w:val="0"/>
        <w:spacing w:line="300" w:lineRule="exact"/>
        <w:rPr>
          <w:rFonts w:hint="default" w:ascii="Times New Roman" w:hAnsi="Times New Roman" w:eastAsia="隶书" w:cs="Times New Roman"/>
          <w:b/>
          <w:sz w:val="32"/>
          <w:highlight w:val="none"/>
        </w:rPr>
      </w:pPr>
    </w:p>
    <w:p w14:paraId="62422DDA">
      <w:pPr>
        <w:pageBreakBefore w:val="0"/>
        <w:kinsoku/>
        <w:wordWrap w:val="0"/>
        <w:bidi w:val="0"/>
        <w:adjustRightInd w:val="0"/>
        <w:snapToGrid w:val="0"/>
        <w:spacing w:line="300" w:lineRule="exact"/>
        <w:rPr>
          <w:rFonts w:hint="default" w:ascii="Times New Roman" w:hAnsi="Times New Roman" w:eastAsia="隶书" w:cs="Times New Roman"/>
          <w:b/>
          <w:sz w:val="32"/>
          <w:highlight w:val="none"/>
        </w:rPr>
      </w:pPr>
    </w:p>
    <w:p w14:paraId="3FE37F51">
      <w:pPr>
        <w:pageBreakBefore w:val="0"/>
        <w:kinsoku/>
        <w:wordWrap w:val="0"/>
        <w:bidi w:val="0"/>
        <w:adjustRightInd w:val="0"/>
        <w:snapToGrid w:val="0"/>
        <w:spacing w:line="300" w:lineRule="exact"/>
        <w:rPr>
          <w:rFonts w:hint="default" w:ascii="Times New Roman" w:hAnsi="Times New Roman" w:eastAsia="隶书" w:cs="Times New Roman"/>
          <w:b/>
          <w:sz w:val="32"/>
          <w:highlight w:val="none"/>
        </w:rPr>
      </w:pPr>
    </w:p>
    <w:p w14:paraId="512FE2D8">
      <w:pPr>
        <w:pageBreakBefore w:val="0"/>
        <w:kinsoku/>
        <w:wordWrap w:val="0"/>
        <w:bidi w:val="0"/>
        <w:adjustRightInd w:val="0"/>
        <w:snapToGrid w:val="0"/>
        <w:spacing w:line="300" w:lineRule="exact"/>
        <w:rPr>
          <w:rFonts w:hint="default" w:ascii="Times New Roman" w:hAnsi="Times New Roman" w:eastAsia="隶书" w:cs="Times New Roman"/>
          <w:b/>
          <w:sz w:val="32"/>
          <w:highlight w:val="none"/>
        </w:rPr>
      </w:pPr>
    </w:p>
    <w:p w14:paraId="227F8E24">
      <w:pPr>
        <w:pageBreakBefore w:val="0"/>
        <w:kinsoku/>
        <w:wordWrap w:val="0"/>
        <w:bidi w:val="0"/>
        <w:adjustRightInd w:val="0"/>
        <w:snapToGrid w:val="0"/>
        <w:spacing w:line="300" w:lineRule="exact"/>
        <w:rPr>
          <w:rFonts w:hint="default" w:ascii="Times New Roman" w:hAnsi="Times New Roman" w:eastAsia="隶书" w:cs="Times New Roman"/>
          <w:b/>
          <w:sz w:val="32"/>
          <w:highlight w:val="none"/>
        </w:rPr>
      </w:pPr>
    </w:p>
    <w:p w14:paraId="637A44D6">
      <w:pPr>
        <w:pageBreakBefore w:val="0"/>
        <w:kinsoku/>
        <w:wordWrap w:val="0"/>
        <w:bidi w:val="0"/>
        <w:adjustRightInd w:val="0"/>
        <w:snapToGrid w:val="0"/>
        <w:spacing w:line="300" w:lineRule="exact"/>
        <w:rPr>
          <w:rFonts w:hint="default" w:ascii="Times New Roman" w:hAnsi="Times New Roman" w:eastAsia="隶书" w:cs="Times New Roman"/>
          <w:b/>
          <w:sz w:val="32"/>
          <w:highlight w:val="none"/>
        </w:rPr>
      </w:pPr>
    </w:p>
    <w:p w14:paraId="21A9AF83">
      <w:pPr>
        <w:pageBreakBefore w:val="0"/>
        <w:kinsoku/>
        <w:wordWrap w:val="0"/>
        <w:bidi w:val="0"/>
        <w:adjustRightInd w:val="0"/>
        <w:snapToGrid w:val="0"/>
        <w:spacing w:line="300" w:lineRule="exact"/>
        <w:rPr>
          <w:rFonts w:hint="default" w:ascii="Times New Roman" w:hAnsi="Times New Roman" w:eastAsia="隶书" w:cs="Times New Roman"/>
          <w:b/>
          <w:sz w:val="32"/>
          <w:highlight w:val="none"/>
        </w:rPr>
      </w:pPr>
    </w:p>
    <w:p w14:paraId="2E6317B6">
      <w:pPr>
        <w:pStyle w:val="2"/>
        <w:pageBreakBefore w:val="0"/>
        <w:kinsoku/>
        <w:wordWrap w:val="0"/>
        <w:bidi w:val="0"/>
        <w:spacing w:before="240" w:after="240" w:line="240" w:lineRule="atLeast"/>
        <w:jc w:val="center"/>
        <w:rPr>
          <w:rFonts w:hint="default" w:ascii="Times New Roman" w:hAnsi="Times New Roman" w:eastAsia="黑体" w:cs="Times New Roman"/>
          <w:sz w:val="28"/>
          <w:szCs w:val="28"/>
          <w:highlight w:val="none"/>
        </w:rPr>
      </w:pPr>
      <w:bookmarkStart w:id="45" w:name="_Toc4197"/>
      <w:bookmarkStart w:id="46" w:name="_Toc234832864"/>
      <w:bookmarkStart w:id="47" w:name="_Toc11089"/>
      <w:r>
        <w:rPr>
          <w:rFonts w:hint="default" w:ascii="Times New Roman" w:hAnsi="Times New Roman" w:eastAsia="黑体" w:cs="Times New Roman"/>
          <w:sz w:val="28"/>
          <w:szCs w:val="28"/>
          <w:highlight w:val="none"/>
        </w:rPr>
        <w:t>附录2  资格审查条件（财务最低要求）</w:t>
      </w:r>
      <w:r>
        <w:rPr>
          <w:rStyle w:val="56"/>
          <w:rFonts w:hint="default" w:ascii="Times New Roman" w:hAnsi="Times New Roman" w:eastAsia="黑体" w:cs="Times New Roman"/>
          <w:sz w:val="28"/>
          <w:szCs w:val="28"/>
          <w:highlight w:val="none"/>
        </w:rPr>
        <w:footnoteReference w:id="12"/>
      </w:r>
      <w:bookmarkEnd w:id="45"/>
      <w:bookmarkEnd w:id="46"/>
      <w:bookmarkEnd w:id="47"/>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19"/>
      </w:tblGrid>
      <w:tr w14:paraId="62445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5" w:hRule="atLeast"/>
          <w:jc w:val="center"/>
        </w:trPr>
        <w:tc>
          <w:tcPr>
            <w:tcW w:w="8819" w:type="dxa"/>
            <w:noWrap w:val="0"/>
            <w:vAlign w:val="center"/>
          </w:tcPr>
          <w:p w14:paraId="3ADECFCD">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财 务 要 求</w:t>
            </w:r>
          </w:p>
        </w:tc>
      </w:tr>
      <w:tr w14:paraId="7FBF4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3" w:hRule="atLeast"/>
          <w:jc w:val="center"/>
        </w:trPr>
        <w:tc>
          <w:tcPr>
            <w:tcW w:w="8819" w:type="dxa"/>
            <w:noWrap w:val="0"/>
            <w:vAlign w:val="center"/>
          </w:tcPr>
          <w:p w14:paraId="428AD54D">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678B31C6">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无</w:t>
            </w:r>
          </w:p>
          <w:p w14:paraId="1AAC7E02">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61E50C37">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37205380">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030C2022">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109C40DD">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326D55FA">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0C633EE6">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00ECACA8">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52590769">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6AAD35EF">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38713420">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486D4992">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761F271C">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79BCC974">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7B40982D">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75DE9D08">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2C49C138">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47AF4A9F">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1A4525A8">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6E5443EE">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3F47455E">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tc>
      </w:tr>
    </w:tbl>
    <w:p w14:paraId="372AB782">
      <w:pPr>
        <w:pageBreakBefore w:val="0"/>
        <w:kinsoku/>
        <w:wordWrap w:val="0"/>
        <w:bidi w:val="0"/>
        <w:adjustRightInd w:val="0"/>
        <w:snapToGrid w:val="0"/>
        <w:spacing w:line="300" w:lineRule="exact"/>
        <w:rPr>
          <w:rFonts w:hint="default" w:ascii="Times New Roman" w:hAnsi="Times New Roman" w:eastAsia="黑体" w:cs="Times New Roman"/>
          <w:sz w:val="24"/>
          <w:highlight w:val="none"/>
        </w:rPr>
      </w:pPr>
    </w:p>
    <w:p w14:paraId="5A43E5D5">
      <w:pPr>
        <w:pStyle w:val="2"/>
        <w:pageBreakBefore w:val="0"/>
        <w:kinsoku/>
        <w:wordWrap w:val="0"/>
        <w:bidi w:val="0"/>
        <w:spacing w:before="240" w:after="240" w:line="240" w:lineRule="atLeast"/>
        <w:jc w:val="center"/>
        <w:rPr>
          <w:rFonts w:hint="default" w:ascii="Times New Roman" w:hAnsi="Times New Roman" w:eastAsia="黑体" w:cs="Times New Roman"/>
          <w:sz w:val="28"/>
          <w:szCs w:val="28"/>
          <w:highlight w:val="none"/>
        </w:rPr>
      </w:pPr>
      <w:r>
        <w:rPr>
          <w:rFonts w:hint="default" w:ascii="Times New Roman" w:hAnsi="Times New Roman" w:eastAsia="黑体" w:cs="Times New Roman"/>
          <w:sz w:val="24"/>
          <w:highlight w:val="none"/>
        </w:rPr>
        <w:br w:type="page"/>
      </w:r>
      <w:bookmarkStart w:id="48" w:name="_Toc18273"/>
      <w:bookmarkStart w:id="49" w:name="_Toc6381"/>
      <w:bookmarkStart w:id="50" w:name="_Toc234832865"/>
      <w:r>
        <w:rPr>
          <w:rFonts w:hint="default" w:ascii="Times New Roman" w:hAnsi="Times New Roman" w:eastAsia="黑体" w:cs="Times New Roman"/>
          <w:sz w:val="28"/>
          <w:szCs w:val="28"/>
          <w:highlight w:val="none"/>
        </w:rPr>
        <w:t xml:space="preserve">附录3 </w:t>
      </w:r>
      <w:r>
        <w:rPr>
          <w:rFonts w:hint="default" w:ascii="Times New Roman" w:hAnsi="Times New Roman" w:eastAsia="黑体" w:cs="Times New Roman"/>
          <w:sz w:val="28"/>
          <w:szCs w:val="28"/>
          <w:highlight w:val="none"/>
          <w:lang w:eastAsia="zh-CN"/>
        </w:rPr>
        <w:t xml:space="preserve"> </w:t>
      </w:r>
      <w:r>
        <w:rPr>
          <w:rFonts w:hint="default" w:ascii="Times New Roman" w:hAnsi="Times New Roman" w:eastAsia="黑体" w:cs="Times New Roman"/>
          <w:sz w:val="28"/>
          <w:szCs w:val="28"/>
          <w:highlight w:val="none"/>
        </w:rPr>
        <w:t>资格审查条件（业绩最低要求）</w:t>
      </w:r>
      <w:r>
        <w:rPr>
          <w:rStyle w:val="56"/>
          <w:rFonts w:hint="default" w:ascii="Times New Roman" w:hAnsi="Times New Roman" w:eastAsia="黑体" w:cs="Times New Roman"/>
          <w:sz w:val="28"/>
          <w:szCs w:val="28"/>
          <w:highlight w:val="none"/>
        </w:rPr>
        <w:footnoteReference w:id="13"/>
      </w:r>
      <w:bookmarkEnd w:id="48"/>
      <w:bookmarkEnd w:id="49"/>
      <w:bookmarkEnd w:id="50"/>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19"/>
      </w:tblGrid>
      <w:tr w14:paraId="735AE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5" w:hRule="atLeast"/>
          <w:jc w:val="center"/>
        </w:trPr>
        <w:tc>
          <w:tcPr>
            <w:tcW w:w="8819" w:type="dxa"/>
            <w:noWrap w:val="0"/>
            <w:vAlign w:val="center"/>
          </w:tcPr>
          <w:p w14:paraId="59C66526">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业 绩 要 求</w:t>
            </w:r>
          </w:p>
        </w:tc>
      </w:tr>
      <w:tr w14:paraId="1C10F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3" w:hRule="atLeast"/>
          <w:jc w:val="center"/>
        </w:trPr>
        <w:tc>
          <w:tcPr>
            <w:tcW w:w="8819" w:type="dxa"/>
            <w:noWrap w:val="0"/>
            <w:vAlign w:val="center"/>
          </w:tcPr>
          <w:p w14:paraId="60F7F422">
            <w:pPr>
              <w:pageBreakBefore w:val="0"/>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投标人202</w:t>
            </w:r>
            <w:r>
              <w:rPr>
                <w:rFonts w:hint="eastAsia" w:cs="Times New Roman"/>
                <w:szCs w:val="21"/>
                <w:highlight w:val="none"/>
                <w:lang w:val="en-US" w:eastAsia="zh-CN"/>
              </w:rPr>
              <w:t>3</w:t>
            </w:r>
            <w:r>
              <w:rPr>
                <w:rFonts w:hint="default" w:ascii="Times New Roman" w:hAnsi="Times New Roman" w:cs="Times New Roman"/>
                <w:szCs w:val="21"/>
                <w:highlight w:val="none"/>
              </w:rPr>
              <w:t>年1月1日至投标文件递交截止时间（指交工验收时</w:t>
            </w:r>
            <w:r>
              <w:rPr>
                <w:rFonts w:hint="eastAsia" w:cs="Times New Roman"/>
                <w:szCs w:val="21"/>
                <w:highlight w:val="none"/>
                <w:lang w:eastAsia="zh-CN"/>
              </w:rPr>
              <w:t>间</w:t>
            </w:r>
            <w:r>
              <w:rPr>
                <w:rFonts w:hint="default" w:ascii="Times New Roman" w:hAnsi="Times New Roman" w:cs="Times New Roman"/>
                <w:szCs w:val="21"/>
                <w:highlight w:val="none"/>
              </w:rPr>
              <w:t>为202</w:t>
            </w:r>
            <w:r>
              <w:rPr>
                <w:rFonts w:hint="eastAsia" w:cs="Times New Roman"/>
                <w:szCs w:val="21"/>
                <w:highlight w:val="none"/>
                <w:lang w:val="en-US" w:eastAsia="zh-CN"/>
              </w:rPr>
              <w:t>3</w:t>
            </w:r>
            <w:r>
              <w:rPr>
                <w:rFonts w:hint="default" w:ascii="Times New Roman" w:hAnsi="Times New Roman" w:cs="Times New Roman"/>
                <w:szCs w:val="21"/>
                <w:highlight w:val="none"/>
              </w:rPr>
              <w:t>年1月1日至投标文件递交截止日内），完成过至少1个类似业绩。</w:t>
            </w:r>
          </w:p>
          <w:p w14:paraId="70CC67A3">
            <w:pPr>
              <w:pageBreakBefore w:val="0"/>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注：投标人应提供中标通知书、施工合同及竣工相关证明材料，三者缺一不可，合同时间以竣工时间为准。</w:t>
            </w:r>
          </w:p>
          <w:p w14:paraId="6DF897B1">
            <w:pPr>
              <w:pageBreakBefore w:val="0"/>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1、已录入“辽宁省公共资源交易平台主体交易库”中的企业业绩，可以从主体库中选取后关联至投标文件中，作为企业业绩的证明材料。</w:t>
            </w:r>
          </w:p>
          <w:p w14:paraId="0B7E14F2">
            <w:pPr>
              <w:pageBreakBefore w:val="0"/>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2、未录入“辽宁省公共资源交易平台主体交易库”中的企业业绩，按下述方式在投标文件第一个信封的“其他材料”中提供，作为企业业绩证明材料：以中标通知书、施工合同、竣工相关证明材料中载明的信息为准，同时还须提供官方网站中标公示页。</w:t>
            </w:r>
          </w:p>
          <w:p w14:paraId="07AFFCEC">
            <w:pPr>
              <w:pageBreakBefore w:val="0"/>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如投标人未按要求提供企业业绩证明材料或企业业绩证明材料中的信息无法证实企业满足招标文件要求，则该项目业绩在评审时不予认定。</w:t>
            </w:r>
          </w:p>
          <w:p w14:paraId="1950D41D">
            <w:pPr>
              <w:pageBreakBefore w:val="0"/>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3、投标人所提供的企业业绩如通过“交通运输”或“住房和城乡建设”或“发展与改革” 或“招投标监督管理”等政府主管部门各级官方网站的查询结果与投标人自行填报的不符而使得投标人的业绩不符合招标文件规定的，则对应业绩在评审时将不予认定。</w:t>
            </w:r>
          </w:p>
          <w:p w14:paraId="006CA48B">
            <w:pPr>
              <w:pageBreakBefore w:val="0"/>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4、如近年来，投标人法人机构发生变更或重组或法人名称变更时，应提供相关部门的合法批件。</w:t>
            </w:r>
          </w:p>
          <w:p w14:paraId="494124A0">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1F522978">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138F73D9">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37908B56">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0349B178">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130FBA94">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0131F792">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2471C871">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tc>
      </w:tr>
    </w:tbl>
    <w:p w14:paraId="73F53221">
      <w:pPr>
        <w:pageBreakBefore w:val="0"/>
        <w:kinsoku/>
        <w:wordWrap w:val="0"/>
        <w:bidi w:val="0"/>
        <w:adjustRightInd w:val="0"/>
        <w:snapToGrid w:val="0"/>
        <w:spacing w:line="300" w:lineRule="exact"/>
        <w:rPr>
          <w:rFonts w:hint="default" w:ascii="Times New Roman" w:hAnsi="Times New Roman" w:eastAsia="隶书" w:cs="Times New Roman"/>
          <w:b/>
          <w:sz w:val="32"/>
          <w:highlight w:val="none"/>
        </w:rPr>
      </w:pPr>
    </w:p>
    <w:p w14:paraId="4D768E99">
      <w:pPr>
        <w:pStyle w:val="2"/>
        <w:pageBreakBefore w:val="0"/>
        <w:kinsoku/>
        <w:wordWrap w:val="0"/>
        <w:bidi w:val="0"/>
        <w:spacing w:before="240" w:after="240" w:line="240" w:lineRule="atLeast"/>
        <w:jc w:val="center"/>
        <w:rPr>
          <w:rFonts w:hint="default" w:ascii="Times New Roman" w:hAnsi="Times New Roman" w:eastAsia="黑体" w:cs="Times New Roman"/>
          <w:sz w:val="28"/>
          <w:szCs w:val="28"/>
          <w:highlight w:val="none"/>
        </w:rPr>
      </w:pPr>
      <w:bookmarkStart w:id="51" w:name="_Toc234832866"/>
      <w:bookmarkStart w:id="52" w:name="_Toc17966"/>
      <w:bookmarkStart w:id="53" w:name="_Toc28200"/>
      <w:r>
        <w:rPr>
          <w:rFonts w:hint="default" w:ascii="Times New Roman" w:hAnsi="Times New Roman" w:eastAsia="黑体" w:cs="Times New Roman"/>
          <w:sz w:val="28"/>
          <w:szCs w:val="28"/>
          <w:highlight w:val="none"/>
        </w:rPr>
        <w:t>附录4  资格审查条件（信誉最低要求）</w:t>
      </w:r>
      <w:r>
        <w:rPr>
          <w:rStyle w:val="56"/>
          <w:rFonts w:hint="default" w:ascii="Times New Roman" w:hAnsi="Times New Roman" w:eastAsia="黑体" w:cs="Times New Roman"/>
          <w:sz w:val="28"/>
          <w:szCs w:val="28"/>
          <w:highlight w:val="none"/>
        </w:rPr>
        <w:footnoteReference w:id="14"/>
      </w:r>
      <w:bookmarkEnd w:id="51"/>
      <w:bookmarkEnd w:id="52"/>
      <w:bookmarkEnd w:id="53"/>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19"/>
      </w:tblGrid>
      <w:tr w14:paraId="434AB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5" w:hRule="atLeast"/>
          <w:jc w:val="center"/>
        </w:trPr>
        <w:tc>
          <w:tcPr>
            <w:tcW w:w="8819" w:type="dxa"/>
            <w:noWrap w:val="0"/>
            <w:vAlign w:val="center"/>
          </w:tcPr>
          <w:p w14:paraId="29BF9A68">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信 誉 要 求</w:t>
            </w:r>
          </w:p>
        </w:tc>
      </w:tr>
      <w:tr w14:paraId="6315D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3" w:hRule="atLeast"/>
          <w:jc w:val="center"/>
        </w:trPr>
        <w:tc>
          <w:tcPr>
            <w:tcW w:w="8819" w:type="dxa"/>
            <w:noWrap w:val="0"/>
            <w:vAlign w:val="center"/>
          </w:tcPr>
          <w:p w14:paraId="150CE829">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2CC2E53C">
            <w:pPr>
              <w:pageBreakBefore w:val="0"/>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（1）未被省级及以上交通运输主管部门取消招标项目所在地的投标资格且处于有效期内；</w:t>
            </w:r>
          </w:p>
          <w:p w14:paraId="1AFA7A30">
            <w:pPr>
              <w:pageBreakBefore w:val="0"/>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（2）未被责令停业，暂扣或吊销执照，或吊销资质证书；</w:t>
            </w:r>
          </w:p>
          <w:p w14:paraId="715174B1">
            <w:pPr>
              <w:pageBreakBefore w:val="0"/>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（3）未进入清算程序，或被宣告破产，或其他丧失履约能力的情形；</w:t>
            </w:r>
          </w:p>
          <w:p w14:paraId="4338B131">
            <w:pPr>
              <w:pageBreakBefore w:val="0"/>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（4）在国家企业信用信息公示系统（http：//www.gsxt.gov.cn）中未被列入严重违法失信企业名单；</w:t>
            </w:r>
          </w:p>
          <w:p w14:paraId="02F98B17">
            <w:pPr>
              <w:pageBreakBefore w:val="0"/>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（5）在“信用中国”网站（http：//www.creditchina.gov.cn）中未被列入失信被执行人名单；</w:t>
            </w:r>
          </w:p>
          <w:p w14:paraId="673CC60B">
            <w:pPr>
              <w:pageBreakBefore w:val="0"/>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（6）投标人或其法定代表人、拟委任的项目经理在近三年内没有行贿犯罪行为的；</w:t>
            </w:r>
          </w:p>
          <w:p w14:paraId="071E5C8C">
            <w:pPr>
              <w:pageBreakBefore w:val="0"/>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（7）投标人在以往工程未因拖欠农民工工资、材料采购、工程分包款等，而受到省级有关部门的通报；</w:t>
            </w:r>
          </w:p>
          <w:p w14:paraId="1C507BC4">
            <w:pPr>
              <w:pageBreakBefore w:val="0"/>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（8）法律法规规定的其他情形。</w:t>
            </w:r>
          </w:p>
          <w:p w14:paraId="2D71D09F">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3947746C">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5A3C2E07">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1428B8A2">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6BC812F7">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09260641">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68655CD1">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1C00ECC7">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79532D7F">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5CC4B287">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72648177">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42083FDA">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0CD50348">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43FFDCFB">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tc>
      </w:tr>
    </w:tbl>
    <w:p w14:paraId="0B95BA9F">
      <w:pPr>
        <w:pageBreakBefore w:val="0"/>
        <w:kinsoku/>
        <w:wordWrap w:val="0"/>
        <w:bidi w:val="0"/>
        <w:adjustRightInd w:val="0"/>
        <w:snapToGrid w:val="0"/>
        <w:spacing w:line="300" w:lineRule="exact"/>
        <w:rPr>
          <w:rFonts w:hint="default" w:ascii="Times New Roman" w:hAnsi="Times New Roman" w:eastAsia="隶书" w:cs="Times New Roman"/>
          <w:sz w:val="32"/>
          <w:highlight w:val="none"/>
        </w:rPr>
      </w:pPr>
    </w:p>
    <w:p w14:paraId="2375F444">
      <w:pPr>
        <w:pageBreakBefore w:val="0"/>
        <w:kinsoku/>
        <w:wordWrap w:val="0"/>
        <w:bidi w:val="0"/>
        <w:adjustRightInd w:val="0"/>
        <w:snapToGrid w:val="0"/>
        <w:spacing w:line="300" w:lineRule="auto"/>
        <w:rPr>
          <w:rFonts w:hint="default" w:ascii="Times New Roman" w:hAnsi="Times New Roman" w:cs="Times New Roman"/>
          <w:bCs/>
          <w:highlight w:val="none"/>
        </w:rPr>
      </w:pPr>
    </w:p>
    <w:p w14:paraId="0030D562">
      <w:pPr>
        <w:pageBreakBefore w:val="0"/>
        <w:kinsoku/>
        <w:wordWrap w:val="0"/>
        <w:bidi w:val="0"/>
        <w:adjustRightInd w:val="0"/>
        <w:snapToGrid w:val="0"/>
        <w:spacing w:line="300" w:lineRule="auto"/>
        <w:ind w:firstLine="964" w:firstLineChars="400"/>
        <w:jc w:val="center"/>
        <w:rPr>
          <w:rFonts w:hint="default" w:ascii="Times New Roman" w:hAnsi="Times New Roman" w:eastAsia="黑体" w:cs="Times New Roman"/>
          <w:b/>
          <w:sz w:val="24"/>
          <w:highlight w:val="none"/>
        </w:rPr>
      </w:pPr>
    </w:p>
    <w:p w14:paraId="5B0C56E0">
      <w:pPr>
        <w:pageBreakBefore w:val="0"/>
        <w:kinsoku/>
        <w:wordWrap w:val="0"/>
        <w:bidi w:val="0"/>
        <w:adjustRightInd w:val="0"/>
        <w:snapToGrid w:val="0"/>
        <w:spacing w:line="300" w:lineRule="auto"/>
        <w:ind w:firstLine="964" w:firstLineChars="400"/>
        <w:jc w:val="center"/>
        <w:rPr>
          <w:rFonts w:hint="default" w:ascii="Times New Roman" w:hAnsi="Times New Roman" w:eastAsia="黑体" w:cs="Times New Roman"/>
          <w:b/>
          <w:sz w:val="24"/>
          <w:highlight w:val="none"/>
        </w:rPr>
      </w:pPr>
    </w:p>
    <w:p w14:paraId="6638BE94">
      <w:pPr>
        <w:pStyle w:val="2"/>
        <w:pageBreakBefore w:val="0"/>
        <w:kinsoku/>
        <w:wordWrap w:val="0"/>
        <w:bidi w:val="0"/>
        <w:spacing w:before="240" w:after="240" w:line="240" w:lineRule="atLeast"/>
        <w:jc w:val="center"/>
        <w:rPr>
          <w:rFonts w:hint="default" w:ascii="Times New Roman" w:hAnsi="Times New Roman" w:eastAsia="黑体" w:cs="Times New Roman"/>
          <w:sz w:val="28"/>
          <w:szCs w:val="28"/>
          <w:highlight w:val="none"/>
        </w:rPr>
      </w:pPr>
      <w:bookmarkStart w:id="54" w:name="_Toc234832867"/>
      <w:bookmarkStart w:id="55" w:name="_Toc4881"/>
      <w:bookmarkStart w:id="56" w:name="_Toc8655"/>
      <w:r>
        <w:rPr>
          <w:rFonts w:hint="default" w:ascii="Times New Roman" w:hAnsi="Times New Roman" w:eastAsia="黑体" w:cs="Times New Roman"/>
          <w:sz w:val="28"/>
          <w:szCs w:val="28"/>
          <w:highlight w:val="none"/>
        </w:rPr>
        <w:t>附录5  资格审查条件（项目经理和项目总工最低要求）</w:t>
      </w:r>
      <w:r>
        <w:rPr>
          <w:rStyle w:val="56"/>
          <w:rFonts w:hint="default" w:ascii="Times New Roman" w:hAnsi="Times New Roman" w:eastAsia="黑体" w:cs="Times New Roman"/>
          <w:sz w:val="28"/>
          <w:szCs w:val="28"/>
          <w:highlight w:val="none"/>
        </w:rPr>
        <w:footnoteReference w:id="15"/>
      </w:r>
      <w:bookmarkEnd w:id="54"/>
      <w:bookmarkEnd w:id="55"/>
      <w:bookmarkEnd w:id="56"/>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0"/>
        <w:gridCol w:w="1559"/>
        <w:gridCol w:w="2888"/>
        <w:gridCol w:w="2887"/>
      </w:tblGrid>
      <w:tr w14:paraId="78699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70" w:type="dxa"/>
            <w:noWrap w:val="0"/>
            <w:vAlign w:val="center"/>
          </w:tcPr>
          <w:p w14:paraId="2F6DFC51">
            <w:pPr>
              <w:pageBreakBefore w:val="0"/>
              <w:kinsoku/>
              <w:wordWrap w:val="0"/>
              <w:bidi w:val="0"/>
              <w:adjustRightInd w:val="0"/>
              <w:snapToGrid w:val="0"/>
              <w:spacing w:line="300" w:lineRule="auto"/>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人  员</w:t>
            </w:r>
          </w:p>
        </w:tc>
        <w:tc>
          <w:tcPr>
            <w:tcW w:w="1559" w:type="dxa"/>
            <w:noWrap w:val="0"/>
            <w:vAlign w:val="center"/>
          </w:tcPr>
          <w:p w14:paraId="02B8C5F6">
            <w:pPr>
              <w:pageBreakBefore w:val="0"/>
              <w:kinsoku/>
              <w:wordWrap w:val="0"/>
              <w:bidi w:val="0"/>
              <w:adjustRightInd w:val="0"/>
              <w:snapToGrid w:val="0"/>
              <w:spacing w:line="300" w:lineRule="auto"/>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数  量</w:t>
            </w:r>
          </w:p>
        </w:tc>
        <w:tc>
          <w:tcPr>
            <w:tcW w:w="2888" w:type="dxa"/>
            <w:noWrap w:val="0"/>
            <w:vAlign w:val="center"/>
          </w:tcPr>
          <w:p w14:paraId="4BF7F137">
            <w:pPr>
              <w:pageBreakBefore w:val="0"/>
              <w:kinsoku/>
              <w:wordWrap w:val="0"/>
              <w:bidi w:val="0"/>
              <w:adjustRightInd w:val="0"/>
              <w:snapToGrid w:val="0"/>
              <w:spacing w:line="300" w:lineRule="auto"/>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资 格 要 求</w:t>
            </w:r>
          </w:p>
        </w:tc>
        <w:tc>
          <w:tcPr>
            <w:tcW w:w="2887" w:type="dxa"/>
            <w:noWrap w:val="0"/>
            <w:vAlign w:val="center"/>
          </w:tcPr>
          <w:p w14:paraId="263A6945">
            <w:pPr>
              <w:pageBreakBefore w:val="0"/>
              <w:kinsoku/>
              <w:wordWrap w:val="0"/>
              <w:bidi w:val="0"/>
              <w:adjustRightInd w:val="0"/>
              <w:snapToGrid w:val="0"/>
              <w:spacing w:line="300" w:lineRule="auto"/>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在岗要求</w:t>
            </w:r>
          </w:p>
        </w:tc>
      </w:tr>
      <w:tr w14:paraId="02F06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0" w:hRule="atLeast"/>
          <w:jc w:val="center"/>
        </w:trPr>
        <w:tc>
          <w:tcPr>
            <w:tcW w:w="1670" w:type="dxa"/>
            <w:noWrap w:val="0"/>
            <w:vAlign w:val="center"/>
          </w:tcPr>
          <w:p w14:paraId="6D68B24B">
            <w:pPr>
              <w:pageBreakBefore w:val="0"/>
              <w:kinsoku/>
              <w:wordWrap w:val="0"/>
              <w:bidi w:val="0"/>
              <w:spacing w:line="300" w:lineRule="auto"/>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项目经理</w:t>
            </w:r>
          </w:p>
        </w:tc>
        <w:tc>
          <w:tcPr>
            <w:tcW w:w="1559" w:type="dxa"/>
            <w:noWrap w:val="0"/>
            <w:vAlign w:val="center"/>
          </w:tcPr>
          <w:p w14:paraId="2A3F12B0">
            <w:pPr>
              <w:pageBreakBefore w:val="0"/>
              <w:kinsoku/>
              <w:wordWrap w:val="0"/>
              <w:bidi w:val="0"/>
              <w:adjustRightInd w:val="0"/>
              <w:snapToGrid w:val="0"/>
              <w:spacing w:line="300" w:lineRule="auto"/>
              <w:jc w:val="center"/>
              <w:rPr>
                <w:rFonts w:hint="eastAsia" w:ascii="Times New Roman" w:hAnsi="Times New Roman" w:eastAsia="宋体" w:cs="Times New Roman"/>
                <w:szCs w:val="21"/>
                <w:highlight w:val="none"/>
                <w:lang w:val="en-US" w:eastAsia="zh-CN"/>
              </w:rPr>
            </w:pPr>
            <w:r>
              <w:rPr>
                <w:rFonts w:hint="eastAsia" w:cs="Times New Roman"/>
                <w:szCs w:val="21"/>
                <w:highlight w:val="none"/>
                <w:lang w:val="en-US" w:eastAsia="zh-CN"/>
              </w:rPr>
              <w:t>1</w:t>
            </w:r>
          </w:p>
        </w:tc>
        <w:tc>
          <w:tcPr>
            <w:tcW w:w="2888" w:type="dxa"/>
            <w:noWrap w:val="0"/>
            <w:vAlign w:val="center"/>
          </w:tcPr>
          <w:p w14:paraId="37ABD631">
            <w:pPr>
              <w:pageBreakBefore w:val="0"/>
              <w:kinsoku/>
              <w:wordWrap w:val="0"/>
              <w:bidi w:val="0"/>
              <w:adjustRightInd w:val="0"/>
              <w:snapToGrid w:val="0"/>
              <w:spacing w:line="300" w:lineRule="auto"/>
              <w:rPr>
                <w:rFonts w:hint="default" w:ascii="Times New Roman" w:hAnsi="Times New Roman" w:cs="Times New Roman"/>
                <w:szCs w:val="21"/>
                <w:highlight w:val="none"/>
              </w:rPr>
            </w:pPr>
            <w:r>
              <w:rPr>
                <w:rFonts w:hint="default" w:ascii="Times New Roman" w:hAnsi="Times New Roman" w:cs="Times New Roman"/>
                <w:szCs w:val="21"/>
                <w:highlight w:val="none"/>
              </w:rPr>
              <w:t>具有公路工程专业二级及以上建造师证书且证书目前必须注册在投标人单位，具有交通运输主管部门颁发的安全生产考核合格“B”类证书并在有效期内且证书目前必须注册在投标人单位</w:t>
            </w:r>
          </w:p>
        </w:tc>
        <w:tc>
          <w:tcPr>
            <w:tcW w:w="2887" w:type="dxa"/>
            <w:vMerge w:val="restart"/>
            <w:noWrap w:val="0"/>
            <w:vAlign w:val="center"/>
          </w:tcPr>
          <w:p w14:paraId="5274594B">
            <w:pPr>
              <w:pageBreakBefore w:val="0"/>
              <w:kinsoku/>
              <w:wordWrap w:val="0"/>
              <w:bidi w:val="0"/>
              <w:adjustRightInd w:val="0"/>
              <w:snapToGrid w:val="0"/>
              <w:spacing w:line="300" w:lineRule="auto"/>
              <w:rPr>
                <w:rFonts w:hint="default" w:ascii="Times New Roman" w:hAnsi="Times New Roman" w:cs="Times New Roman"/>
                <w:highlight w:val="none"/>
              </w:rPr>
            </w:pPr>
            <w:r>
              <w:rPr>
                <w:rFonts w:hint="default" w:ascii="Times New Roman" w:hAnsi="Times New Roman" w:cs="Times New Roman"/>
                <w:highlight w:val="none"/>
              </w:rPr>
              <w:t>无在岗项目（指目前未在其他项目上任职，或虽在其他项目</w:t>
            </w:r>
            <w:r>
              <w:rPr>
                <w:rFonts w:hint="default" w:ascii="Times New Roman" w:hAnsi="Times New Roman" w:cs="Times New Roman"/>
                <w:szCs w:val="21"/>
                <w:highlight w:val="none"/>
              </w:rPr>
              <w:t>上</w:t>
            </w:r>
            <w:r>
              <w:rPr>
                <w:rFonts w:hint="default" w:ascii="Times New Roman" w:hAnsi="Times New Roman" w:cs="Times New Roman"/>
                <w:highlight w:val="none"/>
              </w:rPr>
              <w:t xml:space="preserve">任职但本项目中标后能够从该项目撤离） </w:t>
            </w:r>
          </w:p>
          <w:p w14:paraId="331FA72E">
            <w:pPr>
              <w:pageBreakBefore w:val="0"/>
              <w:kinsoku/>
              <w:wordWrap w:val="0"/>
              <w:bidi w:val="0"/>
              <w:adjustRightInd w:val="0"/>
              <w:snapToGrid w:val="0"/>
              <w:spacing w:line="300" w:lineRule="auto"/>
              <w:rPr>
                <w:rFonts w:hint="default" w:ascii="Times New Roman" w:hAnsi="Times New Roman" w:cs="Times New Roman"/>
                <w:szCs w:val="21"/>
                <w:highlight w:val="none"/>
              </w:rPr>
            </w:pPr>
            <w:r>
              <w:rPr>
                <w:rFonts w:hint="default" w:ascii="Times New Roman" w:hAnsi="Times New Roman" w:cs="Times New Roman"/>
                <w:highlight w:val="none"/>
              </w:rPr>
              <w:t>项目经理和项目总工程师不得同时在两个及以上项目任职</w:t>
            </w:r>
          </w:p>
        </w:tc>
      </w:tr>
      <w:tr w14:paraId="30C24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0" w:hRule="atLeast"/>
          <w:jc w:val="center"/>
        </w:trPr>
        <w:tc>
          <w:tcPr>
            <w:tcW w:w="1670" w:type="dxa"/>
            <w:noWrap w:val="0"/>
            <w:vAlign w:val="center"/>
          </w:tcPr>
          <w:p w14:paraId="79521CC7">
            <w:pPr>
              <w:pageBreakBefore w:val="0"/>
              <w:kinsoku/>
              <w:wordWrap w:val="0"/>
              <w:bidi w:val="0"/>
              <w:spacing w:line="300" w:lineRule="auto"/>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项目总工</w:t>
            </w:r>
          </w:p>
        </w:tc>
        <w:tc>
          <w:tcPr>
            <w:tcW w:w="1559" w:type="dxa"/>
            <w:noWrap w:val="0"/>
            <w:vAlign w:val="center"/>
          </w:tcPr>
          <w:p w14:paraId="0B331567">
            <w:pPr>
              <w:pageBreakBefore w:val="0"/>
              <w:kinsoku/>
              <w:wordWrap w:val="0"/>
              <w:bidi w:val="0"/>
              <w:adjustRightInd w:val="0"/>
              <w:snapToGrid w:val="0"/>
              <w:spacing w:line="300" w:lineRule="auto"/>
              <w:jc w:val="center"/>
              <w:rPr>
                <w:rFonts w:hint="eastAsia" w:ascii="Times New Roman" w:hAnsi="Times New Roman" w:eastAsia="宋体" w:cs="Times New Roman"/>
                <w:szCs w:val="21"/>
                <w:highlight w:val="none"/>
                <w:lang w:val="en-US" w:eastAsia="zh-CN"/>
              </w:rPr>
            </w:pPr>
            <w:r>
              <w:rPr>
                <w:rFonts w:hint="eastAsia" w:cs="Times New Roman"/>
                <w:szCs w:val="21"/>
                <w:highlight w:val="none"/>
                <w:lang w:val="en-US" w:eastAsia="zh-CN"/>
              </w:rPr>
              <w:t>1</w:t>
            </w:r>
          </w:p>
        </w:tc>
        <w:tc>
          <w:tcPr>
            <w:tcW w:w="2888" w:type="dxa"/>
            <w:noWrap w:val="0"/>
            <w:vAlign w:val="center"/>
          </w:tcPr>
          <w:p w14:paraId="3800CD02">
            <w:pPr>
              <w:pageBreakBefore w:val="0"/>
              <w:kinsoku/>
              <w:wordWrap w:val="0"/>
              <w:bidi w:val="0"/>
              <w:adjustRightInd w:val="0"/>
              <w:snapToGrid w:val="0"/>
              <w:spacing w:line="300" w:lineRule="auto"/>
              <w:rPr>
                <w:rFonts w:hint="default" w:ascii="Times New Roman" w:hAnsi="Times New Roman" w:cs="Times New Roman"/>
                <w:szCs w:val="21"/>
                <w:highlight w:val="none"/>
              </w:rPr>
            </w:pPr>
            <w:r>
              <w:rPr>
                <w:rFonts w:hint="default" w:ascii="Times New Roman" w:hAnsi="Times New Roman" w:cs="Times New Roman"/>
                <w:szCs w:val="21"/>
                <w:highlight w:val="none"/>
              </w:rPr>
              <w:t>公路工程相关专业中级及以上技术职称。</w:t>
            </w:r>
          </w:p>
          <w:p w14:paraId="12D4016B">
            <w:pPr>
              <w:pageBreakBefore w:val="0"/>
              <w:kinsoku/>
              <w:wordWrap w:val="0"/>
              <w:bidi w:val="0"/>
              <w:adjustRightInd w:val="0"/>
              <w:snapToGrid w:val="0"/>
              <w:spacing w:line="300" w:lineRule="auto"/>
              <w:rPr>
                <w:rFonts w:hint="default" w:ascii="Times New Roman" w:hAnsi="Times New Roman" w:cs="Times New Roman"/>
                <w:szCs w:val="21"/>
                <w:highlight w:val="none"/>
              </w:rPr>
            </w:pPr>
            <w:r>
              <w:rPr>
                <w:rFonts w:hint="default" w:ascii="Times New Roman" w:hAnsi="Times New Roman" w:cs="Times New Roman"/>
                <w:szCs w:val="21"/>
                <w:highlight w:val="none"/>
              </w:rPr>
              <w:t xml:space="preserve">    </w:t>
            </w:r>
          </w:p>
        </w:tc>
        <w:tc>
          <w:tcPr>
            <w:tcW w:w="2887" w:type="dxa"/>
            <w:vMerge w:val="continue"/>
            <w:noWrap w:val="0"/>
            <w:vAlign w:val="center"/>
          </w:tcPr>
          <w:p w14:paraId="21972E11">
            <w:pPr>
              <w:pageBreakBefore w:val="0"/>
              <w:kinsoku/>
              <w:wordWrap w:val="0"/>
              <w:bidi w:val="0"/>
              <w:adjustRightInd w:val="0"/>
              <w:snapToGrid w:val="0"/>
              <w:spacing w:line="300" w:lineRule="auto"/>
              <w:rPr>
                <w:rFonts w:hint="default" w:ascii="Times New Roman" w:hAnsi="Times New Roman" w:cs="Times New Roman"/>
                <w:szCs w:val="21"/>
                <w:highlight w:val="none"/>
              </w:rPr>
            </w:pPr>
          </w:p>
        </w:tc>
      </w:tr>
    </w:tbl>
    <w:p w14:paraId="08B6681A">
      <w:pPr>
        <w:pageBreakBefore w:val="0"/>
        <w:kinsoku/>
        <w:wordWrap w:val="0"/>
        <w:bidi w:val="0"/>
        <w:adjustRightInd w:val="0"/>
        <w:snapToGrid w:val="0"/>
        <w:spacing w:line="240" w:lineRule="exact"/>
        <w:rPr>
          <w:rFonts w:hint="default" w:ascii="Times New Roman" w:hAnsi="Times New Roman" w:eastAsia="隶书" w:cs="Times New Roman"/>
          <w:b/>
          <w:bCs/>
          <w:sz w:val="32"/>
          <w:szCs w:val="32"/>
          <w:highlight w:val="none"/>
        </w:rPr>
      </w:pPr>
    </w:p>
    <w:p w14:paraId="0648EB67">
      <w:pPr>
        <w:pageBreakBefore w:val="0"/>
        <w:kinsoku/>
        <w:wordWrap w:val="0"/>
        <w:bidi w:val="0"/>
        <w:adjustRightInd w:val="0"/>
        <w:snapToGrid w:val="0"/>
        <w:spacing w:line="300" w:lineRule="auto"/>
        <w:ind w:right="-512" w:rightChars="-244" w:firstLine="422" w:firstLineChars="200"/>
        <w:rPr>
          <w:rFonts w:hint="default" w:ascii="Times New Roman" w:hAnsi="Times New Roman" w:cs="Times New Roman"/>
          <w:b/>
          <w:iCs/>
          <w:szCs w:val="21"/>
          <w:highlight w:val="none"/>
        </w:rPr>
      </w:pPr>
    </w:p>
    <w:p w14:paraId="6AAABD61">
      <w:pPr>
        <w:pStyle w:val="2"/>
        <w:pageBreakBefore w:val="0"/>
        <w:kinsoku/>
        <w:wordWrap w:val="0"/>
        <w:bidi w:val="0"/>
        <w:spacing w:before="240" w:after="240" w:line="240" w:lineRule="atLeast"/>
        <w:jc w:val="center"/>
        <w:rPr>
          <w:rFonts w:hint="default" w:ascii="Times New Roman" w:hAnsi="Times New Roman" w:eastAsia="黑体" w:cs="Times New Roman"/>
          <w:sz w:val="28"/>
          <w:szCs w:val="28"/>
          <w:highlight w:val="none"/>
        </w:rPr>
      </w:pPr>
      <w:bookmarkStart w:id="57" w:name="_Toc234832868"/>
      <w:r>
        <w:rPr>
          <w:rFonts w:hint="default" w:ascii="Times New Roman" w:hAnsi="Times New Roman" w:eastAsia="黑体" w:cs="Times New Roman"/>
          <w:sz w:val="28"/>
          <w:szCs w:val="28"/>
          <w:highlight w:val="none"/>
        </w:rPr>
        <w:br w:type="page"/>
      </w:r>
      <w:bookmarkStart w:id="58" w:name="_Toc29411"/>
      <w:bookmarkStart w:id="59" w:name="_Toc31407"/>
      <w:r>
        <w:rPr>
          <w:rFonts w:hint="default" w:ascii="Times New Roman" w:hAnsi="Times New Roman" w:eastAsia="黑体" w:cs="Times New Roman"/>
          <w:sz w:val="28"/>
          <w:szCs w:val="28"/>
          <w:highlight w:val="none"/>
        </w:rPr>
        <w:t>附录6  资格审查条件（其他管理和技术人员最低要求）</w:t>
      </w:r>
      <w:r>
        <w:rPr>
          <w:rFonts w:hint="default" w:ascii="Times New Roman" w:hAnsi="Times New Roman" w:eastAsia="黑体" w:cs="Times New Roman"/>
          <w:sz w:val="28"/>
          <w:szCs w:val="28"/>
          <w:highlight w:val="none"/>
          <w:vertAlign w:val="superscript"/>
        </w:rPr>
        <w:footnoteReference w:id="16"/>
      </w:r>
      <w:bookmarkEnd w:id="57"/>
      <w:bookmarkEnd w:id="58"/>
      <w:bookmarkEnd w:id="59"/>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6"/>
        <w:gridCol w:w="1331"/>
        <w:gridCol w:w="5847"/>
      </w:tblGrid>
      <w:tr w14:paraId="71EC9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atLeast"/>
          <w:jc w:val="center"/>
        </w:trPr>
        <w:tc>
          <w:tcPr>
            <w:tcW w:w="1826" w:type="dxa"/>
            <w:noWrap w:val="0"/>
            <w:vAlign w:val="center"/>
          </w:tcPr>
          <w:p w14:paraId="741CF3DB">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r>
              <w:rPr>
                <w:rFonts w:hint="default" w:ascii="Times New Roman" w:hAnsi="Times New Roman" w:cs="Times New Roman"/>
                <w:sz w:val="24"/>
                <w:highlight w:val="none"/>
              </w:rPr>
              <w:t>人  员</w:t>
            </w:r>
          </w:p>
        </w:tc>
        <w:tc>
          <w:tcPr>
            <w:tcW w:w="1331" w:type="dxa"/>
            <w:noWrap w:val="0"/>
            <w:vAlign w:val="center"/>
          </w:tcPr>
          <w:p w14:paraId="676D165B">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r>
              <w:rPr>
                <w:rFonts w:hint="default" w:ascii="Times New Roman" w:hAnsi="Times New Roman" w:cs="Times New Roman"/>
                <w:sz w:val="24"/>
                <w:highlight w:val="none"/>
              </w:rPr>
              <w:t>数  量</w:t>
            </w:r>
          </w:p>
        </w:tc>
        <w:tc>
          <w:tcPr>
            <w:tcW w:w="5847" w:type="dxa"/>
            <w:noWrap w:val="0"/>
            <w:vAlign w:val="center"/>
          </w:tcPr>
          <w:p w14:paraId="29EADCFF">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r>
              <w:rPr>
                <w:rFonts w:hint="default" w:ascii="Times New Roman" w:hAnsi="Times New Roman" w:cs="Times New Roman"/>
                <w:sz w:val="24"/>
                <w:highlight w:val="none"/>
              </w:rPr>
              <w:t>资 格 要 求</w:t>
            </w:r>
          </w:p>
        </w:tc>
      </w:tr>
      <w:tr w14:paraId="2C7D9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noWrap w:val="0"/>
            <w:vAlign w:val="center"/>
          </w:tcPr>
          <w:p w14:paraId="36FC184B">
            <w:pPr>
              <w:pageBreakBefore w:val="0"/>
              <w:kinsoku/>
              <w:wordWrap w:val="0"/>
              <w:bidi w:val="0"/>
              <w:spacing w:line="400" w:lineRule="atLeast"/>
              <w:jc w:val="center"/>
              <w:rPr>
                <w:rFonts w:hint="eastAsia" w:ascii="Times New Roman" w:hAnsi="Times New Roman" w:eastAsia="宋体" w:cs="Times New Roman"/>
                <w:sz w:val="24"/>
                <w:highlight w:val="none"/>
                <w:lang w:val="en-US" w:eastAsia="zh-CN"/>
              </w:rPr>
            </w:pPr>
            <w:r>
              <w:rPr>
                <w:rFonts w:hint="eastAsia" w:cs="Times New Roman"/>
                <w:sz w:val="24"/>
                <w:highlight w:val="none"/>
                <w:lang w:val="en-US" w:eastAsia="zh-CN"/>
              </w:rPr>
              <w:t>/</w:t>
            </w:r>
          </w:p>
        </w:tc>
        <w:tc>
          <w:tcPr>
            <w:tcW w:w="1331" w:type="dxa"/>
            <w:noWrap w:val="0"/>
            <w:vAlign w:val="center"/>
          </w:tcPr>
          <w:p w14:paraId="0EE82975">
            <w:pPr>
              <w:pageBreakBefore w:val="0"/>
              <w:kinsoku/>
              <w:wordWrap w:val="0"/>
              <w:bidi w:val="0"/>
              <w:adjustRightInd w:val="0"/>
              <w:snapToGrid w:val="0"/>
              <w:spacing w:line="400" w:lineRule="atLeast"/>
              <w:jc w:val="center"/>
              <w:rPr>
                <w:rFonts w:hint="eastAsia" w:ascii="Times New Roman" w:hAnsi="Times New Roman" w:eastAsia="宋体" w:cs="Times New Roman"/>
                <w:sz w:val="24"/>
                <w:highlight w:val="none"/>
                <w:lang w:val="en-US" w:eastAsia="zh-CN"/>
              </w:rPr>
            </w:pPr>
            <w:r>
              <w:rPr>
                <w:rFonts w:hint="eastAsia" w:cs="Times New Roman"/>
                <w:sz w:val="24"/>
                <w:highlight w:val="none"/>
                <w:lang w:val="en-US" w:eastAsia="zh-CN"/>
              </w:rPr>
              <w:t>/</w:t>
            </w:r>
          </w:p>
        </w:tc>
        <w:tc>
          <w:tcPr>
            <w:tcW w:w="5847" w:type="dxa"/>
            <w:noWrap w:val="0"/>
            <w:vAlign w:val="center"/>
          </w:tcPr>
          <w:p w14:paraId="47335B31">
            <w:pPr>
              <w:pageBreakBefore w:val="0"/>
              <w:kinsoku/>
              <w:wordWrap w:val="0"/>
              <w:bidi w:val="0"/>
              <w:spacing w:line="400" w:lineRule="atLeast"/>
              <w:rPr>
                <w:rFonts w:hint="eastAsia" w:ascii="Times New Roman" w:hAnsi="Times New Roman" w:eastAsia="宋体" w:cs="Times New Roman"/>
                <w:sz w:val="24"/>
                <w:highlight w:val="none"/>
                <w:lang w:val="en-US" w:eastAsia="zh-CN"/>
              </w:rPr>
            </w:pPr>
            <w:r>
              <w:rPr>
                <w:rFonts w:hint="eastAsia" w:cs="Times New Roman"/>
                <w:sz w:val="24"/>
                <w:highlight w:val="none"/>
                <w:lang w:val="en-US" w:eastAsia="zh-CN"/>
              </w:rPr>
              <w:t>/</w:t>
            </w:r>
          </w:p>
        </w:tc>
      </w:tr>
      <w:tr w14:paraId="5CE80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noWrap w:val="0"/>
            <w:vAlign w:val="center"/>
          </w:tcPr>
          <w:p w14:paraId="6DDBD097">
            <w:pPr>
              <w:pageBreakBefore w:val="0"/>
              <w:kinsoku/>
              <w:wordWrap w:val="0"/>
              <w:bidi w:val="0"/>
              <w:spacing w:line="400" w:lineRule="atLeast"/>
              <w:jc w:val="center"/>
              <w:rPr>
                <w:rFonts w:hint="default" w:ascii="Times New Roman" w:hAnsi="Times New Roman" w:cs="Times New Roman"/>
                <w:sz w:val="24"/>
                <w:highlight w:val="none"/>
              </w:rPr>
            </w:pPr>
          </w:p>
        </w:tc>
        <w:tc>
          <w:tcPr>
            <w:tcW w:w="1331" w:type="dxa"/>
            <w:noWrap w:val="0"/>
            <w:vAlign w:val="center"/>
          </w:tcPr>
          <w:p w14:paraId="0ED3B3FC">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5847" w:type="dxa"/>
            <w:noWrap w:val="0"/>
            <w:vAlign w:val="center"/>
          </w:tcPr>
          <w:p w14:paraId="49BBBCBD">
            <w:pPr>
              <w:pageBreakBefore w:val="0"/>
              <w:kinsoku/>
              <w:wordWrap w:val="0"/>
              <w:bidi w:val="0"/>
              <w:spacing w:line="400" w:lineRule="atLeast"/>
              <w:rPr>
                <w:rFonts w:hint="default" w:ascii="Times New Roman" w:hAnsi="Times New Roman" w:cs="Times New Roman"/>
                <w:sz w:val="24"/>
                <w:highlight w:val="none"/>
              </w:rPr>
            </w:pPr>
          </w:p>
        </w:tc>
      </w:tr>
      <w:tr w14:paraId="0E66D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noWrap w:val="0"/>
            <w:vAlign w:val="center"/>
          </w:tcPr>
          <w:p w14:paraId="5E42E97F">
            <w:pPr>
              <w:pageBreakBefore w:val="0"/>
              <w:kinsoku/>
              <w:wordWrap w:val="0"/>
              <w:bidi w:val="0"/>
              <w:spacing w:line="400" w:lineRule="atLeast"/>
              <w:jc w:val="center"/>
              <w:rPr>
                <w:rFonts w:hint="default" w:ascii="Times New Roman" w:hAnsi="Times New Roman" w:cs="Times New Roman"/>
                <w:sz w:val="24"/>
                <w:highlight w:val="none"/>
              </w:rPr>
            </w:pPr>
          </w:p>
        </w:tc>
        <w:tc>
          <w:tcPr>
            <w:tcW w:w="1331" w:type="dxa"/>
            <w:noWrap w:val="0"/>
            <w:vAlign w:val="center"/>
          </w:tcPr>
          <w:p w14:paraId="6B92E5D0">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5847" w:type="dxa"/>
            <w:noWrap w:val="0"/>
            <w:vAlign w:val="center"/>
          </w:tcPr>
          <w:p w14:paraId="34BAB323">
            <w:pPr>
              <w:pageBreakBefore w:val="0"/>
              <w:kinsoku/>
              <w:wordWrap w:val="0"/>
              <w:bidi w:val="0"/>
              <w:spacing w:line="400" w:lineRule="atLeast"/>
              <w:rPr>
                <w:rFonts w:hint="default" w:ascii="Times New Roman" w:hAnsi="Times New Roman" w:cs="Times New Roman"/>
                <w:sz w:val="24"/>
                <w:highlight w:val="none"/>
              </w:rPr>
            </w:pPr>
          </w:p>
        </w:tc>
      </w:tr>
      <w:tr w14:paraId="2EFBB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tcBorders>
              <w:top w:val="single" w:color="auto" w:sz="4" w:space="0"/>
              <w:left w:val="single" w:color="auto" w:sz="4" w:space="0"/>
              <w:bottom w:val="single" w:color="auto" w:sz="4" w:space="0"/>
              <w:right w:val="single" w:color="auto" w:sz="4" w:space="0"/>
            </w:tcBorders>
            <w:noWrap w:val="0"/>
            <w:vAlign w:val="center"/>
          </w:tcPr>
          <w:p w14:paraId="23411C04">
            <w:pPr>
              <w:pageBreakBefore w:val="0"/>
              <w:kinsoku/>
              <w:wordWrap w:val="0"/>
              <w:bidi w:val="0"/>
              <w:spacing w:line="400" w:lineRule="atLeast"/>
              <w:jc w:val="center"/>
              <w:rPr>
                <w:rFonts w:hint="default" w:ascii="Times New Roman" w:hAnsi="Times New Roman" w:cs="Times New Roman"/>
                <w:sz w:val="24"/>
                <w:highlight w:val="none"/>
              </w:rPr>
            </w:pPr>
          </w:p>
        </w:tc>
        <w:tc>
          <w:tcPr>
            <w:tcW w:w="1331" w:type="dxa"/>
            <w:tcBorders>
              <w:top w:val="single" w:color="auto" w:sz="4" w:space="0"/>
              <w:left w:val="single" w:color="auto" w:sz="4" w:space="0"/>
              <w:bottom w:val="single" w:color="auto" w:sz="4" w:space="0"/>
              <w:right w:val="single" w:color="auto" w:sz="4" w:space="0"/>
            </w:tcBorders>
            <w:noWrap w:val="0"/>
            <w:vAlign w:val="center"/>
          </w:tcPr>
          <w:p w14:paraId="3F214AE3">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5847" w:type="dxa"/>
            <w:tcBorders>
              <w:top w:val="single" w:color="auto" w:sz="4" w:space="0"/>
              <w:left w:val="single" w:color="auto" w:sz="4" w:space="0"/>
              <w:bottom w:val="single" w:color="auto" w:sz="4" w:space="0"/>
              <w:right w:val="single" w:color="auto" w:sz="4" w:space="0"/>
            </w:tcBorders>
            <w:noWrap w:val="0"/>
            <w:vAlign w:val="center"/>
          </w:tcPr>
          <w:p w14:paraId="069CFB0D">
            <w:pPr>
              <w:pageBreakBefore w:val="0"/>
              <w:kinsoku/>
              <w:wordWrap w:val="0"/>
              <w:bidi w:val="0"/>
              <w:spacing w:line="400" w:lineRule="atLeast"/>
              <w:rPr>
                <w:rFonts w:hint="default" w:ascii="Times New Roman" w:hAnsi="Times New Roman" w:cs="Times New Roman"/>
                <w:sz w:val="24"/>
                <w:highlight w:val="none"/>
              </w:rPr>
            </w:pPr>
          </w:p>
        </w:tc>
      </w:tr>
      <w:tr w14:paraId="79456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tcBorders>
              <w:top w:val="single" w:color="auto" w:sz="4" w:space="0"/>
              <w:left w:val="single" w:color="auto" w:sz="4" w:space="0"/>
              <w:bottom w:val="single" w:color="auto" w:sz="4" w:space="0"/>
              <w:right w:val="single" w:color="auto" w:sz="4" w:space="0"/>
            </w:tcBorders>
            <w:noWrap w:val="0"/>
            <w:vAlign w:val="center"/>
          </w:tcPr>
          <w:p w14:paraId="07BA9EEF">
            <w:pPr>
              <w:pageBreakBefore w:val="0"/>
              <w:kinsoku/>
              <w:wordWrap w:val="0"/>
              <w:bidi w:val="0"/>
              <w:spacing w:line="400" w:lineRule="atLeast"/>
              <w:jc w:val="center"/>
              <w:rPr>
                <w:rFonts w:hint="default" w:ascii="Times New Roman" w:hAnsi="Times New Roman" w:cs="Times New Roman"/>
                <w:sz w:val="24"/>
                <w:highlight w:val="none"/>
              </w:rPr>
            </w:pPr>
          </w:p>
        </w:tc>
        <w:tc>
          <w:tcPr>
            <w:tcW w:w="1331" w:type="dxa"/>
            <w:tcBorders>
              <w:top w:val="single" w:color="auto" w:sz="4" w:space="0"/>
              <w:left w:val="single" w:color="auto" w:sz="4" w:space="0"/>
              <w:bottom w:val="single" w:color="auto" w:sz="4" w:space="0"/>
              <w:right w:val="single" w:color="auto" w:sz="4" w:space="0"/>
            </w:tcBorders>
            <w:noWrap w:val="0"/>
            <w:vAlign w:val="center"/>
          </w:tcPr>
          <w:p w14:paraId="02F6E0C0">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5847" w:type="dxa"/>
            <w:tcBorders>
              <w:top w:val="single" w:color="auto" w:sz="4" w:space="0"/>
              <w:left w:val="single" w:color="auto" w:sz="4" w:space="0"/>
              <w:bottom w:val="single" w:color="auto" w:sz="4" w:space="0"/>
              <w:right w:val="single" w:color="auto" w:sz="4" w:space="0"/>
            </w:tcBorders>
            <w:noWrap w:val="0"/>
            <w:vAlign w:val="center"/>
          </w:tcPr>
          <w:p w14:paraId="103611C8">
            <w:pPr>
              <w:pageBreakBefore w:val="0"/>
              <w:kinsoku/>
              <w:wordWrap w:val="0"/>
              <w:bidi w:val="0"/>
              <w:spacing w:line="400" w:lineRule="atLeast"/>
              <w:rPr>
                <w:rFonts w:hint="default" w:ascii="Times New Roman" w:hAnsi="Times New Roman" w:cs="Times New Roman"/>
                <w:sz w:val="24"/>
                <w:highlight w:val="none"/>
              </w:rPr>
            </w:pPr>
          </w:p>
        </w:tc>
      </w:tr>
      <w:tr w14:paraId="6660E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tcBorders>
              <w:top w:val="single" w:color="auto" w:sz="4" w:space="0"/>
              <w:left w:val="single" w:color="auto" w:sz="4" w:space="0"/>
              <w:bottom w:val="single" w:color="auto" w:sz="4" w:space="0"/>
              <w:right w:val="single" w:color="auto" w:sz="4" w:space="0"/>
            </w:tcBorders>
            <w:noWrap w:val="0"/>
            <w:vAlign w:val="center"/>
          </w:tcPr>
          <w:p w14:paraId="4E9C01DC">
            <w:pPr>
              <w:pageBreakBefore w:val="0"/>
              <w:kinsoku/>
              <w:wordWrap w:val="0"/>
              <w:bidi w:val="0"/>
              <w:spacing w:line="400" w:lineRule="atLeast"/>
              <w:jc w:val="center"/>
              <w:rPr>
                <w:rFonts w:hint="default" w:ascii="Times New Roman" w:hAnsi="Times New Roman" w:cs="Times New Roman"/>
                <w:sz w:val="24"/>
                <w:highlight w:val="none"/>
              </w:rPr>
            </w:pPr>
          </w:p>
        </w:tc>
        <w:tc>
          <w:tcPr>
            <w:tcW w:w="1331" w:type="dxa"/>
            <w:tcBorders>
              <w:top w:val="single" w:color="auto" w:sz="4" w:space="0"/>
              <w:left w:val="single" w:color="auto" w:sz="4" w:space="0"/>
              <w:bottom w:val="single" w:color="auto" w:sz="4" w:space="0"/>
              <w:right w:val="single" w:color="auto" w:sz="4" w:space="0"/>
            </w:tcBorders>
            <w:noWrap w:val="0"/>
            <w:vAlign w:val="center"/>
          </w:tcPr>
          <w:p w14:paraId="7F4A2662">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5847" w:type="dxa"/>
            <w:tcBorders>
              <w:top w:val="single" w:color="auto" w:sz="4" w:space="0"/>
              <w:left w:val="single" w:color="auto" w:sz="4" w:space="0"/>
              <w:bottom w:val="single" w:color="auto" w:sz="4" w:space="0"/>
              <w:right w:val="single" w:color="auto" w:sz="4" w:space="0"/>
            </w:tcBorders>
            <w:noWrap w:val="0"/>
            <w:vAlign w:val="center"/>
          </w:tcPr>
          <w:p w14:paraId="7C9A55DC">
            <w:pPr>
              <w:pageBreakBefore w:val="0"/>
              <w:kinsoku/>
              <w:wordWrap w:val="0"/>
              <w:bidi w:val="0"/>
              <w:spacing w:line="400" w:lineRule="atLeast"/>
              <w:rPr>
                <w:rFonts w:hint="default" w:ascii="Times New Roman" w:hAnsi="Times New Roman" w:cs="Times New Roman"/>
                <w:sz w:val="24"/>
                <w:highlight w:val="none"/>
              </w:rPr>
            </w:pPr>
          </w:p>
        </w:tc>
      </w:tr>
      <w:tr w14:paraId="0E4D8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tcBorders>
              <w:top w:val="single" w:color="auto" w:sz="4" w:space="0"/>
              <w:left w:val="single" w:color="auto" w:sz="4" w:space="0"/>
              <w:bottom w:val="single" w:color="auto" w:sz="4" w:space="0"/>
              <w:right w:val="single" w:color="auto" w:sz="4" w:space="0"/>
            </w:tcBorders>
            <w:noWrap w:val="0"/>
            <w:vAlign w:val="center"/>
          </w:tcPr>
          <w:p w14:paraId="62ACBCAF">
            <w:pPr>
              <w:pageBreakBefore w:val="0"/>
              <w:kinsoku/>
              <w:wordWrap w:val="0"/>
              <w:bidi w:val="0"/>
              <w:spacing w:line="400" w:lineRule="atLeast"/>
              <w:jc w:val="center"/>
              <w:rPr>
                <w:rFonts w:hint="default" w:ascii="Times New Roman" w:hAnsi="Times New Roman" w:cs="Times New Roman"/>
                <w:sz w:val="24"/>
                <w:highlight w:val="none"/>
              </w:rPr>
            </w:pPr>
          </w:p>
        </w:tc>
        <w:tc>
          <w:tcPr>
            <w:tcW w:w="1331" w:type="dxa"/>
            <w:tcBorders>
              <w:top w:val="single" w:color="auto" w:sz="4" w:space="0"/>
              <w:left w:val="single" w:color="auto" w:sz="4" w:space="0"/>
              <w:bottom w:val="single" w:color="auto" w:sz="4" w:space="0"/>
              <w:right w:val="single" w:color="auto" w:sz="4" w:space="0"/>
            </w:tcBorders>
            <w:noWrap w:val="0"/>
            <w:vAlign w:val="center"/>
          </w:tcPr>
          <w:p w14:paraId="22B2CD4E">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5847" w:type="dxa"/>
            <w:tcBorders>
              <w:top w:val="single" w:color="auto" w:sz="4" w:space="0"/>
              <w:left w:val="single" w:color="auto" w:sz="4" w:space="0"/>
              <w:bottom w:val="single" w:color="auto" w:sz="4" w:space="0"/>
              <w:right w:val="single" w:color="auto" w:sz="4" w:space="0"/>
            </w:tcBorders>
            <w:noWrap w:val="0"/>
            <w:vAlign w:val="center"/>
          </w:tcPr>
          <w:p w14:paraId="67AD0625">
            <w:pPr>
              <w:pageBreakBefore w:val="0"/>
              <w:kinsoku/>
              <w:wordWrap w:val="0"/>
              <w:bidi w:val="0"/>
              <w:spacing w:line="400" w:lineRule="atLeast"/>
              <w:rPr>
                <w:rFonts w:hint="default" w:ascii="Times New Roman" w:hAnsi="Times New Roman" w:cs="Times New Roman"/>
                <w:sz w:val="24"/>
                <w:highlight w:val="none"/>
              </w:rPr>
            </w:pPr>
          </w:p>
        </w:tc>
      </w:tr>
      <w:tr w14:paraId="42ACD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tcBorders>
              <w:top w:val="single" w:color="auto" w:sz="4" w:space="0"/>
              <w:left w:val="single" w:color="auto" w:sz="4" w:space="0"/>
              <w:bottom w:val="single" w:color="auto" w:sz="4" w:space="0"/>
              <w:right w:val="single" w:color="auto" w:sz="4" w:space="0"/>
            </w:tcBorders>
            <w:noWrap w:val="0"/>
            <w:vAlign w:val="center"/>
          </w:tcPr>
          <w:p w14:paraId="2E38E7E4">
            <w:pPr>
              <w:pageBreakBefore w:val="0"/>
              <w:kinsoku/>
              <w:wordWrap w:val="0"/>
              <w:bidi w:val="0"/>
              <w:spacing w:line="400" w:lineRule="atLeast"/>
              <w:jc w:val="center"/>
              <w:rPr>
                <w:rFonts w:hint="default" w:ascii="Times New Roman" w:hAnsi="Times New Roman" w:cs="Times New Roman"/>
                <w:sz w:val="24"/>
                <w:highlight w:val="none"/>
              </w:rPr>
            </w:pPr>
          </w:p>
        </w:tc>
        <w:tc>
          <w:tcPr>
            <w:tcW w:w="1331" w:type="dxa"/>
            <w:tcBorders>
              <w:top w:val="single" w:color="auto" w:sz="4" w:space="0"/>
              <w:left w:val="single" w:color="auto" w:sz="4" w:space="0"/>
              <w:bottom w:val="single" w:color="auto" w:sz="4" w:space="0"/>
              <w:right w:val="single" w:color="auto" w:sz="4" w:space="0"/>
            </w:tcBorders>
            <w:noWrap w:val="0"/>
            <w:vAlign w:val="center"/>
          </w:tcPr>
          <w:p w14:paraId="62C2E46A">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5847" w:type="dxa"/>
            <w:tcBorders>
              <w:top w:val="single" w:color="auto" w:sz="4" w:space="0"/>
              <w:left w:val="single" w:color="auto" w:sz="4" w:space="0"/>
              <w:bottom w:val="single" w:color="auto" w:sz="4" w:space="0"/>
              <w:right w:val="single" w:color="auto" w:sz="4" w:space="0"/>
            </w:tcBorders>
            <w:noWrap w:val="0"/>
            <w:vAlign w:val="center"/>
          </w:tcPr>
          <w:p w14:paraId="15849E4C">
            <w:pPr>
              <w:pageBreakBefore w:val="0"/>
              <w:kinsoku/>
              <w:wordWrap w:val="0"/>
              <w:bidi w:val="0"/>
              <w:spacing w:line="400" w:lineRule="atLeast"/>
              <w:rPr>
                <w:rFonts w:hint="default" w:ascii="Times New Roman" w:hAnsi="Times New Roman" w:cs="Times New Roman"/>
                <w:sz w:val="24"/>
                <w:highlight w:val="none"/>
              </w:rPr>
            </w:pPr>
          </w:p>
        </w:tc>
      </w:tr>
      <w:tr w14:paraId="2B187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tcBorders>
              <w:top w:val="single" w:color="auto" w:sz="4" w:space="0"/>
              <w:left w:val="single" w:color="auto" w:sz="4" w:space="0"/>
              <w:bottom w:val="single" w:color="auto" w:sz="4" w:space="0"/>
              <w:right w:val="single" w:color="auto" w:sz="4" w:space="0"/>
            </w:tcBorders>
            <w:noWrap w:val="0"/>
            <w:vAlign w:val="center"/>
          </w:tcPr>
          <w:p w14:paraId="57041F8D">
            <w:pPr>
              <w:pageBreakBefore w:val="0"/>
              <w:kinsoku/>
              <w:wordWrap w:val="0"/>
              <w:bidi w:val="0"/>
              <w:spacing w:line="400" w:lineRule="atLeast"/>
              <w:jc w:val="center"/>
              <w:rPr>
                <w:rFonts w:hint="default" w:ascii="Times New Roman" w:hAnsi="Times New Roman" w:cs="Times New Roman"/>
                <w:sz w:val="24"/>
                <w:highlight w:val="none"/>
              </w:rPr>
            </w:pPr>
          </w:p>
        </w:tc>
        <w:tc>
          <w:tcPr>
            <w:tcW w:w="1331" w:type="dxa"/>
            <w:tcBorders>
              <w:top w:val="single" w:color="auto" w:sz="4" w:space="0"/>
              <w:left w:val="single" w:color="auto" w:sz="4" w:space="0"/>
              <w:bottom w:val="single" w:color="auto" w:sz="4" w:space="0"/>
              <w:right w:val="single" w:color="auto" w:sz="4" w:space="0"/>
            </w:tcBorders>
            <w:noWrap w:val="0"/>
            <w:vAlign w:val="center"/>
          </w:tcPr>
          <w:p w14:paraId="658A8913">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5847" w:type="dxa"/>
            <w:tcBorders>
              <w:top w:val="single" w:color="auto" w:sz="4" w:space="0"/>
              <w:left w:val="single" w:color="auto" w:sz="4" w:space="0"/>
              <w:bottom w:val="single" w:color="auto" w:sz="4" w:space="0"/>
              <w:right w:val="single" w:color="auto" w:sz="4" w:space="0"/>
            </w:tcBorders>
            <w:noWrap w:val="0"/>
            <w:vAlign w:val="center"/>
          </w:tcPr>
          <w:p w14:paraId="016300F0">
            <w:pPr>
              <w:pageBreakBefore w:val="0"/>
              <w:kinsoku/>
              <w:wordWrap w:val="0"/>
              <w:bidi w:val="0"/>
              <w:spacing w:line="400" w:lineRule="atLeast"/>
              <w:rPr>
                <w:rFonts w:hint="default" w:ascii="Times New Roman" w:hAnsi="Times New Roman" w:cs="Times New Roman"/>
                <w:sz w:val="24"/>
                <w:highlight w:val="none"/>
              </w:rPr>
            </w:pPr>
          </w:p>
        </w:tc>
      </w:tr>
      <w:tr w14:paraId="5BEAB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tcBorders>
              <w:top w:val="single" w:color="auto" w:sz="4" w:space="0"/>
              <w:left w:val="single" w:color="auto" w:sz="4" w:space="0"/>
              <w:bottom w:val="single" w:color="auto" w:sz="4" w:space="0"/>
              <w:right w:val="single" w:color="auto" w:sz="4" w:space="0"/>
            </w:tcBorders>
            <w:noWrap w:val="0"/>
            <w:vAlign w:val="center"/>
          </w:tcPr>
          <w:p w14:paraId="14C99E5E">
            <w:pPr>
              <w:pageBreakBefore w:val="0"/>
              <w:kinsoku/>
              <w:wordWrap w:val="0"/>
              <w:bidi w:val="0"/>
              <w:spacing w:line="400" w:lineRule="atLeast"/>
              <w:jc w:val="center"/>
              <w:rPr>
                <w:rFonts w:hint="default" w:ascii="Times New Roman" w:hAnsi="Times New Roman" w:cs="Times New Roman"/>
                <w:sz w:val="24"/>
                <w:highlight w:val="none"/>
              </w:rPr>
            </w:pPr>
          </w:p>
        </w:tc>
        <w:tc>
          <w:tcPr>
            <w:tcW w:w="1331" w:type="dxa"/>
            <w:tcBorders>
              <w:top w:val="single" w:color="auto" w:sz="4" w:space="0"/>
              <w:left w:val="single" w:color="auto" w:sz="4" w:space="0"/>
              <w:bottom w:val="single" w:color="auto" w:sz="4" w:space="0"/>
              <w:right w:val="single" w:color="auto" w:sz="4" w:space="0"/>
            </w:tcBorders>
            <w:noWrap w:val="0"/>
            <w:vAlign w:val="center"/>
          </w:tcPr>
          <w:p w14:paraId="7FDCFEF1">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5847" w:type="dxa"/>
            <w:tcBorders>
              <w:top w:val="single" w:color="auto" w:sz="4" w:space="0"/>
              <w:left w:val="single" w:color="auto" w:sz="4" w:space="0"/>
              <w:bottom w:val="single" w:color="auto" w:sz="4" w:space="0"/>
              <w:right w:val="single" w:color="auto" w:sz="4" w:space="0"/>
            </w:tcBorders>
            <w:noWrap w:val="0"/>
            <w:vAlign w:val="center"/>
          </w:tcPr>
          <w:p w14:paraId="0F229B63">
            <w:pPr>
              <w:pageBreakBefore w:val="0"/>
              <w:kinsoku/>
              <w:wordWrap w:val="0"/>
              <w:bidi w:val="0"/>
              <w:spacing w:line="400" w:lineRule="atLeast"/>
              <w:rPr>
                <w:rFonts w:hint="default" w:ascii="Times New Roman" w:hAnsi="Times New Roman" w:cs="Times New Roman"/>
                <w:sz w:val="24"/>
                <w:highlight w:val="none"/>
              </w:rPr>
            </w:pPr>
          </w:p>
        </w:tc>
      </w:tr>
      <w:tr w14:paraId="72035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tcBorders>
              <w:top w:val="single" w:color="auto" w:sz="4" w:space="0"/>
              <w:left w:val="single" w:color="auto" w:sz="4" w:space="0"/>
              <w:bottom w:val="single" w:color="auto" w:sz="4" w:space="0"/>
              <w:right w:val="single" w:color="auto" w:sz="4" w:space="0"/>
            </w:tcBorders>
            <w:noWrap w:val="0"/>
            <w:vAlign w:val="center"/>
          </w:tcPr>
          <w:p w14:paraId="6CC2B320">
            <w:pPr>
              <w:pageBreakBefore w:val="0"/>
              <w:kinsoku/>
              <w:wordWrap w:val="0"/>
              <w:bidi w:val="0"/>
              <w:spacing w:line="400" w:lineRule="atLeast"/>
              <w:jc w:val="center"/>
              <w:rPr>
                <w:rFonts w:hint="default" w:ascii="Times New Roman" w:hAnsi="Times New Roman" w:cs="Times New Roman"/>
                <w:sz w:val="24"/>
                <w:highlight w:val="none"/>
              </w:rPr>
            </w:pPr>
          </w:p>
        </w:tc>
        <w:tc>
          <w:tcPr>
            <w:tcW w:w="1331" w:type="dxa"/>
            <w:tcBorders>
              <w:top w:val="single" w:color="auto" w:sz="4" w:space="0"/>
              <w:left w:val="single" w:color="auto" w:sz="4" w:space="0"/>
              <w:bottom w:val="single" w:color="auto" w:sz="4" w:space="0"/>
              <w:right w:val="single" w:color="auto" w:sz="4" w:space="0"/>
            </w:tcBorders>
            <w:noWrap w:val="0"/>
            <w:vAlign w:val="center"/>
          </w:tcPr>
          <w:p w14:paraId="7B8118B1">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5847" w:type="dxa"/>
            <w:tcBorders>
              <w:top w:val="single" w:color="auto" w:sz="4" w:space="0"/>
              <w:left w:val="single" w:color="auto" w:sz="4" w:space="0"/>
              <w:bottom w:val="single" w:color="auto" w:sz="4" w:space="0"/>
              <w:right w:val="single" w:color="auto" w:sz="4" w:space="0"/>
            </w:tcBorders>
            <w:noWrap w:val="0"/>
            <w:vAlign w:val="center"/>
          </w:tcPr>
          <w:p w14:paraId="137A2E0E">
            <w:pPr>
              <w:pageBreakBefore w:val="0"/>
              <w:kinsoku/>
              <w:wordWrap w:val="0"/>
              <w:bidi w:val="0"/>
              <w:spacing w:line="400" w:lineRule="atLeast"/>
              <w:rPr>
                <w:rFonts w:hint="default" w:ascii="Times New Roman" w:hAnsi="Times New Roman" w:cs="Times New Roman"/>
                <w:sz w:val="24"/>
                <w:highlight w:val="none"/>
              </w:rPr>
            </w:pPr>
          </w:p>
        </w:tc>
      </w:tr>
      <w:tr w14:paraId="3357F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tcBorders>
              <w:top w:val="single" w:color="auto" w:sz="4" w:space="0"/>
              <w:left w:val="single" w:color="auto" w:sz="4" w:space="0"/>
              <w:bottom w:val="single" w:color="auto" w:sz="4" w:space="0"/>
              <w:right w:val="single" w:color="auto" w:sz="4" w:space="0"/>
            </w:tcBorders>
            <w:noWrap w:val="0"/>
            <w:vAlign w:val="center"/>
          </w:tcPr>
          <w:p w14:paraId="4AB0CD53">
            <w:pPr>
              <w:pageBreakBefore w:val="0"/>
              <w:kinsoku/>
              <w:wordWrap w:val="0"/>
              <w:bidi w:val="0"/>
              <w:spacing w:line="400" w:lineRule="atLeast"/>
              <w:jc w:val="center"/>
              <w:rPr>
                <w:rFonts w:hint="default" w:ascii="Times New Roman" w:hAnsi="Times New Roman" w:cs="Times New Roman"/>
                <w:sz w:val="24"/>
                <w:highlight w:val="none"/>
              </w:rPr>
            </w:pPr>
          </w:p>
        </w:tc>
        <w:tc>
          <w:tcPr>
            <w:tcW w:w="1331" w:type="dxa"/>
            <w:tcBorders>
              <w:top w:val="single" w:color="auto" w:sz="4" w:space="0"/>
              <w:left w:val="single" w:color="auto" w:sz="4" w:space="0"/>
              <w:bottom w:val="single" w:color="auto" w:sz="4" w:space="0"/>
              <w:right w:val="single" w:color="auto" w:sz="4" w:space="0"/>
            </w:tcBorders>
            <w:noWrap w:val="0"/>
            <w:vAlign w:val="center"/>
          </w:tcPr>
          <w:p w14:paraId="786123E3">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5847" w:type="dxa"/>
            <w:tcBorders>
              <w:top w:val="single" w:color="auto" w:sz="4" w:space="0"/>
              <w:left w:val="single" w:color="auto" w:sz="4" w:space="0"/>
              <w:bottom w:val="single" w:color="auto" w:sz="4" w:space="0"/>
              <w:right w:val="single" w:color="auto" w:sz="4" w:space="0"/>
            </w:tcBorders>
            <w:noWrap w:val="0"/>
            <w:vAlign w:val="center"/>
          </w:tcPr>
          <w:p w14:paraId="77FCDCB8">
            <w:pPr>
              <w:pageBreakBefore w:val="0"/>
              <w:kinsoku/>
              <w:wordWrap w:val="0"/>
              <w:bidi w:val="0"/>
              <w:spacing w:line="400" w:lineRule="atLeast"/>
              <w:rPr>
                <w:rFonts w:hint="default" w:ascii="Times New Roman" w:hAnsi="Times New Roman" w:cs="Times New Roman"/>
                <w:sz w:val="24"/>
                <w:highlight w:val="none"/>
              </w:rPr>
            </w:pPr>
          </w:p>
        </w:tc>
      </w:tr>
      <w:tr w14:paraId="4D1BB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tcBorders>
              <w:top w:val="single" w:color="auto" w:sz="4" w:space="0"/>
              <w:left w:val="single" w:color="auto" w:sz="4" w:space="0"/>
              <w:bottom w:val="single" w:color="auto" w:sz="4" w:space="0"/>
              <w:right w:val="single" w:color="auto" w:sz="4" w:space="0"/>
            </w:tcBorders>
            <w:noWrap w:val="0"/>
            <w:vAlign w:val="center"/>
          </w:tcPr>
          <w:p w14:paraId="76742ABF">
            <w:pPr>
              <w:pageBreakBefore w:val="0"/>
              <w:kinsoku/>
              <w:wordWrap w:val="0"/>
              <w:bidi w:val="0"/>
              <w:spacing w:line="400" w:lineRule="atLeast"/>
              <w:jc w:val="center"/>
              <w:rPr>
                <w:rFonts w:hint="default" w:ascii="Times New Roman" w:hAnsi="Times New Roman" w:cs="Times New Roman"/>
                <w:sz w:val="24"/>
                <w:highlight w:val="none"/>
              </w:rPr>
            </w:pPr>
          </w:p>
        </w:tc>
        <w:tc>
          <w:tcPr>
            <w:tcW w:w="1331" w:type="dxa"/>
            <w:tcBorders>
              <w:top w:val="single" w:color="auto" w:sz="4" w:space="0"/>
              <w:left w:val="single" w:color="auto" w:sz="4" w:space="0"/>
              <w:bottom w:val="single" w:color="auto" w:sz="4" w:space="0"/>
              <w:right w:val="single" w:color="auto" w:sz="4" w:space="0"/>
            </w:tcBorders>
            <w:noWrap w:val="0"/>
            <w:vAlign w:val="center"/>
          </w:tcPr>
          <w:p w14:paraId="476FC3AD">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5847" w:type="dxa"/>
            <w:tcBorders>
              <w:top w:val="single" w:color="auto" w:sz="4" w:space="0"/>
              <w:left w:val="single" w:color="auto" w:sz="4" w:space="0"/>
              <w:bottom w:val="single" w:color="auto" w:sz="4" w:space="0"/>
              <w:right w:val="single" w:color="auto" w:sz="4" w:space="0"/>
            </w:tcBorders>
            <w:noWrap w:val="0"/>
            <w:vAlign w:val="center"/>
          </w:tcPr>
          <w:p w14:paraId="649957B2">
            <w:pPr>
              <w:pageBreakBefore w:val="0"/>
              <w:kinsoku/>
              <w:wordWrap w:val="0"/>
              <w:bidi w:val="0"/>
              <w:spacing w:line="400" w:lineRule="atLeast"/>
              <w:rPr>
                <w:rFonts w:hint="default" w:ascii="Times New Roman" w:hAnsi="Times New Roman" w:cs="Times New Roman"/>
                <w:sz w:val="24"/>
                <w:highlight w:val="none"/>
              </w:rPr>
            </w:pPr>
          </w:p>
        </w:tc>
      </w:tr>
      <w:tr w14:paraId="6BB50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tcBorders>
              <w:top w:val="single" w:color="auto" w:sz="4" w:space="0"/>
              <w:left w:val="single" w:color="auto" w:sz="4" w:space="0"/>
              <w:bottom w:val="single" w:color="auto" w:sz="4" w:space="0"/>
              <w:right w:val="single" w:color="auto" w:sz="4" w:space="0"/>
            </w:tcBorders>
            <w:noWrap w:val="0"/>
            <w:vAlign w:val="center"/>
          </w:tcPr>
          <w:p w14:paraId="6B5303DB">
            <w:pPr>
              <w:pageBreakBefore w:val="0"/>
              <w:kinsoku/>
              <w:wordWrap w:val="0"/>
              <w:bidi w:val="0"/>
              <w:spacing w:line="400" w:lineRule="atLeast"/>
              <w:jc w:val="center"/>
              <w:rPr>
                <w:rFonts w:hint="default" w:ascii="Times New Roman" w:hAnsi="Times New Roman" w:cs="Times New Roman"/>
                <w:sz w:val="24"/>
                <w:highlight w:val="none"/>
              </w:rPr>
            </w:pPr>
          </w:p>
        </w:tc>
        <w:tc>
          <w:tcPr>
            <w:tcW w:w="1331" w:type="dxa"/>
            <w:tcBorders>
              <w:top w:val="single" w:color="auto" w:sz="4" w:space="0"/>
              <w:left w:val="single" w:color="auto" w:sz="4" w:space="0"/>
              <w:bottom w:val="single" w:color="auto" w:sz="4" w:space="0"/>
              <w:right w:val="single" w:color="auto" w:sz="4" w:space="0"/>
            </w:tcBorders>
            <w:noWrap w:val="0"/>
            <w:vAlign w:val="center"/>
          </w:tcPr>
          <w:p w14:paraId="24367C16">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5847" w:type="dxa"/>
            <w:tcBorders>
              <w:top w:val="single" w:color="auto" w:sz="4" w:space="0"/>
              <w:left w:val="single" w:color="auto" w:sz="4" w:space="0"/>
              <w:bottom w:val="single" w:color="auto" w:sz="4" w:space="0"/>
              <w:right w:val="single" w:color="auto" w:sz="4" w:space="0"/>
            </w:tcBorders>
            <w:noWrap w:val="0"/>
            <w:vAlign w:val="center"/>
          </w:tcPr>
          <w:p w14:paraId="23738E5A">
            <w:pPr>
              <w:pageBreakBefore w:val="0"/>
              <w:kinsoku/>
              <w:wordWrap w:val="0"/>
              <w:bidi w:val="0"/>
              <w:spacing w:line="400" w:lineRule="atLeast"/>
              <w:rPr>
                <w:rFonts w:hint="default" w:ascii="Times New Roman" w:hAnsi="Times New Roman" w:cs="Times New Roman"/>
                <w:sz w:val="24"/>
                <w:highlight w:val="none"/>
              </w:rPr>
            </w:pPr>
          </w:p>
        </w:tc>
      </w:tr>
      <w:tr w14:paraId="415B5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tcBorders>
              <w:top w:val="single" w:color="auto" w:sz="4" w:space="0"/>
              <w:left w:val="single" w:color="auto" w:sz="4" w:space="0"/>
              <w:bottom w:val="single" w:color="auto" w:sz="4" w:space="0"/>
              <w:right w:val="single" w:color="auto" w:sz="4" w:space="0"/>
            </w:tcBorders>
            <w:noWrap w:val="0"/>
            <w:vAlign w:val="center"/>
          </w:tcPr>
          <w:p w14:paraId="4A947680">
            <w:pPr>
              <w:pageBreakBefore w:val="0"/>
              <w:kinsoku/>
              <w:wordWrap w:val="0"/>
              <w:bidi w:val="0"/>
              <w:spacing w:line="400" w:lineRule="atLeast"/>
              <w:jc w:val="center"/>
              <w:rPr>
                <w:rFonts w:hint="default" w:ascii="Times New Roman" w:hAnsi="Times New Roman" w:cs="Times New Roman"/>
                <w:sz w:val="24"/>
                <w:highlight w:val="none"/>
              </w:rPr>
            </w:pPr>
          </w:p>
        </w:tc>
        <w:tc>
          <w:tcPr>
            <w:tcW w:w="1331" w:type="dxa"/>
            <w:tcBorders>
              <w:top w:val="single" w:color="auto" w:sz="4" w:space="0"/>
              <w:left w:val="single" w:color="auto" w:sz="4" w:space="0"/>
              <w:bottom w:val="single" w:color="auto" w:sz="4" w:space="0"/>
              <w:right w:val="single" w:color="auto" w:sz="4" w:space="0"/>
            </w:tcBorders>
            <w:noWrap w:val="0"/>
            <w:vAlign w:val="center"/>
          </w:tcPr>
          <w:p w14:paraId="68159021">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5847" w:type="dxa"/>
            <w:tcBorders>
              <w:top w:val="single" w:color="auto" w:sz="4" w:space="0"/>
              <w:left w:val="single" w:color="auto" w:sz="4" w:space="0"/>
              <w:bottom w:val="single" w:color="auto" w:sz="4" w:space="0"/>
              <w:right w:val="single" w:color="auto" w:sz="4" w:space="0"/>
            </w:tcBorders>
            <w:noWrap w:val="0"/>
            <w:vAlign w:val="center"/>
          </w:tcPr>
          <w:p w14:paraId="7D1557D8">
            <w:pPr>
              <w:pageBreakBefore w:val="0"/>
              <w:kinsoku/>
              <w:wordWrap w:val="0"/>
              <w:bidi w:val="0"/>
              <w:spacing w:line="400" w:lineRule="atLeast"/>
              <w:rPr>
                <w:rFonts w:hint="default" w:ascii="Times New Roman" w:hAnsi="Times New Roman" w:cs="Times New Roman"/>
                <w:sz w:val="24"/>
                <w:highlight w:val="none"/>
              </w:rPr>
            </w:pPr>
          </w:p>
        </w:tc>
      </w:tr>
      <w:tr w14:paraId="00BF0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tcBorders>
              <w:top w:val="single" w:color="auto" w:sz="4" w:space="0"/>
              <w:left w:val="single" w:color="auto" w:sz="4" w:space="0"/>
              <w:bottom w:val="single" w:color="auto" w:sz="4" w:space="0"/>
              <w:right w:val="single" w:color="auto" w:sz="4" w:space="0"/>
            </w:tcBorders>
            <w:noWrap w:val="0"/>
            <w:vAlign w:val="center"/>
          </w:tcPr>
          <w:p w14:paraId="7D47B324">
            <w:pPr>
              <w:pageBreakBefore w:val="0"/>
              <w:kinsoku/>
              <w:wordWrap w:val="0"/>
              <w:bidi w:val="0"/>
              <w:spacing w:line="400" w:lineRule="atLeast"/>
              <w:jc w:val="center"/>
              <w:rPr>
                <w:rFonts w:hint="default" w:ascii="Times New Roman" w:hAnsi="Times New Roman" w:cs="Times New Roman"/>
                <w:sz w:val="24"/>
                <w:highlight w:val="none"/>
              </w:rPr>
            </w:pPr>
          </w:p>
        </w:tc>
        <w:tc>
          <w:tcPr>
            <w:tcW w:w="1331" w:type="dxa"/>
            <w:tcBorders>
              <w:top w:val="single" w:color="auto" w:sz="4" w:space="0"/>
              <w:left w:val="single" w:color="auto" w:sz="4" w:space="0"/>
              <w:bottom w:val="single" w:color="auto" w:sz="4" w:space="0"/>
              <w:right w:val="single" w:color="auto" w:sz="4" w:space="0"/>
            </w:tcBorders>
            <w:noWrap w:val="0"/>
            <w:vAlign w:val="center"/>
          </w:tcPr>
          <w:p w14:paraId="49776DC0">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5847" w:type="dxa"/>
            <w:tcBorders>
              <w:top w:val="single" w:color="auto" w:sz="4" w:space="0"/>
              <w:left w:val="single" w:color="auto" w:sz="4" w:space="0"/>
              <w:bottom w:val="single" w:color="auto" w:sz="4" w:space="0"/>
              <w:right w:val="single" w:color="auto" w:sz="4" w:space="0"/>
            </w:tcBorders>
            <w:noWrap w:val="0"/>
            <w:vAlign w:val="center"/>
          </w:tcPr>
          <w:p w14:paraId="6ED5B339">
            <w:pPr>
              <w:pageBreakBefore w:val="0"/>
              <w:kinsoku/>
              <w:wordWrap w:val="0"/>
              <w:bidi w:val="0"/>
              <w:spacing w:line="400" w:lineRule="atLeast"/>
              <w:rPr>
                <w:rFonts w:hint="default" w:ascii="Times New Roman" w:hAnsi="Times New Roman" w:cs="Times New Roman"/>
                <w:sz w:val="24"/>
                <w:highlight w:val="none"/>
              </w:rPr>
            </w:pPr>
          </w:p>
        </w:tc>
      </w:tr>
    </w:tbl>
    <w:p w14:paraId="3CEF78D0">
      <w:pPr>
        <w:pageBreakBefore w:val="0"/>
        <w:kinsoku/>
        <w:wordWrap w:val="0"/>
        <w:bidi w:val="0"/>
        <w:adjustRightInd w:val="0"/>
        <w:snapToGrid w:val="0"/>
        <w:spacing w:line="400" w:lineRule="atLeast"/>
        <w:jc w:val="center"/>
        <w:rPr>
          <w:rFonts w:hint="default" w:ascii="Times New Roman" w:hAnsi="Times New Roman" w:eastAsia="黑体" w:cs="Times New Roman"/>
          <w:sz w:val="24"/>
          <w:highlight w:val="none"/>
        </w:rPr>
      </w:pPr>
    </w:p>
    <w:p w14:paraId="77BAF681">
      <w:pPr>
        <w:pStyle w:val="2"/>
        <w:pageBreakBefore w:val="0"/>
        <w:kinsoku/>
        <w:wordWrap w:val="0"/>
        <w:bidi w:val="0"/>
        <w:spacing w:before="240" w:after="240" w:line="240" w:lineRule="atLeast"/>
        <w:jc w:val="center"/>
        <w:rPr>
          <w:rFonts w:hint="default" w:ascii="Times New Roman" w:hAnsi="Times New Roman" w:eastAsia="黑体" w:cs="Times New Roman"/>
          <w:sz w:val="28"/>
          <w:szCs w:val="28"/>
          <w:highlight w:val="none"/>
        </w:rPr>
      </w:pPr>
      <w:r>
        <w:rPr>
          <w:rFonts w:hint="default" w:ascii="Times New Roman" w:hAnsi="Times New Roman" w:eastAsia="黑体" w:cs="Times New Roman"/>
          <w:sz w:val="24"/>
          <w:highlight w:val="none"/>
        </w:rPr>
        <w:br w:type="page"/>
      </w:r>
      <w:bookmarkStart w:id="60" w:name="_Toc234832869"/>
      <w:bookmarkStart w:id="61" w:name="_Toc29351"/>
      <w:bookmarkStart w:id="62" w:name="_Toc10276"/>
      <w:r>
        <w:rPr>
          <w:rFonts w:hint="default" w:ascii="Times New Roman" w:hAnsi="Times New Roman" w:eastAsia="黑体" w:cs="Times New Roman"/>
          <w:sz w:val="28"/>
          <w:szCs w:val="28"/>
          <w:highlight w:val="none"/>
        </w:rPr>
        <w:t>附录7  资格审查条件（主要机械设备和试验检测设备最低要求）</w:t>
      </w:r>
      <w:r>
        <w:rPr>
          <w:rFonts w:hint="default" w:ascii="Times New Roman" w:hAnsi="Times New Roman" w:eastAsia="黑体" w:cs="Times New Roman"/>
          <w:sz w:val="28"/>
          <w:szCs w:val="28"/>
          <w:highlight w:val="none"/>
          <w:vertAlign w:val="superscript"/>
        </w:rPr>
        <w:footnoteReference w:id="17"/>
      </w:r>
      <w:bookmarkEnd w:id="60"/>
      <w:bookmarkEnd w:id="61"/>
      <w:bookmarkEnd w:id="62"/>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4"/>
        <w:gridCol w:w="3224"/>
        <w:gridCol w:w="1197"/>
        <w:gridCol w:w="2371"/>
      </w:tblGrid>
      <w:tr w14:paraId="55432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noWrap w:val="0"/>
            <w:vAlign w:val="center"/>
          </w:tcPr>
          <w:p w14:paraId="4A2813C4">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r>
              <w:rPr>
                <w:rFonts w:hint="default" w:ascii="Times New Roman" w:hAnsi="Times New Roman" w:cs="Times New Roman"/>
                <w:sz w:val="24"/>
                <w:highlight w:val="none"/>
              </w:rPr>
              <w:t>设备名称</w:t>
            </w:r>
          </w:p>
        </w:tc>
        <w:tc>
          <w:tcPr>
            <w:tcW w:w="3224" w:type="dxa"/>
            <w:noWrap w:val="0"/>
            <w:vAlign w:val="center"/>
          </w:tcPr>
          <w:p w14:paraId="26A7712A">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r>
              <w:rPr>
                <w:rFonts w:hint="default" w:ascii="Times New Roman" w:hAnsi="Times New Roman" w:cs="Times New Roman"/>
                <w:sz w:val="24"/>
                <w:highlight w:val="none"/>
              </w:rPr>
              <w:t>规格、功率及容量</w:t>
            </w:r>
          </w:p>
        </w:tc>
        <w:tc>
          <w:tcPr>
            <w:tcW w:w="1197" w:type="dxa"/>
            <w:noWrap w:val="0"/>
            <w:vAlign w:val="center"/>
          </w:tcPr>
          <w:p w14:paraId="6B589914">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r>
              <w:rPr>
                <w:rFonts w:hint="default" w:ascii="Times New Roman" w:hAnsi="Times New Roman" w:cs="Times New Roman"/>
                <w:sz w:val="24"/>
                <w:highlight w:val="none"/>
              </w:rPr>
              <w:t>单位</w:t>
            </w:r>
          </w:p>
        </w:tc>
        <w:tc>
          <w:tcPr>
            <w:tcW w:w="2371" w:type="dxa"/>
            <w:noWrap w:val="0"/>
            <w:vAlign w:val="center"/>
          </w:tcPr>
          <w:p w14:paraId="766481F5">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r>
              <w:rPr>
                <w:rFonts w:hint="default" w:ascii="Times New Roman" w:hAnsi="Times New Roman" w:cs="Times New Roman"/>
                <w:sz w:val="24"/>
                <w:highlight w:val="none"/>
              </w:rPr>
              <w:t>最低数量要求</w:t>
            </w:r>
          </w:p>
        </w:tc>
      </w:tr>
      <w:tr w14:paraId="047CD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noWrap w:val="0"/>
            <w:vAlign w:val="center"/>
          </w:tcPr>
          <w:p w14:paraId="7A580F8E">
            <w:pPr>
              <w:pageBreakBefore w:val="0"/>
              <w:kinsoku/>
              <w:wordWrap w:val="0"/>
              <w:bidi w:val="0"/>
              <w:adjustRightInd w:val="0"/>
              <w:snapToGrid w:val="0"/>
              <w:spacing w:line="400" w:lineRule="atLeast"/>
              <w:jc w:val="center"/>
              <w:rPr>
                <w:rFonts w:hint="eastAsia" w:ascii="Times New Roman" w:hAnsi="Times New Roman" w:eastAsia="宋体" w:cs="Times New Roman"/>
                <w:sz w:val="24"/>
                <w:highlight w:val="none"/>
                <w:lang w:val="en-US" w:eastAsia="zh-CN"/>
              </w:rPr>
            </w:pPr>
            <w:r>
              <w:rPr>
                <w:rFonts w:hint="eastAsia" w:cs="Times New Roman"/>
                <w:sz w:val="24"/>
                <w:highlight w:val="none"/>
                <w:lang w:val="en-US" w:eastAsia="zh-CN"/>
              </w:rPr>
              <w:t>/</w:t>
            </w:r>
          </w:p>
        </w:tc>
        <w:tc>
          <w:tcPr>
            <w:tcW w:w="3224" w:type="dxa"/>
            <w:noWrap w:val="0"/>
            <w:vAlign w:val="center"/>
          </w:tcPr>
          <w:p w14:paraId="1877A6A5">
            <w:pPr>
              <w:pageBreakBefore w:val="0"/>
              <w:kinsoku/>
              <w:wordWrap w:val="0"/>
              <w:bidi w:val="0"/>
              <w:spacing w:line="400" w:lineRule="atLeast"/>
              <w:rPr>
                <w:rFonts w:hint="eastAsia" w:ascii="Times New Roman" w:hAnsi="Times New Roman" w:eastAsia="宋体" w:cs="Times New Roman"/>
                <w:sz w:val="24"/>
                <w:highlight w:val="none"/>
                <w:lang w:val="en-US" w:eastAsia="zh-CN"/>
              </w:rPr>
            </w:pPr>
            <w:r>
              <w:rPr>
                <w:rFonts w:hint="eastAsia" w:cs="Times New Roman"/>
                <w:sz w:val="24"/>
                <w:highlight w:val="none"/>
                <w:lang w:val="en-US" w:eastAsia="zh-CN"/>
              </w:rPr>
              <w:t>/</w:t>
            </w:r>
          </w:p>
        </w:tc>
        <w:tc>
          <w:tcPr>
            <w:tcW w:w="1197" w:type="dxa"/>
            <w:noWrap w:val="0"/>
            <w:vAlign w:val="center"/>
          </w:tcPr>
          <w:p w14:paraId="25DBB269">
            <w:pPr>
              <w:pageBreakBefore w:val="0"/>
              <w:kinsoku/>
              <w:wordWrap w:val="0"/>
              <w:bidi w:val="0"/>
              <w:adjustRightInd w:val="0"/>
              <w:snapToGrid w:val="0"/>
              <w:spacing w:line="400" w:lineRule="atLeast"/>
              <w:jc w:val="center"/>
              <w:rPr>
                <w:rFonts w:hint="eastAsia" w:ascii="Times New Roman" w:hAnsi="Times New Roman" w:eastAsia="宋体" w:cs="Times New Roman"/>
                <w:sz w:val="24"/>
                <w:highlight w:val="none"/>
                <w:lang w:val="en-US" w:eastAsia="zh-CN"/>
              </w:rPr>
            </w:pPr>
            <w:r>
              <w:rPr>
                <w:rFonts w:hint="eastAsia" w:cs="Times New Roman"/>
                <w:sz w:val="24"/>
                <w:highlight w:val="none"/>
                <w:lang w:val="en-US" w:eastAsia="zh-CN"/>
              </w:rPr>
              <w:t>/</w:t>
            </w:r>
          </w:p>
        </w:tc>
        <w:tc>
          <w:tcPr>
            <w:tcW w:w="2371" w:type="dxa"/>
            <w:noWrap w:val="0"/>
            <w:vAlign w:val="center"/>
          </w:tcPr>
          <w:p w14:paraId="283ACEF8">
            <w:pPr>
              <w:pageBreakBefore w:val="0"/>
              <w:kinsoku/>
              <w:wordWrap w:val="0"/>
              <w:bidi w:val="0"/>
              <w:spacing w:line="400" w:lineRule="atLeast"/>
              <w:rPr>
                <w:rFonts w:hint="eastAsia" w:ascii="Times New Roman" w:hAnsi="Times New Roman" w:eastAsia="宋体" w:cs="Times New Roman"/>
                <w:sz w:val="24"/>
                <w:highlight w:val="none"/>
                <w:lang w:val="en-US" w:eastAsia="zh-CN"/>
              </w:rPr>
            </w:pPr>
            <w:r>
              <w:rPr>
                <w:rFonts w:hint="eastAsia" w:cs="Times New Roman"/>
                <w:sz w:val="24"/>
                <w:highlight w:val="none"/>
                <w:lang w:val="en-US" w:eastAsia="zh-CN"/>
              </w:rPr>
              <w:t>/</w:t>
            </w:r>
          </w:p>
        </w:tc>
      </w:tr>
      <w:tr w14:paraId="70393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noWrap w:val="0"/>
            <w:vAlign w:val="center"/>
          </w:tcPr>
          <w:p w14:paraId="7E31CB00">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3224" w:type="dxa"/>
            <w:noWrap w:val="0"/>
            <w:vAlign w:val="center"/>
          </w:tcPr>
          <w:p w14:paraId="1CBBB21E">
            <w:pPr>
              <w:pageBreakBefore w:val="0"/>
              <w:kinsoku/>
              <w:wordWrap w:val="0"/>
              <w:bidi w:val="0"/>
              <w:spacing w:line="400" w:lineRule="atLeast"/>
              <w:rPr>
                <w:rFonts w:hint="default" w:ascii="Times New Roman" w:hAnsi="Times New Roman" w:cs="Times New Roman"/>
                <w:sz w:val="24"/>
                <w:highlight w:val="none"/>
              </w:rPr>
            </w:pPr>
          </w:p>
        </w:tc>
        <w:tc>
          <w:tcPr>
            <w:tcW w:w="1197" w:type="dxa"/>
            <w:noWrap w:val="0"/>
            <w:vAlign w:val="center"/>
          </w:tcPr>
          <w:p w14:paraId="7FFFC223">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371" w:type="dxa"/>
            <w:noWrap w:val="0"/>
            <w:vAlign w:val="center"/>
          </w:tcPr>
          <w:p w14:paraId="3C196B8A">
            <w:pPr>
              <w:pageBreakBefore w:val="0"/>
              <w:kinsoku/>
              <w:wordWrap w:val="0"/>
              <w:bidi w:val="0"/>
              <w:spacing w:line="400" w:lineRule="atLeast"/>
              <w:rPr>
                <w:rFonts w:hint="default" w:ascii="Times New Roman" w:hAnsi="Times New Roman" w:cs="Times New Roman"/>
                <w:sz w:val="24"/>
                <w:highlight w:val="none"/>
              </w:rPr>
            </w:pPr>
          </w:p>
        </w:tc>
      </w:tr>
      <w:tr w14:paraId="4D8AB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noWrap w:val="0"/>
            <w:vAlign w:val="center"/>
          </w:tcPr>
          <w:p w14:paraId="4D6B182A">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3224" w:type="dxa"/>
            <w:noWrap w:val="0"/>
            <w:vAlign w:val="center"/>
          </w:tcPr>
          <w:p w14:paraId="60C5D0C9">
            <w:pPr>
              <w:pageBreakBefore w:val="0"/>
              <w:kinsoku/>
              <w:wordWrap w:val="0"/>
              <w:bidi w:val="0"/>
              <w:spacing w:line="400" w:lineRule="atLeast"/>
              <w:rPr>
                <w:rFonts w:hint="default" w:ascii="Times New Roman" w:hAnsi="Times New Roman" w:cs="Times New Roman"/>
                <w:sz w:val="24"/>
                <w:highlight w:val="none"/>
              </w:rPr>
            </w:pPr>
          </w:p>
        </w:tc>
        <w:tc>
          <w:tcPr>
            <w:tcW w:w="1197" w:type="dxa"/>
            <w:noWrap w:val="0"/>
            <w:vAlign w:val="center"/>
          </w:tcPr>
          <w:p w14:paraId="34C63D6C">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371" w:type="dxa"/>
            <w:noWrap w:val="0"/>
            <w:vAlign w:val="center"/>
          </w:tcPr>
          <w:p w14:paraId="2A8B0670">
            <w:pPr>
              <w:pageBreakBefore w:val="0"/>
              <w:kinsoku/>
              <w:wordWrap w:val="0"/>
              <w:bidi w:val="0"/>
              <w:spacing w:line="400" w:lineRule="atLeast"/>
              <w:rPr>
                <w:rFonts w:hint="default" w:ascii="Times New Roman" w:hAnsi="Times New Roman" w:cs="Times New Roman"/>
                <w:sz w:val="24"/>
                <w:highlight w:val="none"/>
              </w:rPr>
            </w:pPr>
          </w:p>
        </w:tc>
      </w:tr>
      <w:tr w14:paraId="4CC36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noWrap w:val="0"/>
            <w:vAlign w:val="center"/>
          </w:tcPr>
          <w:p w14:paraId="7C37D90F">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3224" w:type="dxa"/>
            <w:noWrap w:val="0"/>
            <w:vAlign w:val="center"/>
          </w:tcPr>
          <w:p w14:paraId="352EA368">
            <w:pPr>
              <w:pageBreakBefore w:val="0"/>
              <w:kinsoku/>
              <w:wordWrap w:val="0"/>
              <w:bidi w:val="0"/>
              <w:spacing w:line="400" w:lineRule="atLeast"/>
              <w:rPr>
                <w:rFonts w:hint="default" w:ascii="Times New Roman" w:hAnsi="Times New Roman" w:cs="Times New Roman"/>
                <w:sz w:val="24"/>
                <w:highlight w:val="none"/>
              </w:rPr>
            </w:pPr>
          </w:p>
        </w:tc>
        <w:tc>
          <w:tcPr>
            <w:tcW w:w="1197" w:type="dxa"/>
            <w:noWrap w:val="0"/>
            <w:vAlign w:val="center"/>
          </w:tcPr>
          <w:p w14:paraId="3D891C50">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371" w:type="dxa"/>
            <w:noWrap w:val="0"/>
            <w:vAlign w:val="center"/>
          </w:tcPr>
          <w:p w14:paraId="15ABA204">
            <w:pPr>
              <w:pageBreakBefore w:val="0"/>
              <w:kinsoku/>
              <w:wordWrap w:val="0"/>
              <w:bidi w:val="0"/>
              <w:spacing w:line="400" w:lineRule="atLeast"/>
              <w:rPr>
                <w:rFonts w:hint="default" w:ascii="Times New Roman" w:hAnsi="Times New Roman" w:cs="Times New Roman"/>
                <w:sz w:val="24"/>
                <w:highlight w:val="none"/>
              </w:rPr>
            </w:pPr>
          </w:p>
        </w:tc>
      </w:tr>
      <w:tr w14:paraId="7A70F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noWrap w:val="0"/>
            <w:vAlign w:val="center"/>
          </w:tcPr>
          <w:p w14:paraId="4333A20D">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3224" w:type="dxa"/>
            <w:noWrap w:val="0"/>
            <w:vAlign w:val="center"/>
          </w:tcPr>
          <w:p w14:paraId="261BC43C">
            <w:pPr>
              <w:pageBreakBefore w:val="0"/>
              <w:kinsoku/>
              <w:wordWrap w:val="0"/>
              <w:bidi w:val="0"/>
              <w:spacing w:line="400" w:lineRule="atLeast"/>
              <w:rPr>
                <w:rFonts w:hint="default" w:ascii="Times New Roman" w:hAnsi="Times New Roman" w:cs="Times New Roman"/>
                <w:sz w:val="24"/>
                <w:highlight w:val="none"/>
              </w:rPr>
            </w:pPr>
          </w:p>
        </w:tc>
        <w:tc>
          <w:tcPr>
            <w:tcW w:w="1197" w:type="dxa"/>
            <w:noWrap w:val="0"/>
            <w:vAlign w:val="center"/>
          </w:tcPr>
          <w:p w14:paraId="27E9F08D">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371" w:type="dxa"/>
            <w:noWrap w:val="0"/>
            <w:vAlign w:val="center"/>
          </w:tcPr>
          <w:p w14:paraId="71BBAC3B">
            <w:pPr>
              <w:pageBreakBefore w:val="0"/>
              <w:kinsoku/>
              <w:wordWrap w:val="0"/>
              <w:bidi w:val="0"/>
              <w:spacing w:line="400" w:lineRule="atLeast"/>
              <w:rPr>
                <w:rFonts w:hint="default" w:ascii="Times New Roman" w:hAnsi="Times New Roman" w:cs="Times New Roman"/>
                <w:sz w:val="24"/>
                <w:highlight w:val="none"/>
              </w:rPr>
            </w:pPr>
          </w:p>
        </w:tc>
      </w:tr>
      <w:tr w14:paraId="6D33B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noWrap w:val="0"/>
            <w:vAlign w:val="center"/>
          </w:tcPr>
          <w:p w14:paraId="3872DA16">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3224" w:type="dxa"/>
            <w:noWrap w:val="0"/>
            <w:vAlign w:val="center"/>
          </w:tcPr>
          <w:p w14:paraId="12EEC4EF">
            <w:pPr>
              <w:pageBreakBefore w:val="0"/>
              <w:kinsoku/>
              <w:wordWrap w:val="0"/>
              <w:bidi w:val="0"/>
              <w:spacing w:line="400" w:lineRule="atLeast"/>
              <w:rPr>
                <w:rFonts w:hint="default" w:ascii="Times New Roman" w:hAnsi="Times New Roman" w:cs="Times New Roman"/>
                <w:sz w:val="24"/>
                <w:highlight w:val="none"/>
              </w:rPr>
            </w:pPr>
          </w:p>
        </w:tc>
        <w:tc>
          <w:tcPr>
            <w:tcW w:w="1197" w:type="dxa"/>
            <w:noWrap w:val="0"/>
            <w:vAlign w:val="center"/>
          </w:tcPr>
          <w:p w14:paraId="33A5F024">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371" w:type="dxa"/>
            <w:noWrap w:val="0"/>
            <w:vAlign w:val="center"/>
          </w:tcPr>
          <w:p w14:paraId="2D8309EC">
            <w:pPr>
              <w:pageBreakBefore w:val="0"/>
              <w:kinsoku/>
              <w:wordWrap w:val="0"/>
              <w:bidi w:val="0"/>
              <w:spacing w:line="400" w:lineRule="atLeast"/>
              <w:rPr>
                <w:rFonts w:hint="default" w:ascii="Times New Roman" w:hAnsi="Times New Roman" w:cs="Times New Roman"/>
                <w:sz w:val="24"/>
                <w:highlight w:val="none"/>
              </w:rPr>
            </w:pPr>
          </w:p>
        </w:tc>
      </w:tr>
      <w:tr w14:paraId="6563F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noWrap w:val="0"/>
            <w:vAlign w:val="center"/>
          </w:tcPr>
          <w:p w14:paraId="76985554">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3224" w:type="dxa"/>
            <w:noWrap w:val="0"/>
            <w:vAlign w:val="center"/>
          </w:tcPr>
          <w:p w14:paraId="3E197B26">
            <w:pPr>
              <w:pageBreakBefore w:val="0"/>
              <w:kinsoku/>
              <w:wordWrap w:val="0"/>
              <w:bidi w:val="0"/>
              <w:spacing w:line="400" w:lineRule="atLeast"/>
              <w:rPr>
                <w:rFonts w:hint="default" w:ascii="Times New Roman" w:hAnsi="Times New Roman" w:cs="Times New Roman"/>
                <w:sz w:val="24"/>
                <w:highlight w:val="none"/>
              </w:rPr>
            </w:pPr>
          </w:p>
        </w:tc>
        <w:tc>
          <w:tcPr>
            <w:tcW w:w="1197" w:type="dxa"/>
            <w:noWrap w:val="0"/>
            <w:vAlign w:val="center"/>
          </w:tcPr>
          <w:p w14:paraId="5299D9B1">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371" w:type="dxa"/>
            <w:noWrap w:val="0"/>
            <w:vAlign w:val="center"/>
          </w:tcPr>
          <w:p w14:paraId="7C9AE02B">
            <w:pPr>
              <w:pageBreakBefore w:val="0"/>
              <w:kinsoku/>
              <w:wordWrap w:val="0"/>
              <w:bidi w:val="0"/>
              <w:spacing w:line="400" w:lineRule="atLeast"/>
              <w:rPr>
                <w:rFonts w:hint="default" w:ascii="Times New Roman" w:hAnsi="Times New Roman" w:cs="Times New Roman"/>
                <w:sz w:val="24"/>
                <w:highlight w:val="none"/>
              </w:rPr>
            </w:pPr>
          </w:p>
        </w:tc>
      </w:tr>
      <w:tr w14:paraId="2ADF5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noWrap w:val="0"/>
            <w:vAlign w:val="center"/>
          </w:tcPr>
          <w:p w14:paraId="2A493241">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3224" w:type="dxa"/>
            <w:noWrap w:val="0"/>
            <w:vAlign w:val="center"/>
          </w:tcPr>
          <w:p w14:paraId="0FAA96AE">
            <w:pPr>
              <w:pageBreakBefore w:val="0"/>
              <w:kinsoku/>
              <w:wordWrap w:val="0"/>
              <w:bidi w:val="0"/>
              <w:spacing w:line="400" w:lineRule="atLeast"/>
              <w:rPr>
                <w:rFonts w:hint="default" w:ascii="Times New Roman" w:hAnsi="Times New Roman" w:cs="Times New Roman"/>
                <w:sz w:val="24"/>
                <w:highlight w:val="none"/>
              </w:rPr>
            </w:pPr>
          </w:p>
        </w:tc>
        <w:tc>
          <w:tcPr>
            <w:tcW w:w="1197" w:type="dxa"/>
            <w:noWrap w:val="0"/>
            <w:vAlign w:val="center"/>
          </w:tcPr>
          <w:p w14:paraId="55A6B9EA">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371" w:type="dxa"/>
            <w:noWrap w:val="0"/>
            <w:vAlign w:val="center"/>
          </w:tcPr>
          <w:p w14:paraId="2BF63B00">
            <w:pPr>
              <w:pageBreakBefore w:val="0"/>
              <w:kinsoku/>
              <w:wordWrap w:val="0"/>
              <w:bidi w:val="0"/>
              <w:spacing w:line="400" w:lineRule="atLeast"/>
              <w:rPr>
                <w:rFonts w:hint="default" w:ascii="Times New Roman" w:hAnsi="Times New Roman" w:cs="Times New Roman"/>
                <w:sz w:val="24"/>
                <w:highlight w:val="none"/>
              </w:rPr>
            </w:pPr>
          </w:p>
        </w:tc>
      </w:tr>
      <w:tr w14:paraId="642D2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noWrap w:val="0"/>
            <w:vAlign w:val="center"/>
          </w:tcPr>
          <w:p w14:paraId="159AB777">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3224" w:type="dxa"/>
            <w:noWrap w:val="0"/>
            <w:vAlign w:val="center"/>
          </w:tcPr>
          <w:p w14:paraId="4E9B2A72">
            <w:pPr>
              <w:pageBreakBefore w:val="0"/>
              <w:kinsoku/>
              <w:wordWrap w:val="0"/>
              <w:bidi w:val="0"/>
              <w:spacing w:line="400" w:lineRule="atLeast"/>
              <w:rPr>
                <w:rFonts w:hint="default" w:ascii="Times New Roman" w:hAnsi="Times New Roman" w:cs="Times New Roman"/>
                <w:sz w:val="24"/>
                <w:highlight w:val="none"/>
              </w:rPr>
            </w:pPr>
          </w:p>
        </w:tc>
        <w:tc>
          <w:tcPr>
            <w:tcW w:w="1197" w:type="dxa"/>
            <w:noWrap w:val="0"/>
            <w:vAlign w:val="center"/>
          </w:tcPr>
          <w:p w14:paraId="62D5ED15">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371" w:type="dxa"/>
            <w:noWrap w:val="0"/>
            <w:vAlign w:val="center"/>
          </w:tcPr>
          <w:p w14:paraId="72232169">
            <w:pPr>
              <w:pageBreakBefore w:val="0"/>
              <w:kinsoku/>
              <w:wordWrap w:val="0"/>
              <w:bidi w:val="0"/>
              <w:spacing w:line="400" w:lineRule="atLeast"/>
              <w:rPr>
                <w:rFonts w:hint="default" w:ascii="Times New Roman" w:hAnsi="Times New Roman" w:cs="Times New Roman"/>
                <w:sz w:val="24"/>
                <w:highlight w:val="none"/>
              </w:rPr>
            </w:pPr>
          </w:p>
        </w:tc>
      </w:tr>
      <w:tr w14:paraId="72BA1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noWrap w:val="0"/>
            <w:vAlign w:val="center"/>
          </w:tcPr>
          <w:p w14:paraId="526AFC26">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3224" w:type="dxa"/>
            <w:noWrap w:val="0"/>
            <w:vAlign w:val="center"/>
          </w:tcPr>
          <w:p w14:paraId="39457E76">
            <w:pPr>
              <w:pageBreakBefore w:val="0"/>
              <w:kinsoku/>
              <w:wordWrap w:val="0"/>
              <w:bidi w:val="0"/>
              <w:spacing w:line="400" w:lineRule="atLeast"/>
              <w:rPr>
                <w:rFonts w:hint="default" w:ascii="Times New Roman" w:hAnsi="Times New Roman" w:cs="Times New Roman"/>
                <w:sz w:val="24"/>
                <w:highlight w:val="none"/>
              </w:rPr>
            </w:pPr>
          </w:p>
        </w:tc>
        <w:tc>
          <w:tcPr>
            <w:tcW w:w="1197" w:type="dxa"/>
            <w:noWrap w:val="0"/>
            <w:vAlign w:val="center"/>
          </w:tcPr>
          <w:p w14:paraId="0CA70C75">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371" w:type="dxa"/>
            <w:noWrap w:val="0"/>
            <w:vAlign w:val="center"/>
          </w:tcPr>
          <w:p w14:paraId="3C6A130A">
            <w:pPr>
              <w:pageBreakBefore w:val="0"/>
              <w:kinsoku/>
              <w:wordWrap w:val="0"/>
              <w:bidi w:val="0"/>
              <w:spacing w:line="400" w:lineRule="atLeast"/>
              <w:rPr>
                <w:rFonts w:hint="default" w:ascii="Times New Roman" w:hAnsi="Times New Roman" w:cs="Times New Roman"/>
                <w:sz w:val="24"/>
                <w:highlight w:val="none"/>
              </w:rPr>
            </w:pPr>
          </w:p>
        </w:tc>
      </w:tr>
      <w:tr w14:paraId="5FEBB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tcBorders>
              <w:top w:val="single" w:color="auto" w:sz="4" w:space="0"/>
              <w:left w:val="single" w:color="auto" w:sz="4" w:space="0"/>
              <w:bottom w:val="single" w:color="auto" w:sz="4" w:space="0"/>
              <w:right w:val="single" w:color="auto" w:sz="4" w:space="0"/>
            </w:tcBorders>
            <w:noWrap w:val="0"/>
            <w:vAlign w:val="center"/>
          </w:tcPr>
          <w:p w14:paraId="1A35112B">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3224" w:type="dxa"/>
            <w:tcBorders>
              <w:top w:val="single" w:color="auto" w:sz="4" w:space="0"/>
              <w:left w:val="single" w:color="auto" w:sz="4" w:space="0"/>
              <w:bottom w:val="single" w:color="auto" w:sz="4" w:space="0"/>
              <w:right w:val="single" w:color="auto" w:sz="4" w:space="0"/>
            </w:tcBorders>
            <w:noWrap w:val="0"/>
            <w:vAlign w:val="center"/>
          </w:tcPr>
          <w:p w14:paraId="726BE5E3">
            <w:pPr>
              <w:pageBreakBefore w:val="0"/>
              <w:kinsoku/>
              <w:wordWrap w:val="0"/>
              <w:bidi w:val="0"/>
              <w:spacing w:line="400" w:lineRule="atLeast"/>
              <w:rPr>
                <w:rFonts w:hint="default" w:ascii="Times New Roman" w:hAnsi="Times New Roman" w:cs="Times New Roman"/>
                <w:sz w:val="24"/>
                <w:highlight w:val="none"/>
              </w:rPr>
            </w:pPr>
          </w:p>
        </w:tc>
        <w:tc>
          <w:tcPr>
            <w:tcW w:w="1197" w:type="dxa"/>
            <w:tcBorders>
              <w:top w:val="single" w:color="auto" w:sz="4" w:space="0"/>
              <w:left w:val="single" w:color="auto" w:sz="4" w:space="0"/>
              <w:bottom w:val="single" w:color="auto" w:sz="4" w:space="0"/>
              <w:right w:val="single" w:color="auto" w:sz="4" w:space="0"/>
            </w:tcBorders>
            <w:noWrap w:val="0"/>
            <w:vAlign w:val="center"/>
          </w:tcPr>
          <w:p w14:paraId="51F964CD">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371" w:type="dxa"/>
            <w:tcBorders>
              <w:top w:val="single" w:color="auto" w:sz="4" w:space="0"/>
              <w:left w:val="single" w:color="auto" w:sz="4" w:space="0"/>
              <w:bottom w:val="single" w:color="auto" w:sz="4" w:space="0"/>
              <w:right w:val="single" w:color="auto" w:sz="4" w:space="0"/>
            </w:tcBorders>
            <w:noWrap w:val="0"/>
            <w:vAlign w:val="center"/>
          </w:tcPr>
          <w:p w14:paraId="52136A40">
            <w:pPr>
              <w:pageBreakBefore w:val="0"/>
              <w:kinsoku/>
              <w:wordWrap w:val="0"/>
              <w:bidi w:val="0"/>
              <w:spacing w:line="400" w:lineRule="atLeast"/>
              <w:rPr>
                <w:rFonts w:hint="default" w:ascii="Times New Roman" w:hAnsi="Times New Roman" w:cs="Times New Roman"/>
                <w:sz w:val="24"/>
                <w:highlight w:val="none"/>
              </w:rPr>
            </w:pPr>
          </w:p>
        </w:tc>
      </w:tr>
      <w:tr w14:paraId="08460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tcBorders>
              <w:top w:val="single" w:color="auto" w:sz="4" w:space="0"/>
              <w:left w:val="single" w:color="auto" w:sz="4" w:space="0"/>
              <w:bottom w:val="single" w:color="auto" w:sz="4" w:space="0"/>
              <w:right w:val="single" w:color="auto" w:sz="4" w:space="0"/>
            </w:tcBorders>
            <w:noWrap w:val="0"/>
            <w:vAlign w:val="center"/>
          </w:tcPr>
          <w:p w14:paraId="4566547F">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3224" w:type="dxa"/>
            <w:tcBorders>
              <w:top w:val="single" w:color="auto" w:sz="4" w:space="0"/>
              <w:left w:val="single" w:color="auto" w:sz="4" w:space="0"/>
              <w:bottom w:val="single" w:color="auto" w:sz="4" w:space="0"/>
              <w:right w:val="single" w:color="auto" w:sz="4" w:space="0"/>
            </w:tcBorders>
            <w:noWrap w:val="0"/>
            <w:vAlign w:val="center"/>
          </w:tcPr>
          <w:p w14:paraId="22A8C1FB">
            <w:pPr>
              <w:pageBreakBefore w:val="0"/>
              <w:kinsoku/>
              <w:wordWrap w:val="0"/>
              <w:bidi w:val="0"/>
              <w:spacing w:line="400" w:lineRule="atLeast"/>
              <w:rPr>
                <w:rFonts w:hint="default" w:ascii="Times New Roman" w:hAnsi="Times New Roman" w:cs="Times New Roman"/>
                <w:sz w:val="24"/>
                <w:highlight w:val="none"/>
              </w:rPr>
            </w:pPr>
          </w:p>
        </w:tc>
        <w:tc>
          <w:tcPr>
            <w:tcW w:w="1197" w:type="dxa"/>
            <w:tcBorders>
              <w:top w:val="single" w:color="auto" w:sz="4" w:space="0"/>
              <w:left w:val="single" w:color="auto" w:sz="4" w:space="0"/>
              <w:bottom w:val="single" w:color="auto" w:sz="4" w:space="0"/>
              <w:right w:val="single" w:color="auto" w:sz="4" w:space="0"/>
            </w:tcBorders>
            <w:noWrap w:val="0"/>
            <w:vAlign w:val="center"/>
          </w:tcPr>
          <w:p w14:paraId="29C1404F">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371" w:type="dxa"/>
            <w:tcBorders>
              <w:top w:val="single" w:color="auto" w:sz="4" w:space="0"/>
              <w:left w:val="single" w:color="auto" w:sz="4" w:space="0"/>
              <w:bottom w:val="single" w:color="auto" w:sz="4" w:space="0"/>
              <w:right w:val="single" w:color="auto" w:sz="4" w:space="0"/>
            </w:tcBorders>
            <w:noWrap w:val="0"/>
            <w:vAlign w:val="center"/>
          </w:tcPr>
          <w:p w14:paraId="4B9573B8">
            <w:pPr>
              <w:pageBreakBefore w:val="0"/>
              <w:kinsoku/>
              <w:wordWrap w:val="0"/>
              <w:bidi w:val="0"/>
              <w:spacing w:line="400" w:lineRule="atLeast"/>
              <w:rPr>
                <w:rFonts w:hint="default" w:ascii="Times New Roman" w:hAnsi="Times New Roman" w:cs="Times New Roman"/>
                <w:sz w:val="24"/>
                <w:highlight w:val="none"/>
              </w:rPr>
            </w:pPr>
          </w:p>
        </w:tc>
      </w:tr>
      <w:tr w14:paraId="466AE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tcBorders>
              <w:top w:val="single" w:color="auto" w:sz="4" w:space="0"/>
              <w:left w:val="single" w:color="auto" w:sz="4" w:space="0"/>
              <w:bottom w:val="single" w:color="auto" w:sz="4" w:space="0"/>
              <w:right w:val="single" w:color="auto" w:sz="4" w:space="0"/>
            </w:tcBorders>
            <w:noWrap w:val="0"/>
            <w:vAlign w:val="center"/>
          </w:tcPr>
          <w:p w14:paraId="427D4301">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3224" w:type="dxa"/>
            <w:tcBorders>
              <w:top w:val="single" w:color="auto" w:sz="4" w:space="0"/>
              <w:left w:val="single" w:color="auto" w:sz="4" w:space="0"/>
              <w:bottom w:val="single" w:color="auto" w:sz="4" w:space="0"/>
              <w:right w:val="single" w:color="auto" w:sz="4" w:space="0"/>
            </w:tcBorders>
            <w:noWrap w:val="0"/>
            <w:vAlign w:val="center"/>
          </w:tcPr>
          <w:p w14:paraId="0B985FA5">
            <w:pPr>
              <w:pageBreakBefore w:val="0"/>
              <w:kinsoku/>
              <w:wordWrap w:val="0"/>
              <w:bidi w:val="0"/>
              <w:spacing w:line="400" w:lineRule="atLeast"/>
              <w:rPr>
                <w:rFonts w:hint="default" w:ascii="Times New Roman" w:hAnsi="Times New Roman" w:cs="Times New Roman"/>
                <w:sz w:val="24"/>
                <w:highlight w:val="none"/>
              </w:rPr>
            </w:pPr>
          </w:p>
        </w:tc>
        <w:tc>
          <w:tcPr>
            <w:tcW w:w="1197" w:type="dxa"/>
            <w:tcBorders>
              <w:top w:val="single" w:color="auto" w:sz="4" w:space="0"/>
              <w:left w:val="single" w:color="auto" w:sz="4" w:space="0"/>
              <w:bottom w:val="single" w:color="auto" w:sz="4" w:space="0"/>
              <w:right w:val="single" w:color="auto" w:sz="4" w:space="0"/>
            </w:tcBorders>
            <w:noWrap w:val="0"/>
            <w:vAlign w:val="center"/>
          </w:tcPr>
          <w:p w14:paraId="1613E690">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371" w:type="dxa"/>
            <w:tcBorders>
              <w:top w:val="single" w:color="auto" w:sz="4" w:space="0"/>
              <w:left w:val="single" w:color="auto" w:sz="4" w:space="0"/>
              <w:bottom w:val="single" w:color="auto" w:sz="4" w:space="0"/>
              <w:right w:val="single" w:color="auto" w:sz="4" w:space="0"/>
            </w:tcBorders>
            <w:noWrap w:val="0"/>
            <w:vAlign w:val="center"/>
          </w:tcPr>
          <w:p w14:paraId="0AE470D9">
            <w:pPr>
              <w:pageBreakBefore w:val="0"/>
              <w:kinsoku/>
              <w:wordWrap w:val="0"/>
              <w:bidi w:val="0"/>
              <w:spacing w:line="400" w:lineRule="atLeast"/>
              <w:rPr>
                <w:rFonts w:hint="default" w:ascii="Times New Roman" w:hAnsi="Times New Roman" w:cs="Times New Roman"/>
                <w:sz w:val="24"/>
                <w:highlight w:val="none"/>
              </w:rPr>
            </w:pPr>
          </w:p>
        </w:tc>
      </w:tr>
      <w:tr w14:paraId="7010A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tcBorders>
              <w:top w:val="single" w:color="auto" w:sz="4" w:space="0"/>
              <w:left w:val="single" w:color="auto" w:sz="4" w:space="0"/>
              <w:bottom w:val="single" w:color="auto" w:sz="4" w:space="0"/>
              <w:right w:val="single" w:color="auto" w:sz="4" w:space="0"/>
            </w:tcBorders>
            <w:noWrap w:val="0"/>
            <w:vAlign w:val="center"/>
          </w:tcPr>
          <w:p w14:paraId="63AD962E">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3224" w:type="dxa"/>
            <w:tcBorders>
              <w:top w:val="single" w:color="auto" w:sz="4" w:space="0"/>
              <w:left w:val="single" w:color="auto" w:sz="4" w:space="0"/>
              <w:bottom w:val="single" w:color="auto" w:sz="4" w:space="0"/>
              <w:right w:val="single" w:color="auto" w:sz="4" w:space="0"/>
            </w:tcBorders>
            <w:noWrap w:val="0"/>
            <w:vAlign w:val="center"/>
          </w:tcPr>
          <w:p w14:paraId="0FA5947B">
            <w:pPr>
              <w:pageBreakBefore w:val="0"/>
              <w:kinsoku/>
              <w:wordWrap w:val="0"/>
              <w:bidi w:val="0"/>
              <w:spacing w:line="400" w:lineRule="atLeast"/>
              <w:rPr>
                <w:rFonts w:hint="default" w:ascii="Times New Roman" w:hAnsi="Times New Roman" w:cs="Times New Roman"/>
                <w:sz w:val="24"/>
                <w:highlight w:val="none"/>
              </w:rPr>
            </w:pPr>
          </w:p>
        </w:tc>
        <w:tc>
          <w:tcPr>
            <w:tcW w:w="1197" w:type="dxa"/>
            <w:tcBorders>
              <w:top w:val="single" w:color="auto" w:sz="4" w:space="0"/>
              <w:left w:val="single" w:color="auto" w:sz="4" w:space="0"/>
              <w:bottom w:val="single" w:color="auto" w:sz="4" w:space="0"/>
              <w:right w:val="single" w:color="auto" w:sz="4" w:space="0"/>
            </w:tcBorders>
            <w:noWrap w:val="0"/>
            <w:vAlign w:val="center"/>
          </w:tcPr>
          <w:p w14:paraId="208EA92A">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371" w:type="dxa"/>
            <w:tcBorders>
              <w:top w:val="single" w:color="auto" w:sz="4" w:space="0"/>
              <w:left w:val="single" w:color="auto" w:sz="4" w:space="0"/>
              <w:bottom w:val="single" w:color="auto" w:sz="4" w:space="0"/>
              <w:right w:val="single" w:color="auto" w:sz="4" w:space="0"/>
            </w:tcBorders>
            <w:noWrap w:val="0"/>
            <w:vAlign w:val="center"/>
          </w:tcPr>
          <w:p w14:paraId="181D3E0F">
            <w:pPr>
              <w:pageBreakBefore w:val="0"/>
              <w:kinsoku/>
              <w:wordWrap w:val="0"/>
              <w:bidi w:val="0"/>
              <w:spacing w:line="400" w:lineRule="atLeast"/>
              <w:rPr>
                <w:rFonts w:hint="default" w:ascii="Times New Roman" w:hAnsi="Times New Roman" w:cs="Times New Roman"/>
                <w:sz w:val="24"/>
                <w:highlight w:val="none"/>
              </w:rPr>
            </w:pPr>
          </w:p>
        </w:tc>
      </w:tr>
      <w:tr w14:paraId="3C4AF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tcBorders>
              <w:top w:val="single" w:color="auto" w:sz="4" w:space="0"/>
              <w:left w:val="single" w:color="auto" w:sz="4" w:space="0"/>
              <w:bottom w:val="single" w:color="auto" w:sz="4" w:space="0"/>
              <w:right w:val="single" w:color="auto" w:sz="4" w:space="0"/>
            </w:tcBorders>
            <w:noWrap w:val="0"/>
            <w:vAlign w:val="center"/>
          </w:tcPr>
          <w:p w14:paraId="5C2D8039">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3224" w:type="dxa"/>
            <w:tcBorders>
              <w:top w:val="single" w:color="auto" w:sz="4" w:space="0"/>
              <w:left w:val="single" w:color="auto" w:sz="4" w:space="0"/>
              <w:bottom w:val="single" w:color="auto" w:sz="4" w:space="0"/>
              <w:right w:val="single" w:color="auto" w:sz="4" w:space="0"/>
            </w:tcBorders>
            <w:noWrap w:val="0"/>
            <w:vAlign w:val="center"/>
          </w:tcPr>
          <w:p w14:paraId="37E8F6DB">
            <w:pPr>
              <w:pageBreakBefore w:val="0"/>
              <w:kinsoku/>
              <w:wordWrap w:val="0"/>
              <w:bidi w:val="0"/>
              <w:spacing w:line="400" w:lineRule="atLeast"/>
              <w:rPr>
                <w:rFonts w:hint="default" w:ascii="Times New Roman" w:hAnsi="Times New Roman" w:cs="Times New Roman"/>
                <w:sz w:val="24"/>
                <w:highlight w:val="none"/>
              </w:rPr>
            </w:pPr>
          </w:p>
        </w:tc>
        <w:tc>
          <w:tcPr>
            <w:tcW w:w="1197" w:type="dxa"/>
            <w:tcBorders>
              <w:top w:val="single" w:color="auto" w:sz="4" w:space="0"/>
              <w:left w:val="single" w:color="auto" w:sz="4" w:space="0"/>
              <w:bottom w:val="single" w:color="auto" w:sz="4" w:space="0"/>
              <w:right w:val="single" w:color="auto" w:sz="4" w:space="0"/>
            </w:tcBorders>
            <w:noWrap w:val="0"/>
            <w:vAlign w:val="center"/>
          </w:tcPr>
          <w:p w14:paraId="4E1F539B">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371" w:type="dxa"/>
            <w:tcBorders>
              <w:top w:val="single" w:color="auto" w:sz="4" w:space="0"/>
              <w:left w:val="single" w:color="auto" w:sz="4" w:space="0"/>
              <w:bottom w:val="single" w:color="auto" w:sz="4" w:space="0"/>
              <w:right w:val="single" w:color="auto" w:sz="4" w:space="0"/>
            </w:tcBorders>
            <w:noWrap w:val="0"/>
            <w:vAlign w:val="center"/>
          </w:tcPr>
          <w:p w14:paraId="7932BC2A">
            <w:pPr>
              <w:pageBreakBefore w:val="0"/>
              <w:kinsoku/>
              <w:wordWrap w:val="0"/>
              <w:bidi w:val="0"/>
              <w:spacing w:line="400" w:lineRule="atLeast"/>
              <w:rPr>
                <w:rFonts w:hint="default" w:ascii="Times New Roman" w:hAnsi="Times New Roman" w:cs="Times New Roman"/>
                <w:sz w:val="24"/>
                <w:highlight w:val="none"/>
              </w:rPr>
            </w:pPr>
          </w:p>
        </w:tc>
      </w:tr>
      <w:tr w14:paraId="02636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tcBorders>
              <w:top w:val="single" w:color="auto" w:sz="4" w:space="0"/>
              <w:left w:val="single" w:color="auto" w:sz="4" w:space="0"/>
              <w:bottom w:val="single" w:color="auto" w:sz="4" w:space="0"/>
              <w:right w:val="single" w:color="auto" w:sz="4" w:space="0"/>
            </w:tcBorders>
            <w:noWrap w:val="0"/>
            <w:vAlign w:val="center"/>
          </w:tcPr>
          <w:p w14:paraId="23039528">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3224" w:type="dxa"/>
            <w:tcBorders>
              <w:top w:val="single" w:color="auto" w:sz="4" w:space="0"/>
              <w:left w:val="single" w:color="auto" w:sz="4" w:space="0"/>
              <w:bottom w:val="single" w:color="auto" w:sz="4" w:space="0"/>
              <w:right w:val="single" w:color="auto" w:sz="4" w:space="0"/>
            </w:tcBorders>
            <w:noWrap w:val="0"/>
            <w:vAlign w:val="center"/>
          </w:tcPr>
          <w:p w14:paraId="4965181F">
            <w:pPr>
              <w:pageBreakBefore w:val="0"/>
              <w:kinsoku/>
              <w:wordWrap w:val="0"/>
              <w:bidi w:val="0"/>
              <w:spacing w:line="400" w:lineRule="atLeast"/>
              <w:rPr>
                <w:rFonts w:hint="default" w:ascii="Times New Roman" w:hAnsi="Times New Roman" w:cs="Times New Roman"/>
                <w:sz w:val="24"/>
                <w:highlight w:val="none"/>
              </w:rPr>
            </w:pPr>
          </w:p>
        </w:tc>
        <w:tc>
          <w:tcPr>
            <w:tcW w:w="1197" w:type="dxa"/>
            <w:tcBorders>
              <w:top w:val="single" w:color="auto" w:sz="4" w:space="0"/>
              <w:left w:val="single" w:color="auto" w:sz="4" w:space="0"/>
              <w:bottom w:val="single" w:color="auto" w:sz="4" w:space="0"/>
              <w:right w:val="single" w:color="auto" w:sz="4" w:space="0"/>
            </w:tcBorders>
            <w:noWrap w:val="0"/>
            <w:vAlign w:val="center"/>
          </w:tcPr>
          <w:p w14:paraId="5AC4FE3B">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371" w:type="dxa"/>
            <w:tcBorders>
              <w:top w:val="single" w:color="auto" w:sz="4" w:space="0"/>
              <w:left w:val="single" w:color="auto" w:sz="4" w:space="0"/>
              <w:bottom w:val="single" w:color="auto" w:sz="4" w:space="0"/>
              <w:right w:val="single" w:color="auto" w:sz="4" w:space="0"/>
            </w:tcBorders>
            <w:noWrap w:val="0"/>
            <w:vAlign w:val="center"/>
          </w:tcPr>
          <w:p w14:paraId="63C26D43">
            <w:pPr>
              <w:pageBreakBefore w:val="0"/>
              <w:kinsoku/>
              <w:wordWrap w:val="0"/>
              <w:bidi w:val="0"/>
              <w:spacing w:line="400" w:lineRule="atLeast"/>
              <w:rPr>
                <w:rFonts w:hint="default" w:ascii="Times New Roman" w:hAnsi="Times New Roman" w:cs="Times New Roman"/>
                <w:sz w:val="24"/>
                <w:highlight w:val="none"/>
              </w:rPr>
            </w:pPr>
          </w:p>
        </w:tc>
      </w:tr>
    </w:tbl>
    <w:p w14:paraId="2A72FD3A">
      <w:pPr>
        <w:pageBreakBefore w:val="0"/>
        <w:kinsoku/>
        <w:wordWrap w:val="0"/>
        <w:bidi w:val="0"/>
        <w:adjustRightInd w:val="0"/>
        <w:snapToGrid w:val="0"/>
        <w:spacing w:line="400" w:lineRule="atLeast"/>
        <w:rPr>
          <w:rFonts w:hint="default" w:ascii="Times New Roman" w:hAnsi="Times New Roman" w:cs="Times New Roman"/>
          <w:bCs/>
          <w:highlight w:val="none"/>
        </w:rPr>
      </w:pPr>
    </w:p>
    <w:p w14:paraId="31C4B43F">
      <w:pPr>
        <w:pStyle w:val="2"/>
        <w:pageBreakBefore w:val="0"/>
        <w:kinsoku/>
        <w:wordWrap w:val="0"/>
        <w:bidi w:val="0"/>
        <w:spacing w:before="240" w:after="240" w:line="240" w:lineRule="atLeast"/>
        <w:rPr>
          <w:rFonts w:hint="default" w:ascii="Times New Roman" w:hAnsi="Times New Roman" w:eastAsia="黑体" w:cs="Times New Roman"/>
          <w:b w:val="0"/>
          <w:sz w:val="28"/>
          <w:szCs w:val="28"/>
          <w:highlight w:val="none"/>
        </w:rPr>
      </w:pPr>
      <w:r>
        <w:rPr>
          <w:rFonts w:hint="default" w:ascii="Times New Roman" w:hAnsi="Times New Roman" w:cs="Times New Roman"/>
          <w:sz w:val="24"/>
          <w:highlight w:val="none"/>
        </w:rPr>
        <w:br w:type="page"/>
      </w:r>
      <w:bookmarkStart w:id="63" w:name="_Toc31675"/>
      <w:bookmarkStart w:id="64" w:name="_Toc32159"/>
      <w:bookmarkStart w:id="65" w:name="_Toc234832870"/>
      <w:r>
        <w:rPr>
          <w:rFonts w:hint="default" w:ascii="Times New Roman" w:hAnsi="Times New Roman" w:eastAsia="黑体" w:cs="Times New Roman"/>
          <w:b w:val="0"/>
          <w:sz w:val="28"/>
          <w:szCs w:val="28"/>
          <w:highlight w:val="none"/>
        </w:rPr>
        <w:t>1. 总则</w:t>
      </w:r>
      <w:bookmarkEnd w:id="63"/>
      <w:bookmarkEnd w:id="64"/>
      <w:bookmarkEnd w:id="65"/>
    </w:p>
    <w:p w14:paraId="50A1F606">
      <w:pPr>
        <w:pStyle w:val="2"/>
        <w:pageBreakBefore w:val="0"/>
        <w:kinsoku/>
        <w:wordWrap w:val="0"/>
        <w:bidi w:val="0"/>
        <w:spacing w:before="240" w:after="240" w:line="240" w:lineRule="atLeast"/>
        <w:rPr>
          <w:rFonts w:hint="default" w:ascii="Times New Roman" w:hAnsi="Times New Roman" w:eastAsia="宋体" w:cs="Times New Roman"/>
          <w:b w:val="0"/>
          <w:sz w:val="24"/>
          <w:szCs w:val="24"/>
          <w:highlight w:val="none"/>
        </w:rPr>
      </w:pPr>
      <w:bookmarkStart w:id="66" w:name="_Toc17948"/>
      <w:bookmarkStart w:id="67" w:name="_Toc8323"/>
      <w:bookmarkStart w:id="68" w:name="_Toc234832871"/>
      <w:r>
        <w:rPr>
          <w:rFonts w:hint="default" w:ascii="Times New Roman" w:hAnsi="Times New Roman" w:eastAsia="黑体" w:cs="Times New Roman"/>
          <w:b w:val="0"/>
          <w:sz w:val="24"/>
          <w:szCs w:val="24"/>
          <w:highlight w:val="none"/>
        </w:rPr>
        <w:t>1.1 项目概况</w:t>
      </w:r>
      <w:bookmarkEnd w:id="66"/>
      <w:bookmarkEnd w:id="67"/>
      <w:bookmarkEnd w:id="68"/>
    </w:p>
    <w:p w14:paraId="172918BF">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1.1.1 根据《中华人民共和国招标投标法》《中华人民共和国招标投标法实施条例》《公路工程建设项目招标投标管理办法》等有关法律、法规和规章的规定，本招标项目已具备招标条件，现对本标段施工进行招标。</w:t>
      </w:r>
    </w:p>
    <w:p w14:paraId="4A6BF752">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1.1.2 本招标项目招标人：见投标人须知前附表。</w:t>
      </w:r>
    </w:p>
    <w:p w14:paraId="5BEFB833">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1.1.3 本标段招标代理机构：见投标人须知前附表。</w:t>
      </w:r>
    </w:p>
    <w:p w14:paraId="20C49242">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1.1.4 本招标项目名称：见投标人须知前附表。</w:t>
      </w:r>
    </w:p>
    <w:p w14:paraId="02AABF90">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1.1.5 本标段建设地点：见投标人须知前附表。</w:t>
      </w:r>
    </w:p>
    <w:p w14:paraId="0DBDEA5E">
      <w:pPr>
        <w:pStyle w:val="2"/>
        <w:pageBreakBefore w:val="0"/>
        <w:kinsoku/>
        <w:wordWrap w:val="0"/>
        <w:bidi w:val="0"/>
        <w:rPr>
          <w:rFonts w:hint="default" w:ascii="Times New Roman" w:hAnsi="Times New Roman" w:cs="Times New Roman"/>
          <w:highlight w:val="none"/>
        </w:rPr>
      </w:pPr>
      <w:bookmarkStart w:id="69" w:name="_Toc31027"/>
      <w:bookmarkStart w:id="70" w:name="_Toc234832872"/>
      <w:bookmarkStart w:id="71" w:name="_Toc22508"/>
      <w:r>
        <w:rPr>
          <w:rFonts w:hint="default" w:ascii="Times New Roman" w:hAnsi="Times New Roman" w:cs="Times New Roman"/>
          <w:highlight w:val="none"/>
        </w:rPr>
        <w:t>1.2 招标项目的资金来源和落实情况</w:t>
      </w:r>
      <w:bookmarkEnd w:id="69"/>
      <w:bookmarkEnd w:id="70"/>
      <w:bookmarkEnd w:id="71"/>
      <w:r>
        <w:rPr>
          <w:rFonts w:hint="default" w:ascii="Times New Roman" w:hAnsi="Times New Roman" w:cs="Times New Roman"/>
          <w:highlight w:val="none"/>
        </w:rPr>
        <w:t xml:space="preserve"> </w:t>
      </w:r>
    </w:p>
    <w:p w14:paraId="72745DA1">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1.2.1 资金来源及比例：见投标人须知前附表。</w:t>
      </w:r>
    </w:p>
    <w:p w14:paraId="071B94DB">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1.2.2 资金落实情况：见投标人须知前附表。</w:t>
      </w:r>
    </w:p>
    <w:p w14:paraId="0C315536">
      <w:pPr>
        <w:pStyle w:val="2"/>
        <w:pageBreakBefore w:val="0"/>
        <w:kinsoku/>
        <w:wordWrap w:val="0"/>
        <w:bidi w:val="0"/>
        <w:rPr>
          <w:rFonts w:hint="default" w:ascii="Times New Roman" w:hAnsi="Times New Roman" w:cs="Times New Roman"/>
          <w:highlight w:val="none"/>
        </w:rPr>
      </w:pPr>
      <w:bookmarkStart w:id="72" w:name="_Toc234832873"/>
      <w:bookmarkStart w:id="73" w:name="_Toc10840"/>
      <w:bookmarkStart w:id="74" w:name="_Toc26878"/>
      <w:r>
        <w:rPr>
          <w:rFonts w:hint="default" w:ascii="Times New Roman" w:hAnsi="Times New Roman" w:cs="Times New Roman"/>
          <w:highlight w:val="none"/>
        </w:rPr>
        <w:t>1.3 招标范围、计划工期、质量要求</w:t>
      </w:r>
      <w:bookmarkEnd w:id="72"/>
      <w:r>
        <w:rPr>
          <w:rFonts w:hint="default" w:ascii="Times New Roman" w:hAnsi="Times New Roman" w:cs="Times New Roman"/>
          <w:highlight w:val="none"/>
        </w:rPr>
        <w:t>和安全目标</w:t>
      </w:r>
      <w:bookmarkEnd w:id="73"/>
      <w:bookmarkEnd w:id="74"/>
    </w:p>
    <w:p w14:paraId="39057641">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1.3.1 招标范围：见投标人须知前附表。</w:t>
      </w:r>
    </w:p>
    <w:p w14:paraId="36EB964F">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1.3.2 本标段的计划工期：见投标人须知前附表。</w:t>
      </w:r>
    </w:p>
    <w:p w14:paraId="5B3E4DF3">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1.3.3 本标段的质量要求：见投标人须知前附表。</w:t>
      </w:r>
    </w:p>
    <w:p w14:paraId="16E89B1F">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1.3.4 本标段的安全目标：见投标人须知前附表。</w:t>
      </w:r>
    </w:p>
    <w:p w14:paraId="738501D8">
      <w:pPr>
        <w:pStyle w:val="2"/>
        <w:pageBreakBefore w:val="0"/>
        <w:kinsoku/>
        <w:wordWrap w:val="0"/>
        <w:bidi w:val="0"/>
        <w:rPr>
          <w:rFonts w:hint="default" w:ascii="Times New Roman" w:hAnsi="Times New Roman" w:cs="Times New Roman"/>
          <w:highlight w:val="none"/>
        </w:rPr>
      </w:pPr>
      <w:bookmarkStart w:id="75" w:name="_Toc234832875"/>
      <w:bookmarkStart w:id="76" w:name="_Toc32367"/>
      <w:bookmarkStart w:id="77" w:name="_Toc32570"/>
      <w:r>
        <w:rPr>
          <w:rFonts w:hint="default" w:ascii="Times New Roman" w:hAnsi="Times New Roman" w:cs="Times New Roman"/>
          <w:highlight w:val="none"/>
        </w:rPr>
        <w:t>1.4 投标人资格要求</w:t>
      </w:r>
      <w:bookmarkEnd w:id="75"/>
      <w:bookmarkEnd w:id="76"/>
      <w:bookmarkEnd w:id="77"/>
    </w:p>
    <w:p w14:paraId="6773F738">
      <w:pPr>
        <w:pageBreakBefore w:val="0"/>
        <w:kinsoku/>
        <w:wordWrap w:val="0"/>
        <w:topLinePunct/>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1.4.1 投标人应具备承担本标段施工的资质条件、能力和信誉。</w:t>
      </w:r>
    </w:p>
    <w:p w14:paraId="330C5489">
      <w:pPr>
        <w:pageBreakBefore w:val="0"/>
        <w:kinsoku/>
        <w:wordWrap w:val="0"/>
        <w:topLinePunct/>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（1）资质要求：见投标人须知前附表；</w:t>
      </w:r>
    </w:p>
    <w:p w14:paraId="5A18C573">
      <w:pPr>
        <w:pageBreakBefore w:val="0"/>
        <w:kinsoku/>
        <w:wordWrap w:val="0"/>
        <w:topLinePunct/>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（2）财务要求：见投标人须知前附表；</w:t>
      </w:r>
    </w:p>
    <w:p w14:paraId="4ED50120">
      <w:pPr>
        <w:pageBreakBefore w:val="0"/>
        <w:kinsoku/>
        <w:wordWrap w:val="0"/>
        <w:topLinePunct/>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（3）业绩要求：见投标人须知前附表；</w:t>
      </w:r>
    </w:p>
    <w:p w14:paraId="7F986421">
      <w:pPr>
        <w:pageBreakBefore w:val="0"/>
        <w:kinsoku/>
        <w:wordWrap w:val="0"/>
        <w:topLinePunct/>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（4）信誉要求：见投标人须知前附表；</w:t>
      </w:r>
    </w:p>
    <w:p w14:paraId="6989ED9C">
      <w:pPr>
        <w:pageBreakBefore w:val="0"/>
        <w:kinsoku/>
        <w:wordWrap w:val="0"/>
        <w:topLinePunct/>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（5）项目经理和项目总工资格：见投标人须知前附表；</w:t>
      </w:r>
    </w:p>
    <w:p w14:paraId="761BD089">
      <w:pPr>
        <w:pageBreakBefore w:val="0"/>
        <w:kinsoku/>
        <w:wordWrap w:val="0"/>
        <w:topLinePunct/>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（6）其他要求：见投标人须知前附表。</w:t>
      </w:r>
    </w:p>
    <w:p w14:paraId="547D248A">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需要提交的相关证明材料见本章第3.5款的规定。</w:t>
      </w:r>
    </w:p>
    <w:p w14:paraId="1A962DD2">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1.4.2 投标人须知前附表规定接受联合体投标的，联合体除应符合本章第1.4.1项和投标人须知前附表的要求外，还应遵守以下规定：</w:t>
      </w:r>
    </w:p>
    <w:p w14:paraId="4474AE2B">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（1）联合体各方应按招标文件提供的格式签订联合体协议书，明确联合体牵头人和各方权利义务，并承诺就中标项目向招标人承担连带责任；</w:t>
      </w:r>
    </w:p>
    <w:p w14:paraId="076DB11F">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（2）由同一专业的单位组成的联合体，按照资质等级较低的单位确定资质等级；</w:t>
      </w:r>
    </w:p>
    <w:p w14:paraId="7A538772">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（3）联合体各方不得再以自己名义单独或参加其他联合体在同一标段中投标；</w:t>
      </w:r>
    </w:p>
    <w:p w14:paraId="7A911F66">
      <w:pPr>
        <w:pStyle w:val="15"/>
        <w:pageBreakBefore w:val="0"/>
        <w:kinsoku/>
        <w:wordWrap w:val="0"/>
        <w:topLinePunct/>
        <w:bidi w:val="0"/>
        <w:spacing w:line="400" w:lineRule="atLeast"/>
        <w:ind w:firstLine="480" w:firstLineChars="200"/>
        <w:rPr>
          <w:rFonts w:hint="default" w:ascii="Times New Roman" w:hAnsi="Times New Roman" w:eastAsia="宋体" w:cs="Times New Roman"/>
          <w:szCs w:val="24"/>
          <w:highlight w:val="none"/>
        </w:rPr>
      </w:pPr>
      <w:r>
        <w:rPr>
          <w:rFonts w:hint="default" w:ascii="Times New Roman" w:hAnsi="Times New Roman" w:eastAsia="宋体" w:cs="Times New Roman"/>
          <w:highlight w:val="none"/>
        </w:rPr>
        <w:t>（</w:t>
      </w:r>
      <w:r>
        <w:rPr>
          <w:rFonts w:hint="default" w:ascii="Times New Roman" w:hAnsi="Times New Roman" w:eastAsia="宋体" w:cs="Times New Roman"/>
          <w:szCs w:val="24"/>
          <w:highlight w:val="none"/>
        </w:rPr>
        <w:t>4）联合体各方应分别按照本招标文件的要求，填写投标文件中的相应表格，并由联合体牵头人负责对联合体各成员的资料进行统一汇总后一并提交给招标人；联合体牵头人所提交的投标文件应认为已代表了联合体各成员的真实情况；</w:t>
      </w:r>
    </w:p>
    <w:p w14:paraId="49F80CBC">
      <w:pPr>
        <w:pStyle w:val="15"/>
        <w:pageBreakBefore w:val="0"/>
        <w:kinsoku/>
        <w:wordWrap w:val="0"/>
        <w:topLinePunct/>
        <w:bidi w:val="0"/>
        <w:spacing w:line="400" w:lineRule="atLeast"/>
        <w:ind w:firstLine="480" w:firstLineChars="200"/>
        <w:rPr>
          <w:rFonts w:hint="default" w:ascii="Times New Roman" w:hAnsi="Times New Roman" w:eastAsia="宋体" w:cs="Times New Roman"/>
          <w:szCs w:val="24"/>
          <w:highlight w:val="none"/>
        </w:rPr>
      </w:pPr>
      <w:r>
        <w:rPr>
          <w:rFonts w:hint="default" w:ascii="Times New Roman" w:hAnsi="Times New Roman" w:eastAsia="宋体" w:cs="Times New Roman"/>
          <w:highlight w:val="none"/>
        </w:rPr>
        <w:t>（</w:t>
      </w:r>
      <w:r>
        <w:rPr>
          <w:rFonts w:hint="default" w:ascii="Times New Roman" w:hAnsi="Times New Roman" w:eastAsia="宋体" w:cs="Times New Roman"/>
          <w:szCs w:val="24"/>
          <w:highlight w:val="none"/>
        </w:rPr>
        <w:t>5）尽管委任了联合体牵头人，但联合体各成员在投标、签订合同与履行合同过程中，仍负有连带的和各自的法律责任。</w:t>
      </w:r>
    </w:p>
    <w:p w14:paraId="088B92BA">
      <w:pPr>
        <w:pageBreakBefore w:val="0"/>
        <w:tabs>
          <w:tab w:val="left" w:pos="360"/>
          <w:tab w:val="left" w:pos="540"/>
        </w:tabs>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1.4.3 投标人（包括联合体各成员）不得与本标段相关单位存在下列关联关系：</w:t>
      </w:r>
    </w:p>
    <w:p w14:paraId="17A31E78">
      <w:pPr>
        <w:pStyle w:val="15"/>
        <w:pageBreakBefore w:val="0"/>
        <w:kinsoku/>
        <w:wordWrap w:val="0"/>
        <w:topLinePunct/>
        <w:bidi w:val="0"/>
        <w:spacing w:line="400" w:lineRule="atLeast"/>
        <w:ind w:firstLine="480" w:firstLineChars="200"/>
        <w:rPr>
          <w:rFonts w:hint="default" w:ascii="Times New Roman" w:hAnsi="Times New Roman" w:eastAsia="宋体" w:cs="Times New Roman"/>
          <w:highlight w:val="none"/>
        </w:rPr>
      </w:pPr>
      <w:r>
        <w:rPr>
          <w:rFonts w:hint="default" w:ascii="Times New Roman" w:hAnsi="Times New Roman" w:eastAsia="宋体" w:cs="Times New Roman"/>
          <w:highlight w:val="none"/>
        </w:rPr>
        <w:t>（1）为招标人不具有独立法人资格的附属机构（单位）；</w:t>
      </w:r>
    </w:p>
    <w:p w14:paraId="19B48CC8">
      <w:pPr>
        <w:pStyle w:val="15"/>
        <w:pageBreakBefore w:val="0"/>
        <w:kinsoku/>
        <w:wordWrap w:val="0"/>
        <w:topLinePunct/>
        <w:bidi w:val="0"/>
        <w:spacing w:line="400" w:lineRule="atLeast"/>
        <w:ind w:firstLine="480" w:firstLineChars="200"/>
        <w:rPr>
          <w:rFonts w:hint="default" w:ascii="Times New Roman" w:hAnsi="Times New Roman" w:eastAsia="宋体" w:cs="Times New Roman"/>
          <w:highlight w:val="none"/>
        </w:rPr>
      </w:pPr>
      <w:r>
        <w:rPr>
          <w:rFonts w:hint="default" w:ascii="Times New Roman" w:hAnsi="Times New Roman" w:eastAsia="宋体" w:cs="Times New Roman"/>
          <w:highlight w:val="none"/>
        </w:rPr>
        <w:t>（2）与招标人存在利害关系且可能影响招标公正性；</w:t>
      </w:r>
    </w:p>
    <w:p w14:paraId="63519E63">
      <w:pPr>
        <w:pStyle w:val="15"/>
        <w:pageBreakBefore w:val="0"/>
        <w:kinsoku/>
        <w:wordWrap w:val="0"/>
        <w:topLinePunct/>
        <w:bidi w:val="0"/>
        <w:spacing w:line="400" w:lineRule="atLeast"/>
        <w:ind w:firstLine="480" w:firstLineChars="200"/>
        <w:rPr>
          <w:rFonts w:hint="default" w:ascii="Times New Roman" w:hAnsi="Times New Roman" w:eastAsia="宋体" w:cs="Times New Roman"/>
          <w:highlight w:val="none"/>
        </w:rPr>
      </w:pPr>
      <w:r>
        <w:rPr>
          <w:rFonts w:hint="default" w:ascii="Times New Roman" w:hAnsi="Times New Roman" w:eastAsia="宋体" w:cs="Times New Roman"/>
          <w:highlight w:val="none"/>
        </w:rPr>
        <w:t>（3）与本标段的其他投标人同为一个单位负责人；</w:t>
      </w:r>
    </w:p>
    <w:p w14:paraId="371EED2A">
      <w:pPr>
        <w:pStyle w:val="15"/>
        <w:pageBreakBefore w:val="0"/>
        <w:kinsoku/>
        <w:wordWrap w:val="0"/>
        <w:topLinePunct/>
        <w:bidi w:val="0"/>
        <w:spacing w:line="400" w:lineRule="atLeast"/>
        <w:ind w:firstLine="480" w:firstLineChars="200"/>
        <w:rPr>
          <w:rFonts w:hint="default" w:ascii="Times New Roman" w:hAnsi="Times New Roman" w:eastAsia="宋体" w:cs="Times New Roman"/>
          <w:highlight w:val="none"/>
        </w:rPr>
      </w:pPr>
      <w:r>
        <w:rPr>
          <w:rFonts w:hint="default" w:ascii="Times New Roman" w:hAnsi="Times New Roman" w:eastAsia="宋体" w:cs="Times New Roman"/>
          <w:highlight w:val="none"/>
        </w:rPr>
        <w:t>（4）与本标段的其他投标人存在控股、管理关系；</w:t>
      </w:r>
    </w:p>
    <w:p w14:paraId="7D898D8E">
      <w:pPr>
        <w:pStyle w:val="15"/>
        <w:pageBreakBefore w:val="0"/>
        <w:kinsoku/>
        <w:wordWrap w:val="0"/>
        <w:topLinePunct/>
        <w:bidi w:val="0"/>
        <w:spacing w:line="400" w:lineRule="atLeast"/>
        <w:ind w:firstLine="480" w:firstLineChars="200"/>
        <w:rPr>
          <w:rFonts w:hint="default" w:ascii="Times New Roman" w:hAnsi="Times New Roman" w:eastAsia="宋体" w:cs="Times New Roman"/>
          <w:highlight w:val="none"/>
        </w:rPr>
      </w:pPr>
      <w:r>
        <w:rPr>
          <w:rFonts w:hint="default" w:ascii="Times New Roman" w:hAnsi="Times New Roman" w:eastAsia="宋体" w:cs="Times New Roman"/>
          <w:highlight w:val="none"/>
        </w:rPr>
        <w:t>（5）为本标段前期准备提供设计或咨询服务的法人或其任何附属机构（单位）；</w:t>
      </w:r>
    </w:p>
    <w:p w14:paraId="305137F4">
      <w:pPr>
        <w:pStyle w:val="15"/>
        <w:pageBreakBefore w:val="0"/>
        <w:kinsoku/>
        <w:wordWrap w:val="0"/>
        <w:topLinePunct/>
        <w:bidi w:val="0"/>
        <w:spacing w:line="400" w:lineRule="atLeast"/>
        <w:ind w:firstLine="480" w:firstLineChars="200"/>
        <w:rPr>
          <w:rFonts w:hint="default" w:ascii="Times New Roman" w:hAnsi="Times New Roman" w:eastAsia="宋体" w:cs="Times New Roman"/>
          <w:highlight w:val="none"/>
        </w:rPr>
      </w:pPr>
      <w:r>
        <w:rPr>
          <w:rFonts w:hint="default" w:ascii="Times New Roman" w:hAnsi="Times New Roman" w:eastAsia="宋体" w:cs="Times New Roman"/>
          <w:highlight w:val="none"/>
        </w:rPr>
        <w:t>（6）为本标段的监理人；</w:t>
      </w:r>
    </w:p>
    <w:p w14:paraId="29D0BD8D">
      <w:pPr>
        <w:pStyle w:val="15"/>
        <w:pageBreakBefore w:val="0"/>
        <w:kinsoku/>
        <w:wordWrap w:val="0"/>
        <w:topLinePunct/>
        <w:bidi w:val="0"/>
        <w:spacing w:line="400" w:lineRule="atLeast"/>
        <w:ind w:firstLine="480" w:firstLineChars="200"/>
        <w:rPr>
          <w:rFonts w:hint="default" w:ascii="Times New Roman" w:hAnsi="Times New Roman" w:eastAsia="宋体" w:cs="Times New Roman"/>
          <w:highlight w:val="none"/>
        </w:rPr>
      </w:pPr>
      <w:r>
        <w:rPr>
          <w:rFonts w:hint="default" w:ascii="Times New Roman" w:hAnsi="Times New Roman" w:eastAsia="宋体" w:cs="Times New Roman"/>
          <w:highlight w:val="none"/>
        </w:rPr>
        <w:t>（7）为本标段的代建人；</w:t>
      </w:r>
    </w:p>
    <w:p w14:paraId="25AE50FC">
      <w:pPr>
        <w:pStyle w:val="15"/>
        <w:pageBreakBefore w:val="0"/>
        <w:kinsoku/>
        <w:wordWrap w:val="0"/>
        <w:topLinePunct/>
        <w:bidi w:val="0"/>
        <w:spacing w:line="400" w:lineRule="atLeast"/>
        <w:ind w:firstLine="480" w:firstLineChars="200"/>
        <w:rPr>
          <w:rFonts w:hint="default" w:ascii="Times New Roman" w:hAnsi="Times New Roman" w:eastAsia="宋体" w:cs="Times New Roman"/>
          <w:highlight w:val="none"/>
        </w:rPr>
      </w:pPr>
      <w:r>
        <w:rPr>
          <w:rFonts w:hint="default" w:ascii="Times New Roman" w:hAnsi="Times New Roman" w:eastAsia="宋体" w:cs="Times New Roman"/>
          <w:highlight w:val="none"/>
        </w:rPr>
        <w:t>（8）为本标段的招标代理机构；</w:t>
      </w:r>
    </w:p>
    <w:p w14:paraId="56A51C0C">
      <w:pPr>
        <w:pStyle w:val="15"/>
        <w:pageBreakBefore w:val="0"/>
        <w:kinsoku/>
        <w:wordWrap w:val="0"/>
        <w:topLinePunct/>
        <w:bidi w:val="0"/>
        <w:spacing w:line="400" w:lineRule="atLeast"/>
        <w:ind w:firstLine="480" w:firstLineChars="200"/>
        <w:rPr>
          <w:rFonts w:hint="default" w:ascii="Times New Roman" w:hAnsi="Times New Roman" w:eastAsia="宋体" w:cs="Times New Roman"/>
          <w:highlight w:val="none"/>
        </w:rPr>
      </w:pPr>
      <w:r>
        <w:rPr>
          <w:rFonts w:hint="default" w:ascii="Times New Roman" w:hAnsi="Times New Roman" w:eastAsia="宋体" w:cs="Times New Roman"/>
          <w:highlight w:val="none"/>
        </w:rPr>
        <w:t>（9）与本标段的监理人或代建人或招标代理机构同为一个法定代表人；</w:t>
      </w:r>
    </w:p>
    <w:p w14:paraId="62EB55AD">
      <w:pPr>
        <w:pStyle w:val="15"/>
        <w:pageBreakBefore w:val="0"/>
        <w:kinsoku/>
        <w:wordWrap w:val="0"/>
        <w:topLinePunct/>
        <w:bidi w:val="0"/>
        <w:spacing w:line="400" w:lineRule="atLeast"/>
        <w:ind w:firstLine="480" w:firstLineChars="200"/>
        <w:rPr>
          <w:rFonts w:hint="default" w:ascii="Times New Roman" w:hAnsi="Times New Roman" w:eastAsia="宋体" w:cs="Times New Roman"/>
          <w:highlight w:val="none"/>
        </w:rPr>
      </w:pPr>
      <w:r>
        <w:rPr>
          <w:rFonts w:hint="default" w:ascii="Times New Roman" w:hAnsi="Times New Roman" w:eastAsia="宋体" w:cs="Times New Roman"/>
          <w:highlight w:val="none"/>
        </w:rPr>
        <w:t>（10）与本标段的监理人或代建人或招标代理机构存在控股或参股关系；</w:t>
      </w:r>
    </w:p>
    <w:p w14:paraId="12CF9166">
      <w:pPr>
        <w:pStyle w:val="15"/>
        <w:pageBreakBefore w:val="0"/>
        <w:kinsoku/>
        <w:wordWrap w:val="0"/>
        <w:topLinePunct/>
        <w:bidi w:val="0"/>
        <w:spacing w:line="400" w:lineRule="atLeast"/>
        <w:ind w:firstLine="480" w:firstLineChars="200"/>
        <w:rPr>
          <w:rFonts w:hint="default" w:ascii="Times New Roman" w:hAnsi="Times New Roman" w:eastAsia="宋体" w:cs="Times New Roman"/>
          <w:highlight w:val="none"/>
        </w:rPr>
      </w:pPr>
      <w:r>
        <w:rPr>
          <w:rFonts w:hint="default" w:ascii="Times New Roman" w:hAnsi="Times New Roman" w:eastAsia="宋体" w:cs="Times New Roman"/>
          <w:highlight w:val="none"/>
        </w:rPr>
        <w:t>（11）法律法规或投标人须知前附表规定的其他情形。</w:t>
      </w:r>
    </w:p>
    <w:p w14:paraId="1B4BCCE6">
      <w:pPr>
        <w:pageBreakBefore w:val="0"/>
        <w:tabs>
          <w:tab w:val="left" w:pos="360"/>
          <w:tab w:val="left" w:pos="540"/>
        </w:tabs>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1.4.4 投标人（包括联合体各成员）不得存在下列不良状况或不良信用记录：</w:t>
      </w:r>
    </w:p>
    <w:p w14:paraId="323AC2CF">
      <w:pPr>
        <w:pStyle w:val="15"/>
        <w:pageBreakBefore w:val="0"/>
        <w:kinsoku/>
        <w:wordWrap w:val="0"/>
        <w:topLinePunct/>
        <w:bidi w:val="0"/>
        <w:spacing w:line="400" w:lineRule="atLeast"/>
        <w:ind w:firstLine="480" w:firstLineChars="200"/>
        <w:rPr>
          <w:rFonts w:hint="default" w:ascii="Times New Roman" w:hAnsi="Times New Roman" w:eastAsia="宋体" w:cs="Times New Roman"/>
          <w:highlight w:val="none"/>
        </w:rPr>
      </w:pPr>
      <w:r>
        <w:rPr>
          <w:rFonts w:hint="default" w:ascii="Times New Roman" w:hAnsi="Times New Roman" w:eastAsia="宋体" w:cs="Times New Roman"/>
          <w:highlight w:val="none"/>
        </w:rPr>
        <w:t>（1）被省级及以上交通运输主管部门取消招标项目所在地的投标资格且处于有效期内；</w:t>
      </w:r>
    </w:p>
    <w:p w14:paraId="51BCA172">
      <w:pPr>
        <w:pStyle w:val="15"/>
        <w:pageBreakBefore w:val="0"/>
        <w:kinsoku/>
        <w:wordWrap w:val="0"/>
        <w:topLinePunct/>
        <w:bidi w:val="0"/>
        <w:spacing w:line="400" w:lineRule="atLeast"/>
        <w:ind w:firstLine="480" w:firstLineChars="200"/>
        <w:rPr>
          <w:rFonts w:hint="default" w:ascii="Times New Roman" w:hAnsi="Times New Roman" w:eastAsia="宋体" w:cs="Times New Roman"/>
          <w:highlight w:val="none"/>
        </w:rPr>
      </w:pPr>
      <w:r>
        <w:rPr>
          <w:rFonts w:hint="default" w:ascii="Times New Roman" w:hAnsi="Times New Roman" w:eastAsia="宋体" w:cs="Times New Roman"/>
          <w:highlight w:val="none"/>
        </w:rPr>
        <w:t>（2）被责令停业，暂扣或吊销执照，或吊销资质证书；</w:t>
      </w:r>
    </w:p>
    <w:p w14:paraId="1C7C5440">
      <w:pPr>
        <w:pStyle w:val="15"/>
        <w:pageBreakBefore w:val="0"/>
        <w:kinsoku/>
        <w:wordWrap w:val="0"/>
        <w:topLinePunct/>
        <w:bidi w:val="0"/>
        <w:spacing w:line="400" w:lineRule="atLeast"/>
        <w:ind w:firstLine="480" w:firstLineChars="200"/>
        <w:rPr>
          <w:rFonts w:hint="default" w:ascii="Times New Roman" w:hAnsi="Times New Roman" w:eastAsia="宋体" w:cs="Times New Roman"/>
          <w:highlight w:val="none"/>
        </w:rPr>
      </w:pPr>
      <w:r>
        <w:rPr>
          <w:rFonts w:hint="default" w:ascii="Times New Roman" w:hAnsi="Times New Roman" w:eastAsia="宋体" w:cs="Times New Roman"/>
          <w:highlight w:val="none"/>
        </w:rPr>
        <w:t>（3）进入清算程序，或被宣告破产，或其他丧失履约能力的情形；</w:t>
      </w:r>
    </w:p>
    <w:p w14:paraId="187E3BBF">
      <w:pPr>
        <w:pStyle w:val="15"/>
        <w:pageBreakBefore w:val="0"/>
        <w:kinsoku/>
        <w:wordWrap w:val="0"/>
        <w:topLinePunct/>
        <w:bidi w:val="0"/>
        <w:spacing w:line="400" w:lineRule="atLeast"/>
        <w:ind w:firstLine="480" w:firstLineChars="200"/>
        <w:rPr>
          <w:rFonts w:hint="default" w:ascii="Times New Roman" w:hAnsi="Times New Roman" w:eastAsia="宋体" w:cs="Times New Roman"/>
          <w:highlight w:val="none"/>
        </w:rPr>
      </w:pPr>
      <w:r>
        <w:rPr>
          <w:rFonts w:hint="default" w:ascii="Times New Roman" w:hAnsi="Times New Roman" w:eastAsia="宋体" w:cs="Times New Roman"/>
          <w:highlight w:val="none"/>
        </w:rPr>
        <w:t>（4）在国家企业信用信息公示系统（http://www.gsxt.gov.cn/）中被列入严重违法失信企业名单；</w:t>
      </w:r>
    </w:p>
    <w:p w14:paraId="42EB904B">
      <w:pPr>
        <w:pStyle w:val="15"/>
        <w:pageBreakBefore w:val="0"/>
        <w:kinsoku/>
        <w:wordWrap w:val="0"/>
        <w:topLinePunct/>
        <w:bidi w:val="0"/>
        <w:spacing w:line="400" w:lineRule="atLeast"/>
        <w:ind w:firstLine="480" w:firstLineChars="200"/>
        <w:rPr>
          <w:rFonts w:hint="default" w:ascii="Times New Roman" w:hAnsi="Times New Roman" w:eastAsia="宋体" w:cs="Times New Roman"/>
          <w:highlight w:val="none"/>
        </w:rPr>
      </w:pPr>
      <w:r>
        <w:rPr>
          <w:rFonts w:hint="default" w:ascii="Times New Roman" w:hAnsi="Times New Roman" w:eastAsia="宋体" w:cs="Times New Roman"/>
          <w:highlight w:val="none"/>
        </w:rPr>
        <w:t>（5）在</w:t>
      </w:r>
      <w:r>
        <w:rPr>
          <w:rFonts w:hint="eastAsia" w:ascii="宋体" w:hAnsi="宋体" w:eastAsia="宋体" w:cs="宋体"/>
          <w:highlight w:val="none"/>
        </w:rPr>
        <w:t>“</w:t>
      </w:r>
      <w:r>
        <w:rPr>
          <w:rFonts w:hint="default" w:ascii="Times New Roman" w:hAnsi="Times New Roman" w:eastAsia="宋体" w:cs="Times New Roman"/>
          <w:highlight w:val="none"/>
        </w:rPr>
        <w:t>信用中国</w:t>
      </w:r>
      <w:r>
        <w:rPr>
          <w:rFonts w:hint="eastAsia" w:ascii="宋体" w:hAnsi="宋体" w:eastAsia="宋体" w:cs="宋体"/>
          <w:highlight w:val="none"/>
        </w:rPr>
        <w:t>”</w:t>
      </w:r>
      <w:r>
        <w:rPr>
          <w:rFonts w:hint="default" w:ascii="Times New Roman" w:hAnsi="Times New Roman" w:eastAsia="宋体" w:cs="Times New Roman"/>
          <w:highlight w:val="none"/>
        </w:rPr>
        <w:t>网站（http://www.creditchina.gov.cn/）中被列入失信被执行人名单；</w:t>
      </w:r>
    </w:p>
    <w:p w14:paraId="046E1FE5">
      <w:pPr>
        <w:pStyle w:val="15"/>
        <w:pageBreakBefore w:val="0"/>
        <w:kinsoku/>
        <w:wordWrap w:val="0"/>
        <w:topLinePunct/>
        <w:bidi w:val="0"/>
        <w:spacing w:line="400" w:lineRule="atLeast"/>
        <w:ind w:firstLine="480" w:firstLineChars="200"/>
        <w:rPr>
          <w:rFonts w:hint="default" w:ascii="Times New Roman" w:hAnsi="Times New Roman" w:eastAsia="宋体" w:cs="Times New Roman"/>
          <w:highlight w:val="none"/>
        </w:rPr>
      </w:pPr>
      <w:r>
        <w:rPr>
          <w:rFonts w:hint="default" w:ascii="Times New Roman" w:hAnsi="Times New Roman" w:eastAsia="宋体" w:cs="Times New Roman"/>
          <w:highlight w:val="none"/>
        </w:rPr>
        <w:t>（6）投标人或其法定代表人、拟委任的项目经理在近三年内有行贿犯罪行为的；</w:t>
      </w:r>
    </w:p>
    <w:p w14:paraId="6598E0F6">
      <w:pPr>
        <w:pStyle w:val="15"/>
        <w:pageBreakBefore w:val="0"/>
        <w:kinsoku/>
        <w:wordWrap w:val="0"/>
        <w:topLinePunct/>
        <w:bidi w:val="0"/>
        <w:spacing w:line="400" w:lineRule="atLeast"/>
        <w:ind w:firstLine="480" w:firstLineChars="200"/>
        <w:rPr>
          <w:rFonts w:hint="default" w:ascii="Times New Roman" w:hAnsi="Times New Roman" w:eastAsia="宋体" w:cs="Times New Roman"/>
          <w:highlight w:val="none"/>
        </w:rPr>
      </w:pPr>
      <w:r>
        <w:rPr>
          <w:rFonts w:hint="default" w:ascii="Times New Roman" w:hAnsi="Times New Roman" w:eastAsia="宋体" w:cs="Times New Roman"/>
          <w:highlight w:val="none"/>
        </w:rPr>
        <w:t>（7）法律法规或投标人须知前附表规定的其他情形。</w:t>
      </w:r>
    </w:p>
    <w:p w14:paraId="38FFBD41">
      <w:pPr>
        <w:pStyle w:val="15"/>
        <w:pageBreakBefore w:val="0"/>
        <w:kinsoku/>
        <w:wordWrap w:val="0"/>
        <w:topLinePunct/>
        <w:bidi w:val="0"/>
        <w:spacing w:line="400" w:lineRule="atLeast"/>
        <w:ind w:firstLine="480" w:firstLineChars="200"/>
        <w:rPr>
          <w:rFonts w:hint="default" w:ascii="Times New Roman" w:hAnsi="Times New Roman" w:eastAsia="宋体" w:cs="Times New Roman"/>
          <w:highlight w:val="none"/>
        </w:rPr>
      </w:pPr>
      <w:r>
        <w:rPr>
          <w:rFonts w:hint="default" w:ascii="Times New Roman" w:hAnsi="Times New Roman" w:eastAsia="宋体" w:cs="Times New Roman"/>
          <w:kern w:val="0"/>
          <w:highlight w:val="none"/>
        </w:rPr>
        <w:t>1.4.5 根据《关于发布公路工程从业企业资质名录的通知》（厅公路字〔2011〕114号）要求，投标人如为名录范围的施工企业，则应进入交通运输部“全国公路建设市场监督管理系统（https://hwdms.mot.gov.cn/BMWebSite/ ） ”中的公路工程施工资质企业名录，且投标人名称和资质与该名录中的相应企业名称和资质完全一致。</w:t>
      </w:r>
      <w:r>
        <w:rPr>
          <w:rFonts w:hint="default" w:ascii="Times New Roman" w:hAnsi="Times New Roman" w:eastAsia="宋体" w:cs="Times New Roman"/>
          <w:kern w:val="0"/>
          <w:highlight w:val="none"/>
          <w:vertAlign w:val="superscript"/>
        </w:rPr>
        <w:footnoteReference w:id="18"/>
      </w:r>
    </w:p>
    <w:p w14:paraId="20340719">
      <w:pPr>
        <w:pStyle w:val="2"/>
        <w:pageBreakBefore w:val="0"/>
        <w:kinsoku/>
        <w:wordWrap w:val="0"/>
        <w:bidi w:val="0"/>
        <w:rPr>
          <w:rFonts w:hint="default" w:ascii="Times New Roman" w:hAnsi="Times New Roman" w:cs="Times New Roman"/>
          <w:highlight w:val="none"/>
        </w:rPr>
      </w:pPr>
      <w:bookmarkStart w:id="78" w:name="_Toc234832876"/>
      <w:bookmarkStart w:id="79" w:name="_Toc14149"/>
      <w:bookmarkStart w:id="80" w:name="_Toc21019"/>
      <w:r>
        <w:rPr>
          <w:rFonts w:hint="default" w:ascii="Times New Roman" w:hAnsi="Times New Roman" w:cs="Times New Roman"/>
          <w:highlight w:val="none"/>
        </w:rPr>
        <w:t>1.5 费用承担</w:t>
      </w:r>
      <w:bookmarkEnd w:id="78"/>
      <w:bookmarkEnd w:id="79"/>
      <w:bookmarkEnd w:id="80"/>
    </w:p>
    <w:p w14:paraId="22232830">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投标人准备和参加投标活动发生的费用自理。</w:t>
      </w:r>
    </w:p>
    <w:p w14:paraId="03A5C7D5">
      <w:pPr>
        <w:pStyle w:val="2"/>
        <w:pageBreakBefore w:val="0"/>
        <w:kinsoku/>
        <w:wordWrap w:val="0"/>
        <w:bidi w:val="0"/>
        <w:rPr>
          <w:rFonts w:hint="default" w:ascii="Times New Roman" w:hAnsi="Times New Roman" w:cs="Times New Roman"/>
          <w:highlight w:val="none"/>
        </w:rPr>
      </w:pPr>
      <w:bookmarkStart w:id="81" w:name="_Toc26593"/>
      <w:bookmarkStart w:id="82" w:name="_Toc234832877"/>
      <w:bookmarkStart w:id="83" w:name="_Toc1390"/>
      <w:r>
        <w:rPr>
          <w:rFonts w:hint="default" w:ascii="Times New Roman" w:hAnsi="Times New Roman" w:cs="Times New Roman"/>
          <w:highlight w:val="none"/>
        </w:rPr>
        <w:t>1.6 保密</w:t>
      </w:r>
      <w:bookmarkEnd w:id="81"/>
      <w:bookmarkEnd w:id="82"/>
      <w:bookmarkEnd w:id="83"/>
    </w:p>
    <w:p w14:paraId="0E73BE66">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参与招标投标活动的各方应对招标文件和投标文件中的商业和技术等秘密保密，</w:t>
      </w:r>
      <w:r>
        <w:rPr>
          <w:rFonts w:hint="default" w:ascii="Times New Roman" w:hAnsi="Times New Roman" w:eastAsia="宋体" w:cs="Times New Roman"/>
          <w:kern w:val="0"/>
          <w:sz w:val="24"/>
          <w:szCs w:val="20"/>
          <w:highlight w:val="none"/>
        </w:rPr>
        <w:t>否则应承担相应的法律责任。</w:t>
      </w:r>
    </w:p>
    <w:p w14:paraId="4144A806">
      <w:pPr>
        <w:pStyle w:val="2"/>
        <w:pageBreakBefore w:val="0"/>
        <w:kinsoku/>
        <w:wordWrap w:val="0"/>
        <w:bidi w:val="0"/>
        <w:rPr>
          <w:rFonts w:hint="default" w:ascii="Times New Roman" w:hAnsi="Times New Roman" w:cs="Times New Roman"/>
          <w:highlight w:val="none"/>
        </w:rPr>
      </w:pPr>
      <w:bookmarkStart w:id="84" w:name="_Toc234832878"/>
      <w:bookmarkStart w:id="85" w:name="_Toc24962"/>
      <w:bookmarkStart w:id="86" w:name="_Toc5479"/>
      <w:r>
        <w:rPr>
          <w:rFonts w:hint="default" w:ascii="Times New Roman" w:hAnsi="Times New Roman" w:cs="Times New Roman"/>
          <w:highlight w:val="none"/>
        </w:rPr>
        <w:t>1.7 语言文字</w:t>
      </w:r>
      <w:bookmarkEnd w:id="84"/>
      <w:bookmarkEnd w:id="85"/>
      <w:bookmarkEnd w:id="86"/>
    </w:p>
    <w:p w14:paraId="58F71453">
      <w:pPr>
        <w:pageBreakBefore w:val="0"/>
        <w:kinsoku/>
        <w:wordWrap w:val="0"/>
        <w:bidi w:val="0"/>
        <w:spacing w:line="400" w:lineRule="atLeast"/>
        <w:ind w:firstLine="480" w:firstLineChars="200"/>
        <w:rPr>
          <w:rFonts w:hint="default" w:ascii="Times New Roman" w:hAnsi="Times New Roman" w:eastAsia="宋体" w:cs="Times New Roman"/>
          <w:kern w:val="0"/>
          <w:sz w:val="24"/>
          <w:szCs w:val="20"/>
          <w:highlight w:val="none"/>
        </w:rPr>
      </w:pPr>
      <w:r>
        <w:rPr>
          <w:rFonts w:hint="default" w:ascii="Times New Roman" w:hAnsi="Times New Roman" w:eastAsia="宋体" w:cs="Times New Roman"/>
          <w:kern w:val="0"/>
          <w:sz w:val="24"/>
          <w:szCs w:val="20"/>
          <w:highlight w:val="none"/>
        </w:rPr>
        <w:t>招标投标文件使用的语言文字为中文。专用术语使用外文的，应附有中文注释。</w:t>
      </w:r>
    </w:p>
    <w:p w14:paraId="0793EBBE">
      <w:pPr>
        <w:pStyle w:val="2"/>
        <w:pageBreakBefore w:val="0"/>
        <w:kinsoku/>
        <w:wordWrap w:val="0"/>
        <w:bidi w:val="0"/>
        <w:rPr>
          <w:rFonts w:hint="default" w:ascii="Times New Roman" w:hAnsi="Times New Roman" w:cs="Times New Roman"/>
          <w:highlight w:val="none"/>
        </w:rPr>
      </w:pPr>
      <w:bookmarkStart w:id="87" w:name="_Toc234832879"/>
      <w:bookmarkStart w:id="88" w:name="_Toc15691"/>
      <w:bookmarkStart w:id="89" w:name="_Toc7349"/>
      <w:r>
        <w:rPr>
          <w:rFonts w:hint="default" w:ascii="Times New Roman" w:hAnsi="Times New Roman" w:cs="Times New Roman"/>
          <w:highlight w:val="none"/>
        </w:rPr>
        <w:t>1.8 计量单位</w:t>
      </w:r>
      <w:bookmarkEnd w:id="87"/>
      <w:bookmarkEnd w:id="88"/>
      <w:bookmarkEnd w:id="89"/>
    </w:p>
    <w:p w14:paraId="20ECBFC7">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所有计量均采用中华人民共和国法定计量单位。</w:t>
      </w:r>
    </w:p>
    <w:p w14:paraId="6CD464EF">
      <w:pPr>
        <w:pStyle w:val="2"/>
        <w:pageBreakBefore w:val="0"/>
        <w:kinsoku/>
        <w:wordWrap w:val="0"/>
        <w:bidi w:val="0"/>
        <w:rPr>
          <w:rFonts w:hint="default" w:ascii="Times New Roman" w:hAnsi="Times New Roman" w:cs="Times New Roman"/>
          <w:highlight w:val="none"/>
        </w:rPr>
      </w:pPr>
      <w:bookmarkStart w:id="90" w:name="_Toc11612"/>
      <w:bookmarkStart w:id="91" w:name="_Toc9045"/>
      <w:bookmarkStart w:id="92" w:name="_Toc234832880"/>
      <w:r>
        <w:rPr>
          <w:rFonts w:hint="default" w:ascii="Times New Roman" w:hAnsi="Times New Roman" w:cs="Times New Roman"/>
          <w:highlight w:val="none"/>
        </w:rPr>
        <w:t>1.9 踏勘现场</w:t>
      </w:r>
      <w:bookmarkEnd w:id="90"/>
      <w:bookmarkEnd w:id="91"/>
      <w:bookmarkEnd w:id="92"/>
    </w:p>
    <w:p w14:paraId="167775A2">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1.9.1 第一章</w:t>
      </w:r>
      <w:r>
        <w:rPr>
          <w:rFonts w:hint="eastAsia" w:ascii="宋体" w:hAnsi="宋体" w:eastAsia="宋体" w:cs="宋体"/>
          <w:sz w:val="24"/>
          <w:highlight w:val="none"/>
        </w:rPr>
        <w:t>“</w:t>
      </w:r>
      <w:r>
        <w:rPr>
          <w:rFonts w:hint="default" w:ascii="Times New Roman" w:hAnsi="Times New Roman" w:eastAsia="宋体" w:cs="Times New Roman"/>
          <w:sz w:val="24"/>
          <w:highlight w:val="none"/>
        </w:rPr>
        <w:t>招标公告</w:t>
      </w:r>
      <w:r>
        <w:rPr>
          <w:rFonts w:hint="eastAsia" w:ascii="宋体" w:hAnsi="宋体" w:eastAsia="宋体" w:cs="宋体"/>
          <w:sz w:val="24"/>
          <w:highlight w:val="none"/>
        </w:rPr>
        <w:t>”</w:t>
      </w:r>
      <w:r>
        <w:rPr>
          <w:rFonts w:hint="default" w:ascii="Times New Roman" w:hAnsi="Times New Roman" w:eastAsia="宋体" w:cs="Times New Roman"/>
          <w:sz w:val="24"/>
          <w:highlight w:val="none"/>
        </w:rPr>
        <w:t>规定组织踏勘现场的，招标人按规定的时间、地点组织投标人踏勘项目现场。部分投标人未按时参加踏勘现场的，不影响踏勘现场的正常进行。招标人不得组织单个或部分投标人踏勘项目现场。</w:t>
      </w:r>
    </w:p>
    <w:p w14:paraId="4550F608">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1.9.2 投标人踏勘现场发生的费用自理。</w:t>
      </w:r>
    </w:p>
    <w:p w14:paraId="28801304">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1.9.3 除招标人的原因外，投标人自行负责在踏勘现场中所发生的人员伤亡和财产损失。</w:t>
      </w:r>
    </w:p>
    <w:p w14:paraId="02B33DA8">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1.9.4 招标人在踏勘现场中介绍的工程场地和相关的周边环境情况，供投标人在编制投标文件时参考，招标人不对投标人据此作出的判断和决策负责。</w:t>
      </w:r>
    </w:p>
    <w:p w14:paraId="5A768B13">
      <w:pPr>
        <w:pStyle w:val="15"/>
        <w:pageBreakBefore w:val="0"/>
        <w:kinsoku/>
        <w:wordWrap w:val="0"/>
        <w:topLinePunct/>
        <w:bidi w:val="0"/>
        <w:spacing w:line="400" w:lineRule="atLeast"/>
        <w:ind w:firstLine="480" w:firstLineChars="200"/>
        <w:rPr>
          <w:rFonts w:hint="default" w:ascii="Times New Roman" w:hAnsi="Times New Roman" w:eastAsia="宋体" w:cs="Times New Roman"/>
          <w:szCs w:val="24"/>
          <w:highlight w:val="none"/>
        </w:rPr>
      </w:pPr>
      <w:r>
        <w:rPr>
          <w:rFonts w:hint="default" w:ascii="Times New Roman" w:hAnsi="Times New Roman" w:eastAsia="宋体" w:cs="Times New Roman"/>
          <w:szCs w:val="24"/>
          <w:highlight w:val="none"/>
        </w:rPr>
        <w:t>1.9.5 招标人提供的本合同工程的水文、地质、气象和料场分布、取土场、弃土场位置等参考资料，并不构成合同文件的组成部分，投标人应对自己就上述资料的解释、推论和应用负责，招标人不对投标人据此作出的判断和决策承担任何责任。</w:t>
      </w:r>
    </w:p>
    <w:p w14:paraId="68B412A5">
      <w:pPr>
        <w:pStyle w:val="2"/>
        <w:pageBreakBefore w:val="0"/>
        <w:kinsoku/>
        <w:wordWrap w:val="0"/>
        <w:bidi w:val="0"/>
        <w:rPr>
          <w:rFonts w:hint="default" w:ascii="Times New Roman" w:hAnsi="Times New Roman" w:cs="Times New Roman"/>
          <w:highlight w:val="none"/>
        </w:rPr>
      </w:pPr>
      <w:bookmarkStart w:id="93" w:name="_Toc234832881"/>
      <w:bookmarkStart w:id="94" w:name="_Toc17701"/>
      <w:bookmarkStart w:id="95" w:name="_Toc26806"/>
      <w:r>
        <w:rPr>
          <w:rFonts w:hint="default" w:ascii="Times New Roman" w:hAnsi="Times New Roman" w:cs="Times New Roman"/>
          <w:highlight w:val="none"/>
        </w:rPr>
        <w:t>1.10 投标预备会</w:t>
      </w:r>
      <w:bookmarkEnd w:id="93"/>
      <w:bookmarkEnd w:id="94"/>
      <w:bookmarkEnd w:id="95"/>
    </w:p>
    <w:p w14:paraId="7938F684">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1.10.1 第一章</w:t>
      </w:r>
      <w:r>
        <w:rPr>
          <w:rFonts w:hint="eastAsia" w:ascii="宋体" w:hAnsi="宋体" w:eastAsia="宋体" w:cs="宋体"/>
          <w:sz w:val="24"/>
          <w:highlight w:val="none"/>
        </w:rPr>
        <w:t>“</w:t>
      </w:r>
      <w:r>
        <w:rPr>
          <w:rFonts w:hint="default" w:ascii="Times New Roman" w:hAnsi="Times New Roman" w:eastAsia="宋体" w:cs="Times New Roman"/>
          <w:sz w:val="24"/>
          <w:highlight w:val="none"/>
        </w:rPr>
        <w:t>招标公告</w:t>
      </w:r>
      <w:r>
        <w:rPr>
          <w:rFonts w:hint="eastAsia" w:ascii="宋体" w:hAnsi="宋体" w:eastAsia="宋体" w:cs="宋体"/>
          <w:sz w:val="24"/>
          <w:highlight w:val="none"/>
        </w:rPr>
        <w:t>”</w:t>
      </w:r>
      <w:r>
        <w:rPr>
          <w:rFonts w:hint="default" w:ascii="Times New Roman" w:hAnsi="Times New Roman" w:eastAsia="宋体" w:cs="Times New Roman"/>
          <w:sz w:val="24"/>
          <w:highlight w:val="none"/>
        </w:rPr>
        <w:t>规定召开投标预备会的，招标人按规定的时间和地点召开投标预备会，澄清投标人提出的问题。</w:t>
      </w:r>
    </w:p>
    <w:p w14:paraId="0A01EC8A">
      <w:pPr>
        <w:pStyle w:val="15"/>
        <w:pageBreakBefore w:val="0"/>
        <w:kinsoku/>
        <w:wordWrap w:val="0"/>
        <w:topLinePunct/>
        <w:bidi w:val="0"/>
        <w:spacing w:line="400" w:lineRule="atLeast"/>
        <w:ind w:firstLine="480" w:firstLineChars="200"/>
        <w:rPr>
          <w:rFonts w:hint="default" w:ascii="Times New Roman" w:hAnsi="Times New Roman" w:eastAsia="宋体" w:cs="Times New Roman"/>
          <w:szCs w:val="24"/>
          <w:highlight w:val="none"/>
        </w:rPr>
      </w:pPr>
      <w:r>
        <w:rPr>
          <w:rFonts w:hint="default" w:ascii="Times New Roman" w:hAnsi="Times New Roman" w:eastAsia="宋体" w:cs="Times New Roman"/>
          <w:szCs w:val="24"/>
          <w:highlight w:val="none"/>
        </w:rPr>
        <w:t>1.10.2 投标人应按投标人须知前附表规定的时间和形式将提出的问题送达招标人，以便招标人在会议期间澄清。</w:t>
      </w:r>
    </w:p>
    <w:p w14:paraId="1AD4156A">
      <w:pPr>
        <w:pStyle w:val="15"/>
        <w:pageBreakBefore w:val="0"/>
        <w:kinsoku/>
        <w:wordWrap w:val="0"/>
        <w:topLinePunct/>
        <w:bidi w:val="0"/>
        <w:spacing w:line="400" w:lineRule="atLeast"/>
        <w:ind w:firstLine="480" w:firstLineChars="200"/>
        <w:rPr>
          <w:rFonts w:hint="default" w:ascii="Times New Roman" w:hAnsi="Times New Roman" w:eastAsia="宋体" w:cs="Times New Roman"/>
          <w:szCs w:val="24"/>
          <w:highlight w:val="none"/>
        </w:rPr>
      </w:pPr>
      <w:r>
        <w:rPr>
          <w:rFonts w:hint="default" w:ascii="Times New Roman" w:hAnsi="Times New Roman" w:eastAsia="宋体" w:cs="Times New Roman"/>
          <w:szCs w:val="24"/>
          <w:highlight w:val="none"/>
        </w:rPr>
        <w:t>1.10.3 投标预备会后，招标人将对投标人所提问题的澄清，以本章第2.2款规定的形式通知所有</w:t>
      </w:r>
      <w:r>
        <w:rPr>
          <w:rFonts w:hint="default" w:ascii="Times New Roman" w:hAnsi="Times New Roman" w:cs="Times New Roman"/>
          <w:szCs w:val="24"/>
          <w:highlight w:val="none"/>
          <w:lang w:eastAsia="zh-CN"/>
        </w:rPr>
        <w:t>获取招标文件</w:t>
      </w:r>
      <w:r>
        <w:rPr>
          <w:rFonts w:hint="default" w:ascii="Times New Roman" w:hAnsi="Times New Roman" w:eastAsia="宋体" w:cs="Times New Roman"/>
          <w:szCs w:val="24"/>
          <w:highlight w:val="none"/>
        </w:rPr>
        <w:t>的投标人。该澄清内容为招标文件的组成部分。</w:t>
      </w:r>
    </w:p>
    <w:p w14:paraId="55172056">
      <w:pPr>
        <w:pStyle w:val="2"/>
        <w:pageBreakBefore w:val="0"/>
        <w:kinsoku/>
        <w:wordWrap w:val="0"/>
        <w:bidi w:val="0"/>
        <w:rPr>
          <w:rFonts w:hint="default" w:ascii="Times New Roman" w:hAnsi="Times New Roman" w:cs="Times New Roman"/>
          <w:highlight w:val="none"/>
        </w:rPr>
      </w:pPr>
      <w:bookmarkStart w:id="96" w:name="_Toc10304"/>
      <w:bookmarkStart w:id="97" w:name="_Toc234832882"/>
      <w:bookmarkStart w:id="98" w:name="_Toc18178"/>
      <w:r>
        <w:rPr>
          <w:rFonts w:hint="default" w:ascii="Times New Roman" w:hAnsi="Times New Roman" w:cs="Times New Roman"/>
          <w:highlight w:val="none"/>
        </w:rPr>
        <w:t>1.11 分包</w:t>
      </w:r>
      <w:bookmarkEnd w:id="96"/>
      <w:bookmarkEnd w:id="97"/>
      <w:bookmarkEnd w:id="98"/>
    </w:p>
    <w:p w14:paraId="0959DB50">
      <w:pPr>
        <w:pStyle w:val="15"/>
        <w:pageBreakBefore w:val="0"/>
        <w:kinsoku/>
        <w:wordWrap w:val="0"/>
        <w:topLinePunct/>
        <w:bidi w:val="0"/>
        <w:spacing w:line="400" w:lineRule="atLeast"/>
        <w:ind w:firstLine="480" w:firstLineChars="200"/>
        <w:rPr>
          <w:rFonts w:hint="default" w:ascii="Times New Roman" w:hAnsi="Times New Roman" w:eastAsia="宋体" w:cs="Times New Roman"/>
          <w:szCs w:val="24"/>
          <w:highlight w:val="none"/>
        </w:rPr>
      </w:pPr>
      <w:r>
        <w:rPr>
          <w:rFonts w:hint="default" w:ascii="Times New Roman" w:hAnsi="Times New Roman" w:eastAsia="宋体" w:cs="Times New Roman"/>
          <w:highlight w:val="none"/>
        </w:rPr>
        <w:t>1.11.1 投标人拟在中标后将中标项目的部分工作进行分包的，应按辽宁省交通运输厅关于印发《辽宁省公路工程施工分包管理实施细则》的通知（辽交公路规〔2025〕1 号）要求执行</w:t>
      </w:r>
      <w:r>
        <w:rPr>
          <w:rFonts w:hint="default" w:ascii="Times New Roman" w:hAnsi="Times New Roman" w:eastAsia="宋体" w:cs="Times New Roman"/>
          <w:szCs w:val="24"/>
          <w:highlight w:val="none"/>
        </w:rPr>
        <w:t>。</w:t>
      </w:r>
    </w:p>
    <w:p w14:paraId="45C42310">
      <w:pPr>
        <w:pStyle w:val="15"/>
        <w:pageBreakBefore w:val="0"/>
        <w:kinsoku/>
        <w:wordWrap w:val="0"/>
        <w:topLinePunct/>
        <w:bidi w:val="0"/>
        <w:spacing w:line="400" w:lineRule="atLeast"/>
        <w:ind w:firstLine="480" w:firstLineChars="200"/>
        <w:rPr>
          <w:rFonts w:hint="default" w:ascii="Times New Roman" w:hAnsi="Times New Roman" w:eastAsia="宋体" w:cs="Times New Roman"/>
          <w:szCs w:val="24"/>
          <w:highlight w:val="none"/>
        </w:rPr>
      </w:pPr>
      <w:r>
        <w:rPr>
          <w:rFonts w:hint="default" w:ascii="Times New Roman" w:hAnsi="Times New Roman" w:eastAsia="宋体" w:cs="Times New Roman"/>
          <w:szCs w:val="24"/>
          <w:highlight w:val="none"/>
        </w:rPr>
        <w:t>1.11.2 中标人不得向他人转让中标项目，接受分包的人不得再次分包。中标人应就分包项目向招标人负责，接受分包的人就分包项目承担连带责任。</w:t>
      </w:r>
    </w:p>
    <w:p w14:paraId="56CA7D5A">
      <w:pPr>
        <w:pStyle w:val="2"/>
        <w:pageBreakBefore w:val="0"/>
        <w:kinsoku/>
        <w:wordWrap w:val="0"/>
        <w:bidi w:val="0"/>
        <w:rPr>
          <w:rFonts w:hint="default" w:ascii="Times New Roman" w:hAnsi="Times New Roman" w:cs="Times New Roman"/>
          <w:highlight w:val="none"/>
        </w:rPr>
      </w:pPr>
      <w:bookmarkStart w:id="99" w:name="_Toc234832883"/>
      <w:bookmarkStart w:id="100" w:name="_Toc8706"/>
      <w:bookmarkStart w:id="101" w:name="_Toc10366"/>
      <w:r>
        <w:rPr>
          <w:rFonts w:hint="default" w:ascii="Times New Roman" w:hAnsi="Times New Roman" w:cs="Times New Roman"/>
          <w:highlight w:val="none"/>
        </w:rPr>
        <w:t xml:space="preserve">1.12 </w:t>
      </w:r>
      <w:bookmarkEnd w:id="99"/>
      <w:r>
        <w:rPr>
          <w:rFonts w:hint="default" w:ascii="Times New Roman" w:hAnsi="Times New Roman" w:cs="Times New Roman"/>
          <w:highlight w:val="none"/>
        </w:rPr>
        <w:t>响应和偏差</w:t>
      </w:r>
      <w:bookmarkEnd w:id="100"/>
      <w:bookmarkEnd w:id="101"/>
    </w:p>
    <w:p w14:paraId="6B6B77AB">
      <w:pPr>
        <w:pStyle w:val="15"/>
        <w:pageBreakBefore w:val="0"/>
        <w:kinsoku/>
        <w:wordWrap w:val="0"/>
        <w:topLinePunct/>
        <w:bidi w:val="0"/>
        <w:spacing w:line="400" w:lineRule="atLeast"/>
        <w:ind w:firstLine="480" w:firstLineChars="200"/>
        <w:rPr>
          <w:rFonts w:hint="default" w:ascii="Times New Roman" w:hAnsi="Times New Roman" w:eastAsia="宋体" w:cs="Times New Roman"/>
          <w:szCs w:val="24"/>
          <w:highlight w:val="none"/>
        </w:rPr>
      </w:pPr>
      <w:r>
        <w:rPr>
          <w:rFonts w:hint="default" w:ascii="Times New Roman" w:hAnsi="Times New Roman" w:eastAsia="宋体" w:cs="Times New Roman"/>
          <w:szCs w:val="24"/>
          <w:highlight w:val="none"/>
        </w:rPr>
        <w:t>1.12.1 投标文件偏离招标文件某些要求，视为投标文件存在偏差。偏差包括重大偏差和细微偏差。</w:t>
      </w:r>
    </w:p>
    <w:p w14:paraId="7592C4F1">
      <w:pPr>
        <w:pStyle w:val="15"/>
        <w:pageBreakBefore w:val="0"/>
        <w:kinsoku/>
        <w:wordWrap w:val="0"/>
        <w:topLinePunct/>
        <w:bidi w:val="0"/>
        <w:spacing w:line="400" w:lineRule="atLeast"/>
        <w:ind w:firstLine="480" w:firstLineChars="200"/>
        <w:rPr>
          <w:rFonts w:hint="default" w:ascii="Times New Roman" w:hAnsi="Times New Roman" w:eastAsia="宋体" w:cs="Times New Roman"/>
          <w:szCs w:val="24"/>
          <w:highlight w:val="none"/>
        </w:rPr>
      </w:pPr>
      <w:r>
        <w:rPr>
          <w:rFonts w:hint="default" w:ascii="Times New Roman" w:hAnsi="Times New Roman" w:eastAsia="宋体" w:cs="Times New Roman"/>
          <w:szCs w:val="24"/>
          <w:highlight w:val="none"/>
        </w:rPr>
        <w:t>1.12.2 投标文件应对招标文件的实质性要求和条件作出满足性或更有利于招标人的响应，否则，视为投标文件存在重大偏差，投标人的投标将被否决。</w:t>
      </w:r>
    </w:p>
    <w:p w14:paraId="7A8B2B20">
      <w:pPr>
        <w:pStyle w:val="15"/>
        <w:pageBreakBefore w:val="0"/>
        <w:kinsoku/>
        <w:wordWrap w:val="0"/>
        <w:topLinePunct/>
        <w:bidi w:val="0"/>
        <w:spacing w:line="400" w:lineRule="atLeast"/>
        <w:ind w:firstLine="480" w:firstLineChars="200"/>
        <w:rPr>
          <w:rFonts w:hint="default" w:ascii="Times New Roman" w:hAnsi="Times New Roman" w:eastAsia="宋体" w:cs="Times New Roman"/>
          <w:szCs w:val="24"/>
          <w:highlight w:val="none"/>
        </w:rPr>
      </w:pPr>
      <w:r>
        <w:rPr>
          <w:rFonts w:hint="default" w:ascii="Times New Roman" w:hAnsi="Times New Roman" w:eastAsia="宋体" w:cs="Times New Roman"/>
          <w:szCs w:val="24"/>
          <w:highlight w:val="none"/>
        </w:rPr>
        <w:t>投标文件存在第三章</w:t>
      </w:r>
      <w:r>
        <w:rPr>
          <w:rFonts w:hint="eastAsia" w:ascii="宋体" w:hAnsi="宋体" w:eastAsia="宋体" w:cs="宋体"/>
          <w:szCs w:val="24"/>
          <w:highlight w:val="none"/>
        </w:rPr>
        <w:t>“</w:t>
      </w:r>
      <w:r>
        <w:rPr>
          <w:rFonts w:hint="default" w:ascii="Times New Roman" w:hAnsi="Times New Roman" w:eastAsia="宋体" w:cs="Times New Roman"/>
          <w:szCs w:val="24"/>
          <w:highlight w:val="none"/>
        </w:rPr>
        <w:t>评标办法</w:t>
      </w:r>
      <w:r>
        <w:rPr>
          <w:rFonts w:hint="eastAsia" w:ascii="宋体" w:hAnsi="宋体" w:eastAsia="宋体" w:cs="宋体"/>
          <w:szCs w:val="24"/>
          <w:highlight w:val="none"/>
        </w:rPr>
        <w:t>”</w:t>
      </w:r>
      <w:r>
        <w:rPr>
          <w:rFonts w:hint="default" w:ascii="Times New Roman" w:hAnsi="Times New Roman" w:eastAsia="宋体" w:cs="Times New Roman"/>
          <w:szCs w:val="24"/>
          <w:highlight w:val="none"/>
        </w:rPr>
        <w:t>中所列任一否决投标情形的，均属于存在重大偏差。</w:t>
      </w:r>
    </w:p>
    <w:p w14:paraId="4AD93257">
      <w:pPr>
        <w:pStyle w:val="15"/>
        <w:pageBreakBefore w:val="0"/>
        <w:kinsoku/>
        <w:wordWrap w:val="0"/>
        <w:topLinePunct/>
        <w:bidi w:val="0"/>
        <w:spacing w:line="400" w:lineRule="atLeast"/>
        <w:ind w:firstLine="480" w:firstLineChars="200"/>
        <w:rPr>
          <w:rFonts w:hint="default" w:ascii="Times New Roman" w:hAnsi="Times New Roman" w:eastAsia="宋体" w:cs="Times New Roman"/>
          <w:szCs w:val="24"/>
          <w:highlight w:val="none"/>
        </w:rPr>
      </w:pPr>
      <w:r>
        <w:rPr>
          <w:rFonts w:hint="default" w:ascii="Times New Roman" w:hAnsi="Times New Roman" w:eastAsia="宋体" w:cs="Times New Roman"/>
          <w:szCs w:val="24"/>
          <w:highlight w:val="none"/>
        </w:rPr>
        <w:t>1.12.3 投标文件中的下列偏差为细微偏差：</w:t>
      </w:r>
    </w:p>
    <w:p w14:paraId="57874986">
      <w:pPr>
        <w:pStyle w:val="15"/>
        <w:pageBreakBefore w:val="0"/>
        <w:kinsoku/>
        <w:wordWrap w:val="0"/>
        <w:topLinePunct/>
        <w:bidi w:val="0"/>
        <w:spacing w:line="400" w:lineRule="atLeast"/>
        <w:ind w:firstLine="480" w:firstLineChars="200"/>
        <w:rPr>
          <w:rFonts w:hint="default" w:ascii="Times New Roman" w:hAnsi="Times New Roman" w:eastAsia="宋体" w:cs="Times New Roman"/>
          <w:szCs w:val="24"/>
          <w:highlight w:val="none"/>
        </w:rPr>
      </w:pPr>
      <w:r>
        <w:rPr>
          <w:rFonts w:hint="default" w:ascii="Times New Roman" w:hAnsi="Times New Roman" w:eastAsia="宋体" w:cs="Times New Roman"/>
          <w:szCs w:val="24"/>
          <w:highlight w:val="none"/>
        </w:rPr>
        <w:t>（1）在按照第三章“评标办法 ”的规定对投标价进行其他错误修正后，最终投标报价未超过最高投标限价（如有）的情况下，出现第三章“评标办法 ”规定的投标报价其他错误；</w:t>
      </w:r>
    </w:p>
    <w:p w14:paraId="7AF642A1">
      <w:pPr>
        <w:pStyle w:val="15"/>
        <w:pageBreakBefore w:val="0"/>
        <w:kinsoku/>
        <w:wordWrap w:val="0"/>
        <w:topLinePunct/>
        <w:bidi w:val="0"/>
        <w:spacing w:line="400" w:lineRule="atLeast"/>
        <w:ind w:firstLine="480" w:firstLineChars="200"/>
        <w:rPr>
          <w:rFonts w:hint="default" w:ascii="Times New Roman" w:hAnsi="Times New Roman" w:eastAsia="宋体" w:cs="Times New Roman"/>
          <w:szCs w:val="24"/>
          <w:highlight w:val="none"/>
        </w:rPr>
      </w:pPr>
      <w:r>
        <w:rPr>
          <w:rFonts w:hint="default" w:ascii="Times New Roman" w:hAnsi="Times New Roman" w:eastAsia="宋体" w:cs="Times New Roman"/>
          <w:szCs w:val="24"/>
          <w:highlight w:val="none"/>
        </w:rPr>
        <w:t>（2）施工组织设计（含关键工程技术方案）和项目管理机构不够完善；</w:t>
      </w:r>
    </w:p>
    <w:p w14:paraId="10695524">
      <w:pPr>
        <w:pStyle w:val="15"/>
        <w:pageBreakBefore w:val="0"/>
        <w:kinsoku/>
        <w:wordWrap w:val="0"/>
        <w:topLinePunct/>
        <w:bidi w:val="0"/>
        <w:spacing w:line="400" w:lineRule="atLeast"/>
        <w:ind w:firstLine="480" w:firstLineChars="200"/>
        <w:rPr>
          <w:rFonts w:hint="default" w:ascii="Times New Roman" w:hAnsi="Times New Roman" w:eastAsia="宋体" w:cs="Times New Roman"/>
          <w:szCs w:val="24"/>
          <w:highlight w:val="none"/>
        </w:rPr>
      </w:pPr>
      <w:r>
        <w:rPr>
          <w:rFonts w:hint="default" w:ascii="Times New Roman" w:hAnsi="Times New Roman" w:eastAsia="宋体" w:cs="Times New Roman"/>
          <w:szCs w:val="24"/>
          <w:highlight w:val="none"/>
        </w:rPr>
        <w:t>（3）投标文件个别文字有遗漏错误等不影响投标文件实质性内容的偏差。</w:t>
      </w:r>
    </w:p>
    <w:p w14:paraId="4F67F9F1">
      <w:pPr>
        <w:pStyle w:val="15"/>
        <w:pageBreakBefore w:val="0"/>
        <w:kinsoku/>
        <w:wordWrap w:val="0"/>
        <w:topLinePunct/>
        <w:bidi w:val="0"/>
        <w:spacing w:line="400" w:lineRule="atLeast"/>
        <w:ind w:firstLine="480" w:firstLineChars="200"/>
        <w:rPr>
          <w:rFonts w:hint="default" w:ascii="Times New Roman" w:hAnsi="Times New Roman" w:eastAsia="宋体" w:cs="Times New Roman"/>
          <w:szCs w:val="24"/>
          <w:highlight w:val="none"/>
        </w:rPr>
      </w:pPr>
      <w:r>
        <w:rPr>
          <w:rFonts w:hint="default" w:ascii="Times New Roman" w:hAnsi="Times New Roman" w:eastAsia="宋体" w:cs="Times New Roman"/>
          <w:szCs w:val="24"/>
          <w:highlight w:val="none"/>
        </w:rPr>
        <w:t>1.12.4 评标委员会对投标文件中的细微偏差按如下规定处理：</w:t>
      </w:r>
    </w:p>
    <w:p w14:paraId="4688A0C5">
      <w:pPr>
        <w:pStyle w:val="15"/>
        <w:pageBreakBefore w:val="0"/>
        <w:kinsoku/>
        <w:wordWrap w:val="0"/>
        <w:topLinePunct/>
        <w:bidi w:val="0"/>
        <w:spacing w:line="400" w:lineRule="atLeast"/>
        <w:ind w:firstLine="480" w:firstLineChars="200"/>
        <w:rPr>
          <w:rFonts w:hint="default" w:ascii="Times New Roman" w:hAnsi="Times New Roman" w:eastAsia="宋体" w:cs="Times New Roman"/>
          <w:szCs w:val="24"/>
          <w:highlight w:val="none"/>
        </w:rPr>
      </w:pPr>
      <w:r>
        <w:rPr>
          <w:rFonts w:hint="default" w:ascii="Times New Roman" w:hAnsi="Times New Roman" w:eastAsia="宋体" w:cs="Times New Roman"/>
          <w:szCs w:val="24"/>
          <w:highlight w:val="none"/>
        </w:rPr>
        <w:t>（1）对于本章第1.12.3项（1）目所述的细微偏差，按照第三章</w:t>
      </w:r>
      <w:r>
        <w:rPr>
          <w:rFonts w:hint="eastAsia" w:ascii="宋体" w:hAnsi="宋体" w:eastAsia="宋体" w:cs="宋体"/>
          <w:szCs w:val="24"/>
          <w:highlight w:val="none"/>
        </w:rPr>
        <w:t>“</w:t>
      </w:r>
      <w:r>
        <w:rPr>
          <w:rFonts w:hint="default" w:ascii="Times New Roman" w:hAnsi="Times New Roman" w:eastAsia="宋体" w:cs="Times New Roman"/>
          <w:szCs w:val="24"/>
          <w:highlight w:val="none"/>
        </w:rPr>
        <w:t>评标办法</w:t>
      </w:r>
      <w:r>
        <w:rPr>
          <w:rFonts w:hint="eastAsia" w:ascii="宋体" w:hAnsi="宋体" w:eastAsia="宋体" w:cs="宋体"/>
          <w:szCs w:val="24"/>
          <w:highlight w:val="none"/>
        </w:rPr>
        <w:t>”</w:t>
      </w:r>
      <w:r>
        <w:rPr>
          <w:rFonts w:hint="default" w:ascii="Times New Roman" w:hAnsi="Times New Roman" w:eastAsia="宋体" w:cs="Times New Roman"/>
          <w:szCs w:val="24"/>
          <w:highlight w:val="none"/>
        </w:rPr>
        <w:t>的规定予以修正并要求投标人进行澄清；</w:t>
      </w:r>
    </w:p>
    <w:p w14:paraId="03F6B682">
      <w:pPr>
        <w:pStyle w:val="15"/>
        <w:pageBreakBefore w:val="0"/>
        <w:kinsoku/>
        <w:wordWrap w:val="0"/>
        <w:topLinePunct/>
        <w:bidi w:val="0"/>
        <w:spacing w:line="400" w:lineRule="atLeast"/>
        <w:ind w:firstLine="480" w:firstLineChars="200"/>
        <w:rPr>
          <w:rFonts w:hint="default" w:ascii="Times New Roman" w:hAnsi="Times New Roman" w:eastAsia="宋体" w:cs="Times New Roman"/>
          <w:szCs w:val="24"/>
          <w:highlight w:val="none"/>
        </w:rPr>
      </w:pPr>
      <w:r>
        <w:rPr>
          <w:rFonts w:hint="default" w:ascii="Times New Roman" w:hAnsi="Times New Roman" w:eastAsia="宋体" w:cs="Times New Roman"/>
          <w:szCs w:val="24"/>
          <w:highlight w:val="none"/>
        </w:rPr>
        <w:t>（2）对于本章第1.12.3项（2）目所述的细微偏差，如果采用合理低价法或经评审的最低投标价法评标，应要求投标人对细微偏差进行澄清，只有投标人的澄清文件被评标委员会接受，投标人才能参加评标价的最终评比。如果采用技术评分最低标价法或综合评分法评标，可在相关评分因素的评分中酌情扣分；</w:t>
      </w:r>
    </w:p>
    <w:p w14:paraId="5402B27B">
      <w:pPr>
        <w:pStyle w:val="15"/>
        <w:pageBreakBefore w:val="0"/>
        <w:kinsoku/>
        <w:wordWrap w:val="0"/>
        <w:topLinePunct/>
        <w:bidi w:val="0"/>
        <w:spacing w:line="400" w:lineRule="atLeast"/>
        <w:ind w:firstLine="480" w:firstLineChars="200"/>
        <w:rPr>
          <w:rFonts w:hint="default" w:ascii="Times New Roman" w:hAnsi="Times New Roman" w:eastAsia="宋体" w:cs="Times New Roman"/>
          <w:szCs w:val="24"/>
          <w:highlight w:val="none"/>
        </w:rPr>
      </w:pPr>
      <w:r>
        <w:rPr>
          <w:rFonts w:hint="default" w:ascii="Times New Roman" w:hAnsi="Times New Roman" w:eastAsia="宋体" w:cs="Times New Roman"/>
          <w:szCs w:val="24"/>
          <w:highlight w:val="none"/>
        </w:rPr>
        <w:t>（3）对于本章第1.12.3项（3）目所述的细微偏差，可要求投标人对细微偏差进行澄清。</w:t>
      </w:r>
    </w:p>
    <w:p w14:paraId="2A2B4CD4">
      <w:pPr>
        <w:pStyle w:val="15"/>
        <w:pageBreakBefore w:val="0"/>
        <w:kinsoku/>
        <w:wordWrap w:val="0"/>
        <w:topLinePunct/>
        <w:bidi w:val="0"/>
        <w:spacing w:line="400" w:lineRule="atLeast"/>
        <w:ind w:firstLine="480" w:firstLineChars="200"/>
        <w:rPr>
          <w:rFonts w:hint="default" w:ascii="Times New Roman" w:hAnsi="Times New Roman" w:eastAsia="宋体" w:cs="Times New Roman"/>
          <w:szCs w:val="24"/>
          <w:highlight w:val="none"/>
        </w:rPr>
      </w:pPr>
      <w:r>
        <w:rPr>
          <w:rFonts w:hint="default" w:ascii="Times New Roman" w:hAnsi="Times New Roman" w:eastAsia="宋体" w:cs="Times New Roman"/>
          <w:szCs w:val="24"/>
          <w:highlight w:val="none"/>
        </w:rPr>
        <w:t>1.12.5 投标人应根据招标文件的要求提供施工组织设计等内容以对招标文件作出响应。</w:t>
      </w:r>
    </w:p>
    <w:p w14:paraId="0D71146C">
      <w:pPr>
        <w:pStyle w:val="2"/>
        <w:pageBreakBefore w:val="0"/>
        <w:kinsoku/>
        <w:wordWrap w:val="0"/>
        <w:bidi w:val="0"/>
        <w:spacing w:before="360" w:after="240" w:line="240" w:lineRule="atLeast"/>
        <w:rPr>
          <w:rFonts w:hint="default" w:ascii="Times New Roman" w:hAnsi="Times New Roman" w:eastAsia="黑体" w:cs="Times New Roman"/>
          <w:b w:val="0"/>
          <w:sz w:val="28"/>
          <w:szCs w:val="28"/>
          <w:highlight w:val="none"/>
        </w:rPr>
      </w:pPr>
      <w:bookmarkStart w:id="102" w:name="_Toc27589"/>
      <w:bookmarkStart w:id="103" w:name="_Toc234832884"/>
      <w:bookmarkStart w:id="104" w:name="_Toc28741"/>
      <w:r>
        <w:rPr>
          <w:rFonts w:hint="default" w:ascii="Times New Roman" w:hAnsi="Times New Roman" w:eastAsia="黑体" w:cs="Times New Roman"/>
          <w:b w:val="0"/>
          <w:sz w:val="28"/>
          <w:szCs w:val="28"/>
          <w:highlight w:val="none"/>
        </w:rPr>
        <w:t>2. 招标文件</w:t>
      </w:r>
      <w:bookmarkEnd w:id="102"/>
      <w:bookmarkEnd w:id="103"/>
      <w:bookmarkEnd w:id="104"/>
    </w:p>
    <w:p w14:paraId="474200D6">
      <w:pPr>
        <w:pStyle w:val="2"/>
        <w:pageBreakBefore w:val="0"/>
        <w:kinsoku/>
        <w:wordWrap w:val="0"/>
        <w:bidi w:val="0"/>
        <w:rPr>
          <w:rFonts w:hint="default" w:ascii="Times New Roman" w:hAnsi="Times New Roman" w:eastAsia="黑体" w:cs="Times New Roman"/>
          <w:highlight w:val="none"/>
        </w:rPr>
      </w:pPr>
      <w:bookmarkStart w:id="105" w:name="_Toc2276"/>
      <w:bookmarkStart w:id="106" w:name="_Toc12252"/>
      <w:bookmarkStart w:id="107" w:name="_Toc234832885"/>
      <w:r>
        <w:rPr>
          <w:rFonts w:hint="default" w:ascii="Times New Roman" w:hAnsi="Times New Roman" w:eastAsia="黑体" w:cs="Times New Roman"/>
          <w:highlight w:val="none"/>
        </w:rPr>
        <w:t>2.1 招标文件的组成</w:t>
      </w:r>
      <w:bookmarkEnd w:id="105"/>
      <w:bookmarkEnd w:id="106"/>
      <w:bookmarkEnd w:id="107"/>
    </w:p>
    <w:p w14:paraId="22430E80">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本招标文件包括：</w:t>
      </w:r>
    </w:p>
    <w:p w14:paraId="41229C13">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（1）招标公告；</w:t>
      </w:r>
    </w:p>
    <w:p w14:paraId="62F75418">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（2）投标人须知；</w:t>
      </w:r>
    </w:p>
    <w:p w14:paraId="268CC2B6">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（3）评标办法；</w:t>
      </w:r>
    </w:p>
    <w:p w14:paraId="301810D3">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（4）合同条款及格式；</w:t>
      </w:r>
    </w:p>
    <w:p w14:paraId="7340C766">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（5）工程量清单；</w:t>
      </w:r>
    </w:p>
    <w:p w14:paraId="26EA4877">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（6）图纸；</w:t>
      </w:r>
    </w:p>
    <w:p w14:paraId="72DF472B">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（7）技术规范；</w:t>
      </w:r>
    </w:p>
    <w:p w14:paraId="3CD89159">
      <w:pPr>
        <w:pageBreakBefore w:val="0"/>
        <w:tabs>
          <w:tab w:val="center" w:pos="4634"/>
        </w:tabs>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（8）工程量清单计量规则；</w:t>
      </w:r>
    </w:p>
    <w:p w14:paraId="17317A3F">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（9）投标文件格式；</w:t>
      </w:r>
    </w:p>
    <w:p w14:paraId="39CD33C8">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（10）投标人须知前附表规定的其他资料。</w:t>
      </w:r>
    </w:p>
    <w:p w14:paraId="1AFE4ACC">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根据本章第1.10款、第2.2款和第2.3款对招标文件所作的澄清、修改，构成招标文件的组成部分。</w:t>
      </w:r>
    </w:p>
    <w:p w14:paraId="4775769B">
      <w:pPr>
        <w:pStyle w:val="15"/>
        <w:pageBreakBefore w:val="0"/>
        <w:kinsoku/>
        <w:wordWrap w:val="0"/>
        <w:topLinePunct/>
        <w:bidi w:val="0"/>
        <w:spacing w:line="400" w:lineRule="atLeast"/>
        <w:ind w:firstLine="480" w:firstLineChars="200"/>
        <w:rPr>
          <w:rFonts w:hint="default" w:ascii="Times New Roman" w:hAnsi="Times New Roman" w:eastAsia="宋体" w:cs="Times New Roman"/>
          <w:szCs w:val="24"/>
          <w:highlight w:val="none"/>
        </w:rPr>
      </w:pPr>
      <w:r>
        <w:rPr>
          <w:rFonts w:hint="default" w:ascii="Times New Roman" w:hAnsi="Times New Roman" w:eastAsia="宋体" w:cs="Times New Roman"/>
          <w:szCs w:val="24"/>
          <w:highlight w:val="none"/>
        </w:rPr>
        <w:t>当招标文件、招标文件的澄清或修改等在同一内容的表述上不一致时，以最后发出的书面文件为准。</w:t>
      </w:r>
    </w:p>
    <w:p w14:paraId="63628608">
      <w:pPr>
        <w:pStyle w:val="2"/>
        <w:pageBreakBefore w:val="0"/>
        <w:kinsoku/>
        <w:wordWrap w:val="0"/>
        <w:bidi w:val="0"/>
        <w:rPr>
          <w:rFonts w:hint="default" w:ascii="Times New Roman" w:hAnsi="Times New Roman" w:cs="Times New Roman"/>
          <w:highlight w:val="none"/>
        </w:rPr>
      </w:pPr>
      <w:bookmarkStart w:id="108" w:name="_Toc6916"/>
      <w:bookmarkStart w:id="109" w:name="_Toc25152"/>
      <w:bookmarkStart w:id="110" w:name="_Toc234832886"/>
      <w:r>
        <w:rPr>
          <w:rFonts w:hint="default" w:ascii="Times New Roman" w:hAnsi="Times New Roman" w:cs="Times New Roman"/>
          <w:highlight w:val="none"/>
        </w:rPr>
        <w:t>2.2 招标文件的澄清</w:t>
      </w:r>
      <w:bookmarkEnd w:id="108"/>
      <w:bookmarkEnd w:id="109"/>
      <w:bookmarkEnd w:id="110"/>
    </w:p>
    <w:p w14:paraId="232C69E6">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2.2.1 投标人应仔细阅读和检查招标文件的全部内容。如发现缺页或附件不全，应及时向招标人提出，以便补齐。如有疑问，应按投标人须知前附表规定的时间和形式将提出的问题送达招标人，要求招标人对招标文件予以澄清。</w:t>
      </w:r>
    </w:p>
    <w:p w14:paraId="464A6836">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2.2.2 招标文件的澄清以投标人须知前附表规定的形式发给所有</w:t>
      </w:r>
      <w:r>
        <w:rPr>
          <w:rFonts w:hint="default" w:ascii="Times New Roman" w:hAnsi="Times New Roman" w:cs="Times New Roman"/>
          <w:sz w:val="24"/>
          <w:highlight w:val="none"/>
          <w:lang w:eastAsia="zh-CN"/>
        </w:rPr>
        <w:t>获取招标文件</w:t>
      </w:r>
      <w:r>
        <w:rPr>
          <w:rFonts w:hint="default" w:ascii="Times New Roman" w:hAnsi="Times New Roman" w:eastAsia="宋体" w:cs="Times New Roman"/>
          <w:sz w:val="24"/>
          <w:highlight w:val="none"/>
        </w:rPr>
        <w:t>的投标人，但不指明澄清问题的来源。澄清发出的时间距本章第4.2.1项规定的投标截止时间不足15日，且澄清内容可能影响投标文件编制的，将相应延长投标截止时间。</w:t>
      </w:r>
    </w:p>
    <w:p w14:paraId="5EA3FFDE">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 xml:space="preserve">2.2.3 </w:t>
      </w:r>
      <w:r>
        <w:rPr>
          <w:rFonts w:hint="default" w:ascii="Times New Roman" w:hAnsi="Times New Roman" w:cs="Times New Roman"/>
          <w:color w:val="000000"/>
          <w:sz w:val="24"/>
          <w:szCs w:val="24"/>
          <w:highlight w:val="none"/>
        </w:rPr>
        <w:t>投标人</w:t>
      </w:r>
      <w:r>
        <w:rPr>
          <w:rFonts w:hint="default" w:ascii="Times New Roman" w:hAnsi="Times New Roman" w:cs="Times New Roman"/>
          <w:color w:val="000000"/>
          <w:sz w:val="24"/>
          <w:szCs w:val="24"/>
          <w:highlight w:val="none"/>
          <w:lang w:val="en-US" w:eastAsia="zh-CN"/>
        </w:rPr>
        <w:t>应</w:t>
      </w:r>
      <w:r>
        <w:rPr>
          <w:rFonts w:hint="default" w:ascii="Times New Roman" w:hAnsi="Times New Roman" w:cs="Times New Roman"/>
          <w:color w:val="000000"/>
          <w:sz w:val="24"/>
          <w:szCs w:val="24"/>
          <w:highlight w:val="none"/>
        </w:rPr>
        <w:t>按照投标人须知前附表要求及时收悉澄清内容。</w:t>
      </w:r>
      <w:r>
        <w:rPr>
          <w:rFonts w:hint="default" w:ascii="Times New Roman" w:hAnsi="Times New Roman" w:cs="Times New Roman"/>
          <w:sz w:val="24"/>
          <w:highlight w:val="none"/>
        </w:rPr>
        <w:t>投标人应注意及时浏览网上发出的澄清，因投标人自身原因未及时获知澄清内容而导致的任何后果将由投标人自行承担</w:t>
      </w:r>
      <w:r>
        <w:rPr>
          <w:rFonts w:hint="default" w:ascii="Times New Roman" w:hAnsi="Times New Roman" w:eastAsia="宋体" w:cs="Times New Roman"/>
          <w:sz w:val="24"/>
          <w:highlight w:val="none"/>
        </w:rPr>
        <w:t>。</w:t>
      </w:r>
    </w:p>
    <w:p w14:paraId="289B319F">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2.2.4 除非招标人认为确有必要答复，否则，招标人有权拒绝回复投标人在本章第2.2.1项规定的时间后提出的任何澄清要求。</w:t>
      </w:r>
    </w:p>
    <w:p w14:paraId="626EB0FE">
      <w:pPr>
        <w:pStyle w:val="2"/>
        <w:pageBreakBefore w:val="0"/>
        <w:kinsoku/>
        <w:wordWrap w:val="0"/>
        <w:bidi w:val="0"/>
        <w:rPr>
          <w:rFonts w:hint="default" w:ascii="Times New Roman" w:hAnsi="Times New Roman" w:cs="Times New Roman"/>
          <w:highlight w:val="none"/>
        </w:rPr>
      </w:pPr>
      <w:bookmarkStart w:id="111" w:name="_Toc20407"/>
      <w:bookmarkStart w:id="112" w:name="_Toc234832887"/>
      <w:bookmarkStart w:id="113" w:name="_Toc9262"/>
      <w:r>
        <w:rPr>
          <w:rFonts w:hint="default" w:ascii="Times New Roman" w:hAnsi="Times New Roman" w:cs="Times New Roman"/>
          <w:highlight w:val="none"/>
        </w:rPr>
        <w:t>2.3 招标文件的修改</w:t>
      </w:r>
      <w:bookmarkEnd w:id="111"/>
      <w:bookmarkEnd w:id="112"/>
      <w:bookmarkEnd w:id="113"/>
    </w:p>
    <w:p w14:paraId="7E5FBFC2">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2.3.1 招标人以投标人须知前附表规定的形式修改招标文件。修改招标文件的时间距本章第 4.2.1 项规定的投标截止时间不足 15  日，且修改内容可能影响投标文件编制的，将相应延长投标截止时间。</w:t>
      </w:r>
    </w:p>
    <w:p w14:paraId="12C671DD">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 xml:space="preserve">2.3.2 </w:t>
      </w:r>
      <w:r>
        <w:rPr>
          <w:rFonts w:hint="default" w:ascii="Times New Roman" w:hAnsi="Times New Roman" w:cs="Times New Roman"/>
          <w:color w:val="000000"/>
          <w:sz w:val="24"/>
          <w:szCs w:val="24"/>
          <w:highlight w:val="none"/>
        </w:rPr>
        <w:t>投标人</w:t>
      </w:r>
      <w:r>
        <w:rPr>
          <w:rFonts w:hint="default" w:ascii="Times New Roman" w:hAnsi="Times New Roman" w:cs="Times New Roman"/>
          <w:color w:val="000000"/>
          <w:sz w:val="24"/>
          <w:szCs w:val="24"/>
          <w:highlight w:val="none"/>
          <w:lang w:val="en-US" w:eastAsia="zh-CN"/>
        </w:rPr>
        <w:t>应</w:t>
      </w:r>
      <w:r>
        <w:rPr>
          <w:rFonts w:hint="default" w:ascii="Times New Roman" w:hAnsi="Times New Roman" w:cs="Times New Roman"/>
          <w:color w:val="000000"/>
          <w:sz w:val="24"/>
          <w:szCs w:val="24"/>
          <w:highlight w:val="none"/>
        </w:rPr>
        <w:t>按照投标人须知前附表要求及时收悉</w:t>
      </w:r>
      <w:r>
        <w:rPr>
          <w:rFonts w:hint="default" w:ascii="Times New Roman" w:hAnsi="Times New Roman" w:cs="Times New Roman"/>
          <w:color w:val="000000"/>
          <w:sz w:val="24"/>
          <w:szCs w:val="24"/>
          <w:highlight w:val="none"/>
          <w:lang w:val="en-US" w:eastAsia="zh-CN"/>
        </w:rPr>
        <w:t>修改</w:t>
      </w:r>
      <w:r>
        <w:rPr>
          <w:rFonts w:hint="default" w:ascii="Times New Roman" w:hAnsi="Times New Roman" w:cs="Times New Roman"/>
          <w:color w:val="000000"/>
          <w:sz w:val="24"/>
          <w:szCs w:val="24"/>
          <w:highlight w:val="none"/>
        </w:rPr>
        <w:t>内容</w:t>
      </w:r>
      <w:r>
        <w:rPr>
          <w:rFonts w:hint="default" w:ascii="Times New Roman" w:hAnsi="Times New Roman" w:cs="Times New Roman"/>
          <w:sz w:val="24"/>
          <w:highlight w:val="none"/>
        </w:rPr>
        <w:t>。投标人应注意及时浏览网上发出的修改，因投标人自身原因未及时获知修改内容而导致的任何后果将由投标人自行承担</w:t>
      </w:r>
      <w:r>
        <w:rPr>
          <w:rFonts w:hint="default" w:ascii="Times New Roman" w:hAnsi="Times New Roman" w:eastAsia="宋体" w:cs="Times New Roman"/>
          <w:sz w:val="24"/>
          <w:highlight w:val="none"/>
        </w:rPr>
        <w:t>。</w:t>
      </w:r>
    </w:p>
    <w:p w14:paraId="4B16BD12">
      <w:pPr>
        <w:pStyle w:val="2"/>
        <w:pageBreakBefore w:val="0"/>
        <w:kinsoku/>
        <w:wordWrap w:val="0"/>
        <w:bidi w:val="0"/>
        <w:rPr>
          <w:rFonts w:hint="default" w:ascii="Times New Roman" w:hAnsi="Times New Roman" w:cs="Times New Roman"/>
          <w:highlight w:val="none"/>
        </w:rPr>
      </w:pPr>
      <w:bookmarkStart w:id="114" w:name="_Toc5075"/>
      <w:bookmarkStart w:id="115" w:name="_Toc13132"/>
      <w:r>
        <w:rPr>
          <w:rFonts w:hint="default" w:ascii="Times New Roman" w:hAnsi="Times New Roman" w:cs="Times New Roman"/>
          <w:highlight w:val="none"/>
        </w:rPr>
        <w:t>2.4</w:t>
      </w:r>
      <w:r>
        <w:rPr>
          <w:rFonts w:hint="default" w:ascii="Times New Roman" w:hAnsi="Times New Roman" w:cs="Times New Roman"/>
          <w:highlight w:val="none"/>
          <w:lang w:eastAsia="zh-CN"/>
        </w:rPr>
        <w:t xml:space="preserve"> </w:t>
      </w:r>
      <w:r>
        <w:rPr>
          <w:rFonts w:hint="default" w:ascii="Times New Roman" w:hAnsi="Times New Roman" w:cs="Times New Roman"/>
          <w:highlight w:val="none"/>
        </w:rPr>
        <w:t>招标文件的异议</w:t>
      </w:r>
      <w:bookmarkEnd w:id="114"/>
      <w:bookmarkEnd w:id="115"/>
    </w:p>
    <w:p w14:paraId="03AA789F">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投标人或其他利害关系人对招标文件有异议的，应在投标截止时间 10 日前以书面形式提出。招标人将在收到异议之日起 3 日内作出答复；作出答复前，将暂停招标投标活动。</w:t>
      </w:r>
    </w:p>
    <w:p w14:paraId="66CCFA8B">
      <w:pPr>
        <w:pStyle w:val="2"/>
        <w:pageBreakBefore w:val="0"/>
        <w:kinsoku/>
        <w:wordWrap w:val="0"/>
        <w:bidi w:val="0"/>
        <w:spacing w:before="360" w:after="240" w:line="240" w:lineRule="atLeast"/>
        <w:rPr>
          <w:rFonts w:hint="default" w:ascii="Times New Roman" w:hAnsi="Times New Roman" w:eastAsia="黑体" w:cs="Times New Roman"/>
          <w:b w:val="0"/>
          <w:sz w:val="28"/>
          <w:szCs w:val="28"/>
          <w:highlight w:val="none"/>
        </w:rPr>
      </w:pPr>
      <w:bookmarkStart w:id="116" w:name="_Toc1614"/>
      <w:bookmarkStart w:id="117" w:name="_Toc234832888"/>
      <w:bookmarkStart w:id="118" w:name="_Toc5874"/>
      <w:r>
        <w:rPr>
          <w:rFonts w:hint="default" w:ascii="Times New Roman" w:hAnsi="Times New Roman" w:eastAsia="黑体" w:cs="Times New Roman"/>
          <w:b w:val="0"/>
          <w:sz w:val="28"/>
          <w:szCs w:val="28"/>
          <w:highlight w:val="none"/>
        </w:rPr>
        <w:t>3. 投标文件</w:t>
      </w:r>
      <w:bookmarkEnd w:id="116"/>
      <w:bookmarkEnd w:id="117"/>
      <w:bookmarkEnd w:id="118"/>
    </w:p>
    <w:p w14:paraId="2AAE3ADA">
      <w:pPr>
        <w:pStyle w:val="2"/>
        <w:keepNext/>
        <w:keepLines/>
        <w:pageBreakBefore w:val="0"/>
        <w:widowControl w:val="0"/>
        <w:kinsoku/>
        <w:wordWrap w:val="0"/>
        <w:overflowPunct/>
        <w:topLinePunct w:val="0"/>
        <w:autoSpaceDE/>
        <w:autoSpaceDN/>
        <w:bidi w:val="0"/>
        <w:adjustRightInd/>
        <w:snapToGrid/>
        <w:textAlignment w:val="auto"/>
        <w:rPr>
          <w:rFonts w:hint="default" w:ascii="Times New Roman" w:hAnsi="Times New Roman" w:cs="Times New Roman"/>
          <w:highlight w:val="none"/>
        </w:rPr>
      </w:pPr>
      <w:bookmarkStart w:id="119" w:name="_Toc18046"/>
      <w:bookmarkStart w:id="120" w:name="_Toc234832889"/>
      <w:bookmarkStart w:id="121" w:name="_Toc1423"/>
      <w:r>
        <w:rPr>
          <w:rFonts w:hint="default" w:ascii="Times New Roman" w:hAnsi="Times New Roman" w:cs="Times New Roman"/>
          <w:highlight w:val="none"/>
        </w:rPr>
        <w:t>3.1</w:t>
      </w:r>
      <w:r>
        <w:rPr>
          <w:rFonts w:hint="default" w:ascii="Times New Roman" w:hAnsi="Times New Roman" w:cs="Times New Roman"/>
          <w:highlight w:val="none"/>
        </w:rPr>
        <w:tab/>
      </w:r>
      <w:r>
        <w:rPr>
          <w:rFonts w:hint="default" w:ascii="Times New Roman" w:hAnsi="Times New Roman" w:cs="Times New Roman"/>
          <w:highlight w:val="none"/>
        </w:rPr>
        <w:t>投标文件的组成</w:t>
      </w:r>
      <w:bookmarkEnd w:id="119"/>
      <w:bookmarkEnd w:id="120"/>
      <w:bookmarkEnd w:id="121"/>
    </w:p>
    <w:p w14:paraId="1137072F">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3.1.1 投标文件应采用双信封形式，包括下列内容：</w:t>
      </w:r>
    </w:p>
    <w:p w14:paraId="56781A15">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第一个信封（商务及技术文件）：</w:t>
      </w:r>
    </w:p>
    <w:p w14:paraId="3DE3C225">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（1）投标函及投标函附录；</w:t>
      </w:r>
    </w:p>
    <w:p w14:paraId="4AD076C1">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（2）授权委托书或法定代表人身份证明；</w:t>
      </w:r>
    </w:p>
    <w:p w14:paraId="216783CB">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（3）联合体协议书（如有）；</w:t>
      </w:r>
    </w:p>
    <w:p w14:paraId="37263249">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（4）投标保证金（如有）；</w:t>
      </w:r>
    </w:p>
    <w:p w14:paraId="72803864">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（5）施工组织设计；</w:t>
      </w:r>
    </w:p>
    <w:p w14:paraId="7BE3E185">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（6）项目管理机构；</w:t>
      </w:r>
    </w:p>
    <w:p w14:paraId="050BC226">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（7）拟分包项目情况表（如有）；</w:t>
      </w:r>
    </w:p>
    <w:p w14:paraId="2A3806AA">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 xml:space="preserve">（8）资格审查资料； </w:t>
      </w:r>
    </w:p>
    <w:p w14:paraId="7B8F7E22">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（9）投标人须知前附表规定的其他资料。</w:t>
      </w:r>
    </w:p>
    <w:p w14:paraId="19542EBB">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第二个信封（报价文件）：</w:t>
      </w:r>
    </w:p>
    <w:p w14:paraId="6F5F7F79">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w:t>
      </w:r>
      <w:r>
        <w:rPr>
          <w:rFonts w:hint="eastAsia" w:cs="Times New Roman"/>
          <w:sz w:val="24"/>
          <w:highlight w:val="none"/>
          <w:lang w:val="en-US" w:eastAsia="zh-CN"/>
        </w:rPr>
        <w:t>1</w:t>
      </w:r>
      <w:r>
        <w:rPr>
          <w:rFonts w:hint="default" w:ascii="Times New Roman" w:hAnsi="Times New Roman" w:eastAsia="宋体" w:cs="Times New Roman"/>
          <w:sz w:val="24"/>
          <w:highlight w:val="none"/>
        </w:rPr>
        <w:t>）投标函；</w:t>
      </w:r>
    </w:p>
    <w:p w14:paraId="5C6C5BC3">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w:t>
      </w:r>
      <w:r>
        <w:rPr>
          <w:rFonts w:hint="eastAsia" w:cs="Times New Roman"/>
          <w:sz w:val="24"/>
          <w:highlight w:val="none"/>
          <w:lang w:val="en-US" w:eastAsia="zh-CN"/>
        </w:rPr>
        <w:t>2</w:t>
      </w:r>
      <w:r>
        <w:rPr>
          <w:rFonts w:hint="default" w:ascii="Times New Roman" w:hAnsi="Times New Roman" w:eastAsia="宋体" w:cs="Times New Roman"/>
          <w:sz w:val="24"/>
          <w:highlight w:val="none"/>
        </w:rPr>
        <w:t>）已标价工程量清单；</w:t>
      </w:r>
    </w:p>
    <w:p w14:paraId="7C300DB8">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w:t>
      </w:r>
      <w:r>
        <w:rPr>
          <w:rFonts w:hint="eastAsia" w:cs="Times New Roman"/>
          <w:sz w:val="24"/>
          <w:highlight w:val="none"/>
          <w:lang w:val="en-US" w:eastAsia="zh-CN"/>
        </w:rPr>
        <w:t>3</w:t>
      </w:r>
      <w:r>
        <w:rPr>
          <w:rFonts w:hint="default" w:ascii="Times New Roman" w:hAnsi="Times New Roman" w:eastAsia="宋体" w:cs="Times New Roman"/>
          <w:sz w:val="24"/>
          <w:highlight w:val="none"/>
        </w:rPr>
        <w:t>）合同用款估算表。</w:t>
      </w:r>
    </w:p>
    <w:p w14:paraId="442D12AF">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投标人在评标过程中作出的符合法律法规和招标文件规定的澄清确认，构成投标文件的组成部分。</w:t>
      </w:r>
    </w:p>
    <w:p w14:paraId="16F29B57">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3.1.2 投标人须知前附表规定不接受联合体投标的，或投标人没有组成联合体的，投标文件不包括本章第3.1.1（3）目所指的联合体协议书。</w:t>
      </w:r>
    </w:p>
    <w:p w14:paraId="4A08762D">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3.1.3 投标人须知前附表未要求提交投标保证金的，投标文件不包括本章第3.1.1（4）目所指的投标保证金。</w:t>
      </w:r>
    </w:p>
    <w:p w14:paraId="3E0DFBCD">
      <w:pPr>
        <w:pStyle w:val="2"/>
        <w:pageBreakBefore w:val="0"/>
        <w:kinsoku/>
        <w:wordWrap w:val="0"/>
        <w:bidi w:val="0"/>
        <w:rPr>
          <w:rFonts w:hint="default" w:ascii="Times New Roman" w:hAnsi="Times New Roman" w:cs="Times New Roman"/>
          <w:highlight w:val="none"/>
        </w:rPr>
      </w:pPr>
      <w:bookmarkStart w:id="122" w:name="_Toc234832890"/>
      <w:bookmarkStart w:id="123" w:name="_Toc22349"/>
      <w:bookmarkStart w:id="124" w:name="_Toc29414"/>
      <w:r>
        <w:rPr>
          <w:rFonts w:hint="default" w:ascii="Times New Roman" w:hAnsi="Times New Roman" w:cs="Times New Roman"/>
          <w:highlight w:val="none"/>
        </w:rPr>
        <w:t>3.2 投标报价</w:t>
      </w:r>
      <w:bookmarkEnd w:id="122"/>
      <w:bookmarkEnd w:id="123"/>
      <w:bookmarkEnd w:id="124"/>
      <w:r>
        <w:rPr>
          <w:rFonts w:hint="default" w:ascii="Times New Roman" w:hAnsi="Times New Roman" w:cs="Times New Roman"/>
          <w:highlight w:val="none"/>
        </w:rPr>
        <w:t xml:space="preserve"> </w:t>
      </w:r>
    </w:p>
    <w:p w14:paraId="21B6839F">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3.2.1 投标报价应包括国家规定的增值税税金，除投标人须知前附表另有规定外，增值税税金按一般计税方法计算。投标人应按第九章</w:t>
      </w:r>
      <w:r>
        <w:rPr>
          <w:rFonts w:hint="eastAsia" w:ascii="宋体" w:hAnsi="宋体" w:eastAsia="宋体" w:cs="宋体"/>
          <w:sz w:val="24"/>
          <w:highlight w:val="none"/>
        </w:rPr>
        <w:t>“</w:t>
      </w:r>
      <w:r>
        <w:rPr>
          <w:rFonts w:hint="default" w:ascii="Times New Roman" w:hAnsi="Times New Roman" w:eastAsia="宋体" w:cs="Times New Roman"/>
          <w:sz w:val="24"/>
          <w:highlight w:val="none"/>
        </w:rPr>
        <w:t>投标文件格式</w:t>
      </w:r>
      <w:r>
        <w:rPr>
          <w:rFonts w:hint="eastAsia" w:ascii="宋体" w:hAnsi="宋体" w:eastAsia="宋体" w:cs="宋体"/>
          <w:sz w:val="24"/>
          <w:highlight w:val="none"/>
        </w:rPr>
        <w:t>”</w:t>
      </w:r>
      <w:r>
        <w:rPr>
          <w:rFonts w:hint="default" w:ascii="Times New Roman" w:hAnsi="Times New Roman" w:eastAsia="宋体" w:cs="Times New Roman"/>
          <w:sz w:val="24"/>
          <w:highlight w:val="none"/>
        </w:rPr>
        <w:t>的要求在投标函中进行报价并填写工程量清单相应表格。</w:t>
      </w:r>
    </w:p>
    <w:p w14:paraId="5AF19E6C">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本项目招标采用工程量固化清单，招标人在发布招标文件的同时将工程量固化清单电子文件上传至投标人须知前附表载明的网站供投标人自行下载。投标人填写工程量清单中各子目的单价或总额价，即可完成投标工程量清单的编制，确定投标报价，并生成电子版工程量清单，编入投标文件。投标人未在工程量清单中填入单价或总额价的工程子目，将被认为其已包含在工程量清单其他子目的单价和总额价中，招标人将不予支付。</w:t>
      </w:r>
    </w:p>
    <w:p w14:paraId="5A3AF93B">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严禁投标人修改</w:t>
      </w:r>
      <w:r>
        <w:rPr>
          <w:rFonts w:hint="eastAsia" w:cs="Times New Roman"/>
          <w:sz w:val="24"/>
          <w:highlight w:val="none"/>
          <w:lang w:eastAsia="zh-CN"/>
        </w:rPr>
        <w:t>工程量清单</w:t>
      </w:r>
      <w:r>
        <w:rPr>
          <w:rFonts w:hint="default" w:ascii="Times New Roman" w:hAnsi="Times New Roman" w:eastAsia="宋体" w:cs="Times New Roman"/>
          <w:sz w:val="24"/>
          <w:highlight w:val="none"/>
        </w:rPr>
        <w:t>电子文件中的数据、格式及运算定义。</w:t>
      </w:r>
    </w:p>
    <w:p w14:paraId="59239328">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投标人根据招标人提供的工程量固化清单电子文件填报完成并生成的投标工程量清单中的投标报价和投标函大写金额报价应一致，如果报价金额出现差异，其投标将被否决。</w:t>
      </w:r>
    </w:p>
    <w:p w14:paraId="240E687C">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3.2.2 投标人应充分了解本项目的总体情况以及影响投标报价的其他要素。</w:t>
      </w:r>
    </w:p>
    <w:p w14:paraId="6E77DCCD">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3.2.3 本项目的报价方式见投标人须知前附表。投标人在投标截止时间前修改投标函中的投标总报价，应同时修改投标文件</w:t>
      </w:r>
      <w:r>
        <w:rPr>
          <w:rFonts w:hint="eastAsia" w:ascii="宋体" w:hAnsi="宋体" w:eastAsia="宋体" w:cs="宋体"/>
          <w:sz w:val="24"/>
          <w:highlight w:val="none"/>
        </w:rPr>
        <w:t>“</w:t>
      </w:r>
      <w:r>
        <w:rPr>
          <w:rFonts w:hint="default" w:ascii="Times New Roman" w:hAnsi="Times New Roman" w:eastAsia="宋体" w:cs="Times New Roman"/>
          <w:sz w:val="24"/>
          <w:highlight w:val="none"/>
        </w:rPr>
        <w:t>已标价工程量清单</w:t>
      </w:r>
      <w:r>
        <w:rPr>
          <w:rFonts w:hint="eastAsia" w:ascii="宋体" w:hAnsi="宋体" w:eastAsia="宋体" w:cs="宋体"/>
          <w:sz w:val="24"/>
          <w:highlight w:val="none"/>
        </w:rPr>
        <w:t>”</w:t>
      </w:r>
      <w:r>
        <w:rPr>
          <w:rFonts w:hint="default" w:ascii="Times New Roman" w:hAnsi="Times New Roman" w:eastAsia="宋体" w:cs="Times New Roman"/>
          <w:sz w:val="24"/>
          <w:highlight w:val="none"/>
        </w:rPr>
        <w:t>中的相应报价。此修改须符合本章第4.3款的有关要求。</w:t>
      </w:r>
    </w:p>
    <w:p w14:paraId="50332709">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3.2.4 投标人如果发现工程量清单中的数量与图纸中数量不一致时，应立即通知招标人核查，除非招标人在指定媒介上以书面方式予以更正，否则，应以工程量清单中列出的数量为准。</w:t>
      </w:r>
    </w:p>
    <w:p w14:paraId="1BB3BA02">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3.2.5 投标人应根据《公路水运工程安全生产监督管理办法》，在投标总价中计入安全生产费用，安全生产费用应符合合同条款第9.2.5项的规定。工程量清单第100章内列有上述安全生产费的支付子目，由投标人按招标文件的规定填写总额价。</w:t>
      </w:r>
    </w:p>
    <w:p w14:paraId="6EF5A153">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3.2.6 在合同实施期间，投标人填写的单价、合价和总额价是否由于物价波动进行价格调整按照合同条款第 16.1 款的规定处理。如果按照合同条款第 16.1.1 项的规定采用价格调整公式进行价格调整，由招标人根据项目实际情况测算确定价格调整公式中的变值权重范围，并在投标函附录价格指数和权重表中约定范围；投标人在此范围内填写各可调因子的权重，合同实施期间将按此权重进行调价。</w:t>
      </w:r>
    </w:p>
    <w:p w14:paraId="50DA4190">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3.2.7 招标人设有最高投标限价的，投标人的投标报价不得超过最高投标限价，最高投标限价在投标人须知前附表中载明。</w:t>
      </w:r>
    </w:p>
    <w:p w14:paraId="3B23DA70">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3.2.8 投标报价的其他要求见投标人须知前附表。</w:t>
      </w:r>
    </w:p>
    <w:p w14:paraId="6E713FAC">
      <w:pPr>
        <w:pStyle w:val="2"/>
        <w:pageBreakBefore w:val="0"/>
        <w:kinsoku/>
        <w:wordWrap w:val="0"/>
        <w:bidi w:val="0"/>
        <w:rPr>
          <w:rFonts w:hint="default" w:ascii="Times New Roman" w:hAnsi="Times New Roman" w:cs="Times New Roman"/>
          <w:highlight w:val="none"/>
        </w:rPr>
      </w:pPr>
      <w:bookmarkStart w:id="125" w:name="_Toc31161"/>
      <w:bookmarkStart w:id="126" w:name="_Toc23555"/>
      <w:bookmarkStart w:id="127" w:name="_Toc234832891"/>
      <w:r>
        <w:rPr>
          <w:rFonts w:hint="default" w:ascii="Times New Roman" w:hAnsi="Times New Roman" w:cs="Times New Roman"/>
          <w:highlight w:val="none"/>
        </w:rPr>
        <w:t>3.3</w:t>
      </w:r>
      <w:r>
        <w:rPr>
          <w:rFonts w:hint="default" w:ascii="Times New Roman" w:hAnsi="Times New Roman" w:cs="Times New Roman"/>
          <w:highlight w:val="none"/>
        </w:rPr>
        <w:tab/>
      </w:r>
      <w:r>
        <w:rPr>
          <w:rFonts w:hint="default" w:ascii="Times New Roman" w:hAnsi="Times New Roman" w:cs="Times New Roman"/>
          <w:highlight w:val="none"/>
        </w:rPr>
        <w:t>投标有效期</w:t>
      </w:r>
      <w:bookmarkEnd w:id="125"/>
      <w:bookmarkEnd w:id="126"/>
      <w:bookmarkEnd w:id="127"/>
    </w:p>
    <w:p w14:paraId="6F501013">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3.3.1 除投标人须知前附表另有规定外，投标有效期为90日。</w:t>
      </w:r>
    </w:p>
    <w:p w14:paraId="02074D46">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3.3.2 在投标有效期内，投标人撤销投标文件的，应承担招标文件和法律规定的责任。</w:t>
      </w:r>
    </w:p>
    <w:p w14:paraId="19B01F2A">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3.3.3 出现特殊情况需要延长投标有效期的，招标人通过电子交易平台通知所有投标人延长投标有效期。投标人同意延长的， 应相应延长其投标保证金的有效期，但不得要求或被允许修改其投标文件；投标人拒绝延长的，其投标失效，但投标人有权收回其投标保证金及以现金或支票形式递交的投标保证金的银行同期活期存款利息。</w:t>
      </w:r>
    </w:p>
    <w:p w14:paraId="60358F9E">
      <w:pPr>
        <w:pStyle w:val="2"/>
        <w:pageBreakBefore w:val="0"/>
        <w:kinsoku/>
        <w:wordWrap w:val="0"/>
        <w:bidi w:val="0"/>
        <w:rPr>
          <w:rFonts w:hint="default" w:ascii="Times New Roman" w:hAnsi="Times New Roman" w:cs="Times New Roman"/>
          <w:highlight w:val="none"/>
        </w:rPr>
      </w:pPr>
      <w:bookmarkStart w:id="128" w:name="_Toc30197"/>
      <w:bookmarkStart w:id="129" w:name="_Toc234832892"/>
      <w:bookmarkStart w:id="130" w:name="_Toc14943"/>
      <w:r>
        <w:rPr>
          <w:rFonts w:hint="default" w:ascii="Times New Roman" w:hAnsi="Times New Roman" w:cs="Times New Roman"/>
          <w:highlight w:val="none"/>
        </w:rPr>
        <w:t>3.4</w:t>
      </w:r>
      <w:r>
        <w:rPr>
          <w:rFonts w:hint="default" w:ascii="Times New Roman" w:hAnsi="Times New Roman" w:cs="Times New Roman"/>
          <w:highlight w:val="none"/>
        </w:rPr>
        <w:tab/>
      </w:r>
      <w:r>
        <w:rPr>
          <w:rFonts w:hint="default" w:ascii="Times New Roman" w:hAnsi="Times New Roman" w:cs="Times New Roman"/>
          <w:highlight w:val="none"/>
        </w:rPr>
        <w:t xml:space="preserve"> 投标保证金</w:t>
      </w:r>
      <w:bookmarkEnd w:id="128"/>
      <w:bookmarkEnd w:id="129"/>
      <w:bookmarkEnd w:id="130"/>
    </w:p>
    <w:p w14:paraId="3B702640">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3.4.1 投标人在递交投标文件的同时，应按投标人须知前附表规定的金额</w:t>
      </w:r>
      <w:r>
        <w:rPr>
          <w:rFonts w:hint="default" w:ascii="Times New Roman" w:hAnsi="Times New Roman" w:eastAsia="宋体" w:cs="Times New Roman"/>
          <w:sz w:val="24"/>
          <w:highlight w:val="none"/>
          <w:vertAlign w:val="superscript"/>
        </w:rPr>
        <w:footnoteReference w:id="19"/>
      </w:r>
      <w:r>
        <w:rPr>
          <w:rFonts w:hint="default" w:ascii="Times New Roman" w:hAnsi="Times New Roman" w:eastAsia="宋体" w:cs="Times New Roman"/>
          <w:sz w:val="24"/>
          <w:highlight w:val="none"/>
        </w:rPr>
        <w:t>和第九章</w:t>
      </w:r>
      <w:r>
        <w:rPr>
          <w:rFonts w:hint="eastAsia" w:ascii="宋体" w:hAnsi="宋体" w:eastAsia="宋体" w:cs="宋体"/>
          <w:sz w:val="24"/>
          <w:highlight w:val="none"/>
        </w:rPr>
        <w:t>“</w:t>
      </w:r>
      <w:r>
        <w:rPr>
          <w:rFonts w:hint="default" w:ascii="Times New Roman" w:hAnsi="Times New Roman" w:eastAsia="宋体" w:cs="Times New Roman"/>
          <w:sz w:val="24"/>
          <w:highlight w:val="none"/>
        </w:rPr>
        <w:t>投标文件格式</w:t>
      </w:r>
      <w:r>
        <w:rPr>
          <w:rFonts w:hint="eastAsia" w:ascii="宋体" w:hAnsi="宋体" w:eastAsia="宋体" w:cs="宋体"/>
          <w:sz w:val="24"/>
          <w:highlight w:val="none"/>
        </w:rPr>
        <w:t>”</w:t>
      </w:r>
      <w:r>
        <w:rPr>
          <w:rFonts w:hint="default" w:ascii="Times New Roman" w:hAnsi="Times New Roman" w:eastAsia="宋体" w:cs="Times New Roman"/>
          <w:sz w:val="24"/>
          <w:highlight w:val="none"/>
        </w:rPr>
        <w:t>规定的投标保证金格式递交投标保证金，并作为其投标文件的组成部分。联合体投标的，其投标保证金由牵头人递交，并应符合投标人须知前附表的规定。</w:t>
      </w:r>
    </w:p>
    <w:p w14:paraId="34CF839B">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投标保证金应采用现金、支票、银行保函或招标人在投标人须知前附表规定的其他形式。</w:t>
      </w:r>
    </w:p>
    <w:p w14:paraId="3C985CA8">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（1）若采用现金或支票，投标人应在递交投标文件截止时间之前，将投标保证金由投标人的基本账户转入招标人指定账户，否则视为投标保证金无效。招标人指定的开户银行及账号见投标人须知前附表。</w:t>
      </w:r>
    </w:p>
    <w:p w14:paraId="64C5DC49">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（2）若采用银行保函，则应由符合投标人须知前附表规定级别的银行开具，并采用招标文件提供的格式。银行保函</w:t>
      </w:r>
      <w:r>
        <w:rPr>
          <w:rFonts w:hint="eastAsia" w:cs="Times New Roman"/>
          <w:sz w:val="24"/>
          <w:highlight w:val="none"/>
          <w:lang w:eastAsia="zh-CN"/>
        </w:rPr>
        <w:t>原件扫描件</w:t>
      </w:r>
      <w:r>
        <w:rPr>
          <w:rFonts w:hint="default" w:ascii="Times New Roman" w:hAnsi="Times New Roman" w:eastAsia="宋体" w:cs="Times New Roman"/>
          <w:sz w:val="24"/>
          <w:highlight w:val="none"/>
        </w:rPr>
        <w:t>装订在投标文件内。</w:t>
      </w:r>
    </w:p>
    <w:p w14:paraId="4F904BE8">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无论采取何种形式的投标保证金，投标保证金有效期均应与投标有效期一致。招标人如果按本章第3.3.3项的规定延长了投标有效期，则投标保证金的有效期也相应延长。</w:t>
      </w:r>
    </w:p>
    <w:p w14:paraId="15E26566">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3.4.2 投标人不按本章第3.4.1项要求提交投标保证金的，评标委员会将否决其投标。</w:t>
      </w:r>
    </w:p>
    <w:p w14:paraId="376D398F">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3.4.3 招标人最迟将在中标通知书发出后5日内向中标候选人以外的其他投标人退还投标保证金，与中标人签订合同后5日内向中标人和其他中标候选人退还投标保证金。投标保证金以现金或支票形式递交的，招标人应同时退还投标保证金的银行同期活期存款利息，且退还至投标人的基本账户。</w:t>
      </w:r>
    </w:p>
    <w:p w14:paraId="7D38796D">
      <w:pPr>
        <w:pageBreakBefore w:val="0"/>
        <w:kinsoku/>
        <w:wordWrap w:val="0"/>
        <w:bidi w:val="0"/>
        <w:spacing w:line="400" w:lineRule="atLeast"/>
        <w:ind w:firstLine="480" w:firstLineChars="200"/>
        <w:rPr>
          <w:rFonts w:hint="default" w:ascii="Times New Roman" w:hAnsi="Times New Roman" w:eastAsia="宋体" w:cs="Times New Roman"/>
          <w:sz w:val="24"/>
          <w:highlight w:val="none"/>
          <w:u w:val="single"/>
        </w:rPr>
      </w:pPr>
      <w:r>
        <w:rPr>
          <w:rFonts w:hint="default" w:ascii="Times New Roman" w:hAnsi="Times New Roman" w:eastAsia="宋体" w:cs="Times New Roman"/>
          <w:sz w:val="24"/>
          <w:highlight w:val="none"/>
        </w:rPr>
        <w:t>利息计算原则见投标人须知前附表。</w:t>
      </w:r>
    </w:p>
    <w:p w14:paraId="54A93175">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3.4.4 有下列情形之一的，投标保证金将不予退还：</w:t>
      </w:r>
    </w:p>
    <w:p w14:paraId="4B9C1600">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（1）投标人在投标有效期内撤销投标文件；</w:t>
      </w:r>
    </w:p>
    <w:p w14:paraId="3659836A">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（2）中标人在收到中标通知书后，无正当理由不与招标人订立合同，在签订合同时向招标人提出附加条件，或不按照招标文件要求提交履约保证金；</w:t>
      </w:r>
    </w:p>
    <w:p w14:paraId="6DFF26C8">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（3）发生投标人须知前附表规定的其他可以不予退还投标保证金的情形。</w:t>
      </w:r>
    </w:p>
    <w:p w14:paraId="23B4A71B">
      <w:pPr>
        <w:pStyle w:val="2"/>
        <w:pageBreakBefore w:val="0"/>
        <w:kinsoku/>
        <w:wordWrap w:val="0"/>
        <w:bidi w:val="0"/>
        <w:rPr>
          <w:rFonts w:hint="default" w:ascii="Times New Roman" w:hAnsi="Times New Roman" w:cs="Times New Roman"/>
          <w:highlight w:val="none"/>
        </w:rPr>
      </w:pPr>
      <w:bookmarkStart w:id="131" w:name="_Toc11828"/>
      <w:bookmarkStart w:id="132" w:name="_Toc234832894"/>
      <w:bookmarkStart w:id="133" w:name="_Toc19802"/>
      <w:r>
        <w:rPr>
          <w:rFonts w:hint="default" w:ascii="Times New Roman" w:hAnsi="Times New Roman" w:cs="Times New Roman"/>
          <w:highlight w:val="none"/>
        </w:rPr>
        <w:t>3.5</w:t>
      </w:r>
      <w:r>
        <w:rPr>
          <w:rFonts w:hint="default" w:ascii="Times New Roman" w:hAnsi="Times New Roman" w:cs="Times New Roman"/>
          <w:highlight w:val="none"/>
        </w:rPr>
        <w:tab/>
      </w:r>
      <w:r>
        <w:rPr>
          <w:rFonts w:hint="default" w:ascii="Times New Roman" w:hAnsi="Times New Roman" w:cs="Times New Roman"/>
          <w:highlight w:val="none"/>
        </w:rPr>
        <w:t xml:space="preserve"> 资格审查资料</w:t>
      </w:r>
      <w:bookmarkEnd w:id="131"/>
      <w:bookmarkEnd w:id="132"/>
      <w:bookmarkEnd w:id="133"/>
    </w:p>
    <w:p w14:paraId="3826867E">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除投标人须知前附表另有规定外，投标人应按下列规定提供资格审查资料，以证明其满足本章第1.4款规定的资质、财务、业绩、信誉等要求。</w:t>
      </w:r>
    </w:p>
    <w:p w14:paraId="71B1C8B9">
      <w:pPr>
        <w:pageBreakBefore w:val="0"/>
        <w:kinsoku/>
        <w:wordWrap w:val="0"/>
        <w:bidi w:val="0"/>
        <w:spacing w:line="400" w:lineRule="atLeas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投标人应在</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辽宁省公共资源交易</w:t>
      </w:r>
      <w:r>
        <w:rPr>
          <w:rFonts w:hint="default" w:ascii="Times New Roman" w:hAnsi="Times New Roman" w:cs="Times New Roman"/>
          <w:color w:val="auto"/>
          <w:sz w:val="24"/>
          <w:szCs w:val="24"/>
          <w:highlight w:val="none"/>
          <w:lang w:val="en-US" w:eastAsia="zh-CN"/>
        </w:rPr>
        <w:t>一</w:t>
      </w:r>
      <w:r>
        <w:rPr>
          <w:rFonts w:hint="default" w:ascii="Times New Roman" w:hAnsi="Times New Roman" w:eastAsia="宋体" w:cs="Times New Roman"/>
          <w:color w:val="auto"/>
          <w:sz w:val="24"/>
          <w:szCs w:val="24"/>
          <w:highlight w:val="none"/>
        </w:rPr>
        <w:t>张网电子化平台</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中建立信用信息档案，并对在系统中所填报内容的真实性、准确性和完整性负责。投标人需要在</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辽宁省公共资源交易</w:t>
      </w:r>
      <w:r>
        <w:rPr>
          <w:rFonts w:hint="default" w:ascii="Times New Roman" w:hAnsi="Times New Roman" w:cs="Times New Roman"/>
          <w:color w:val="auto"/>
          <w:sz w:val="24"/>
          <w:szCs w:val="24"/>
          <w:highlight w:val="none"/>
          <w:lang w:val="en-US" w:eastAsia="zh-CN"/>
        </w:rPr>
        <w:t>一</w:t>
      </w:r>
      <w:r>
        <w:rPr>
          <w:rFonts w:hint="default" w:ascii="Times New Roman" w:hAnsi="Times New Roman" w:eastAsia="宋体" w:cs="Times New Roman"/>
          <w:color w:val="auto"/>
          <w:sz w:val="24"/>
          <w:szCs w:val="24"/>
          <w:highlight w:val="none"/>
        </w:rPr>
        <w:t>张网电子化平台</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中备案或更新的内容，</w:t>
      </w:r>
      <w:r>
        <w:rPr>
          <w:rFonts w:hint="default" w:ascii="Times New Roman" w:hAnsi="Times New Roman" w:cs="Times New Roman"/>
          <w:color w:val="auto"/>
          <w:sz w:val="24"/>
          <w:szCs w:val="24"/>
          <w:highlight w:val="none"/>
          <w:lang w:val="en-US" w:eastAsia="zh-CN"/>
        </w:rPr>
        <w:t>应</w:t>
      </w:r>
      <w:r>
        <w:rPr>
          <w:rFonts w:hint="default" w:ascii="Times New Roman" w:hAnsi="Times New Roman" w:eastAsia="宋体" w:cs="Times New Roman"/>
          <w:color w:val="auto"/>
          <w:sz w:val="24"/>
          <w:szCs w:val="24"/>
          <w:highlight w:val="none"/>
        </w:rPr>
        <w:t>在投标文件递交截止时间之前完成备案或更新，未录入、更新至</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辽宁省公共资源交易</w:t>
      </w:r>
      <w:r>
        <w:rPr>
          <w:rFonts w:hint="default" w:ascii="Times New Roman" w:hAnsi="Times New Roman" w:cs="Times New Roman"/>
          <w:color w:val="auto"/>
          <w:sz w:val="24"/>
          <w:szCs w:val="24"/>
          <w:highlight w:val="none"/>
          <w:lang w:val="en-US" w:eastAsia="zh-CN"/>
        </w:rPr>
        <w:t>一</w:t>
      </w:r>
      <w:r>
        <w:rPr>
          <w:rFonts w:hint="default" w:ascii="Times New Roman" w:hAnsi="Times New Roman" w:eastAsia="宋体" w:cs="Times New Roman"/>
          <w:color w:val="auto"/>
          <w:sz w:val="24"/>
          <w:szCs w:val="24"/>
          <w:highlight w:val="none"/>
        </w:rPr>
        <w:t>张网电子化平台</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的信息数据或已录入、更新至</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辽宁省公共资源交易</w:t>
      </w:r>
      <w:r>
        <w:rPr>
          <w:rFonts w:hint="default" w:ascii="Times New Roman" w:hAnsi="Times New Roman" w:cs="Times New Roman"/>
          <w:color w:val="auto"/>
          <w:sz w:val="24"/>
          <w:szCs w:val="24"/>
          <w:highlight w:val="none"/>
          <w:lang w:val="en-US" w:eastAsia="zh-CN"/>
        </w:rPr>
        <w:t>一</w:t>
      </w:r>
      <w:r>
        <w:rPr>
          <w:rFonts w:hint="default" w:ascii="Times New Roman" w:hAnsi="Times New Roman" w:eastAsia="宋体" w:cs="Times New Roman"/>
          <w:color w:val="auto"/>
          <w:sz w:val="24"/>
          <w:szCs w:val="24"/>
          <w:highlight w:val="none"/>
        </w:rPr>
        <w:t>张网电子化平台</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中但</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投标文件</w:t>
      </w:r>
      <w:r>
        <w:rPr>
          <w:rFonts w:hint="eastAsia" w:ascii="宋体" w:hAnsi="宋体" w:eastAsia="宋体" w:cs="宋体"/>
          <w:color w:val="auto"/>
          <w:sz w:val="24"/>
          <w:szCs w:val="24"/>
          <w:highlight w:val="none"/>
          <w:lang w:eastAsia="zh-CN"/>
        </w:rPr>
        <w:t>”</w:t>
      </w:r>
      <w:r>
        <w:rPr>
          <w:rFonts w:hint="default" w:ascii="Times New Roman" w:hAnsi="Times New Roman" w:eastAsia="宋体" w:cs="Times New Roman"/>
          <w:color w:val="auto"/>
          <w:sz w:val="24"/>
          <w:szCs w:val="24"/>
          <w:highlight w:val="none"/>
        </w:rPr>
        <w:t>中未填报的内容，均不予认可，投标文件中证明资料的</w:t>
      </w:r>
      <w:r>
        <w:rPr>
          <w:rFonts w:hint="eastAsia" w:ascii="宋体" w:hAnsi="宋体" w:eastAsia="宋体" w:cs="宋体"/>
          <w:color w:val="auto"/>
          <w:sz w:val="24"/>
          <w:szCs w:val="24"/>
          <w:highlight w:val="none"/>
        </w:rPr>
        <w:t>“</w:t>
      </w:r>
      <w:r>
        <w:rPr>
          <w:rFonts w:hint="eastAsia" w:cs="Times New Roman"/>
          <w:color w:val="auto"/>
          <w:sz w:val="24"/>
          <w:szCs w:val="24"/>
          <w:highlight w:val="none"/>
          <w:lang w:eastAsia="zh-CN"/>
        </w:rPr>
        <w:t>原件扫描件</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应从</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电子交易平台</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会员诚信库中选择并进行超链接</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sz w:val="24"/>
          <w:szCs w:val="24"/>
          <w:highlight w:val="none"/>
        </w:rPr>
        <w:t>除投标人须知前附表另有规定外</w:t>
      </w:r>
      <w:r>
        <w:rPr>
          <w:rFonts w:hint="default" w:ascii="Times New Roman" w:hAnsi="Times New Roman" w:eastAsia="宋体" w:cs="Times New Roman"/>
          <w:color w:val="auto"/>
          <w:sz w:val="24"/>
          <w:szCs w:val="24"/>
          <w:highlight w:val="none"/>
        </w:rPr>
        <w:t>招标人不再接受投标人提交相关证明原件作为替代或补充。</w:t>
      </w:r>
    </w:p>
    <w:p w14:paraId="278254D0">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 xml:space="preserve">3.5.1 </w:t>
      </w:r>
      <w:r>
        <w:rPr>
          <w:rFonts w:hint="eastAsia" w:ascii="宋体" w:hAnsi="宋体" w:eastAsia="宋体" w:cs="宋体"/>
          <w:sz w:val="24"/>
          <w:highlight w:val="none"/>
        </w:rPr>
        <w:t>“</w:t>
      </w:r>
      <w:r>
        <w:rPr>
          <w:rFonts w:hint="default" w:ascii="Times New Roman" w:hAnsi="Times New Roman" w:eastAsia="宋体" w:cs="Times New Roman"/>
          <w:sz w:val="24"/>
          <w:highlight w:val="none"/>
        </w:rPr>
        <w:t>投标人基本情况表</w:t>
      </w:r>
      <w:r>
        <w:rPr>
          <w:rFonts w:hint="eastAsia" w:ascii="宋体" w:hAnsi="宋体" w:eastAsia="宋体" w:cs="宋体"/>
          <w:sz w:val="24"/>
          <w:highlight w:val="none"/>
        </w:rPr>
        <w:t>”</w:t>
      </w:r>
      <w:r>
        <w:rPr>
          <w:rFonts w:hint="default" w:ascii="Times New Roman" w:hAnsi="Times New Roman" w:eastAsia="宋体" w:cs="Times New Roman"/>
          <w:sz w:val="24"/>
          <w:highlight w:val="none"/>
        </w:rPr>
        <w:t>应附企业法人营业执照、施工资质证书、安全生产许可证、基本账户开户许可证</w:t>
      </w:r>
      <w:r>
        <w:rPr>
          <w:rFonts w:hint="default" w:ascii="Times New Roman" w:hAnsi="Times New Roman" w:cs="Times New Roman"/>
          <w:color w:val="000000"/>
          <w:sz w:val="24"/>
          <w:szCs w:val="24"/>
          <w:highlight w:val="none"/>
          <w:lang w:val="en-US" w:eastAsia="zh-CN"/>
        </w:rPr>
        <w:t>或基本存款账户开户信息单</w:t>
      </w:r>
      <w:r>
        <w:rPr>
          <w:rFonts w:hint="default" w:ascii="Times New Roman" w:hAnsi="Times New Roman" w:eastAsia="宋体" w:cs="Times New Roman"/>
          <w:sz w:val="24"/>
          <w:highlight w:val="none"/>
        </w:rPr>
        <w:t>的</w:t>
      </w:r>
      <w:r>
        <w:rPr>
          <w:rFonts w:hint="default" w:ascii="Times New Roman" w:hAnsi="Times New Roman" w:cs="Times New Roman"/>
          <w:sz w:val="24"/>
          <w:highlight w:val="none"/>
          <w:lang w:eastAsia="zh-CN"/>
        </w:rPr>
        <w:t>“</w:t>
      </w:r>
      <w:r>
        <w:rPr>
          <w:rFonts w:hint="eastAsia" w:cs="Times New Roman"/>
          <w:sz w:val="24"/>
          <w:highlight w:val="none"/>
          <w:lang w:eastAsia="zh-CN"/>
        </w:rPr>
        <w:t>原件扫描件</w:t>
      </w:r>
      <w:r>
        <w:rPr>
          <w:rFonts w:hint="default" w:ascii="Times New Roman" w:hAnsi="Times New Roman" w:cs="Times New Roman"/>
          <w:sz w:val="24"/>
          <w:highlight w:val="none"/>
          <w:lang w:eastAsia="zh-CN"/>
        </w:rPr>
        <w:t>”</w:t>
      </w:r>
      <w:r>
        <w:rPr>
          <w:rFonts w:hint="default" w:ascii="Times New Roman" w:hAnsi="Times New Roman" w:eastAsia="宋体" w:cs="Times New Roman"/>
          <w:sz w:val="24"/>
          <w:highlight w:val="none"/>
        </w:rPr>
        <w:t>，投标人在交通运输部</w:t>
      </w:r>
      <w:r>
        <w:rPr>
          <w:rFonts w:hint="eastAsia" w:ascii="宋体" w:hAnsi="宋体" w:eastAsia="宋体" w:cs="宋体"/>
          <w:sz w:val="24"/>
          <w:highlight w:val="none"/>
        </w:rPr>
        <w:t>“</w:t>
      </w:r>
      <w:r>
        <w:rPr>
          <w:rFonts w:hint="eastAsia" w:cs="Times New Roman"/>
          <w:sz w:val="24"/>
          <w:highlight w:val="none"/>
          <w:lang w:eastAsia="zh-CN"/>
        </w:rPr>
        <w:t>全国公路建设市场监督管理系统</w:t>
      </w:r>
      <w:r>
        <w:rPr>
          <w:rFonts w:hint="eastAsia" w:ascii="宋体" w:hAnsi="宋体" w:eastAsia="宋体" w:cs="宋体"/>
          <w:sz w:val="24"/>
          <w:highlight w:val="none"/>
        </w:rPr>
        <w:t>”</w:t>
      </w:r>
      <w:r>
        <w:rPr>
          <w:rFonts w:hint="default" w:ascii="Times New Roman" w:hAnsi="Times New Roman" w:eastAsia="宋体" w:cs="Times New Roman"/>
          <w:sz w:val="24"/>
          <w:highlight w:val="none"/>
        </w:rPr>
        <w:t>公路工程施工资质企业名录中的网页截图，以及投标人在国家企业信用信息公示系统中基础信息（体现股东及出资详细信息）的网页截图。</w:t>
      </w:r>
    </w:p>
    <w:p w14:paraId="0E66392D">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企业法人营业执照、施工资质证书、安全生产许可证、基本账户开户许可证或基本存款账户信息的“原件扫描件 ”应提供全本（证书封面、封底、空白页除外） ，应包括投标人名称、投标人其他相关信息、颁发机构名称、投标人信息变更情况等关键页在内。</w:t>
      </w:r>
    </w:p>
    <w:p w14:paraId="6A578420">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 xml:space="preserve">3.5.2 </w:t>
      </w:r>
      <w:r>
        <w:rPr>
          <w:rFonts w:hint="eastAsia" w:ascii="宋体" w:hAnsi="宋体" w:eastAsia="宋体" w:cs="宋体"/>
          <w:sz w:val="24"/>
          <w:highlight w:val="none"/>
        </w:rPr>
        <w:t>“</w:t>
      </w:r>
      <w:r>
        <w:rPr>
          <w:rFonts w:hint="default" w:ascii="Times New Roman" w:hAnsi="Times New Roman" w:eastAsia="宋体" w:cs="Times New Roman"/>
          <w:sz w:val="24"/>
          <w:highlight w:val="none"/>
        </w:rPr>
        <w:t>财务状况表</w:t>
      </w:r>
      <w:r>
        <w:rPr>
          <w:rFonts w:hint="eastAsia" w:ascii="宋体" w:hAnsi="宋体" w:eastAsia="宋体" w:cs="宋体"/>
          <w:sz w:val="24"/>
          <w:highlight w:val="none"/>
        </w:rPr>
        <w:t>”</w:t>
      </w:r>
      <w:r>
        <w:rPr>
          <w:rFonts w:hint="default" w:ascii="Times New Roman" w:hAnsi="Times New Roman" w:eastAsia="宋体" w:cs="Times New Roman"/>
          <w:sz w:val="24"/>
          <w:highlight w:val="none"/>
        </w:rPr>
        <w:t>应附经会计师事务所或审计机构审计的财务会计报表，包括资产负债表、现金流量表、利润表和财务情况说明书的</w:t>
      </w:r>
      <w:r>
        <w:rPr>
          <w:rFonts w:hint="default" w:ascii="Times New Roman" w:hAnsi="Times New Roman" w:cs="Times New Roman"/>
          <w:sz w:val="24"/>
          <w:highlight w:val="none"/>
          <w:lang w:eastAsia="zh-CN"/>
        </w:rPr>
        <w:t>“</w:t>
      </w:r>
      <w:r>
        <w:rPr>
          <w:rFonts w:hint="eastAsia" w:cs="Times New Roman"/>
          <w:sz w:val="24"/>
          <w:highlight w:val="none"/>
          <w:lang w:eastAsia="zh-CN"/>
        </w:rPr>
        <w:t>原件扫描件</w:t>
      </w:r>
      <w:r>
        <w:rPr>
          <w:rFonts w:hint="default" w:ascii="Times New Roman" w:hAnsi="Times New Roman" w:cs="Times New Roman"/>
          <w:sz w:val="24"/>
          <w:highlight w:val="none"/>
          <w:lang w:eastAsia="zh-CN"/>
        </w:rPr>
        <w:t>”</w:t>
      </w:r>
      <w:r>
        <w:rPr>
          <w:rFonts w:hint="default" w:ascii="Times New Roman" w:hAnsi="Times New Roman" w:eastAsia="宋体" w:cs="Times New Roman"/>
          <w:sz w:val="24"/>
          <w:highlight w:val="none"/>
        </w:rPr>
        <w:t>，具体年份要求见投标人须知前附表。投标人的成立时间少于投标人须知前附表规定年份的，应提供成立以来的财务状况表。</w:t>
      </w:r>
    </w:p>
    <w:p w14:paraId="399A2D2F">
      <w:pPr>
        <w:pageBreakBefore w:val="0"/>
        <w:kinsoku/>
        <w:wordWrap w:val="0"/>
        <w:topLinePunct/>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 xml:space="preserve">3.5.3 </w:t>
      </w:r>
      <w:r>
        <w:rPr>
          <w:rFonts w:hint="eastAsia" w:ascii="宋体" w:hAnsi="宋体" w:eastAsia="宋体" w:cs="宋体"/>
          <w:sz w:val="24"/>
          <w:highlight w:val="none"/>
        </w:rPr>
        <w:t>“</w:t>
      </w:r>
      <w:r>
        <w:rPr>
          <w:rFonts w:hint="default" w:ascii="Times New Roman" w:hAnsi="Times New Roman" w:eastAsia="宋体" w:cs="Times New Roman"/>
          <w:sz w:val="24"/>
          <w:highlight w:val="none"/>
        </w:rPr>
        <w:t>近年完成的类似项目</w:t>
      </w:r>
      <w:r>
        <w:rPr>
          <w:rFonts w:hint="eastAsia" w:ascii="宋体" w:hAnsi="宋体" w:eastAsia="宋体" w:cs="宋体"/>
          <w:sz w:val="24"/>
          <w:highlight w:val="none"/>
        </w:rPr>
        <w:t>”</w:t>
      </w:r>
      <w:r>
        <w:rPr>
          <w:rFonts w:hint="default" w:ascii="Times New Roman" w:hAnsi="Times New Roman" w:eastAsia="宋体" w:cs="Times New Roman"/>
          <w:sz w:val="24"/>
          <w:highlight w:val="none"/>
        </w:rPr>
        <w:t>具体时间要求见投标人须知前附表。</w:t>
      </w:r>
    </w:p>
    <w:p w14:paraId="4401DF26">
      <w:pPr>
        <w:pageBreakBefore w:val="0"/>
        <w:kinsoku/>
        <w:wordWrap w:val="0"/>
        <w:topLinePunct/>
        <w:bidi w:val="0"/>
        <w:spacing w:line="400" w:lineRule="atLeas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投标人应在“辽宁省公共资源交易一张网电子化平台 ”主体信息库中选择并进行超链接。</w:t>
      </w:r>
    </w:p>
    <w:p w14:paraId="0EC98060">
      <w:pPr>
        <w:pageBreakBefore w:val="0"/>
        <w:kinsoku/>
        <w:wordWrap w:val="0"/>
        <w:topLinePunct/>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3.5.</w:t>
      </w:r>
      <w:r>
        <w:rPr>
          <w:rFonts w:hint="eastAsia" w:cs="Times New Roman"/>
          <w:sz w:val="24"/>
          <w:highlight w:val="none"/>
          <w:lang w:val="en-US" w:eastAsia="zh-CN"/>
        </w:rPr>
        <w:t>4</w:t>
      </w:r>
      <w:r>
        <w:rPr>
          <w:rFonts w:hint="default" w:ascii="Times New Roman" w:hAnsi="Times New Roman" w:eastAsia="宋体" w:cs="Times New Roman"/>
          <w:sz w:val="24"/>
          <w:highlight w:val="none"/>
        </w:rPr>
        <w:t xml:space="preserve"> 投标人的信誉情况表 ”应附投标人在国家企业信用信息公示系统中未被列入严重违法失信企业名单、在“信用中国 ”（或中国执行信息公开网）网站中未被列入失信被执行人名单的网页截图，以及近三年内（以投标截止日期为截止日、往前推算 3 个年度）投标人单位、个人（指法定代表人、拟投入的项目经理） 均无行贿犯罪行为的书面承诺“原件扫描件”（格式详见招标文件第九章）。</w:t>
      </w:r>
    </w:p>
    <w:p w14:paraId="4CC2FF47">
      <w:pPr>
        <w:pageBreakBefore w:val="0"/>
        <w:kinsoku/>
        <w:wordWrap w:val="0"/>
        <w:bidi w:val="0"/>
        <w:spacing w:line="400" w:lineRule="atLeast"/>
        <w:ind w:firstLine="482" w:firstLineChars="200"/>
        <w:rPr>
          <w:rFonts w:hint="eastAsia" w:ascii="Times New Roman" w:hAnsi="Times New Roman" w:eastAsia="宋体" w:cs="Times New Roman"/>
          <w:b/>
          <w:bCs/>
          <w:strike w:val="0"/>
          <w:dstrike w:val="0"/>
          <w:color w:val="auto"/>
          <w:sz w:val="24"/>
          <w:highlight w:val="none"/>
          <w:lang w:eastAsia="zh-CN"/>
        </w:rPr>
      </w:pPr>
      <w:r>
        <w:rPr>
          <w:rFonts w:hint="default" w:ascii="Times New Roman" w:hAnsi="Times New Roman" w:eastAsia="宋体" w:cs="Times New Roman"/>
          <w:b/>
          <w:bCs/>
          <w:strike w:val="0"/>
          <w:dstrike w:val="0"/>
          <w:color w:val="auto"/>
          <w:sz w:val="24"/>
          <w:highlight w:val="none"/>
        </w:rPr>
        <w:t>3.5.5 “拟委任的项目经理和项目总工资历表 ”应附项目经理和项目总工的身份证、职称资格证书以及资格审查条件所要求的其他相关证书（如建造师注册证书、安全生产考核合格证书等）的原件扫描件，建造师注册证书、安全生产考核合格证书在政府相关部门网站上公开信息的网页截图，以及投标人所属社保机构出具的拟委任的项目经理和项目总工的社保缴费证明或其他能够证明拟委任的项目经理和项目总工参加社保的有效证明材料原件扫描件</w:t>
      </w:r>
      <w:r>
        <w:rPr>
          <w:rFonts w:hint="eastAsia" w:cs="Times New Roman"/>
          <w:b/>
          <w:bCs/>
          <w:strike w:val="0"/>
          <w:dstrike w:val="0"/>
          <w:color w:val="auto"/>
          <w:sz w:val="24"/>
          <w:highlight w:val="none"/>
          <w:lang w:eastAsia="zh-CN"/>
        </w:rPr>
        <w:t>。</w:t>
      </w:r>
    </w:p>
    <w:p w14:paraId="783A24FD">
      <w:pPr>
        <w:pageBreakBefore w:val="0"/>
        <w:kinsoku/>
        <w:wordWrap w:val="0"/>
        <w:topLinePunct/>
        <w:bidi w:val="0"/>
        <w:spacing w:line="400" w:lineRule="atLeast"/>
        <w:ind w:firstLine="468" w:firstLineChars="200"/>
        <w:rPr>
          <w:rFonts w:hint="default" w:ascii="Times New Roman" w:hAnsi="Times New Roman" w:eastAsia="宋体" w:cs="Times New Roman"/>
          <w:sz w:val="24"/>
          <w:highlight w:val="none"/>
        </w:rPr>
      </w:pPr>
      <w:r>
        <w:rPr>
          <w:rFonts w:ascii="宋体" w:hAnsi="宋体" w:eastAsia="宋体" w:cs="宋体"/>
          <w:spacing w:val="-3"/>
          <w:sz w:val="24"/>
          <w:szCs w:val="24"/>
          <w:highlight w:val="none"/>
        </w:rPr>
        <w:t>如项目经理或项目总工目前仍在其他项目上任职，则投标人应提供承诺上述</w:t>
      </w:r>
      <w:r>
        <w:rPr>
          <w:rFonts w:ascii="宋体" w:hAnsi="宋体" w:eastAsia="宋体" w:cs="宋体"/>
          <w:spacing w:val="-4"/>
          <w:sz w:val="24"/>
          <w:szCs w:val="24"/>
          <w:highlight w:val="none"/>
        </w:rPr>
        <w:t>人员能够从该项目撤离的书面承诺</w:t>
      </w:r>
      <w:r>
        <w:rPr>
          <w:rFonts w:hint="eastAsia" w:ascii="宋体" w:hAnsi="宋体" w:eastAsia="宋体" w:cs="宋体"/>
          <w:sz w:val="24"/>
          <w:highlight w:val="none"/>
        </w:rPr>
        <w:t>。</w:t>
      </w:r>
    </w:p>
    <w:p w14:paraId="22E7B1E3">
      <w:pPr>
        <w:pageBreakBefore w:val="0"/>
        <w:kinsoku/>
        <w:wordWrap w:val="0"/>
        <w:topLinePunct/>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3.5.6 “拟委任的其他管理和技术人员汇总表 ”（如有）应填报满足投标人须知</w:t>
      </w:r>
    </w:p>
    <w:p w14:paraId="1DBA1E42">
      <w:pPr>
        <w:pageBreakBefore w:val="0"/>
        <w:kinsoku/>
        <w:wordWrap w:val="0"/>
        <w:topLinePunct/>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前附表附录 6 规定的其他人员的相关信息。“拟委任的其他管理和技术人员资历表 ” （如有）中相关人员应附身份证、职称资格证书以及资格审查条件所要求的其他相关证书的原件扫描件，相关业绩证明材料原件扫描件，以及投标人所属社保机构出具的社保缴费证明或其他能够证明其参加社保的有效证明材料原件扫描件。</w:t>
      </w:r>
    </w:p>
    <w:p w14:paraId="7BBF582B">
      <w:pPr>
        <w:pageBreakBefore w:val="0"/>
        <w:kinsoku/>
        <w:wordWrap w:val="0"/>
        <w:topLinePunct/>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 xml:space="preserve">3.5.7 </w:t>
      </w:r>
      <w:r>
        <w:rPr>
          <w:rFonts w:hint="eastAsia" w:ascii="宋体" w:hAnsi="宋体" w:eastAsia="宋体" w:cs="宋体"/>
          <w:sz w:val="24"/>
          <w:highlight w:val="none"/>
        </w:rPr>
        <w:t>“</w:t>
      </w:r>
      <w:r>
        <w:rPr>
          <w:rFonts w:hint="default" w:ascii="Times New Roman" w:hAnsi="Times New Roman" w:eastAsia="宋体" w:cs="Times New Roman"/>
          <w:sz w:val="24"/>
          <w:highlight w:val="none"/>
        </w:rPr>
        <w:t>拟投入本标段的主要施工机械表</w:t>
      </w:r>
      <w:r>
        <w:rPr>
          <w:rFonts w:hint="eastAsia" w:ascii="宋体" w:hAnsi="宋体" w:eastAsia="宋体" w:cs="宋体"/>
          <w:sz w:val="24"/>
          <w:highlight w:val="none"/>
        </w:rPr>
        <w:t>”“</w:t>
      </w:r>
      <w:r>
        <w:rPr>
          <w:rFonts w:hint="default" w:ascii="Times New Roman" w:hAnsi="Times New Roman" w:eastAsia="宋体" w:cs="Times New Roman"/>
          <w:sz w:val="24"/>
          <w:highlight w:val="none"/>
        </w:rPr>
        <w:t>拟配备本标段的主要材料试验、测量、质检仪器设备表</w:t>
      </w:r>
      <w:r>
        <w:rPr>
          <w:rFonts w:hint="eastAsia" w:ascii="宋体" w:hAnsi="宋体" w:eastAsia="宋体" w:cs="宋体"/>
          <w:sz w:val="24"/>
          <w:highlight w:val="none"/>
        </w:rPr>
        <w:t>”</w:t>
      </w:r>
      <w:r>
        <w:rPr>
          <w:rFonts w:hint="default" w:ascii="Times New Roman" w:hAnsi="Times New Roman" w:eastAsia="宋体" w:cs="Times New Roman"/>
          <w:sz w:val="24"/>
          <w:highlight w:val="none"/>
        </w:rPr>
        <w:t>（如有）应填报满足投标人须知前附表附录7规定的机械设备和试验检测设备。</w:t>
      </w:r>
    </w:p>
    <w:p w14:paraId="6670A3D8">
      <w:pPr>
        <w:pageBreakBefore w:val="0"/>
        <w:kinsoku/>
        <w:wordWrap w:val="0"/>
        <w:topLinePunct/>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3.5.8 投标人须知前附表规定接受联合体投标的，本章第3.5.1项至第3.5.7项规定的表格和资料应包括联合体各方相关情况。</w:t>
      </w:r>
    </w:p>
    <w:p w14:paraId="6FEA786B">
      <w:pPr>
        <w:pageBreakBefore w:val="0"/>
        <w:kinsoku/>
        <w:wordWrap w:val="0"/>
        <w:topLinePunct/>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3.5.9 除合同条款约定的特殊情形外，投标人在投标文件中填报的项目经理和项目总工不允许更换。</w:t>
      </w:r>
    </w:p>
    <w:p w14:paraId="57C58065">
      <w:pPr>
        <w:pageBreakBefore w:val="0"/>
        <w:kinsoku/>
        <w:wordWrap w:val="0"/>
        <w:topLinePunct/>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3.5.10 投标人应根据本单位实际情况及时完成相关信息的申报、录入和动态更新，并对相关信息的真实性、完整性和准确性负责。</w:t>
      </w:r>
    </w:p>
    <w:p w14:paraId="63D7931A">
      <w:pPr>
        <w:pageBreakBefore w:val="0"/>
        <w:kinsoku/>
        <w:wordWrap w:val="0"/>
        <w:topLinePunct/>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3.5.11 招标人有权核查投标人在投标文件中提供的资料，若在评标期间发现投标人提供了虚假资料，其投标将被否决；若在签订合同前发现作为中标候选人的投标人提供了虚假资料，招标人有权取消其中标资格；若在合同实施期间发现投标人提供了虚假资料，招标人有权从工程支付款或履约保证金中扣除不超过10％签约合同价的金额作为违约金。同时招标人将投标人上述弄虚作假行为上报省级交通运输主管部门，作为不良记录纳入公路建设市场信用信息管理系统。</w:t>
      </w:r>
    </w:p>
    <w:p w14:paraId="40DEE552">
      <w:pPr>
        <w:pStyle w:val="2"/>
        <w:pageBreakBefore w:val="0"/>
        <w:kinsoku/>
        <w:wordWrap w:val="0"/>
        <w:bidi w:val="0"/>
        <w:rPr>
          <w:rFonts w:hint="default" w:ascii="Times New Roman" w:hAnsi="Times New Roman" w:cs="Times New Roman"/>
          <w:highlight w:val="none"/>
        </w:rPr>
      </w:pPr>
      <w:bookmarkStart w:id="134" w:name="_Toc28562"/>
      <w:bookmarkStart w:id="135" w:name="_Toc234832895"/>
      <w:bookmarkStart w:id="136" w:name="_Toc8548"/>
      <w:r>
        <w:rPr>
          <w:rFonts w:hint="default" w:ascii="Times New Roman" w:hAnsi="Times New Roman" w:cs="Times New Roman"/>
          <w:highlight w:val="none"/>
        </w:rPr>
        <w:t>3.6 备选投标方案</w:t>
      </w:r>
      <w:bookmarkEnd w:id="134"/>
      <w:bookmarkEnd w:id="135"/>
      <w:bookmarkEnd w:id="136"/>
    </w:p>
    <w:p w14:paraId="6328A1B6">
      <w:pPr>
        <w:pageBreakBefore w:val="0"/>
        <w:kinsoku/>
        <w:wordWrap w:val="0"/>
        <w:topLinePunct/>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3.6.1 除投标人须知前附表规定允许外，投标人不得递交备选投标方案，否则其投标将被否决。</w:t>
      </w:r>
    </w:p>
    <w:p w14:paraId="32A83FB7">
      <w:pPr>
        <w:pageBreakBefore w:val="0"/>
        <w:kinsoku/>
        <w:wordWrap w:val="0"/>
        <w:topLinePunct/>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3.6.2 允许投标人递交备选投标方案的，只有中标人所递交的备选投标方案方可予以考虑。评标委员会认为中标人的备选投标方案优于其按照招标文件要求编制的投标方案的，招标人可以接受该备选投标方案。</w:t>
      </w:r>
    </w:p>
    <w:p w14:paraId="7C97BAFD">
      <w:pPr>
        <w:pageBreakBefore w:val="0"/>
        <w:kinsoku/>
        <w:wordWrap w:val="0"/>
        <w:topLinePunct/>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3.6.3 投标人提供两个或两个以上投标报价，或在投标文件中提供一个报价，但同时提供两个或两个以上</w:t>
      </w:r>
      <w:bookmarkStart w:id="137" w:name="_Toc144974518"/>
      <w:bookmarkStart w:id="138" w:name="_Toc361508607"/>
      <w:bookmarkStart w:id="139" w:name="_Toc152042326"/>
      <w:bookmarkStart w:id="140" w:name="_Toc29902"/>
      <w:bookmarkStart w:id="141" w:name="_Toc384308232"/>
      <w:bookmarkStart w:id="142" w:name="_Toc369531538"/>
      <w:bookmarkStart w:id="143" w:name="_Toc247527575"/>
      <w:bookmarkStart w:id="144" w:name="_Toc247513974"/>
      <w:bookmarkStart w:id="145" w:name="_Toc152045550"/>
      <w:bookmarkStart w:id="146" w:name="_Toc352691495"/>
      <w:bookmarkStart w:id="147" w:name="_Toc300834971"/>
      <w:r>
        <w:rPr>
          <w:rFonts w:hint="default" w:ascii="Times New Roman" w:hAnsi="Times New Roman" w:eastAsia="宋体" w:cs="Times New Roman"/>
          <w:sz w:val="24"/>
          <w:highlight w:val="none"/>
        </w:rPr>
        <w:t>施工组织设计的</w:t>
      </w:r>
      <w:bookmarkEnd w:id="137"/>
      <w:bookmarkEnd w:id="138"/>
      <w:bookmarkEnd w:id="139"/>
      <w:bookmarkEnd w:id="140"/>
      <w:bookmarkEnd w:id="141"/>
      <w:bookmarkEnd w:id="142"/>
      <w:bookmarkEnd w:id="143"/>
      <w:bookmarkEnd w:id="144"/>
      <w:bookmarkEnd w:id="145"/>
      <w:bookmarkEnd w:id="146"/>
      <w:bookmarkEnd w:id="147"/>
      <w:r>
        <w:rPr>
          <w:rFonts w:hint="default" w:ascii="Times New Roman" w:hAnsi="Times New Roman" w:eastAsia="宋体" w:cs="Times New Roman"/>
          <w:sz w:val="24"/>
          <w:highlight w:val="none"/>
        </w:rPr>
        <w:t>，视为提供备选方案。</w:t>
      </w:r>
    </w:p>
    <w:p w14:paraId="31542696">
      <w:pPr>
        <w:pStyle w:val="2"/>
        <w:pageBreakBefore w:val="0"/>
        <w:kinsoku/>
        <w:wordWrap w:val="0"/>
        <w:bidi w:val="0"/>
        <w:rPr>
          <w:rFonts w:hint="default" w:ascii="Times New Roman" w:hAnsi="Times New Roman" w:cs="Times New Roman"/>
          <w:highlight w:val="none"/>
        </w:rPr>
      </w:pPr>
      <w:bookmarkStart w:id="148" w:name="_Toc234832896"/>
      <w:bookmarkStart w:id="149" w:name="_Toc10617"/>
      <w:bookmarkStart w:id="150" w:name="_Toc10660"/>
      <w:r>
        <w:rPr>
          <w:rFonts w:hint="default" w:ascii="Times New Roman" w:hAnsi="Times New Roman" w:cs="Times New Roman"/>
          <w:highlight w:val="none"/>
        </w:rPr>
        <w:t>3.7 投标文件的编制</w:t>
      </w:r>
      <w:bookmarkEnd w:id="148"/>
      <w:bookmarkEnd w:id="149"/>
      <w:bookmarkEnd w:id="150"/>
    </w:p>
    <w:p w14:paraId="342C62B3">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3.7.1 投标文件应按第九章</w:t>
      </w:r>
      <w:r>
        <w:rPr>
          <w:rFonts w:hint="eastAsia" w:ascii="宋体" w:hAnsi="宋体" w:eastAsia="宋体" w:cs="宋体"/>
          <w:sz w:val="24"/>
          <w:highlight w:val="none"/>
        </w:rPr>
        <w:t>“</w:t>
      </w:r>
      <w:r>
        <w:rPr>
          <w:rFonts w:hint="default" w:ascii="Times New Roman" w:hAnsi="Times New Roman" w:eastAsia="宋体" w:cs="Times New Roman"/>
          <w:sz w:val="24"/>
          <w:highlight w:val="none"/>
        </w:rPr>
        <w:t>投标文件格式</w:t>
      </w:r>
      <w:r>
        <w:rPr>
          <w:rFonts w:hint="eastAsia" w:ascii="宋体" w:hAnsi="宋体" w:eastAsia="宋体" w:cs="宋体"/>
          <w:sz w:val="24"/>
          <w:highlight w:val="none"/>
        </w:rPr>
        <w:t>”</w:t>
      </w:r>
      <w:r>
        <w:rPr>
          <w:rFonts w:hint="default" w:ascii="Times New Roman" w:hAnsi="Times New Roman" w:eastAsia="宋体" w:cs="Times New Roman"/>
          <w:sz w:val="24"/>
          <w:highlight w:val="none"/>
        </w:rPr>
        <w:t>进行编写，如有必要，可以增加附页，作为投标文件的组成部分。其中，投标函附录在满足招标文件实质性要求的基础上，可以提出比招标文件要求更有利于招标人的承诺。</w:t>
      </w:r>
    </w:p>
    <w:p w14:paraId="1F1FBD4A">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3.7.2 投标文件应对招标文件有关工期、投标有效期、质量要求、安全目标、技术标准和要求、招标范围等实质性内容作出响应。</w:t>
      </w:r>
    </w:p>
    <w:p w14:paraId="6479112E">
      <w:pPr>
        <w:pageBreakBefore w:val="0"/>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3.7.3 投标文件的制作应满足以下规定：</w:t>
      </w:r>
    </w:p>
    <w:p w14:paraId="0CD4C5C6">
      <w:pPr>
        <w:pageBreakBefore w:val="0"/>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（1）投标文件由投标人使用</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电子交易平台</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自带的</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投标文件制作工具</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制作生成。</w:t>
      </w:r>
    </w:p>
    <w:p w14:paraId="333E5E2B">
      <w:pPr>
        <w:pageBreakBefore w:val="0"/>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（2）投标人在编制投标文件时应建立分级目录，并按照标签提示导入相关内容。</w:t>
      </w:r>
    </w:p>
    <w:p w14:paraId="76E55509">
      <w:pPr>
        <w:pageBreakBefore w:val="0"/>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（3）投标文件中证明资料的“原件扫描件 ”，应从“ 电子交易平台 ”主体信息库中选择并进行超链接，未标示“原件扫描件”的证明资料均应直接制作生成。</w:t>
      </w:r>
    </w:p>
    <w:p w14:paraId="0A8879E7">
      <w:pPr>
        <w:pageBreakBefore w:val="0"/>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（4）投标文件中的已标价报价清单数据文件应与招标人提供的报价清单数据文件格式一致。</w:t>
      </w:r>
    </w:p>
    <w:p w14:paraId="35588EE6">
      <w:pPr>
        <w:pageBreakBefore w:val="0"/>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（5）第九章“投标文件格式 ”中要求盖单位章和（或）签字的地方，投标人均应使用 CA  数字证书加盖投标人的单位电子印章和（或）法定代表人或其委托代理人的个人电子印章或电子签名。联合体投标的， 投标文件由联合体牵头人按上述规定加盖联合体牵头人单位电子印章和（或）法定代表人或其委托代理人的个人电子印章或电子签名。</w:t>
      </w:r>
    </w:p>
    <w:p w14:paraId="16A26492">
      <w:pPr>
        <w:pageBreakBefore w:val="0"/>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（6）投标文件制作完成后，投标人应使用CA 数字证书对投标文件进行文件加密，形成加密的投标文件。</w:t>
      </w:r>
    </w:p>
    <w:p w14:paraId="24401DF3">
      <w:pPr>
        <w:pageBreakBefore w:val="0"/>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（7）投标文件制作的具体方法详见</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投标文件制作工具</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中的</w:t>
      </w:r>
      <w:r>
        <w:rPr>
          <w:rFonts w:hint="eastAsia" w:ascii="宋体" w:hAnsi="宋体" w:eastAsia="宋体" w:cs="宋体"/>
          <w:color w:val="000000"/>
          <w:sz w:val="24"/>
          <w:szCs w:val="24"/>
          <w:highlight w:val="none"/>
          <w:lang w:eastAsia="zh-CN"/>
        </w:rPr>
        <w:t>“</w:t>
      </w:r>
      <w:r>
        <w:rPr>
          <w:rFonts w:hint="default" w:ascii="Times New Roman" w:hAnsi="Times New Roman" w:cs="Times New Roman"/>
          <w:color w:val="000000"/>
          <w:sz w:val="24"/>
          <w:szCs w:val="24"/>
          <w:highlight w:val="none"/>
          <w:lang w:eastAsia="zh-CN"/>
        </w:rPr>
        <w:t>操作指南</w:t>
      </w:r>
      <w:r>
        <w:rPr>
          <w:rFonts w:hint="eastAsia" w:ascii="宋体" w:hAnsi="宋体" w:eastAsia="宋体" w:cs="宋体"/>
          <w:color w:val="000000"/>
          <w:sz w:val="24"/>
          <w:szCs w:val="24"/>
          <w:highlight w:val="none"/>
          <w:lang w:eastAsia="zh-CN"/>
        </w:rPr>
        <w:t>”</w:t>
      </w:r>
      <w:r>
        <w:rPr>
          <w:rFonts w:hint="default" w:ascii="Times New Roman" w:hAnsi="Times New Roman" w:cs="Times New Roman"/>
          <w:color w:val="000000"/>
          <w:sz w:val="24"/>
          <w:szCs w:val="24"/>
          <w:highlight w:val="none"/>
        </w:rPr>
        <w:t>。</w:t>
      </w:r>
    </w:p>
    <w:p w14:paraId="33D51114">
      <w:pPr>
        <w:pageBreakBefore w:val="0"/>
        <w:kinsoku/>
        <w:wordWrap w:val="0"/>
        <w:bidi w:val="0"/>
        <w:spacing w:line="400" w:lineRule="exact"/>
        <w:ind w:firstLine="480" w:firstLineChars="200"/>
        <w:rPr>
          <w:rFonts w:hint="default" w:ascii="Times New Roman" w:hAnsi="Times New Roman" w:eastAsia="宋体" w:cs="Times New Roman"/>
          <w:color w:val="000000"/>
          <w:sz w:val="24"/>
          <w:szCs w:val="24"/>
          <w:highlight w:val="none"/>
          <w:lang w:eastAsia="zh-CN"/>
        </w:rPr>
      </w:pPr>
      <w:r>
        <w:rPr>
          <w:rFonts w:hint="default" w:ascii="Times New Roman" w:hAnsi="Times New Roman" w:cs="Times New Roman"/>
          <w:color w:val="000000"/>
          <w:sz w:val="24"/>
          <w:szCs w:val="24"/>
          <w:highlight w:val="none"/>
        </w:rPr>
        <w:t>3.7.4 因投标人自身原因而导致投标文件无法导入</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电子交易平台</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电子开标、评标系统，该投标视为无效投标，投标人自行承担由此导致的全部责任</w:t>
      </w:r>
      <w:r>
        <w:rPr>
          <w:rFonts w:hint="default" w:ascii="Times New Roman" w:hAnsi="Times New Roman" w:cs="Times New Roman"/>
          <w:color w:val="000000"/>
          <w:sz w:val="24"/>
          <w:szCs w:val="24"/>
          <w:highlight w:val="none"/>
          <w:lang w:eastAsia="zh-CN"/>
        </w:rPr>
        <w:t>。</w:t>
      </w:r>
    </w:p>
    <w:p w14:paraId="6298F2C5">
      <w:pPr>
        <w:pageBreakBefore w:val="0"/>
        <w:kinsoku/>
        <w:wordWrap w:val="0"/>
        <w:bidi w:val="0"/>
        <w:spacing w:line="400" w:lineRule="exact"/>
        <w:ind w:firstLine="480" w:firstLineChars="200"/>
        <w:rPr>
          <w:rFonts w:hint="default" w:ascii="Times New Roman" w:hAnsi="Times New Roman" w:cs="Times New Roman"/>
          <w:color w:val="000000"/>
          <w:sz w:val="24"/>
          <w:szCs w:val="24"/>
          <w:highlight w:val="none"/>
          <w:lang w:val="en-US" w:eastAsia="zh-CN"/>
        </w:rPr>
      </w:pPr>
      <w:r>
        <w:rPr>
          <w:rFonts w:hint="default" w:ascii="Times New Roman" w:hAnsi="Times New Roman" w:cs="Times New Roman"/>
          <w:color w:val="000000"/>
          <w:sz w:val="24"/>
          <w:szCs w:val="24"/>
          <w:highlight w:val="none"/>
          <w:lang w:val="en-US" w:eastAsia="zh-CN"/>
        </w:rPr>
        <w:t>3.7.5 投标文件份数及其他要求：见投标人须知前附表。</w:t>
      </w:r>
    </w:p>
    <w:p w14:paraId="73FB8CB8">
      <w:pPr>
        <w:pStyle w:val="15"/>
        <w:pageBreakBefore w:val="0"/>
        <w:kinsoku/>
        <w:wordWrap w:val="0"/>
        <w:topLinePunct/>
        <w:bidi w:val="0"/>
        <w:spacing w:line="400" w:lineRule="atLeast"/>
        <w:ind w:firstLine="480" w:firstLineChars="200"/>
        <w:rPr>
          <w:rFonts w:hint="default" w:ascii="Times New Roman" w:hAnsi="Times New Roman" w:eastAsia="宋体" w:cs="Times New Roman"/>
          <w:szCs w:val="24"/>
          <w:highlight w:val="none"/>
        </w:rPr>
      </w:pPr>
      <w:r>
        <w:rPr>
          <w:rFonts w:hint="default" w:ascii="Times New Roman" w:hAnsi="Times New Roman" w:cs="Times New Roman"/>
          <w:color w:val="000000"/>
          <w:sz w:val="24"/>
          <w:szCs w:val="24"/>
          <w:highlight w:val="none"/>
        </w:rPr>
        <w:t>3.7.</w:t>
      </w:r>
      <w:r>
        <w:rPr>
          <w:rFonts w:hint="default" w:ascii="Times New Roman" w:hAnsi="Times New Roman" w:cs="Times New Roman"/>
          <w:color w:val="000000"/>
          <w:sz w:val="24"/>
          <w:szCs w:val="24"/>
          <w:highlight w:val="none"/>
          <w:lang w:val="en-US" w:eastAsia="zh-CN"/>
        </w:rPr>
        <w:t xml:space="preserve">6 </w:t>
      </w:r>
      <w:r>
        <w:rPr>
          <w:rFonts w:hint="default" w:ascii="Times New Roman" w:hAnsi="Times New Roman" w:cs="Times New Roman"/>
          <w:color w:val="000000"/>
          <w:sz w:val="24"/>
          <w:szCs w:val="24"/>
          <w:highlight w:val="none"/>
        </w:rPr>
        <w:t>投标文件上传的要求</w:t>
      </w:r>
      <w:r>
        <w:rPr>
          <w:rFonts w:hint="default" w:ascii="Times New Roman" w:hAnsi="Times New Roman" w:cs="Times New Roman"/>
          <w:color w:val="000000"/>
          <w:sz w:val="24"/>
          <w:szCs w:val="24"/>
          <w:highlight w:val="none"/>
          <w:lang w:eastAsia="zh-CN"/>
        </w:rPr>
        <w:t>：</w:t>
      </w:r>
      <w:r>
        <w:rPr>
          <w:rFonts w:hint="default" w:ascii="Times New Roman" w:hAnsi="Times New Roman" w:cs="Times New Roman"/>
          <w:color w:val="000000"/>
          <w:sz w:val="24"/>
          <w:szCs w:val="24"/>
          <w:highlight w:val="none"/>
        </w:rPr>
        <w:t>见投标人须知前附表。</w:t>
      </w:r>
    </w:p>
    <w:p w14:paraId="69CA4735">
      <w:pPr>
        <w:pStyle w:val="2"/>
        <w:pageBreakBefore w:val="0"/>
        <w:kinsoku/>
        <w:wordWrap w:val="0"/>
        <w:bidi w:val="0"/>
        <w:spacing w:before="360" w:after="240" w:line="240" w:lineRule="atLeast"/>
        <w:rPr>
          <w:rFonts w:hint="default" w:ascii="Times New Roman" w:hAnsi="Times New Roman" w:eastAsia="黑体" w:cs="Times New Roman"/>
          <w:b w:val="0"/>
          <w:sz w:val="28"/>
          <w:szCs w:val="28"/>
          <w:highlight w:val="none"/>
        </w:rPr>
      </w:pPr>
      <w:bookmarkStart w:id="151" w:name="_Toc17066"/>
      <w:bookmarkStart w:id="152" w:name="_Toc3071"/>
      <w:bookmarkStart w:id="153" w:name="_Toc234832897"/>
      <w:r>
        <w:rPr>
          <w:rFonts w:hint="default" w:ascii="Times New Roman" w:hAnsi="Times New Roman" w:eastAsia="黑体" w:cs="Times New Roman"/>
          <w:b w:val="0"/>
          <w:sz w:val="28"/>
          <w:szCs w:val="28"/>
          <w:highlight w:val="none"/>
        </w:rPr>
        <w:t>4. 投标</w:t>
      </w:r>
      <w:bookmarkEnd w:id="151"/>
      <w:bookmarkEnd w:id="152"/>
      <w:bookmarkEnd w:id="153"/>
      <w:r>
        <w:rPr>
          <w:rFonts w:hint="default" w:ascii="Times New Roman" w:hAnsi="Times New Roman" w:eastAsia="黑体" w:cs="Times New Roman"/>
          <w:b w:val="0"/>
          <w:sz w:val="28"/>
          <w:szCs w:val="28"/>
          <w:highlight w:val="none"/>
        </w:rPr>
        <w:tab/>
      </w:r>
    </w:p>
    <w:p w14:paraId="1E44D67C">
      <w:pPr>
        <w:pStyle w:val="2"/>
        <w:pageBreakBefore w:val="0"/>
        <w:kinsoku/>
        <w:wordWrap w:val="0"/>
        <w:bidi w:val="0"/>
        <w:rPr>
          <w:rFonts w:hint="default" w:ascii="Times New Roman" w:hAnsi="Times New Roman" w:cs="Times New Roman"/>
          <w:highlight w:val="none"/>
        </w:rPr>
      </w:pPr>
      <w:bookmarkStart w:id="154" w:name="_Toc21778"/>
      <w:bookmarkStart w:id="155" w:name="_Toc26001"/>
      <w:bookmarkStart w:id="156" w:name="_Toc2664"/>
      <w:r>
        <w:rPr>
          <w:rFonts w:hint="default" w:ascii="Times New Roman" w:hAnsi="Times New Roman" w:cs="Times New Roman"/>
          <w:highlight w:val="none"/>
        </w:rPr>
        <w:t>4.1 投标文件的密封和标记</w:t>
      </w:r>
      <w:bookmarkEnd w:id="154"/>
      <w:bookmarkEnd w:id="155"/>
      <w:bookmarkEnd w:id="156"/>
    </w:p>
    <w:p w14:paraId="2B3EAF06">
      <w:pPr>
        <w:pageBreakBefore w:val="0"/>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投标文件应按照本章第3.7.3项要求制作并加密，未按要求加密的投标文件，招标人（</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电子交易平台</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）将拒绝接收并提示。</w:t>
      </w:r>
    </w:p>
    <w:p w14:paraId="264B1B03">
      <w:pPr>
        <w:pageBreakBefore w:val="0"/>
        <w:kinsoku/>
        <w:wordWrap w:val="0"/>
        <w:bidi w:val="0"/>
        <w:spacing w:line="400" w:lineRule="exact"/>
        <w:ind w:firstLine="480" w:firstLineChars="200"/>
        <w:rPr>
          <w:rFonts w:hint="default" w:ascii="Times New Roman" w:hAnsi="Times New Roman" w:cs="Times New Roman"/>
          <w:color w:val="000000"/>
          <w:sz w:val="24"/>
          <w:szCs w:val="24"/>
          <w:highlight w:val="none"/>
        </w:rPr>
      </w:pPr>
    </w:p>
    <w:p w14:paraId="76DA16B5">
      <w:pPr>
        <w:pStyle w:val="2"/>
        <w:pageBreakBefore w:val="0"/>
        <w:kinsoku/>
        <w:wordWrap w:val="0"/>
        <w:bidi w:val="0"/>
        <w:rPr>
          <w:rFonts w:hint="default" w:ascii="Times New Roman" w:hAnsi="Times New Roman" w:cs="Times New Roman"/>
          <w:highlight w:val="none"/>
        </w:rPr>
      </w:pPr>
      <w:bookmarkStart w:id="157" w:name="_Toc17687"/>
      <w:bookmarkStart w:id="158" w:name="_Toc26071"/>
      <w:bookmarkStart w:id="159" w:name="_Toc10211"/>
      <w:r>
        <w:rPr>
          <w:rFonts w:hint="default" w:ascii="Times New Roman" w:hAnsi="Times New Roman" w:cs="Times New Roman"/>
          <w:highlight w:val="none"/>
        </w:rPr>
        <w:t>4.2 投标文件的递交</w:t>
      </w:r>
      <w:bookmarkEnd w:id="157"/>
      <w:bookmarkEnd w:id="158"/>
      <w:bookmarkEnd w:id="159"/>
    </w:p>
    <w:p w14:paraId="497D144E">
      <w:pPr>
        <w:pageBreakBefore w:val="0"/>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4.2.1  投标人应在第一章“招标公告 ”规定的投标截止时间前，通过互联网使用 CA数字证书登录“电子交易平台 ”，将加密的投标文件上传。投标人应充分考虑上传文件时的不可预见因素，未在投标截止时间前完成上传的，视为逾期送达，招标人（“电子交易平台”）将拒绝接收。</w:t>
      </w:r>
    </w:p>
    <w:p w14:paraId="0BD75A2C">
      <w:pPr>
        <w:pageBreakBefore w:val="0"/>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4.2.2 根据本章第4.1款的规定，投标人递交的投标文件，只要出现应当拒收的情形，其投标文件予以拒收。</w:t>
      </w:r>
    </w:p>
    <w:p w14:paraId="74BF9CD1">
      <w:pPr>
        <w:pStyle w:val="2"/>
        <w:pageBreakBefore w:val="0"/>
        <w:kinsoku/>
        <w:wordWrap w:val="0"/>
        <w:bidi w:val="0"/>
        <w:rPr>
          <w:rFonts w:hint="default" w:ascii="Times New Roman" w:hAnsi="Times New Roman" w:cs="Times New Roman"/>
          <w:highlight w:val="none"/>
        </w:rPr>
      </w:pPr>
      <w:bookmarkStart w:id="160" w:name="_Toc31676"/>
      <w:bookmarkStart w:id="161" w:name="_Toc31061"/>
      <w:bookmarkStart w:id="162" w:name="_Toc16651"/>
      <w:r>
        <w:rPr>
          <w:rFonts w:hint="default" w:ascii="Times New Roman" w:hAnsi="Times New Roman" w:cs="Times New Roman"/>
          <w:highlight w:val="none"/>
        </w:rPr>
        <w:t>4.3 投标文件的修改与撤回</w:t>
      </w:r>
      <w:bookmarkEnd w:id="160"/>
      <w:bookmarkEnd w:id="161"/>
      <w:bookmarkEnd w:id="162"/>
    </w:p>
    <w:p w14:paraId="016101BD">
      <w:pPr>
        <w:pageBreakBefore w:val="0"/>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4.3.1 在本章第4.2.1项规定的投标截止时间前，投标人可以修改或撤回已递交的投标文件。投标人对加密的投标文件进行撤回的，应在</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电子交易平台</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直接进行撤回操作；投标人对加密的投标文件进行修改的，应在投标截止时间前完成上传。</w:t>
      </w:r>
    </w:p>
    <w:p w14:paraId="288273E3">
      <w:pPr>
        <w:pageBreakBefore w:val="0"/>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4.3.2 投标人修改投标文件的，应使用</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投标文件制作工具</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制作成完整的投标文件，并按照本章第3条、第4条规定进行编制、加密和递交。对采用网上递交的加密的投标文件，以投标截止时间前最后完成上传的文件为准。</w:t>
      </w:r>
    </w:p>
    <w:p w14:paraId="0FC7A0A7">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cs="Times New Roman"/>
          <w:color w:val="000000"/>
          <w:sz w:val="24"/>
          <w:szCs w:val="24"/>
          <w:highlight w:val="none"/>
        </w:rPr>
        <w:t>4.3.3 投标人撤回投标文件的，招标人自收到投标人书面撤回通知之日起5日内退还已收取的投标保证金。</w:t>
      </w:r>
    </w:p>
    <w:p w14:paraId="712B49A8">
      <w:pPr>
        <w:pStyle w:val="2"/>
        <w:pageBreakBefore w:val="0"/>
        <w:kinsoku/>
        <w:wordWrap w:val="0"/>
        <w:bidi w:val="0"/>
        <w:rPr>
          <w:rFonts w:hint="default" w:ascii="Times New Roman" w:hAnsi="Times New Roman" w:cs="Times New Roman"/>
          <w:highlight w:val="none"/>
        </w:rPr>
      </w:pPr>
      <w:bookmarkStart w:id="163" w:name="_Toc234832901"/>
      <w:bookmarkStart w:id="164" w:name="_Toc29100"/>
      <w:bookmarkStart w:id="165" w:name="_Toc19047"/>
      <w:r>
        <w:rPr>
          <w:rFonts w:hint="default" w:ascii="Times New Roman" w:hAnsi="Times New Roman" w:cs="Times New Roman"/>
          <w:highlight w:val="none"/>
        </w:rPr>
        <w:t>5. 开标</w:t>
      </w:r>
      <w:bookmarkEnd w:id="163"/>
      <w:bookmarkEnd w:id="164"/>
      <w:bookmarkEnd w:id="165"/>
    </w:p>
    <w:p w14:paraId="17188445">
      <w:pPr>
        <w:pStyle w:val="2"/>
        <w:pageBreakBefore w:val="0"/>
        <w:kinsoku/>
        <w:wordWrap w:val="0"/>
        <w:bidi w:val="0"/>
        <w:rPr>
          <w:rFonts w:hint="default" w:ascii="Times New Roman" w:hAnsi="Times New Roman" w:cs="Times New Roman"/>
          <w:highlight w:val="none"/>
        </w:rPr>
      </w:pPr>
      <w:bookmarkStart w:id="166" w:name="_Toc22056"/>
      <w:bookmarkStart w:id="167" w:name="_Toc12935"/>
      <w:bookmarkStart w:id="168" w:name="_Toc234832902"/>
      <w:r>
        <w:rPr>
          <w:rFonts w:hint="default" w:ascii="Times New Roman" w:hAnsi="Times New Roman" w:cs="Times New Roman"/>
          <w:highlight w:val="none"/>
        </w:rPr>
        <w:t>5.1 开标时间和地点</w:t>
      </w:r>
      <w:bookmarkEnd w:id="166"/>
      <w:bookmarkEnd w:id="167"/>
    </w:p>
    <w:p w14:paraId="374EE48B">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5.1.1 招标人在投标人须知前附表规定的投标截止时间（开标时间）和地点在“辽宁省公共资源交易中心不见面开标大厅 ”（以下简称“不见面开标大厅”）上公开进行第一个信封（商务及技术文件）开标，所有投标人均应当准时在线参加开标。</w:t>
      </w:r>
    </w:p>
    <w:p w14:paraId="7C3D3F19">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招标人还将在投标人须知前附表规定的时间和地点对投标文件第二个信封（报价文件）在“</w:t>
      </w:r>
      <w:r>
        <w:rPr>
          <w:rFonts w:hint="eastAsia" w:cs="Times New Roman"/>
          <w:sz w:val="24"/>
          <w:highlight w:val="none"/>
          <w:lang w:eastAsia="zh-CN"/>
        </w:rPr>
        <w:t>电子交易平台</w:t>
      </w:r>
      <w:r>
        <w:rPr>
          <w:rFonts w:hint="default" w:ascii="Times New Roman" w:hAnsi="Times New Roman" w:eastAsia="宋体" w:cs="Times New Roman"/>
          <w:sz w:val="24"/>
          <w:highlight w:val="none"/>
        </w:rPr>
        <w:t>”进行公开开标，并邀请所有投标人代表准时参加。</w:t>
      </w:r>
    </w:p>
    <w:p w14:paraId="3974B3E6">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投标人代表应按时参加第一个信封（商务及技术文件）及第二个信封（报价文件）线上开标会。</w:t>
      </w:r>
    </w:p>
    <w:p w14:paraId="4FBC95A2">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5.1.2 投标人应当在能够保证设施设备可靠、互联网畅通的任意地点，通过互联网在线参加开标，并实时在线关注招标人的操作情况。</w:t>
      </w:r>
    </w:p>
    <w:p w14:paraId="6FC90566">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p>
    <w:bookmarkEnd w:id="168"/>
    <w:p w14:paraId="2DE81D90">
      <w:pPr>
        <w:pStyle w:val="2"/>
        <w:pageBreakBefore w:val="0"/>
        <w:kinsoku/>
        <w:wordWrap w:val="0"/>
        <w:bidi w:val="0"/>
        <w:rPr>
          <w:rFonts w:hint="default" w:ascii="Times New Roman" w:hAnsi="Times New Roman" w:cs="Times New Roman"/>
          <w:highlight w:val="none"/>
        </w:rPr>
      </w:pPr>
      <w:bookmarkStart w:id="169" w:name="_Toc14835"/>
      <w:bookmarkStart w:id="170" w:name="_Toc17800"/>
      <w:r>
        <w:rPr>
          <w:rFonts w:hint="default" w:ascii="Times New Roman" w:hAnsi="Times New Roman" w:cs="Times New Roman"/>
          <w:highlight w:val="none"/>
        </w:rPr>
        <w:t>5.2</w:t>
      </w:r>
      <w:r>
        <w:rPr>
          <w:rFonts w:hint="default" w:ascii="Times New Roman" w:hAnsi="Times New Roman" w:cs="Times New Roman"/>
          <w:highlight w:val="none"/>
        </w:rPr>
        <w:tab/>
      </w:r>
      <w:r>
        <w:rPr>
          <w:rFonts w:hint="default" w:ascii="Times New Roman" w:hAnsi="Times New Roman" w:cs="Times New Roman"/>
          <w:highlight w:val="none"/>
        </w:rPr>
        <w:t>开标程序</w:t>
      </w:r>
      <w:bookmarkEnd w:id="169"/>
      <w:bookmarkEnd w:id="170"/>
    </w:p>
    <w:p w14:paraId="583EB7D8">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5.2.1 主持人按下列程序对投标文件第一个信封（商务及技术文件）进行开标：</w:t>
      </w:r>
    </w:p>
    <w:p w14:paraId="2D9B0330">
      <w:pPr>
        <w:pageBreakBefore w:val="0"/>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（1）宣布开标纪律；</w:t>
      </w:r>
    </w:p>
    <w:p w14:paraId="2A01BDA9">
      <w:pPr>
        <w:pageBreakBefore w:val="0"/>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（2）公布在投标截止时间前递交</w:t>
      </w:r>
      <w:r>
        <w:rPr>
          <w:rFonts w:hint="default" w:ascii="Times New Roman" w:hAnsi="Times New Roman" w:cs="Times New Roman"/>
          <w:color w:val="000000"/>
          <w:sz w:val="24"/>
          <w:szCs w:val="24"/>
          <w:highlight w:val="none"/>
          <w:lang w:val="en-US" w:eastAsia="zh-CN"/>
        </w:rPr>
        <w:t>至</w:t>
      </w:r>
      <w:r>
        <w:rPr>
          <w:rFonts w:hint="eastAsia" w:ascii="宋体" w:hAnsi="宋体" w:eastAsia="宋体" w:cs="宋体"/>
          <w:color w:val="000000"/>
          <w:sz w:val="24"/>
          <w:szCs w:val="24"/>
          <w:highlight w:val="none"/>
          <w:lang w:val="en-US" w:eastAsia="zh-CN"/>
        </w:rPr>
        <w:t>“</w:t>
      </w:r>
      <w:r>
        <w:rPr>
          <w:rFonts w:hint="default" w:ascii="Times New Roman" w:hAnsi="Times New Roman" w:cs="Times New Roman"/>
          <w:color w:val="000000"/>
          <w:sz w:val="24"/>
          <w:szCs w:val="24"/>
          <w:highlight w:val="none"/>
          <w:lang w:val="en-US" w:eastAsia="zh-CN"/>
        </w:rPr>
        <w:t>电子交易平台</w:t>
      </w:r>
      <w:r>
        <w:rPr>
          <w:rFonts w:hint="eastAsia" w:ascii="宋体" w:hAnsi="宋体" w:eastAsia="宋体" w:cs="宋体"/>
          <w:color w:val="000000"/>
          <w:sz w:val="24"/>
          <w:szCs w:val="24"/>
          <w:highlight w:val="none"/>
          <w:lang w:val="en-US" w:eastAsia="zh-CN"/>
        </w:rPr>
        <w:t>”</w:t>
      </w:r>
      <w:r>
        <w:rPr>
          <w:rFonts w:hint="default" w:ascii="Times New Roman" w:hAnsi="Times New Roman" w:cs="Times New Roman"/>
          <w:color w:val="000000"/>
          <w:sz w:val="24"/>
          <w:szCs w:val="24"/>
          <w:highlight w:val="none"/>
        </w:rPr>
        <w:t>投标文件的投标人数量；</w:t>
      </w:r>
    </w:p>
    <w:p w14:paraId="7A4FEB1F">
      <w:pPr>
        <w:pageBreakBefore w:val="0"/>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（3）投标人代表通过互联网使用 CA 数字证书登录“不见面开标大厅 ”在投标人须知前附表规定的时间内解密加密的投标文件第一个信封（商务及技术文件）</w:t>
      </w:r>
      <w:r>
        <w:rPr>
          <w:rFonts w:hint="eastAsia" w:cs="Times New Roman"/>
          <w:color w:val="000000"/>
          <w:sz w:val="24"/>
          <w:szCs w:val="24"/>
          <w:highlight w:val="none"/>
          <w:lang w:eastAsia="zh-CN"/>
        </w:rPr>
        <w:t>；</w:t>
      </w:r>
    </w:p>
    <w:p w14:paraId="1A2C1700">
      <w:pPr>
        <w:pageBreakBefore w:val="0"/>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w:t>
      </w:r>
      <w:r>
        <w:rPr>
          <w:rFonts w:hint="eastAsia" w:cs="Times New Roman"/>
          <w:color w:val="000000"/>
          <w:sz w:val="24"/>
          <w:szCs w:val="24"/>
          <w:highlight w:val="none"/>
          <w:lang w:val="en-US" w:eastAsia="zh-CN"/>
        </w:rPr>
        <w:t>4</w:t>
      </w:r>
      <w:r>
        <w:rPr>
          <w:rFonts w:hint="default" w:ascii="Times New Roman" w:hAnsi="Times New Roman" w:cs="Times New Roman"/>
          <w:color w:val="000000"/>
          <w:sz w:val="24"/>
          <w:szCs w:val="24"/>
          <w:highlight w:val="none"/>
        </w:rPr>
        <w:t>）招标人对未成功解密的投标文件进行退回并按本章第5.3款进行补救处理；</w:t>
      </w:r>
    </w:p>
    <w:p w14:paraId="2238EF10">
      <w:pPr>
        <w:pageBreakBefore w:val="0"/>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w:t>
      </w:r>
      <w:r>
        <w:rPr>
          <w:rFonts w:hint="eastAsia" w:cs="Times New Roman"/>
          <w:color w:val="000000"/>
          <w:sz w:val="24"/>
          <w:szCs w:val="24"/>
          <w:highlight w:val="none"/>
          <w:lang w:val="en-US" w:eastAsia="zh-CN"/>
        </w:rPr>
        <w:t>5</w:t>
      </w:r>
      <w:r>
        <w:rPr>
          <w:rFonts w:hint="default" w:ascii="Times New Roman" w:hAnsi="Times New Roman" w:cs="Times New Roman"/>
          <w:color w:val="000000"/>
          <w:sz w:val="24"/>
          <w:szCs w:val="24"/>
          <w:highlight w:val="none"/>
        </w:rPr>
        <w:t>）导入并读取所有解密成功的投标文件第一个信封（商务及技术文件）的内容；</w:t>
      </w:r>
    </w:p>
    <w:p w14:paraId="65BCFE20">
      <w:pPr>
        <w:pageBreakBefore w:val="0"/>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w:t>
      </w:r>
      <w:r>
        <w:rPr>
          <w:rFonts w:hint="eastAsia" w:cs="Times New Roman"/>
          <w:color w:val="000000"/>
          <w:sz w:val="24"/>
          <w:szCs w:val="24"/>
          <w:highlight w:val="none"/>
          <w:lang w:val="en-US" w:eastAsia="zh-CN"/>
        </w:rPr>
        <w:t>6</w:t>
      </w:r>
      <w:r>
        <w:rPr>
          <w:rFonts w:hint="default" w:ascii="Times New Roman" w:hAnsi="Times New Roman" w:cs="Times New Roman"/>
          <w:color w:val="000000"/>
          <w:sz w:val="24"/>
          <w:szCs w:val="24"/>
          <w:highlight w:val="none"/>
        </w:rPr>
        <w:t>）公布标段名称、投标人名称的递交情况、工期及其他内容，并记录在案；</w:t>
      </w:r>
    </w:p>
    <w:p w14:paraId="256A6360">
      <w:pPr>
        <w:pageBreakBefore w:val="0"/>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w:t>
      </w:r>
      <w:r>
        <w:rPr>
          <w:rFonts w:hint="eastAsia" w:cs="Times New Roman"/>
          <w:color w:val="000000"/>
          <w:sz w:val="24"/>
          <w:szCs w:val="24"/>
          <w:highlight w:val="none"/>
          <w:lang w:val="en-US" w:eastAsia="zh-CN"/>
        </w:rPr>
        <w:t>8</w:t>
      </w:r>
      <w:r>
        <w:rPr>
          <w:rFonts w:hint="default" w:ascii="Times New Roman" w:hAnsi="Times New Roman" w:cs="Times New Roman"/>
          <w:color w:val="000000"/>
          <w:sz w:val="24"/>
          <w:szCs w:val="24"/>
          <w:highlight w:val="none"/>
        </w:rPr>
        <w:t>）投标人代表对开标记录进行确认。投标人代表对开标结果有异议的应在</w:t>
      </w:r>
      <w:r>
        <w:rPr>
          <w:rFonts w:hint="default" w:ascii="Times New Roman" w:hAnsi="Times New Roman" w:cs="Times New Roman"/>
          <w:color w:val="000000"/>
          <w:sz w:val="24"/>
          <w:szCs w:val="24"/>
          <w:highlight w:val="none"/>
          <w:lang w:val="en-US" w:eastAsia="zh-CN"/>
        </w:rPr>
        <w:t>规定时间内通过</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不见面开标大厅</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提出，否则视为无异议；</w:t>
      </w:r>
    </w:p>
    <w:p w14:paraId="69F71A7A">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cs="Times New Roman"/>
          <w:color w:val="000000"/>
          <w:sz w:val="24"/>
          <w:szCs w:val="24"/>
          <w:highlight w:val="none"/>
        </w:rPr>
        <w:t>（</w:t>
      </w:r>
      <w:r>
        <w:rPr>
          <w:rFonts w:hint="eastAsia" w:cs="Times New Roman"/>
          <w:color w:val="000000"/>
          <w:sz w:val="24"/>
          <w:szCs w:val="24"/>
          <w:highlight w:val="none"/>
          <w:lang w:val="en-US" w:eastAsia="zh-CN"/>
        </w:rPr>
        <w:t>9</w:t>
      </w:r>
      <w:r>
        <w:rPr>
          <w:rFonts w:hint="default" w:ascii="Times New Roman" w:hAnsi="Times New Roman" w:cs="Times New Roman"/>
          <w:color w:val="000000"/>
          <w:sz w:val="24"/>
          <w:szCs w:val="24"/>
          <w:highlight w:val="none"/>
        </w:rPr>
        <w:t>）开标结束</w:t>
      </w:r>
      <w:r>
        <w:rPr>
          <w:rFonts w:hint="default" w:ascii="Times New Roman" w:hAnsi="Times New Roman" w:eastAsia="宋体" w:cs="Times New Roman"/>
          <w:sz w:val="24"/>
          <w:highlight w:val="none"/>
        </w:rPr>
        <w:t>。</w:t>
      </w:r>
    </w:p>
    <w:p w14:paraId="3F42B2E5">
      <w:pPr>
        <w:pageBreakBefore w:val="0"/>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5.2.2 投标文件第二个信封（报价文件）在投标文件第一个信封（商务及技术文件）完成评审前，</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电子交易平台</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的开标评标系统将不进行读取。</w:t>
      </w:r>
    </w:p>
    <w:p w14:paraId="4FB79184">
      <w:pPr>
        <w:pageBreakBefore w:val="0"/>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5.2.3 招标人将按照本章第5.1款规定的时间和地点对投标文件第二个信封（报价文件）进行开标。主持人按下列程序进行开标：</w:t>
      </w:r>
    </w:p>
    <w:p w14:paraId="67D0D085">
      <w:pPr>
        <w:pageBreakBefore w:val="0"/>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（1）宣布开标纪律；</w:t>
      </w:r>
    </w:p>
    <w:p w14:paraId="35E00005">
      <w:pPr>
        <w:pageBreakBefore w:val="0"/>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（2）当众宣布通过投标文件第一个信封（商务及技术文件）评审的投标人名单；</w:t>
      </w:r>
    </w:p>
    <w:p w14:paraId="6C9A22E8">
      <w:pPr>
        <w:spacing w:before="274" w:line="220" w:lineRule="auto"/>
        <w:ind w:left="488"/>
        <w:rPr>
          <w:highlight w:val="none"/>
        </w:rPr>
      </w:pPr>
      <w:r>
        <w:rPr>
          <w:rFonts w:hint="default" w:ascii="Times New Roman" w:hAnsi="Times New Roman" w:cs="Times New Roman"/>
          <w:color w:val="000000"/>
          <w:sz w:val="24"/>
          <w:szCs w:val="24"/>
          <w:highlight w:val="none"/>
        </w:rPr>
        <w:t>（3）</w:t>
      </w:r>
      <w:r>
        <w:rPr>
          <w:rFonts w:ascii="宋体" w:hAnsi="宋体" w:eastAsia="宋体" w:cs="宋体"/>
          <w:sz w:val="24"/>
          <w:szCs w:val="24"/>
          <w:highlight w:val="none"/>
        </w:rPr>
        <w:t>对通过投标文件第一个信封（商务及技术文件）评审的投标人进行随机分</w:t>
      </w:r>
    </w:p>
    <w:p w14:paraId="6EB6508B">
      <w:pPr>
        <w:pageBreakBefore w:val="0"/>
        <w:kinsoku/>
        <w:wordWrap/>
        <w:bidi w:val="0"/>
        <w:spacing w:before="78" w:line="221" w:lineRule="auto"/>
        <w:ind w:left="9" w:firstLine="0" w:firstLineChars="0"/>
        <w:rPr>
          <w:rFonts w:hint="default" w:ascii="Times New Roman" w:hAnsi="Times New Roman" w:cs="Times New Roman"/>
          <w:color w:val="000000"/>
          <w:sz w:val="24"/>
          <w:szCs w:val="24"/>
          <w:highlight w:val="none"/>
        </w:rPr>
      </w:pPr>
      <w:r>
        <w:rPr>
          <w:rFonts w:ascii="宋体" w:hAnsi="宋体" w:eastAsia="宋体" w:cs="宋体"/>
          <w:spacing w:val="-3"/>
          <w:sz w:val="24"/>
          <w:szCs w:val="24"/>
          <w:highlight w:val="none"/>
        </w:rPr>
        <w:t>配投标标段</w:t>
      </w:r>
      <w:r>
        <w:rPr>
          <w:rFonts w:ascii="宋体" w:hAnsi="宋体" w:eastAsia="宋体" w:cs="宋体"/>
          <w:sz w:val="24"/>
          <w:szCs w:val="24"/>
          <w:highlight w:val="none"/>
        </w:rPr>
        <w:t>；（</w:t>
      </w:r>
      <w:r>
        <w:rPr>
          <w:rFonts w:ascii="宋体" w:hAnsi="宋体" w:eastAsia="宋体" w:cs="宋体"/>
          <w:spacing w:val="-3"/>
          <w:sz w:val="24"/>
          <w:szCs w:val="24"/>
          <w:highlight w:val="none"/>
        </w:rPr>
        <w:t>如有）</w:t>
      </w:r>
    </w:p>
    <w:p w14:paraId="793C539A">
      <w:pPr>
        <w:pageBreakBefore w:val="0"/>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（4）通过投标文件第一个信封（商务及技术文件）评审的投标人代表</w:t>
      </w:r>
      <w:r>
        <w:rPr>
          <w:rFonts w:hint="default" w:ascii="Times New Roman" w:hAnsi="Times New Roman" w:cs="Times New Roman"/>
          <w:sz w:val="24"/>
          <w:highlight w:val="none"/>
        </w:rPr>
        <w:t>通过互联网使用CA数字证书登录</w:t>
      </w:r>
      <w:r>
        <w:rPr>
          <w:rFonts w:hint="eastAsia" w:ascii="宋体" w:hAnsi="宋体" w:eastAsia="宋体" w:cs="宋体"/>
          <w:sz w:val="24"/>
          <w:highlight w:val="none"/>
        </w:rPr>
        <w:t>“</w:t>
      </w:r>
      <w:r>
        <w:rPr>
          <w:rFonts w:hint="default" w:ascii="Times New Roman" w:hAnsi="Times New Roman" w:cs="Times New Roman"/>
          <w:sz w:val="24"/>
          <w:highlight w:val="none"/>
        </w:rPr>
        <w:t>电子交易平台</w:t>
      </w:r>
      <w:r>
        <w:rPr>
          <w:rFonts w:hint="eastAsia" w:ascii="宋体" w:hAnsi="宋体" w:eastAsia="宋体" w:cs="宋体"/>
          <w:sz w:val="24"/>
          <w:highlight w:val="none"/>
        </w:rPr>
        <w:t>”</w:t>
      </w:r>
      <w:r>
        <w:rPr>
          <w:rFonts w:hint="default" w:ascii="Times New Roman" w:hAnsi="Times New Roman" w:cs="Times New Roman"/>
          <w:sz w:val="24"/>
          <w:highlight w:val="none"/>
          <w:lang w:val="en-US" w:eastAsia="zh-CN"/>
        </w:rPr>
        <w:t>在投标人须知前附表规定的时间内</w:t>
      </w:r>
      <w:r>
        <w:rPr>
          <w:rFonts w:hint="default" w:ascii="Times New Roman" w:hAnsi="Times New Roman" w:cs="Times New Roman"/>
          <w:color w:val="000000"/>
          <w:sz w:val="24"/>
          <w:szCs w:val="24"/>
          <w:highlight w:val="none"/>
        </w:rPr>
        <w:t>解密加密的投标文件第二个信封（报价文件）；</w:t>
      </w:r>
    </w:p>
    <w:p w14:paraId="2480D558">
      <w:pPr>
        <w:pageBreakBefore w:val="0"/>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w:t>
      </w:r>
      <w:r>
        <w:rPr>
          <w:rFonts w:hint="default" w:ascii="Times New Roman" w:hAnsi="Times New Roman" w:cs="Times New Roman"/>
          <w:color w:val="000000"/>
          <w:sz w:val="24"/>
          <w:szCs w:val="24"/>
          <w:highlight w:val="none"/>
          <w:lang w:val="en-US" w:eastAsia="zh-CN"/>
        </w:rPr>
        <w:t>5</w:t>
      </w:r>
      <w:r>
        <w:rPr>
          <w:rFonts w:hint="default" w:ascii="Times New Roman" w:hAnsi="Times New Roman" w:cs="Times New Roman"/>
          <w:color w:val="000000"/>
          <w:sz w:val="24"/>
          <w:szCs w:val="24"/>
          <w:highlight w:val="none"/>
        </w:rPr>
        <w:t>）招标人对未成功解密的投标文件进行退回并按本章第5.3款进行补救处理；</w:t>
      </w:r>
    </w:p>
    <w:p w14:paraId="1501CDD8">
      <w:pPr>
        <w:pageBreakBefore w:val="0"/>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w:t>
      </w:r>
      <w:r>
        <w:rPr>
          <w:rFonts w:hint="default" w:ascii="Times New Roman" w:hAnsi="Times New Roman" w:cs="Times New Roman"/>
          <w:color w:val="000000"/>
          <w:sz w:val="24"/>
          <w:szCs w:val="24"/>
          <w:highlight w:val="none"/>
          <w:lang w:val="en-US" w:eastAsia="zh-CN"/>
        </w:rPr>
        <w:t>6</w:t>
      </w:r>
      <w:r>
        <w:rPr>
          <w:rFonts w:hint="default" w:ascii="Times New Roman" w:hAnsi="Times New Roman" w:cs="Times New Roman"/>
          <w:color w:val="000000"/>
          <w:sz w:val="24"/>
          <w:szCs w:val="24"/>
          <w:highlight w:val="none"/>
        </w:rPr>
        <w:t>）导入并读取所有通过投标文件第一个信封（商务及技术文件）评审的解密成功的投标文件第二个信封（报价文件）的内容；</w:t>
      </w:r>
    </w:p>
    <w:p w14:paraId="3D77C76E">
      <w:pPr>
        <w:pageBreakBefore w:val="0"/>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w:t>
      </w:r>
      <w:r>
        <w:rPr>
          <w:rFonts w:hint="default" w:ascii="Times New Roman" w:hAnsi="Times New Roman" w:cs="Times New Roman"/>
          <w:color w:val="000000"/>
          <w:sz w:val="24"/>
          <w:szCs w:val="24"/>
          <w:highlight w:val="none"/>
          <w:lang w:val="en-US" w:eastAsia="zh-CN"/>
        </w:rPr>
        <w:t>7</w:t>
      </w:r>
      <w:r>
        <w:rPr>
          <w:rFonts w:hint="default" w:ascii="Times New Roman" w:hAnsi="Times New Roman" w:cs="Times New Roman"/>
          <w:color w:val="000000"/>
          <w:sz w:val="24"/>
          <w:szCs w:val="24"/>
          <w:highlight w:val="none"/>
        </w:rPr>
        <w:t xml:space="preserve">）公布标段名称、投标人名称、投标报价及其他内容，并记录在案； </w:t>
      </w:r>
    </w:p>
    <w:p w14:paraId="28A82D5D">
      <w:pPr>
        <w:pageBreakBefore w:val="0"/>
        <w:kinsoku/>
        <w:wordWrap w:val="0"/>
        <w:bidi w:val="0"/>
        <w:spacing w:line="400" w:lineRule="exact"/>
        <w:ind w:firstLine="480" w:firstLineChars="200"/>
        <w:rPr>
          <w:rFonts w:hint="default" w:ascii="Times New Roman" w:hAnsi="Times New Roman" w:cs="Times New Roman"/>
          <w:color w:val="000000"/>
          <w:sz w:val="24"/>
          <w:szCs w:val="24"/>
          <w:highlight w:val="none"/>
          <w:lang w:eastAsia="zh-CN"/>
        </w:rPr>
      </w:pPr>
      <w:r>
        <w:rPr>
          <w:rFonts w:hint="default" w:ascii="Times New Roman" w:hAnsi="Times New Roman" w:cs="Times New Roman"/>
          <w:color w:val="000000"/>
          <w:sz w:val="24"/>
          <w:szCs w:val="24"/>
          <w:highlight w:val="none"/>
          <w:lang w:eastAsia="zh-CN"/>
        </w:rPr>
        <w:t>（</w:t>
      </w:r>
      <w:r>
        <w:rPr>
          <w:rFonts w:hint="default" w:ascii="Times New Roman" w:hAnsi="Times New Roman" w:cs="Times New Roman"/>
          <w:color w:val="000000"/>
          <w:sz w:val="24"/>
          <w:szCs w:val="24"/>
          <w:highlight w:val="none"/>
          <w:lang w:val="en-US" w:eastAsia="zh-CN"/>
        </w:rPr>
        <w:t>8</w:t>
      </w:r>
      <w:r>
        <w:rPr>
          <w:rFonts w:hint="default" w:ascii="Times New Roman" w:hAnsi="Times New Roman" w:cs="Times New Roman"/>
          <w:color w:val="000000"/>
          <w:sz w:val="24"/>
          <w:szCs w:val="24"/>
          <w:highlight w:val="none"/>
          <w:lang w:eastAsia="zh-CN"/>
        </w:rPr>
        <w:t>）</w:t>
      </w:r>
      <w:r>
        <w:rPr>
          <w:rFonts w:ascii="宋体" w:hAnsi="宋体" w:eastAsia="宋体" w:cs="宋体"/>
          <w:spacing w:val="-2"/>
          <w:sz w:val="24"/>
          <w:szCs w:val="24"/>
          <w:highlight w:val="none"/>
        </w:rPr>
        <w:t>随机抽取评标基准价计算方法、评标基准价系数</w:t>
      </w:r>
      <w:r>
        <w:rPr>
          <w:rFonts w:ascii="宋体" w:hAnsi="宋体" w:eastAsia="宋体" w:cs="宋体"/>
          <w:spacing w:val="4"/>
          <w:sz w:val="24"/>
          <w:szCs w:val="24"/>
          <w:highlight w:val="none"/>
        </w:rPr>
        <w:t>；（</w:t>
      </w:r>
      <w:r>
        <w:rPr>
          <w:rFonts w:ascii="宋体" w:hAnsi="宋体" w:eastAsia="宋体" w:cs="宋体"/>
          <w:spacing w:val="-2"/>
          <w:sz w:val="24"/>
          <w:szCs w:val="24"/>
          <w:highlight w:val="none"/>
        </w:rPr>
        <w:t>如有）</w:t>
      </w:r>
    </w:p>
    <w:p w14:paraId="28593060">
      <w:pPr>
        <w:pageBreakBefore w:val="0"/>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w:t>
      </w:r>
      <w:r>
        <w:rPr>
          <w:rFonts w:hint="default" w:ascii="Times New Roman" w:hAnsi="Times New Roman" w:cs="Times New Roman"/>
          <w:color w:val="000000"/>
          <w:sz w:val="24"/>
          <w:szCs w:val="24"/>
          <w:highlight w:val="none"/>
          <w:lang w:val="en-US" w:eastAsia="zh-CN"/>
        </w:rPr>
        <w:t>9</w:t>
      </w:r>
      <w:r>
        <w:rPr>
          <w:rFonts w:hint="default" w:ascii="Times New Roman" w:hAnsi="Times New Roman" w:cs="Times New Roman"/>
          <w:color w:val="000000"/>
          <w:sz w:val="24"/>
          <w:szCs w:val="24"/>
          <w:highlight w:val="none"/>
        </w:rPr>
        <w:t>）投标人代表对开标记录进行确认。投标人代表对开标结果有异议的应在</w:t>
      </w:r>
      <w:r>
        <w:rPr>
          <w:rFonts w:hint="default" w:ascii="Times New Roman" w:hAnsi="Times New Roman" w:cs="Times New Roman"/>
          <w:color w:val="000000"/>
          <w:sz w:val="24"/>
          <w:szCs w:val="24"/>
          <w:highlight w:val="none"/>
          <w:lang w:val="en-US" w:eastAsia="zh-CN"/>
        </w:rPr>
        <w:t>规定时间内通过</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不见面开标大厅</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提出，否则视为无异议；</w:t>
      </w:r>
    </w:p>
    <w:p w14:paraId="676A793C">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cs="Times New Roman"/>
          <w:color w:val="000000"/>
          <w:sz w:val="24"/>
          <w:szCs w:val="24"/>
          <w:highlight w:val="none"/>
        </w:rPr>
        <w:t>（</w:t>
      </w:r>
      <w:r>
        <w:rPr>
          <w:rFonts w:hint="default" w:ascii="Times New Roman" w:hAnsi="Times New Roman" w:cs="Times New Roman"/>
          <w:color w:val="000000"/>
          <w:sz w:val="24"/>
          <w:szCs w:val="24"/>
          <w:highlight w:val="none"/>
          <w:lang w:val="en-US" w:eastAsia="zh-CN"/>
        </w:rPr>
        <w:t>10</w:t>
      </w:r>
      <w:r>
        <w:rPr>
          <w:rFonts w:hint="default" w:ascii="Times New Roman" w:hAnsi="Times New Roman" w:cs="Times New Roman"/>
          <w:color w:val="000000"/>
          <w:sz w:val="24"/>
          <w:szCs w:val="24"/>
          <w:highlight w:val="none"/>
        </w:rPr>
        <w:t>）开标结束。</w:t>
      </w:r>
    </w:p>
    <w:p w14:paraId="33FF9341">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5.2.4 若采用合理低价法或综合评分法，在投标文件第二个信封（报价文件）开标现场，招标人将按第三章</w:t>
      </w:r>
      <w:r>
        <w:rPr>
          <w:rFonts w:hint="eastAsia" w:ascii="宋体" w:hAnsi="宋体" w:eastAsia="宋体" w:cs="宋体"/>
          <w:sz w:val="24"/>
          <w:highlight w:val="none"/>
        </w:rPr>
        <w:t>“</w:t>
      </w:r>
      <w:r>
        <w:rPr>
          <w:rFonts w:hint="default" w:ascii="Times New Roman" w:hAnsi="Times New Roman" w:eastAsia="宋体" w:cs="Times New Roman"/>
          <w:sz w:val="24"/>
          <w:highlight w:val="none"/>
        </w:rPr>
        <w:t>评标办法</w:t>
      </w:r>
      <w:r>
        <w:rPr>
          <w:rFonts w:hint="eastAsia" w:ascii="宋体" w:hAnsi="宋体" w:eastAsia="宋体" w:cs="宋体"/>
          <w:sz w:val="24"/>
          <w:highlight w:val="none"/>
        </w:rPr>
        <w:t>”</w:t>
      </w:r>
      <w:r>
        <w:rPr>
          <w:rFonts w:hint="default" w:ascii="Times New Roman" w:hAnsi="Times New Roman" w:eastAsia="宋体" w:cs="Times New Roman"/>
          <w:sz w:val="24"/>
          <w:highlight w:val="none"/>
        </w:rPr>
        <w:t>规定的原则计算并宣布评标基准价。若招标人发现投标文件出现以下任一情况，其投标报价将不再参加评标基准价的计算：</w:t>
      </w:r>
    </w:p>
    <w:p w14:paraId="6A917395">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（1）未按要求在投标函上填写投标总价；</w:t>
      </w:r>
    </w:p>
    <w:p w14:paraId="086C44F4">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（2）投标报价超出招标人公布的最高投标限价（如有），或低于招标人公布的最高投标限价（如有）的 G%；</w:t>
      </w:r>
    </w:p>
    <w:p w14:paraId="0356EF6F">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（3）无法确定投标报价具体数值；</w:t>
      </w:r>
    </w:p>
    <w:p w14:paraId="7788D632">
      <w:pPr>
        <w:pageBreakBefore w:val="0"/>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（4）投标函上填写的标段号与上传的对应项目标段号不一致（如分标段）。</w:t>
      </w:r>
    </w:p>
    <w:p w14:paraId="31E760C5">
      <w:pPr>
        <w:pageBreakBefore w:val="0"/>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如果投标人认为某一标段的评标基准价计算有误，有权在开标现场提出，经招标人当场核实确认之后，可重新宣布评标基准价。开标现场宣布的评标基准价除计算有误经评标委员会修正外，在整个评标期间保持不变，不随任何因素发生变化。</w:t>
      </w:r>
    </w:p>
    <w:p w14:paraId="510C3ACE">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cs="Times New Roman"/>
          <w:color w:val="000000"/>
          <w:sz w:val="24"/>
          <w:szCs w:val="24"/>
          <w:highlight w:val="none"/>
        </w:rPr>
        <w:t>5.2.5 在投标文件第一个信封（商务及技术文件）或第二个信封（报价文件）开标过程中，若</w:t>
      </w:r>
      <w:r>
        <w:rPr>
          <w:rFonts w:hint="default" w:ascii="Times New Roman" w:hAnsi="Times New Roman" w:cs="Times New Roman"/>
          <w:color w:val="000000"/>
          <w:sz w:val="24"/>
          <w:szCs w:val="24"/>
          <w:highlight w:val="none"/>
          <w:lang w:val="en-US" w:eastAsia="zh-CN"/>
        </w:rPr>
        <w:t>开标现场</w:t>
      </w:r>
      <w:r>
        <w:rPr>
          <w:rFonts w:hint="default" w:ascii="Times New Roman" w:hAnsi="Times New Roman" w:cs="Times New Roman"/>
          <w:color w:val="000000"/>
          <w:sz w:val="24"/>
          <w:szCs w:val="24"/>
          <w:highlight w:val="none"/>
        </w:rPr>
        <w:t>宣读的内容与投标文件不符，投标人有权在开标现场提出疑问，经招标人当场核查确认之后，可重新宣读其</w:t>
      </w:r>
      <w:r>
        <w:rPr>
          <w:rFonts w:hint="eastAsia" w:cs="Times New Roman"/>
          <w:color w:val="000000"/>
          <w:sz w:val="24"/>
          <w:szCs w:val="24"/>
          <w:highlight w:val="none"/>
          <w:lang w:eastAsia="zh-CN"/>
        </w:rPr>
        <w:t>内容</w:t>
      </w:r>
      <w:r>
        <w:rPr>
          <w:rFonts w:hint="default" w:ascii="Times New Roman" w:hAnsi="Times New Roman" w:cs="Times New Roman"/>
          <w:color w:val="000000"/>
          <w:sz w:val="24"/>
          <w:szCs w:val="24"/>
          <w:highlight w:val="none"/>
        </w:rPr>
        <w:t>。若投标人现场未提出疑问，则认为投标人已确认</w:t>
      </w:r>
      <w:r>
        <w:rPr>
          <w:rFonts w:hint="default" w:ascii="Times New Roman" w:hAnsi="Times New Roman" w:cs="Times New Roman"/>
          <w:color w:val="000000"/>
          <w:sz w:val="24"/>
          <w:szCs w:val="24"/>
          <w:highlight w:val="none"/>
          <w:lang w:val="en-US" w:eastAsia="zh-CN"/>
        </w:rPr>
        <w:t>开标现场</w:t>
      </w:r>
      <w:r>
        <w:rPr>
          <w:rFonts w:hint="eastAsia" w:cs="Times New Roman"/>
          <w:color w:val="000000"/>
          <w:sz w:val="24"/>
          <w:szCs w:val="24"/>
          <w:highlight w:val="none"/>
          <w:lang w:eastAsia="zh-CN"/>
        </w:rPr>
        <w:t>公布</w:t>
      </w:r>
      <w:r>
        <w:rPr>
          <w:rFonts w:hint="default" w:ascii="Times New Roman" w:hAnsi="Times New Roman" w:cs="Times New Roman"/>
          <w:color w:val="000000"/>
          <w:sz w:val="24"/>
          <w:szCs w:val="24"/>
          <w:highlight w:val="none"/>
        </w:rPr>
        <w:t>的内容。</w:t>
      </w:r>
    </w:p>
    <w:p w14:paraId="4E5B5488">
      <w:pPr>
        <w:pStyle w:val="2"/>
        <w:pageBreakBefore w:val="0"/>
        <w:kinsoku/>
        <w:wordWrap w:val="0"/>
        <w:bidi w:val="0"/>
        <w:rPr>
          <w:rFonts w:hint="default" w:ascii="Times New Roman" w:hAnsi="Times New Roman" w:cs="Times New Roman"/>
          <w:highlight w:val="none"/>
        </w:rPr>
      </w:pPr>
      <w:bookmarkStart w:id="171" w:name="_Toc24866"/>
      <w:bookmarkStart w:id="172" w:name="_Toc28602"/>
      <w:r>
        <w:rPr>
          <w:rFonts w:hint="default" w:ascii="Times New Roman" w:hAnsi="Times New Roman" w:cs="Times New Roman"/>
          <w:highlight w:val="none"/>
        </w:rPr>
        <w:t>5.3 开标补救措施</w:t>
      </w:r>
      <w:bookmarkEnd w:id="171"/>
      <w:bookmarkEnd w:id="172"/>
    </w:p>
    <w:p w14:paraId="4585E9A3">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5.3.1 开标过程中因本章第5.3.2项、第5.3.3项所列原因，导致系统无法正常运行，将按投标人须知前附表的规定采取补救措施。</w:t>
      </w:r>
    </w:p>
    <w:p w14:paraId="0E4AD917">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5.3.2 因</w:t>
      </w:r>
      <w:r>
        <w:rPr>
          <w:rFonts w:hint="eastAsia" w:ascii="宋体" w:hAnsi="宋体" w:eastAsia="宋体" w:cs="宋体"/>
          <w:sz w:val="24"/>
          <w:highlight w:val="none"/>
        </w:rPr>
        <w:t>“</w:t>
      </w:r>
      <w:r>
        <w:rPr>
          <w:rFonts w:hint="default" w:ascii="Times New Roman" w:hAnsi="Times New Roman" w:eastAsia="宋体" w:cs="Times New Roman"/>
          <w:sz w:val="24"/>
          <w:highlight w:val="none"/>
        </w:rPr>
        <w:t>电子交易平台</w:t>
      </w:r>
      <w:r>
        <w:rPr>
          <w:rFonts w:hint="eastAsia" w:ascii="宋体" w:hAnsi="宋体" w:eastAsia="宋体" w:cs="宋体"/>
          <w:sz w:val="24"/>
          <w:highlight w:val="none"/>
        </w:rPr>
        <w:t>”</w:t>
      </w:r>
      <w:r>
        <w:rPr>
          <w:rFonts w:hint="default" w:ascii="Times New Roman" w:hAnsi="Times New Roman" w:eastAsia="宋体" w:cs="Times New Roman"/>
          <w:sz w:val="24"/>
          <w:highlight w:val="none"/>
        </w:rPr>
        <w:t>系统故障导致投标人无法正常上传加密的投标文件，投标人应打印并递交电子交易平台自动生成的上传失败的异常记录单。</w:t>
      </w:r>
    </w:p>
    <w:p w14:paraId="29B54FCB">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5.3.3 当出现以下情况时，应对未开标的中止电子开标，并在恢复正常后及时安排时间开标：</w:t>
      </w:r>
    </w:p>
    <w:p w14:paraId="4EBDB740">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（1）系统服务器发生故障，无法访问或无法使用系统；</w:t>
      </w:r>
    </w:p>
    <w:p w14:paraId="7FF4B7D6">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（2）系统的软件或数据库出现错误，不能进行正常操作；</w:t>
      </w:r>
    </w:p>
    <w:p w14:paraId="1E57040F">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（3）系统发现有安全漏洞，有潜在的泄密危险；</w:t>
      </w:r>
    </w:p>
    <w:p w14:paraId="54387AEE">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（4）出现断电事故且短时间内无法恢复供电；</w:t>
      </w:r>
    </w:p>
    <w:p w14:paraId="78FC2512">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（5）其他无法保证招投标过程正常进行的情形。</w:t>
      </w:r>
    </w:p>
    <w:p w14:paraId="3ED44F90">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5.3.4 采取补救措施时，必须对原有资料及信息作出妥善保密处理。</w:t>
      </w:r>
    </w:p>
    <w:p w14:paraId="31009096">
      <w:pPr>
        <w:pStyle w:val="2"/>
        <w:pageBreakBefore w:val="0"/>
        <w:kinsoku/>
        <w:wordWrap w:val="0"/>
        <w:bidi w:val="0"/>
        <w:rPr>
          <w:rFonts w:hint="default" w:ascii="Times New Roman" w:hAnsi="Times New Roman" w:cs="Times New Roman"/>
          <w:highlight w:val="none"/>
        </w:rPr>
      </w:pPr>
      <w:bookmarkStart w:id="173" w:name="_Toc2035"/>
      <w:bookmarkStart w:id="174" w:name="_Toc20631"/>
      <w:r>
        <w:rPr>
          <w:rFonts w:hint="default" w:ascii="Times New Roman" w:hAnsi="Times New Roman" w:cs="Times New Roman"/>
          <w:highlight w:val="none"/>
        </w:rPr>
        <w:t>5.4</w:t>
      </w:r>
      <w:r>
        <w:rPr>
          <w:rFonts w:hint="default" w:ascii="Times New Roman" w:hAnsi="Times New Roman" w:cs="Times New Roman"/>
          <w:highlight w:val="none"/>
        </w:rPr>
        <w:tab/>
      </w:r>
      <w:r>
        <w:rPr>
          <w:rFonts w:hint="default" w:ascii="Times New Roman" w:hAnsi="Times New Roman" w:cs="Times New Roman"/>
          <w:highlight w:val="none"/>
        </w:rPr>
        <w:t xml:space="preserve"> 开标异议</w:t>
      </w:r>
      <w:bookmarkEnd w:id="173"/>
      <w:bookmarkEnd w:id="174"/>
    </w:p>
    <w:p w14:paraId="62C6E0B0">
      <w:pPr>
        <w:pageBreakBefore w:val="0"/>
        <w:kinsoku/>
        <w:wordWrap w:val="0"/>
        <w:bidi w:val="0"/>
        <w:spacing w:line="400" w:lineRule="atLeast"/>
        <w:ind w:firstLine="480" w:firstLineChars="200"/>
        <w:rPr>
          <w:rFonts w:hint="default" w:ascii="Times New Roman" w:hAnsi="Times New Roman" w:eastAsia="宋体" w:cs="Times New Roman"/>
          <w:sz w:val="24"/>
          <w:highlight w:val="none"/>
          <w:u w:val="single"/>
        </w:rPr>
      </w:pPr>
      <w:r>
        <w:rPr>
          <w:rFonts w:hint="default" w:ascii="Times New Roman" w:hAnsi="Times New Roman" w:cs="Times New Roman"/>
          <w:color w:val="000000"/>
          <w:sz w:val="24"/>
          <w:szCs w:val="24"/>
          <w:highlight w:val="none"/>
        </w:rPr>
        <w:t>投标人对开标有异议的，应在开标现场</w:t>
      </w:r>
      <w:r>
        <w:rPr>
          <w:rFonts w:hint="default" w:ascii="Times New Roman" w:hAnsi="Times New Roman" w:cs="Times New Roman"/>
          <w:color w:val="000000"/>
          <w:sz w:val="24"/>
          <w:szCs w:val="24"/>
          <w:highlight w:val="none"/>
          <w:lang w:val="en-US" w:eastAsia="zh-CN"/>
        </w:rPr>
        <w:t>通过</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不见面开标大厅</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提出，招标人当场作出答复，并制作记录</w:t>
      </w:r>
      <w:r>
        <w:rPr>
          <w:rFonts w:hint="default" w:ascii="Times New Roman" w:hAnsi="Times New Roman" w:eastAsia="宋体" w:cs="Times New Roman"/>
          <w:sz w:val="24"/>
          <w:highlight w:val="none"/>
        </w:rPr>
        <w:t>。</w:t>
      </w:r>
    </w:p>
    <w:p w14:paraId="42BA5C64">
      <w:pPr>
        <w:pStyle w:val="2"/>
        <w:pageBreakBefore w:val="0"/>
        <w:kinsoku/>
        <w:wordWrap w:val="0"/>
        <w:bidi w:val="0"/>
        <w:spacing w:before="360" w:after="240" w:line="240" w:lineRule="atLeast"/>
        <w:rPr>
          <w:rFonts w:hint="default" w:ascii="Times New Roman" w:hAnsi="Times New Roman" w:eastAsia="黑体" w:cs="Times New Roman"/>
          <w:b w:val="0"/>
          <w:sz w:val="28"/>
          <w:szCs w:val="28"/>
          <w:highlight w:val="none"/>
        </w:rPr>
      </w:pPr>
      <w:bookmarkStart w:id="175" w:name="_Toc234832906"/>
      <w:bookmarkStart w:id="176" w:name="_Toc31121"/>
      <w:bookmarkStart w:id="177" w:name="_Toc32026"/>
      <w:r>
        <w:rPr>
          <w:rFonts w:hint="default" w:ascii="Times New Roman" w:hAnsi="Times New Roman" w:eastAsia="黑体" w:cs="Times New Roman"/>
          <w:b w:val="0"/>
          <w:sz w:val="28"/>
          <w:szCs w:val="28"/>
          <w:highlight w:val="none"/>
        </w:rPr>
        <w:t>6. 评标</w:t>
      </w:r>
      <w:bookmarkEnd w:id="175"/>
      <w:bookmarkEnd w:id="176"/>
      <w:bookmarkEnd w:id="177"/>
    </w:p>
    <w:p w14:paraId="724C1AA8">
      <w:pPr>
        <w:pStyle w:val="2"/>
        <w:pageBreakBefore w:val="0"/>
        <w:kinsoku/>
        <w:wordWrap w:val="0"/>
        <w:bidi w:val="0"/>
        <w:rPr>
          <w:rFonts w:hint="default" w:ascii="Times New Roman" w:hAnsi="Times New Roman" w:cs="Times New Roman"/>
          <w:highlight w:val="none"/>
        </w:rPr>
      </w:pPr>
      <w:bookmarkStart w:id="178" w:name="_Toc234832907"/>
      <w:bookmarkStart w:id="179" w:name="_Toc475"/>
      <w:bookmarkStart w:id="180" w:name="_Toc268"/>
      <w:r>
        <w:rPr>
          <w:rFonts w:hint="default" w:ascii="Times New Roman" w:hAnsi="Times New Roman" w:cs="Times New Roman"/>
          <w:highlight w:val="none"/>
        </w:rPr>
        <w:t>6.1</w:t>
      </w:r>
      <w:r>
        <w:rPr>
          <w:rFonts w:hint="default" w:ascii="Times New Roman" w:hAnsi="Times New Roman" w:cs="Times New Roman"/>
          <w:highlight w:val="none"/>
        </w:rPr>
        <w:tab/>
      </w:r>
      <w:r>
        <w:rPr>
          <w:rFonts w:hint="default" w:ascii="Times New Roman" w:hAnsi="Times New Roman" w:cs="Times New Roman"/>
          <w:highlight w:val="none"/>
        </w:rPr>
        <w:t xml:space="preserve"> 评标委员会</w:t>
      </w:r>
      <w:bookmarkEnd w:id="178"/>
      <w:bookmarkEnd w:id="179"/>
      <w:bookmarkEnd w:id="180"/>
    </w:p>
    <w:p w14:paraId="1EADA035">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6.1.1 评标由招标人依法组建的评标委员会负责。评标委员会由招标人或其委托熟悉相关业务的代表，以及有关技术、经济等方面的专家组成。评标委员会成员人数以及技术、经济等方面专家的确定方式见投标人须知前附表。</w:t>
      </w:r>
    </w:p>
    <w:p w14:paraId="34520F03">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6.1.2 评标委员会成员有下列情形之一的，应主动提出回避：</w:t>
      </w:r>
    </w:p>
    <w:p w14:paraId="07D37183">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（1）为负责招标项目监督管理的交通运输主管部门的工作人员；</w:t>
      </w:r>
    </w:p>
    <w:p w14:paraId="76C702E9">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（2）与投标人法定代表人或其委托代理人有近亲属关系；</w:t>
      </w:r>
    </w:p>
    <w:p w14:paraId="22B823C8">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（3）为投标人的工作人员或退休人员；</w:t>
      </w:r>
    </w:p>
    <w:p w14:paraId="1309154D">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（4）与投标人有其他利害关系，可能影响评标活动公正性；</w:t>
      </w:r>
    </w:p>
    <w:p w14:paraId="6E89347F">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（5）在与招标投标有关的活动中有过违法违规行为、曾受过行政处罚或刑事处罚。</w:t>
      </w:r>
    </w:p>
    <w:p w14:paraId="3BBA800B">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招标人及其子公司、招标人下属单位、招标人的上级主管部门或者控股公司、招标代理机构的工作人员或者退休人员不得以专家身份参与本单位招标或者招标代理项目的评标。</w:t>
      </w:r>
    </w:p>
    <w:p w14:paraId="3D0596E8">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6.1.3 评标过程中，评标委员会成员有回避事由、擅离职守或因健康等原因不能继续评标的，招标人有权更换。被更换的评标委员会成员作出的评审结论无效，由更换后的评标委员会成员重新进行评审。</w:t>
      </w:r>
    </w:p>
    <w:p w14:paraId="5126D928">
      <w:pPr>
        <w:pStyle w:val="2"/>
        <w:pageBreakBefore w:val="0"/>
        <w:kinsoku/>
        <w:wordWrap w:val="0"/>
        <w:bidi w:val="0"/>
        <w:rPr>
          <w:rFonts w:hint="default" w:ascii="Times New Roman" w:hAnsi="Times New Roman" w:cs="Times New Roman"/>
          <w:highlight w:val="none"/>
        </w:rPr>
      </w:pPr>
      <w:bookmarkStart w:id="181" w:name="_Toc234832908"/>
      <w:bookmarkStart w:id="182" w:name="_Toc9194"/>
      <w:bookmarkStart w:id="183" w:name="_Toc29708"/>
      <w:r>
        <w:rPr>
          <w:rFonts w:hint="default" w:ascii="Times New Roman" w:hAnsi="Times New Roman" w:cs="Times New Roman"/>
          <w:highlight w:val="none"/>
        </w:rPr>
        <w:t>6.2 评标原则</w:t>
      </w:r>
      <w:bookmarkEnd w:id="181"/>
      <w:bookmarkEnd w:id="182"/>
      <w:bookmarkEnd w:id="183"/>
    </w:p>
    <w:p w14:paraId="7CD84D14">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评标活动遵循公平、公正、科学和择优的原则。</w:t>
      </w:r>
    </w:p>
    <w:p w14:paraId="177D86D7">
      <w:pPr>
        <w:pStyle w:val="2"/>
        <w:pageBreakBefore w:val="0"/>
        <w:kinsoku/>
        <w:wordWrap w:val="0"/>
        <w:bidi w:val="0"/>
        <w:rPr>
          <w:rFonts w:hint="default" w:ascii="Times New Roman" w:hAnsi="Times New Roman" w:cs="Times New Roman"/>
          <w:highlight w:val="none"/>
        </w:rPr>
      </w:pPr>
      <w:bookmarkStart w:id="184" w:name="_Toc32567"/>
      <w:bookmarkStart w:id="185" w:name="_Toc234832909"/>
      <w:bookmarkStart w:id="186" w:name="_Toc25446"/>
      <w:r>
        <w:rPr>
          <w:rFonts w:hint="default" w:ascii="Times New Roman" w:hAnsi="Times New Roman" w:cs="Times New Roman"/>
          <w:highlight w:val="none"/>
        </w:rPr>
        <w:t>6.3 评标</w:t>
      </w:r>
      <w:bookmarkEnd w:id="184"/>
      <w:bookmarkEnd w:id="185"/>
      <w:bookmarkEnd w:id="186"/>
    </w:p>
    <w:p w14:paraId="028FDC40">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6.3.1 评标委员会按照第三章</w:t>
      </w:r>
      <w:r>
        <w:rPr>
          <w:rFonts w:hint="eastAsia" w:ascii="宋体" w:hAnsi="宋体" w:eastAsia="宋体" w:cs="宋体"/>
          <w:sz w:val="24"/>
          <w:highlight w:val="none"/>
        </w:rPr>
        <w:t>“</w:t>
      </w:r>
      <w:r>
        <w:rPr>
          <w:rFonts w:hint="default" w:ascii="Times New Roman" w:hAnsi="Times New Roman" w:eastAsia="宋体" w:cs="Times New Roman"/>
          <w:sz w:val="24"/>
          <w:highlight w:val="none"/>
        </w:rPr>
        <w:t>评标办法</w:t>
      </w:r>
      <w:r>
        <w:rPr>
          <w:rFonts w:hint="eastAsia" w:ascii="宋体" w:hAnsi="宋体" w:eastAsia="宋体" w:cs="宋体"/>
          <w:sz w:val="24"/>
          <w:highlight w:val="none"/>
        </w:rPr>
        <w:t>”</w:t>
      </w:r>
      <w:r>
        <w:rPr>
          <w:rFonts w:hint="default" w:ascii="Times New Roman" w:hAnsi="Times New Roman" w:eastAsia="宋体" w:cs="Times New Roman"/>
          <w:sz w:val="24"/>
          <w:highlight w:val="none"/>
        </w:rPr>
        <w:t>规定的方法、评审因素、标准和程序对投标文件进行评审。第三章</w:t>
      </w:r>
      <w:r>
        <w:rPr>
          <w:rFonts w:hint="eastAsia" w:ascii="宋体" w:hAnsi="宋体" w:eastAsia="宋体" w:cs="宋体"/>
          <w:sz w:val="24"/>
          <w:highlight w:val="none"/>
        </w:rPr>
        <w:t>“</w:t>
      </w:r>
      <w:r>
        <w:rPr>
          <w:rFonts w:hint="default" w:ascii="Times New Roman" w:hAnsi="Times New Roman" w:eastAsia="宋体" w:cs="Times New Roman"/>
          <w:sz w:val="24"/>
          <w:highlight w:val="none"/>
        </w:rPr>
        <w:t>评标办法</w:t>
      </w:r>
      <w:r>
        <w:rPr>
          <w:rFonts w:hint="eastAsia" w:ascii="宋体" w:hAnsi="宋体" w:eastAsia="宋体" w:cs="宋体"/>
          <w:sz w:val="24"/>
          <w:highlight w:val="none"/>
        </w:rPr>
        <w:t>”</w:t>
      </w:r>
      <w:r>
        <w:rPr>
          <w:rFonts w:hint="default" w:ascii="Times New Roman" w:hAnsi="Times New Roman" w:eastAsia="宋体" w:cs="Times New Roman"/>
          <w:sz w:val="24"/>
          <w:highlight w:val="none"/>
        </w:rPr>
        <w:t>没有规定的方法、评审因素和标准，不作为评标依据。</w:t>
      </w:r>
    </w:p>
    <w:p w14:paraId="52A1374F">
      <w:pPr>
        <w:keepNext w:val="0"/>
        <w:keepLines w:val="0"/>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6.3.2评标及补救措施</w:t>
      </w:r>
    </w:p>
    <w:p w14:paraId="64AF7A98">
      <w:pPr>
        <w:keepNext w:val="0"/>
        <w:keepLines w:val="0"/>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评标委员会按照本章第6.3.1项的规定在电子评标系统上开展评审工作。如果评标过程中出现异常情况，导致无法继续评审工作的，可暂停评标，对原有资料及信息作出妥善保密处理，待电子评标系统恢复正常之后，应重新组织评审。</w:t>
      </w:r>
    </w:p>
    <w:p w14:paraId="78B011A9">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cs="Times New Roman"/>
          <w:color w:val="000000"/>
          <w:sz w:val="24"/>
          <w:szCs w:val="24"/>
          <w:highlight w:val="none"/>
        </w:rPr>
        <w:t>评标完成后，评标委员会应当向招标人提交书面评标报告和中标候选人名单。评标委员会推荐中标</w:t>
      </w:r>
      <w:bookmarkStart w:id="187" w:name="_Toc300834979"/>
      <w:bookmarkStart w:id="188" w:name="_Toc247513982"/>
      <w:bookmarkStart w:id="189" w:name="_Toc369531546"/>
      <w:bookmarkStart w:id="190" w:name="_Toc352691502"/>
      <w:bookmarkStart w:id="191" w:name="_Toc152042334"/>
      <w:bookmarkStart w:id="192" w:name="_Toc384308240"/>
      <w:bookmarkStart w:id="193" w:name="_Toc12259"/>
      <w:bookmarkStart w:id="194" w:name="_Toc247527583"/>
      <w:bookmarkStart w:id="195" w:name="_Toc144974526"/>
      <w:bookmarkStart w:id="196" w:name="_Toc361508615"/>
      <w:bookmarkStart w:id="197" w:name="_Toc152045558"/>
      <w:r>
        <w:rPr>
          <w:rFonts w:hint="default" w:ascii="Times New Roman" w:hAnsi="Times New Roman" w:cs="Times New Roman"/>
          <w:color w:val="000000"/>
          <w:sz w:val="24"/>
          <w:szCs w:val="24"/>
          <w:highlight w:val="none"/>
        </w:rPr>
        <w:t>候选人的人数见投标人须知前附</w:t>
      </w:r>
      <w:bookmarkEnd w:id="187"/>
      <w:bookmarkEnd w:id="188"/>
      <w:bookmarkEnd w:id="189"/>
      <w:bookmarkEnd w:id="190"/>
      <w:bookmarkEnd w:id="191"/>
      <w:bookmarkEnd w:id="192"/>
      <w:bookmarkEnd w:id="193"/>
      <w:bookmarkEnd w:id="194"/>
      <w:bookmarkEnd w:id="195"/>
      <w:bookmarkEnd w:id="196"/>
      <w:bookmarkEnd w:id="197"/>
      <w:r>
        <w:rPr>
          <w:rFonts w:hint="default" w:ascii="Times New Roman" w:hAnsi="Times New Roman" w:cs="Times New Roman"/>
          <w:color w:val="000000"/>
          <w:sz w:val="24"/>
          <w:szCs w:val="24"/>
          <w:highlight w:val="none"/>
        </w:rPr>
        <w:t>表</w:t>
      </w:r>
      <w:r>
        <w:rPr>
          <w:rFonts w:hint="default" w:ascii="Times New Roman" w:hAnsi="Times New Roman" w:eastAsia="宋体" w:cs="Times New Roman"/>
          <w:sz w:val="24"/>
          <w:highlight w:val="none"/>
        </w:rPr>
        <w:t>。</w:t>
      </w:r>
    </w:p>
    <w:p w14:paraId="0735BDD5">
      <w:pPr>
        <w:pStyle w:val="2"/>
        <w:pageBreakBefore w:val="0"/>
        <w:kinsoku/>
        <w:wordWrap w:val="0"/>
        <w:bidi w:val="0"/>
        <w:spacing w:before="360" w:after="240" w:line="240" w:lineRule="atLeast"/>
        <w:rPr>
          <w:rFonts w:hint="default" w:ascii="Times New Roman" w:hAnsi="Times New Roman" w:eastAsia="黑体" w:cs="Times New Roman"/>
          <w:b w:val="0"/>
          <w:sz w:val="28"/>
          <w:szCs w:val="28"/>
          <w:highlight w:val="none"/>
        </w:rPr>
      </w:pPr>
      <w:bookmarkStart w:id="198" w:name="_Toc234832910"/>
      <w:bookmarkStart w:id="199" w:name="_Toc20021"/>
      <w:bookmarkStart w:id="200" w:name="_Toc29075"/>
      <w:r>
        <w:rPr>
          <w:rFonts w:hint="default" w:ascii="Times New Roman" w:hAnsi="Times New Roman" w:eastAsia="黑体" w:cs="Times New Roman"/>
          <w:b w:val="0"/>
          <w:sz w:val="28"/>
          <w:szCs w:val="28"/>
          <w:highlight w:val="none"/>
        </w:rPr>
        <w:t>7. 合同授予</w:t>
      </w:r>
      <w:bookmarkEnd w:id="198"/>
      <w:bookmarkEnd w:id="199"/>
      <w:bookmarkEnd w:id="200"/>
    </w:p>
    <w:p w14:paraId="1FE7A768">
      <w:pPr>
        <w:pStyle w:val="2"/>
        <w:pageBreakBefore w:val="0"/>
        <w:kinsoku/>
        <w:wordWrap w:val="0"/>
        <w:bidi w:val="0"/>
        <w:rPr>
          <w:rFonts w:hint="default" w:ascii="Times New Roman" w:hAnsi="Times New Roman" w:cs="Times New Roman"/>
          <w:highlight w:val="none"/>
        </w:rPr>
      </w:pPr>
      <w:bookmarkStart w:id="201" w:name="_Toc28003"/>
      <w:bookmarkStart w:id="202" w:name="_Toc29612"/>
      <w:bookmarkStart w:id="203" w:name="_Toc234832911"/>
      <w:r>
        <w:rPr>
          <w:rFonts w:hint="default" w:ascii="Times New Roman" w:hAnsi="Times New Roman" w:cs="Times New Roman"/>
          <w:highlight w:val="none"/>
        </w:rPr>
        <w:t>7.1 中标候选人公示</w:t>
      </w:r>
      <w:bookmarkEnd w:id="201"/>
      <w:bookmarkEnd w:id="202"/>
    </w:p>
    <w:p w14:paraId="47238E46">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招标人在收到评标报告之日起3日内，按照投标人须知前附表规定的公示媒介和期限公示中标候选人，公示期不得少于3日，公示内容包括：</w:t>
      </w:r>
    </w:p>
    <w:p w14:paraId="5BEDC52B">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（1）中标候选人排序、名称、投标报价，对工程质量要求、安全目标和工期的响应情况；</w:t>
      </w:r>
    </w:p>
    <w:p w14:paraId="3718DBBD">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（2）中标候选人在投标文件中承诺的项目经理和项目总工姓名、个人业绩、相关证书名称和编号；</w:t>
      </w:r>
    </w:p>
    <w:p w14:paraId="47ABD5B7">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（3）中标候选人在投标文件中填报的项目业绩；</w:t>
      </w:r>
    </w:p>
    <w:p w14:paraId="57DCDF4F">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（4）被否决投标的投标人名称、否决依据和原因；</w:t>
      </w:r>
    </w:p>
    <w:p w14:paraId="7876D7D2">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（5）提出异议的渠道和方式；</w:t>
      </w:r>
    </w:p>
    <w:p w14:paraId="7CF8ED7B">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（6）投标人须知前附表规定公示的其他内容。</w:t>
      </w:r>
    </w:p>
    <w:p w14:paraId="01F90938">
      <w:pPr>
        <w:pStyle w:val="2"/>
        <w:pageBreakBefore w:val="0"/>
        <w:kinsoku/>
        <w:wordWrap w:val="0"/>
        <w:bidi w:val="0"/>
        <w:rPr>
          <w:rFonts w:hint="default" w:ascii="Times New Roman" w:hAnsi="Times New Roman" w:cs="Times New Roman"/>
          <w:highlight w:val="none"/>
        </w:rPr>
      </w:pPr>
      <w:bookmarkStart w:id="204" w:name="_Toc4732"/>
      <w:bookmarkStart w:id="205" w:name="_Toc28677"/>
      <w:r>
        <w:rPr>
          <w:rFonts w:hint="default" w:ascii="Times New Roman" w:hAnsi="Times New Roman" w:cs="Times New Roman"/>
          <w:highlight w:val="none"/>
        </w:rPr>
        <w:t>7.2 评标结果异议</w:t>
      </w:r>
      <w:bookmarkEnd w:id="204"/>
      <w:bookmarkEnd w:id="205"/>
    </w:p>
    <w:p w14:paraId="7C62DA16">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cs="Times New Roman"/>
          <w:sz w:val="24"/>
          <w:highlight w:val="none"/>
        </w:rPr>
        <w:t>投标人或其他利害关系人对依法必须进行招标的项目的评标结果有异议的，应在中标候选人公示期间提出。招标人将在收到异议之日起 3 日内作出答复；作出答复前，将暂停招标投标活动。提出异议与作出答复均应通过“电子交易平台”在“异议与答复”菜单中完成。</w:t>
      </w:r>
    </w:p>
    <w:p w14:paraId="6A9F4200">
      <w:pPr>
        <w:pStyle w:val="2"/>
        <w:pageBreakBefore w:val="0"/>
        <w:kinsoku/>
        <w:wordWrap w:val="0"/>
        <w:bidi w:val="0"/>
        <w:rPr>
          <w:rFonts w:hint="default" w:ascii="Times New Roman" w:hAnsi="Times New Roman" w:cs="Times New Roman"/>
          <w:highlight w:val="none"/>
        </w:rPr>
      </w:pPr>
      <w:bookmarkStart w:id="206" w:name="_Toc30455"/>
      <w:bookmarkStart w:id="207" w:name="_Toc2167"/>
      <w:r>
        <w:rPr>
          <w:rFonts w:hint="default" w:ascii="Times New Roman" w:hAnsi="Times New Roman" w:cs="Times New Roman"/>
          <w:highlight w:val="none"/>
        </w:rPr>
        <w:t>7.3 中标候选人履约能力审查</w:t>
      </w:r>
      <w:bookmarkEnd w:id="206"/>
      <w:bookmarkEnd w:id="207"/>
    </w:p>
    <w:p w14:paraId="1F42C752">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中标候选人的经营、财务状况发生较大变化或存在违法行为，招标人认为可能影响其履约能力的，将在发出中标通知书前提请原评标委员会按照招标文件规定的标准和方法进行审查确认。</w:t>
      </w:r>
    </w:p>
    <w:p w14:paraId="7A15276E">
      <w:pPr>
        <w:pStyle w:val="2"/>
        <w:pageBreakBefore w:val="0"/>
        <w:kinsoku/>
        <w:wordWrap w:val="0"/>
        <w:bidi w:val="0"/>
        <w:rPr>
          <w:rFonts w:hint="default" w:ascii="Times New Roman" w:hAnsi="Times New Roman" w:cs="Times New Roman"/>
          <w:highlight w:val="none"/>
        </w:rPr>
      </w:pPr>
      <w:bookmarkStart w:id="208" w:name="_Toc31521"/>
      <w:bookmarkStart w:id="209" w:name="_Toc5726"/>
      <w:r>
        <w:rPr>
          <w:rFonts w:hint="default" w:ascii="Times New Roman" w:hAnsi="Times New Roman" w:cs="Times New Roman"/>
          <w:highlight w:val="none"/>
        </w:rPr>
        <w:t>7.</w:t>
      </w:r>
      <w:r>
        <w:rPr>
          <w:rFonts w:hint="default" w:ascii="Times New Roman" w:hAnsi="Times New Roman" w:cs="Times New Roman"/>
          <w:highlight w:val="none"/>
          <w:lang w:eastAsia="zh-CN"/>
        </w:rPr>
        <w:t xml:space="preserve">4 </w:t>
      </w:r>
      <w:r>
        <w:rPr>
          <w:rFonts w:hint="default" w:ascii="Times New Roman" w:hAnsi="Times New Roman" w:cs="Times New Roman"/>
          <w:highlight w:val="none"/>
        </w:rPr>
        <w:t>定标</w:t>
      </w:r>
      <w:bookmarkEnd w:id="203"/>
      <w:bookmarkEnd w:id="208"/>
      <w:bookmarkEnd w:id="209"/>
    </w:p>
    <w:p w14:paraId="15DD17AC">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按照投标人须知前附表的规定，招标人或招标人授权的评标委员会依法确定中标人。</w:t>
      </w:r>
    </w:p>
    <w:p w14:paraId="2E31ACCC">
      <w:pPr>
        <w:pStyle w:val="2"/>
        <w:pageBreakBefore w:val="0"/>
        <w:kinsoku/>
        <w:wordWrap w:val="0"/>
        <w:bidi w:val="0"/>
        <w:rPr>
          <w:rFonts w:hint="default" w:ascii="Times New Roman" w:hAnsi="Times New Roman" w:cs="Times New Roman"/>
          <w:highlight w:val="none"/>
        </w:rPr>
      </w:pPr>
      <w:bookmarkStart w:id="210" w:name="_Toc234832912"/>
      <w:bookmarkStart w:id="211" w:name="_Toc4863"/>
      <w:bookmarkStart w:id="212" w:name="_Toc10213"/>
      <w:r>
        <w:rPr>
          <w:rFonts w:hint="default" w:ascii="Times New Roman" w:hAnsi="Times New Roman" w:cs="Times New Roman"/>
          <w:highlight w:val="none"/>
        </w:rPr>
        <w:t>7.</w:t>
      </w:r>
      <w:r>
        <w:rPr>
          <w:rFonts w:hint="default" w:ascii="Times New Roman" w:hAnsi="Times New Roman" w:cs="Times New Roman"/>
          <w:highlight w:val="none"/>
          <w:lang w:eastAsia="zh-CN"/>
        </w:rPr>
        <w:t>5 中标通知</w:t>
      </w:r>
      <w:bookmarkEnd w:id="210"/>
      <w:bookmarkEnd w:id="211"/>
      <w:bookmarkEnd w:id="212"/>
    </w:p>
    <w:p w14:paraId="2478A53D">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cs="Times New Roman"/>
          <w:sz w:val="24"/>
          <w:highlight w:val="none"/>
        </w:rPr>
        <w:t>在本章第3.3款规定的投标有效期内，招标人应通过</w:t>
      </w:r>
      <w:r>
        <w:rPr>
          <w:rFonts w:hint="default" w:ascii="Times New Roman" w:hAnsi="Times New Roman" w:cs="Times New Roman"/>
          <w:sz w:val="24"/>
          <w:highlight w:val="none"/>
          <w:lang w:val="en-US" w:eastAsia="zh-CN"/>
        </w:rPr>
        <w:t>投标人须知前附表规定的</w:t>
      </w:r>
      <w:r>
        <w:rPr>
          <w:rFonts w:hint="default" w:ascii="Times New Roman" w:hAnsi="Times New Roman" w:cs="Times New Roman"/>
          <w:sz w:val="24"/>
          <w:highlight w:val="none"/>
        </w:rPr>
        <w:t>形式向中标人发出中标通知书，同时将中标结果通知未中标的投标人</w:t>
      </w:r>
      <w:r>
        <w:rPr>
          <w:rFonts w:hint="default" w:ascii="Times New Roman" w:hAnsi="Times New Roman" w:eastAsia="宋体" w:cs="Times New Roman"/>
          <w:sz w:val="24"/>
          <w:highlight w:val="none"/>
        </w:rPr>
        <w:t>。</w:t>
      </w:r>
    </w:p>
    <w:p w14:paraId="4822E616">
      <w:pPr>
        <w:pStyle w:val="2"/>
        <w:pageBreakBefore w:val="0"/>
        <w:kinsoku/>
        <w:wordWrap w:val="0"/>
        <w:bidi w:val="0"/>
        <w:rPr>
          <w:rFonts w:hint="default" w:ascii="Times New Roman" w:hAnsi="Times New Roman" w:cs="Times New Roman"/>
          <w:highlight w:val="none"/>
        </w:rPr>
      </w:pPr>
      <w:bookmarkStart w:id="213" w:name="_Toc29380"/>
      <w:bookmarkStart w:id="214" w:name="_Toc16073"/>
      <w:r>
        <w:rPr>
          <w:rFonts w:hint="default" w:ascii="Times New Roman" w:hAnsi="Times New Roman" w:cs="Times New Roman"/>
          <w:highlight w:val="none"/>
        </w:rPr>
        <w:t>7.</w:t>
      </w:r>
      <w:r>
        <w:rPr>
          <w:rFonts w:hint="default" w:ascii="Times New Roman" w:hAnsi="Times New Roman" w:cs="Times New Roman"/>
          <w:highlight w:val="none"/>
          <w:lang w:eastAsia="zh-CN"/>
        </w:rPr>
        <w:t xml:space="preserve">6 </w:t>
      </w:r>
      <w:r>
        <w:rPr>
          <w:rFonts w:hint="default" w:ascii="Times New Roman" w:hAnsi="Times New Roman" w:cs="Times New Roman"/>
          <w:highlight w:val="none"/>
        </w:rPr>
        <w:t>中标</w:t>
      </w:r>
      <w:r>
        <w:rPr>
          <w:rFonts w:hint="default" w:ascii="Times New Roman" w:hAnsi="Times New Roman" w:cs="Times New Roman"/>
          <w:highlight w:val="none"/>
          <w:lang w:eastAsia="zh-CN"/>
        </w:rPr>
        <w:t>结果</w:t>
      </w:r>
      <w:r>
        <w:rPr>
          <w:rFonts w:hint="default" w:ascii="Times New Roman" w:hAnsi="Times New Roman" w:cs="Times New Roman"/>
          <w:highlight w:val="none"/>
        </w:rPr>
        <w:t>公告</w:t>
      </w:r>
      <w:bookmarkEnd w:id="213"/>
      <w:bookmarkEnd w:id="214"/>
    </w:p>
    <w:p w14:paraId="1CD897DB">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招标人在确定中标人之日起3日内，按照投标人须知前附表规定的公告媒介和期限公告中标结果，公告期不得少于3日。公告内容包括中标人名称、中标价。</w:t>
      </w:r>
    </w:p>
    <w:p w14:paraId="26D612B1">
      <w:pPr>
        <w:pStyle w:val="2"/>
        <w:pageBreakBefore w:val="0"/>
        <w:kinsoku/>
        <w:wordWrap w:val="0"/>
        <w:bidi w:val="0"/>
        <w:rPr>
          <w:rFonts w:hint="default" w:ascii="Times New Roman" w:hAnsi="Times New Roman" w:cs="Times New Roman"/>
          <w:highlight w:val="none"/>
        </w:rPr>
      </w:pPr>
      <w:bookmarkStart w:id="215" w:name="_Toc234832913"/>
      <w:bookmarkStart w:id="216" w:name="_Toc24614"/>
      <w:bookmarkStart w:id="217" w:name="_Toc24579"/>
      <w:r>
        <w:rPr>
          <w:rFonts w:hint="default" w:ascii="Times New Roman" w:hAnsi="Times New Roman" w:cs="Times New Roman"/>
          <w:highlight w:val="none"/>
        </w:rPr>
        <w:t>7.</w:t>
      </w:r>
      <w:r>
        <w:rPr>
          <w:rFonts w:hint="default" w:ascii="Times New Roman" w:hAnsi="Times New Roman" w:cs="Times New Roman"/>
          <w:highlight w:val="none"/>
          <w:lang w:eastAsia="zh-CN"/>
        </w:rPr>
        <w:t xml:space="preserve">7 </w:t>
      </w:r>
      <w:r>
        <w:rPr>
          <w:rFonts w:hint="default" w:ascii="Times New Roman" w:hAnsi="Times New Roman" w:cs="Times New Roman"/>
          <w:highlight w:val="none"/>
        </w:rPr>
        <w:t>履约</w:t>
      </w:r>
      <w:bookmarkEnd w:id="215"/>
      <w:r>
        <w:rPr>
          <w:rFonts w:hint="default" w:ascii="Times New Roman" w:hAnsi="Times New Roman" w:cs="Times New Roman"/>
          <w:highlight w:val="none"/>
          <w:lang w:eastAsia="zh-CN"/>
        </w:rPr>
        <w:t>保证金</w:t>
      </w:r>
      <w:bookmarkEnd w:id="216"/>
      <w:bookmarkEnd w:id="217"/>
    </w:p>
    <w:p w14:paraId="43998E30">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7.7.1 在签订合同前，中标人应按投标人须知前附表规定的形式、金额和招标文件第四章</w:t>
      </w:r>
      <w:r>
        <w:rPr>
          <w:rFonts w:hint="eastAsia" w:ascii="宋体" w:hAnsi="宋体" w:eastAsia="宋体" w:cs="宋体"/>
          <w:sz w:val="24"/>
          <w:highlight w:val="none"/>
        </w:rPr>
        <w:t>“</w:t>
      </w:r>
      <w:r>
        <w:rPr>
          <w:rFonts w:hint="default" w:ascii="Times New Roman" w:hAnsi="Times New Roman" w:eastAsia="宋体" w:cs="Times New Roman"/>
          <w:sz w:val="24"/>
          <w:highlight w:val="none"/>
        </w:rPr>
        <w:t>合同条款及格式</w:t>
      </w:r>
      <w:r>
        <w:rPr>
          <w:rFonts w:hint="eastAsia" w:ascii="宋体" w:hAnsi="宋体" w:eastAsia="宋体" w:cs="宋体"/>
          <w:sz w:val="24"/>
          <w:highlight w:val="none"/>
        </w:rPr>
        <w:t>”</w:t>
      </w:r>
      <w:r>
        <w:rPr>
          <w:rFonts w:hint="default" w:ascii="Times New Roman" w:hAnsi="Times New Roman" w:eastAsia="宋体" w:cs="Times New Roman"/>
          <w:sz w:val="24"/>
          <w:highlight w:val="none"/>
        </w:rPr>
        <w:t>规定的或事先经过招标人书面认可的履约保证金格式向招标人提交履约保证金。除投标人须知前附表另有规定外，履约保证金为签约合同价的10%。联合体中标的，其履约保证金以联合体各方或联合体中牵头人的名义提交。</w:t>
      </w:r>
    </w:p>
    <w:p w14:paraId="1CB4B708">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采用银行保函时，应由符合投标人须知前附表规定级别的银行开具，所需的费用由中标人承担，中标人应保证银行保函有效。</w:t>
      </w:r>
    </w:p>
    <w:p w14:paraId="7CBF1960">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7.7.2 中标人不能按本章第7.7.1项要求提交履约保证金的，视为放弃中标，其投标保证金不予退还，给招标人造成的损失超过投标保证金数额的，中标人还应对超过部分予以赔偿。</w:t>
      </w:r>
    </w:p>
    <w:p w14:paraId="14FC9BF3">
      <w:pPr>
        <w:pStyle w:val="2"/>
        <w:pageBreakBefore w:val="0"/>
        <w:kinsoku/>
        <w:wordWrap w:val="0"/>
        <w:bidi w:val="0"/>
        <w:rPr>
          <w:rFonts w:hint="default" w:ascii="Times New Roman" w:hAnsi="Times New Roman" w:cs="Times New Roman"/>
          <w:highlight w:val="none"/>
        </w:rPr>
      </w:pPr>
      <w:bookmarkStart w:id="218" w:name="_Toc234832914"/>
      <w:bookmarkStart w:id="219" w:name="_Toc10896"/>
      <w:bookmarkStart w:id="220" w:name="_Toc12449"/>
      <w:r>
        <w:rPr>
          <w:rFonts w:hint="default" w:ascii="Times New Roman" w:hAnsi="Times New Roman" w:cs="Times New Roman"/>
          <w:highlight w:val="none"/>
        </w:rPr>
        <w:t>7.</w:t>
      </w:r>
      <w:r>
        <w:rPr>
          <w:rFonts w:hint="default" w:ascii="Times New Roman" w:hAnsi="Times New Roman" w:cs="Times New Roman"/>
          <w:highlight w:val="none"/>
          <w:lang w:eastAsia="zh-CN"/>
        </w:rPr>
        <w:t>8</w:t>
      </w:r>
      <w:r>
        <w:rPr>
          <w:rFonts w:hint="default" w:ascii="Times New Roman" w:hAnsi="Times New Roman" w:cs="Times New Roman"/>
          <w:highlight w:val="none"/>
        </w:rPr>
        <w:t xml:space="preserve"> 签订合同</w:t>
      </w:r>
      <w:bookmarkEnd w:id="218"/>
      <w:bookmarkEnd w:id="219"/>
      <w:bookmarkEnd w:id="220"/>
    </w:p>
    <w:p w14:paraId="353DEF1C">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 xml:space="preserve">7.8.1 招标人和中标人应在中标通知书发出之日起30日内，根据招标文件和中标人的投标文件订立书面合同。中标人无正当理由拒签合同，在签订合同时向招标人提出附加条件，或不按照招标文件要求提交履约保证金的，招标人取消其中标资格，其投标保证金不予退还；给招标人造成的损失超过投标保证金数额的，中标人还应对超过部分予以赔偿。 </w:t>
      </w:r>
    </w:p>
    <w:p w14:paraId="6A86657B">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7.8.2 发出中标通知书后，招标人无正当理由拒签合同，或在签订合同时向中标人提出附加条件的，招标人向中标人退还投标保证金；给中标人造成损失的，还应赔偿损失。</w:t>
      </w:r>
    </w:p>
    <w:p w14:paraId="0B1EE2EE">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7.8.3 联合体中标的，联合体各方应共同与招标人签订合同，就中标项目向招标人承担连带责任。</w:t>
      </w:r>
    </w:p>
    <w:p w14:paraId="134C517A">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7.8.4 招标人和中标人在签订合同协议书的同时，须按照本招标文件规定的格式和要求签订廉政合同及安全生产合同，明确双方在廉政建设和安全生产方面的权利和义务以及应承担的违约责任。</w:t>
      </w:r>
    </w:p>
    <w:p w14:paraId="70B0ED45">
      <w:pPr>
        <w:pStyle w:val="2"/>
        <w:pageBreakBefore w:val="0"/>
        <w:kinsoku/>
        <w:wordWrap w:val="0"/>
        <w:bidi w:val="0"/>
        <w:spacing w:before="360" w:after="240" w:line="240" w:lineRule="atLeast"/>
        <w:rPr>
          <w:rFonts w:hint="default" w:ascii="Times New Roman" w:hAnsi="Times New Roman" w:eastAsia="黑体" w:cs="Times New Roman"/>
          <w:b w:val="0"/>
          <w:sz w:val="28"/>
          <w:szCs w:val="28"/>
          <w:highlight w:val="none"/>
        </w:rPr>
      </w:pPr>
      <w:bookmarkStart w:id="221" w:name="_Toc11626"/>
      <w:bookmarkStart w:id="222" w:name="_Toc11328"/>
      <w:bookmarkStart w:id="223" w:name="_Toc234832918"/>
      <w:r>
        <w:rPr>
          <w:rFonts w:hint="default" w:ascii="Times New Roman" w:hAnsi="Times New Roman" w:eastAsia="黑体" w:cs="Times New Roman"/>
          <w:b w:val="0"/>
          <w:sz w:val="28"/>
          <w:szCs w:val="28"/>
          <w:highlight w:val="none"/>
          <w:lang w:eastAsia="zh-CN"/>
        </w:rPr>
        <w:t>8</w:t>
      </w:r>
      <w:r>
        <w:rPr>
          <w:rFonts w:hint="default" w:ascii="Times New Roman" w:hAnsi="Times New Roman" w:eastAsia="黑体" w:cs="Times New Roman"/>
          <w:b w:val="0"/>
          <w:sz w:val="28"/>
          <w:szCs w:val="28"/>
          <w:highlight w:val="none"/>
        </w:rPr>
        <w:t>. 纪律和监督</w:t>
      </w:r>
      <w:bookmarkEnd w:id="221"/>
      <w:bookmarkEnd w:id="222"/>
      <w:bookmarkEnd w:id="223"/>
    </w:p>
    <w:p w14:paraId="7A565EBA">
      <w:pPr>
        <w:pStyle w:val="2"/>
        <w:pageBreakBefore w:val="0"/>
        <w:kinsoku/>
        <w:wordWrap w:val="0"/>
        <w:bidi w:val="0"/>
        <w:rPr>
          <w:rFonts w:hint="default" w:ascii="Times New Roman" w:hAnsi="Times New Roman" w:cs="Times New Roman"/>
          <w:highlight w:val="none"/>
        </w:rPr>
      </w:pPr>
      <w:bookmarkStart w:id="224" w:name="_Toc31385"/>
      <w:bookmarkStart w:id="225" w:name="_Toc234832919"/>
      <w:bookmarkStart w:id="226" w:name="_Toc2195"/>
      <w:r>
        <w:rPr>
          <w:rFonts w:hint="default" w:ascii="Times New Roman" w:hAnsi="Times New Roman" w:cs="Times New Roman"/>
          <w:highlight w:val="none"/>
          <w:lang w:eastAsia="zh-CN"/>
        </w:rPr>
        <w:t>8</w:t>
      </w:r>
      <w:r>
        <w:rPr>
          <w:rFonts w:hint="default" w:ascii="Times New Roman" w:hAnsi="Times New Roman" w:cs="Times New Roman"/>
          <w:highlight w:val="none"/>
        </w:rPr>
        <w:t>.1 对招标人的纪律要求</w:t>
      </w:r>
      <w:bookmarkEnd w:id="224"/>
      <w:bookmarkEnd w:id="225"/>
      <w:bookmarkEnd w:id="226"/>
    </w:p>
    <w:p w14:paraId="3D48706D">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招标人不得泄露招标投标活动中应保密的情况和资料，不得与投标人串通损害国家利益、社会公共利益或他人合法权益。</w:t>
      </w:r>
    </w:p>
    <w:p w14:paraId="15CBEF37">
      <w:pPr>
        <w:pStyle w:val="2"/>
        <w:pageBreakBefore w:val="0"/>
        <w:kinsoku/>
        <w:wordWrap w:val="0"/>
        <w:bidi w:val="0"/>
        <w:rPr>
          <w:rFonts w:hint="default" w:ascii="Times New Roman" w:hAnsi="Times New Roman" w:cs="Times New Roman"/>
          <w:highlight w:val="none"/>
        </w:rPr>
      </w:pPr>
      <w:bookmarkStart w:id="227" w:name="_Toc28415"/>
      <w:bookmarkStart w:id="228" w:name="_Toc234832920"/>
      <w:bookmarkStart w:id="229" w:name="_Toc28155"/>
      <w:r>
        <w:rPr>
          <w:rFonts w:hint="default" w:ascii="Times New Roman" w:hAnsi="Times New Roman" w:cs="Times New Roman"/>
          <w:highlight w:val="none"/>
          <w:lang w:eastAsia="zh-CN"/>
        </w:rPr>
        <w:t>8</w:t>
      </w:r>
      <w:r>
        <w:rPr>
          <w:rFonts w:hint="default" w:ascii="Times New Roman" w:hAnsi="Times New Roman" w:cs="Times New Roman"/>
          <w:highlight w:val="none"/>
        </w:rPr>
        <w:t>.2 对投标人的纪律要求</w:t>
      </w:r>
      <w:bookmarkEnd w:id="227"/>
      <w:bookmarkEnd w:id="228"/>
      <w:bookmarkEnd w:id="229"/>
    </w:p>
    <w:p w14:paraId="4AABA61D">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投标人不得相互串通投标或与招标人串通投标，不得向招标人或评标委员会成员行贿谋取中标，不得以他人名义投标或以其他方式弄虚作假骗取中标；投标人不得以任何方式干扰、影响评标工作。</w:t>
      </w:r>
    </w:p>
    <w:p w14:paraId="29C4BD6D">
      <w:pPr>
        <w:pStyle w:val="2"/>
        <w:pageBreakBefore w:val="0"/>
        <w:kinsoku/>
        <w:wordWrap w:val="0"/>
        <w:bidi w:val="0"/>
        <w:rPr>
          <w:rFonts w:hint="default" w:ascii="Times New Roman" w:hAnsi="Times New Roman" w:cs="Times New Roman"/>
          <w:highlight w:val="none"/>
        </w:rPr>
      </w:pPr>
      <w:bookmarkStart w:id="230" w:name="_Toc9838"/>
      <w:bookmarkStart w:id="231" w:name="_Toc234832921"/>
      <w:bookmarkStart w:id="232" w:name="_Toc22216"/>
      <w:r>
        <w:rPr>
          <w:rFonts w:hint="default" w:ascii="Times New Roman" w:hAnsi="Times New Roman" w:cs="Times New Roman"/>
          <w:highlight w:val="none"/>
          <w:lang w:eastAsia="zh-CN"/>
        </w:rPr>
        <w:t>8</w:t>
      </w:r>
      <w:r>
        <w:rPr>
          <w:rFonts w:hint="default" w:ascii="Times New Roman" w:hAnsi="Times New Roman" w:cs="Times New Roman"/>
          <w:highlight w:val="none"/>
        </w:rPr>
        <w:t>.3 对评标委员会成员的纪律要求</w:t>
      </w:r>
      <w:bookmarkEnd w:id="230"/>
      <w:bookmarkEnd w:id="231"/>
      <w:bookmarkEnd w:id="232"/>
    </w:p>
    <w:p w14:paraId="39949F70">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评标委员会成员不得收受他人的财物或其他好处，不得向他人透露对投标文件的评审和比较、中标候选人的推荐情况以及评标有关的其他情况。在评标活动中，评标委员会成员应客观、公正地履行职责，遵守职业道德，不得擅离职守，影响评标程序正常进行，不得使用第三章</w:t>
      </w:r>
      <w:r>
        <w:rPr>
          <w:rFonts w:hint="eastAsia" w:ascii="宋体" w:hAnsi="宋体" w:eastAsia="宋体" w:cs="宋体"/>
          <w:sz w:val="24"/>
          <w:highlight w:val="none"/>
        </w:rPr>
        <w:t>“</w:t>
      </w:r>
      <w:r>
        <w:rPr>
          <w:rFonts w:hint="default" w:ascii="Times New Roman" w:hAnsi="Times New Roman" w:eastAsia="宋体" w:cs="Times New Roman"/>
          <w:sz w:val="24"/>
          <w:highlight w:val="none"/>
        </w:rPr>
        <w:t>评标办法</w:t>
      </w:r>
      <w:r>
        <w:rPr>
          <w:rFonts w:hint="eastAsia" w:ascii="宋体" w:hAnsi="宋体" w:eastAsia="宋体" w:cs="宋体"/>
          <w:sz w:val="24"/>
          <w:highlight w:val="none"/>
        </w:rPr>
        <w:t>”</w:t>
      </w:r>
      <w:r>
        <w:rPr>
          <w:rFonts w:hint="default" w:ascii="Times New Roman" w:hAnsi="Times New Roman" w:eastAsia="宋体" w:cs="Times New Roman"/>
          <w:sz w:val="24"/>
          <w:highlight w:val="none"/>
        </w:rPr>
        <w:t>没有规定的评审因素和标准进行评标。</w:t>
      </w:r>
    </w:p>
    <w:p w14:paraId="368D61D1">
      <w:pPr>
        <w:pStyle w:val="2"/>
        <w:pageBreakBefore w:val="0"/>
        <w:kinsoku/>
        <w:wordWrap w:val="0"/>
        <w:bidi w:val="0"/>
        <w:rPr>
          <w:rFonts w:hint="default" w:ascii="Times New Roman" w:hAnsi="Times New Roman" w:cs="Times New Roman"/>
          <w:highlight w:val="none"/>
        </w:rPr>
      </w:pPr>
      <w:bookmarkStart w:id="233" w:name="_Toc234832922"/>
      <w:bookmarkStart w:id="234" w:name="_Toc26993"/>
      <w:bookmarkStart w:id="235" w:name="_Toc6211"/>
      <w:r>
        <w:rPr>
          <w:rFonts w:hint="default" w:ascii="Times New Roman" w:hAnsi="Times New Roman" w:cs="Times New Roman"/>
          <w:highlight w:val="none"/>
          <w:lang w:eastAsia="zh-CN"/>
        </w:rPr>
        <w:t>8</w:t>
      </w:r>
      <w:r>
        <w:rPr>
          <w:rFonts w:hint="default" w:ascii="Times New Roman" w:hAnsi="Times New Roman" w:cs="Times New Roman"/>
          <w:highlight w:val="none"/>
        </w:rPr>
        <w:t>.4 对与评标活动有关的工作人员的纪律要求</w:t>
      </w:r>
      <w:bookmarkEnd w:id="233"/>
      <w:bookmarkEnd w:id="234"/>
      <w:bookmarkEnd w:id="235"/>
    </w:p>
    <w:p w14:paraId="5B347FFA">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与评标活动有关的工作人员不得收受他人的财物或其他好处，不得向他人透露对投标文件的评审和比较、中标候选人的推荐情况以及评标有关的其他情况。在评标活动中，与评标活动有关的工作人员不得擅离职守，影响评标程序正常进行。</w:t>
      </w:r>
    </w:p>
    <w:p w14:paraId="0133F459">
      <w:pPr>
        <w:pStyle w:val="2"/>
        <w:pageBreakBefore w:val="0"/>
        <w:kinsoku/>
        <w:wordWrap w:val="0"/>
        <w:bidi w:val="0"/>
        <w:rPr>
          <w:rFonts w:hint="default" w:ascii="Times New Roman" w:hAnsi="Times New Roman" w:cs="Times New Roman"/>
          <w:highlight w:val="none"/>
        </w:rPr>
      </w:pPr>
      <w:bookmarkStart w:id="236" w:name="_Toc19294"/>
      <w:bookmarkStart w:id="237" w:name="_Toc234832923"/>
      <w:bookmarkStart w:id="238" w:name="_Toc12008"/>
      <w:r>
        <w:rPr>
          <w:rFonts w:hint="default" w:ascii="Times New Roman" w:hAnsi="Times New Roman" w:cs="Times New Roman"/>
          <w:highlight w:val="none"/>
          <w:lang w:eastAsia="zh-CN"/>
        </w:rPr>
        <w:t>8</w:t>
      </w:r>
      <w:r>
        <w:rPr>
          <w:rFonts w:hint="default" w:ascii="Times New Roman" w:hAnsi="Times New Roman" w:cs="Times New Roman"/>
          <w:highlight w:val="none"/>
        </w:rPr>
        <w:t>.5 投诉</w:t>
      </w:r>
      <w:bookmarkEnd w:id="236"/>
      <w:bookmarkEnd w:id="237"/>
      <w:bookmarkEnd w:id="238"/>
    </w:p>
    <w:p w14:paraId="0A66F478">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8.5.1 投标人或其他利害关系人认为招标投标活动不符合法律、行政法规规定的，可以自知道或应当知道之日起10日内向有关行政监督部门投诉。投诉应有明确的请求和必要的证明材料。</w:t>
      </w:r>
    </w:p>
    <w:p w14:paraId="19A3070D">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监督部门的联系方式见投标人须知前附表。</w:t>
      </w:r>
    </w:p>
    <w:p w14:paraId="7BD9FA98">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8.5.2 投标人或其他利害关系人对招标文件、开标和评标结果提出投诉的，应按照本章第2.4款、第5.3款和第7.2款的规定先向招标人提出异议。异议答复期间</w:t>
      </w:r>
      <w:bookmarkStart w:id="239" w:name="_Toc152042346"/>
      <w:bookmarkStart w:id="240" w:name="_Toc361508630"/>
      <w:bookmarkStart w:id="241" w:name="_Toc247513994"/>
      <w:bookmarkStart w:id="242" w:name="_Toc300834993"/>
      <w:bookmarkStart w:id="243" w:name="_Toc144974538"/>
      <w:bookmarkStart w:id="244" w:name="_Toc152045570"/>
      <w:bookmarkStart w:id="245" w:name="_Toc369531561"/>
      <w:bookmarkStart w:id="246" w:name="_Toc12776"/>
      <w:bookmarkStart w:id="247" w:name="_Toc352691517"/>
      <w:bookmarkStart w:id="248" w:name="_Toc384308255"/>
      <w:bookmarkStart w:id="249" w:name="_Toc247527595"/>
      <w:r>
        <w:rPr>
          <w:rFonts w:hint="default" w:ascii="Times New Roman" w:hAnsi="Times New Roman" w:eastAsia="宋体" w:cs="Times New Roman"/>
          <w:sz w:val="24"/>
          <w:highlight w:val="none"/>
        </w:rPr>
        <w:t>不计算在第8.5.</w:t>
      </w:r>
      <w:bookmarkEnd w:id="239"/>
      <w:bookmarkEnd w:id="240"/>
      <w:bookmarkEnd w:id="241"/>
      <w:bookmarkEnd w:id="242"/>
      <w:bookmarkEnd w:id="243"/>
      <w:bookmarkEnd w:id="244"/>
      <w:bookmarkEnd w:id="245"/>
      <w:bookmarkEnd w:id="246"/>
      <w:bookmarkEnd w:id="247"/>
      <w:bookmarkEnd w:id="248"/>
      <w:bookmarkEnd w:id="249"/>
      <w:r>
        <w:rPr>
          <w:rFonts w:hint="default" w:ascii="Times New Roman" w:hAnsi="Times New Roman" w:eastAsia="宋体" w:cs="Times New Roman"/>
          <w:sz w:val="24"/>
          <w:highlight w:val="none"/>
        </w:rPr>
        <w:t>1项规定的期限内。</w:t>
      </w:r>
    </w:p>
    <w:p w14:paraId="5EEE566B">
      <w:pPr>
        <w:pStyle w:val="2"/>
        <w:pageBreakBefore w:val="0"/>
        <w:kinsoku/>
        <w:wordWrap w:val="0"/>
        <w:bidi w:val="0"/>
        <w:spacing w:before="360" w:after="240" w:line="240" w:lineRule="atLeast"/>
        <w:rPr>
          <w:rFonts w:hint="default" w:ascii="Times New Roman" w:hAnsi="Times New Roman" w:eastAsia="黑体" w:cs="Times New Roman"/>
          <w:b w:val="0"/>
          <w:sz w:val="28"/>
          <w:szCs w:val="28"/>
          <w:highlight w:val="none"/>
          <w:lang w:eastAsia="zh-CN"/>
        </w:rPr>
      </w:pPr>
      <w:bookmarkStart w:id="250" w:name="_Toc18903"/>
      <w:bookmarkStart w:id="251" w:name="_Toc5040"/>
      <w:bookmarkStart w:id="252" w:name="_Toc234832924"/>
      <w:r>
        <w:rPr>
          <w:rFonts w:hint="default" w:ascii="Times New Roman" w:hAnsi="Times New Roman" w:cs="Times New Roman"/>
          <w:b w:val="0"/>
          <w:sz w:val="28"/>
          <w:szCs w:val="28"/>
          <w:highlight w:val="none"/>
          <w:lang w:val="en-US" w:eastAsia="zh-CN"/>
        </w:rPr>
        <w:t>9</w:t>
      </w:r>
      <w:r>
        <w:rPr>
          <w:rFonts w:hint="default" w:ascii="Times New Roman" w:hAnsi="Times New Roman" w:eastAsia="黑体" w:cs="Times New Roman"/>
          <w:b w:val="0"/>
          <w:sz w:val="28"/>
          <w:szCs w:val="28"/>
          <w:highlight w:val="none"/>
        </w:rPr>
        <w:t>.</w:t>
      </w:r>
      <w:r>
        <w:rPr>
          <w:rFonts w:hint="default" w:ascii="Times New Roman" w:hAnsi="Times New Roman" w:eastAsia="黑体" w:cs="Times New Roman"/>
          <w:b w:val="0"/>
          <w:sz w:val="28"/>
          <w:szCs w:val="28"/>
          <w:highlight w:val="none"/>
          <w:lang w:eastAsia="zh-CN"/>
        </w:rPr>
        <w:t xml:space="preserve"> </w:t>
      </w:r>
      <w:r>
        <w:rPr>
          <w:rFonts w:hint="default" w:ascii="Times New Roman" w:hAnsi="Times New Roman" w:eastAsia="黑体" w:cs="Times New Roman"/>
          <w:b w:val="0"/>
          <w:sz w:val="28"/>
          <w:szCs w:val="28"/>
          <w:highlight w:val="none"/>
        </w:rPr>
        <w:t>需要补充的其他内容</w:t>
      </w:r>
      <w:bookmarkEnd w:id="250"/>
      <w:bookmarkEnd w:id="251"/>
      <w:bookmarkEnd w:id="252"/>
    </w:p>
    <w:p w14:paraId="106D840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eastAsia="宋体" w:cs="Times New Roman"/>
          <w:sz w:val="24"/>
          <w:highlight w:val="none"/>
        </w:rPr>
        <w:t>需要补充的其他内容：见投标人须知前附表。</w:t>
      </w:r>
    </w:p>
    <w:p w14:paraId="5E241FB4">
      <w:pPr>
        <w:pStyle w:val="2"/>
        <w:wordWrap w:val="0"/>
        <w:spacing w:before="0" w:after="100" w:afterAutospacing="1" w:line="240" w:lineRule="atLeast"/>
        <w:rPr>
          <w:rFonts w:hint="default" w:ascii="Times New Roman" w:hAnsi="Times New Roman" w:eastAsia="黑体" w:cs="Times New Roman"/>
          <w:b w:val="0"/>
          <w:sz w:val="24"/>
          <w:szCs w:val="24"/>
          <w:highlight w:val="none"/>
        </w:rPr>
      </w:pPr>
      <w:r>
        <w:rPr>
          <w:rFonts w:hint="default" w:ascii="Times New Roman" w:hAnsi="Times New Roman" w:eastAsia="隶书" w:cs="Times New Roman"/>
          <w:sz w:val="24"/>
          <w:highlight w:val="none"/>
        </w:rPr>
        <w:br w:type="page"/>
      </w:r>
      <w:bookmarkStart w:id="253" w:name="_Toc25532"/>
      <w:bookmarkStart w:id="254" w:name="_Toc234832925"/>
      <w:bookmarkStart w:id="255" w:name="_Toc19391"/>
      <w:r>
        <w:rPr>
          <w:rFonts w:hint="default" w:ascii="Times New Roman" w:hAnsi="Times New Roman" w:eastAsia="黑体" w:cs="Times New Roman"/>
          <w:b w:val="0"/>
          <w:sz w:val="24"/>
          <w:szCs w:val="24"/>
          <w:highlight w:val="none"/>
        </w:rPr>
        <w:t>附</w:t>
      </w:r>
      <w:r>
        <w:rPr>
          <w:rFonts w:hint="default" w:ascii="Times New Roman" w:hAnsi="Times New Roman" w:eastAsia="黑体" w:cs="Times New Roman"/>
          <w:b w:val="0"/>
          <w:sz w:val="24"/>
          <w:szCs w:val="24"/>
          <w:highlight w:val="none"/>
          <w:lang w:eastAsia="zh-CN"/>
        </w:rPr>
        <w:t>件</w:t>
      </w:r>
      <w:r>
        <w:rPr>
          <w:rFonts w:hint="default" w:ascii="Times New Roman" w:hAnsi="Times New Roman" w:eastAsia="黑体" w:cs="Times New Roman"/>
          <w:b w:val="0"/>
          <w:sz w:val="24"/>
          <w:szCs w:val="24"/>
          <w:highlight w:val="none"/>
        </w:rPr>
        <w:t>一</w:t>
      </w:r>
      <w:r>
        <w:rPr>
          <w:rFonts w:hint="default" w:ascii="Times New Roman" w:hAnsi="Times New Roman" w:eastAsia="黑体" w:cs="Times New Roman"/>
          <w:b w:val="0"/>
          <w:sz w:val="24"/>
          <w:szCs w:val="24"/>
          <w:highlight w:val="none"/>
          <w:lang w:eastAsia="zh-CN"/>
        </w:rPr>
        <w:t xml:space="preserve"> </w:t>
      </w:r>
      <w:r>
        <w:rPr>
          <w:rFonts w:hint="default" w:ascii="Times New Roman" w:hAnsi="Times New Roman" w:eastAsia="黑体" w:cs="Times New Roman"/>
          <w:b w:val="0"/>
          <w:sz w:val="24"/>
          <w:szCs w:val="24"/>
          <w:highlight w:val="none"/>
        </w:rPr>
        <w:t xml:space="preserve">开标记录表 </w:t>
      </w:r>
      <w:r>
        <w:rPr>
          <w:rStyle w:val="56"/>
          <w:rFonts w:hint="default" w:ascii="Times New Roman" w:hAnsi="Times New Roman" w:eastAsia="黑体" w:cs="Times New Roman"/>
          <w:b w:val="0"/>
          <w:sz w:val="28"/>
          <w:szCs w:val="28"/>
          <w:highlight w:val="none"/>
        </w:rPr>
        <w:footnoteReference w:id="20"/>
      </w:r>
      <w:bookmarkEnd w:id="253"/>
      <w:bookmarkEnd w:id="254"/>
      <w:bookmarkEnd w:id="255"/>
    </w:p>
    <w:p w14:paraId="45ED7494">
      <w:pPr>
        <w:pStyle w:val="2"/>
        <w:wordWrap w:val="0"/>
        <w:spacing w:before="0" w:after="100" w:afterAutospacing="1" w:line="240" w:lineRule="atLeast"/>
        <w:rPr>
          <w:rFonts w:hint="default" w:ascii="Times New Roman" w:hAnsi="Times New Roman" w:eastAsia="黑体" w:cs="Times New Roman"/>
          <w:b w:val="0"/>
          <w:sz w:val="24"/>
          <w:szCs w:val="24"/>
          <w:highlight w:val="none"/>
        </w:rPr>
      </w:pPr>
      <w:bookmarkStart w:id="256" w:name="_Toc16381"/>
      <w:bookmarkStart w:id="257" w:name="_Toc11154"/>
      <w:bookmarkStart w:id="258" w:name="_Toc24220"/>
      <w:r>
        <w:rPr>
          <w:rFonts w:hint="eastAsia" w:ascii="宋体" w:hAnsi="宋体" w:eastAsia="宋体" w:cs="宋体"/>
          <w:sz w:val="24"/>
          <w:szCs w:val="24"/>
          <w:highlight w:val="none"/>
          <w:u w:val="none"/>
          <w:lang w:val="en-US" w:eastAsia="zh-CN"/>
        </w:rPr>
        <w:t>以电子交易平台生成格式为准。</w:t>
      </w:r>
      <w:bookmarkEnd w:id="256"/>
      <w:bookmarkEnd w:id="257"/>
      <w:bookmarkEnd w:id="258"/>
    </w:p>
    <w:p w14:paraId="069DBB3C">
      <w:pPr>
        <w:keepNext/>
        <w:keepLines/>
        <w:pageBreakBefore w:val="0"/>
        <w:widowControl w:val="0"/>
        <w:kinsoku/>
        <w:wordWrap/>
        <w:overflowPunct/>
        <w:topLinePunct w:val="0"/>
        <w:autoSpaceDE/>
        <w:autoSpaceDN/>
        <w:bidi w:val="0"/>
        <w:adjustRightInd/>
        <w:snapToGrid/>
        <w:spacing w:after="100" w:afterAutospacing="1" w:line="240" w:lineRule="atLeast"/>
        <w:jc w:val="left"/>
        <w:textAlignment w:val="auto"/>
        <w:outlineLvl w:val="9"/>
        <w:rPr>
          <w:rFonts w:hint="default" w:ascii="Times New Roman" w:hAnsi="Times New Roman" w:cs="Times New Roman"/>
          <w:szCs w:val="21"/>
          <w:highlight w:val="none"/>
        </w:rPr>
      </w:pPr>
      <w:bookmarkStart w:id="259" w:name="_Toc24468"/>
      <w:r>
        <w:rPr>
          <w:rFonts w:hint="eastAsia" w:eastAsia="黑体" w:cs="Times New Roman"/>
          <w:sz w:val="24"/>
          <w:szCs w:val="24"/>
          <w:highlight w:val="none"/>
          <w:u w:val="none"/>
          <w:lang w:val="en-US" w:eastAsia="zh-CN"/>
        </w:rPr>
        <w:t xml:space="preserve"> </w:t>
      </w:r>
      <w:r>
        <w:rPr>
          <w:rFonts w:hint="default" w:ascii="Times New Roman" w:hAnsi="Times New Roman" w:cs="Times New Roman"/>
          <w:szCs w:val="24"/>
          <w:highlight w:val="none"/>
        </w:rPr>
        <w:br w:type="page"/>
      </w:r>
      <w:bookmarkEnd w:id="259"/>
    </w:p>
    <w:p w14:paraId="5F596357">
      <w:pPr>
        <w:pageBreakBefore w:val="0"/>
        <w:kinsoku/>
        <w:wordWrap w:val="0"/>
        <w:bidi w:val="0"/>
        <w:spacing w:line="620" w:lineRule="exact"/>
        <w:ind w:right="630"/>
        <w:jc w:val="center"/>
        <w:rPr>
          <w:rFonts w:hint="default" w:ascii="Times New Roman" w:hAnsi="Times New Roman" w:cs="Times New Roman"/>
          <w:szCs w:val="21"/>
          <w:highlight w:val="none"/>
        </w:rPr>
        <w:sectPr>
          <w:headerReference r:id="rId20" w:type="default"/>
          <w:footerReference r:id="rId22" w:type="default"/>
          <w:headerReference r:id="rId21" w:type="even"/>
          <w:footerReference r:id="rId23" w:type="even"/>
          <w:footnotePr>
            <w:numFmt w:val="decimalEnclosedCircleChinese"/>
            <w:numRestart w:val="eachPage"/>
          </w:footnotePr>
          <w:pgSz w:w="11907" w:h="16840"/>
          <w:pgMar w:top="1440" w:right="1080" w:bottom="1440" w:left="1080" w:header="851" w:footer="851" w:gutter="0"/>
          <w:pgNumType w:fmt="decimal"/>
          <w:cols w:space="720" w:num="1"/>
          <w:docGrid w:linePitch="312" w:charSpace="0"/>
        </w:sectPr>
      </w:pPr>
    </w:p>
    <w:p w14:paraId="1035CBB4">
      <w:pPr>
        <w:pStyle w:val="2"/>
        <w:pageBreakBefore w:val="0"/>
        <w:kinsoku/>
        <w:wordWrap w:val="0"/>
        <w:bidi w:val="0"/>
        <w:spacing w:before="0" w:after="0" w:line="240" w:lineRule="atLeast"/>
        <w:rPr>
          <w:rFonts w:hint="default" w:ascii="Times New Roman" w:hAnsi="Times New Roman" w:eastAsia="黑体" w:cs="Times New Roman"/>
          <w:b w:val="0"/>
          <w:sz w:val="24"/>
          <w:szCs w:val="24"/>
          <w:highlight w:val="none"/>
        </w:rPr>
      </w:pPr>
      <w:bookmarkStart w:id="260" w:name="_Toc3403"/>
      <w:bookmarkStart w:id="261" w:name="_Toc14944"/>
      <w:bookmarkStart w:id="262" w:name="_Toc234832926"/>
      <w:r>
        <w:rPr>
          <w:rFonts w:hint="default" w:ascii="Times New Roman" w:hAnsi="Times New Roman" w:eastAsia="黑体" w:cs="Times New Roman"/>
          <w:b w:val="0"/>
          <w:sz w:val="24"/>
          <w:szCs w:val="24"/>
          <w:highlight w:val="none"/>
        </w:rPr>
        <w:t>附</w:t>
      </w:r>
      <w:r>
        <w:rPr>
          <w:rFonts w:hint="default" w:ascii="Times New Roman" w:hAnsi="Times New Roman" w:eastAsia="黑体" w:cs="Times New Roman"/>
          <w:b w:val="0"/>
          <w:sz w:val="24"/>
          <w:szCs w:val="24"/>
          <w:highlight w:val="none"/>
          <w:lang w:eastAsia="zh-CN"/>
        </w:rPr>
        <w:t>件</w:t>
      </w:r>
      <w:r>
        <w:rPr>
          <w:rFonts w:hint="default" w:ascii="Times New Roman" w:hAnsi="Times New Roman" w:eastAsia="黑体" w:cs="Times New Roman"/>
          <w:b w:val="0"/>
          <w:sz w:val="24"/>
          <w:szCs w:val="24"/>
          <w:highlight w:val="none"/>
        </w:rPr>
        <w:t>二</w:t>
      </w:r>
      <w:r>
        <w:rPr>
          <w:rFonts w:hint="default" w:ascii="Times New Roman" w:hAnsi="Times New Roman" w:eastAsia="黑体" w:cs="Times New Roman"/>
          <w:b w:val="0"/>
          <w:sz w:val="24"/>
          <w:szCs w:val="24"/>
          <w:highlight w:val="none"/>
          <w:lang w:eastAsia="zh-CN"/>
        </w:rPr>
        <w:t xml:space="preserve"> </w:t>
      </w:r>
      <w:r>
        <w:rPr>
          <w:rFonts w:hint="default" w:ascii="Times New Roman" w:hAnsi="Times New Roman" w:eastAsia="黑体" w:cs="Times New Roman"/>
          <w:b w:val="0"/>
          <w:sz w:val="24"/>
          <w:szCs w:val="24"/>
          <w:highlight w:val="none"/>
        </w:rPr>
        <w:t>问题澄清通知</w:t>
      </w:r>
      <w:bookmarkEnd w:id="260"/>
      <w:bookmarkEnd w:id="261"/>
      <w:bookmarkEnd w:id="262"/>
    </w:p>
    <w:p w14:paraId="4FA4F8F7">
      <w:pPr>
        <w:pageBreakBefore w:val="0"/>
        <w:kinsoku/>
        <w:wordWrap w:val="0"/>
        <w:bidi w:val="0"/>
        <w:spacing w:line="440" w:lineRule="exact"/>
        <w:jc w:val="center"/>
        <w:rPr>
          <w:rFonts w:hint="default" w:ascii="Times New Roman" w:hAnsi="Times New Roman" w:cs="Times New Roman"/>
          <w:sz w:val="28"/>
          <w:szCs w:val="28"/>
          <w:highlight w:val="none"/>
        </w:rPr>
      </w:pPr>
    </w:p>
    <w:p w14:paraId="3E83211C">
      <w:pPr>
        <w:pageBreakBefore w:val="0"/>
        <w:kinsoku/>
        <w:wordWrap w:val="0"/>
        <w:bidi w:val="0"/>
        <w:spacing w:line="440" w:lineRule="exact"/>
        <w:jc w:val="center"/>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问题澄清通知</w:t>
      </w:r>
    </w:p>
    <w:p w14:paraId="30139D5A">
      <w:pPr>
        <w:pageBreakBefore w:val="0"/>
        <w:kinsoku/>
        <w:wordWrap w:val="0"/>
        <w:bidi w:val="0"/>
        <w:spacing w:line="440" w:lineRule="exact"/>
        <w:jc w:val="center"/>
        <w:rPr>
          <w:rFonts w:hint="default" w:ascii="Times New Roman" w:hAnsi="Times New Roman" w:cs="Times New Roman"/>
          <w:sz w:val="24"/>
          <w:highlight w:val="none"/>
        </w:rPr>
      </w:pPr>
      <w:r>
        <w:rPr>
          <w:rFonts w:hint="default" w:ascii="Times New Roman" w:hAnsi="Times New Roman" w:cs="Times New Roman"/>
          <w:highlight w:val="none"/>
        </w:rPr>
        <w:t>（编号：</w:t>
      </w:r>
      <w:r>
        <w:rPr>
          <w:rFonts w:hint="default" w:ascii="Times New Roman" w:hAnsi="Times New Roman" w:eastAsia="黑体" w:cs="Times New Roman"/>
          <w:sz w:val="28"/>
          <w:highlight w:val="none"/>
          <w:u w:val="single"/>
        </w:rPr>
        <w:t xml:space="preserve">               </w:t>
      </w:r>
      <w:r>
        <w:rPr>
          <w:rFonts w:hint="default" w:ascii="Times New Roman" w:hAnsi="Times New Roman" w:cs="Times New Roman"/>
          <w:highlight w:val="none"/>
        </w:rPr>
        <w:t>）</w:t>
      </w:r>
    </w:p>
    <w:p w14:paraId="548A2AFD">
      <w:pPr>
        <w:pageBreakBefore w:val="0"/>
        <w:kinsoku/>
        <w:wordWrap w:val="0"/>
        <w:bidi w:val="0"/>
        <w:spacing w:line="440" w:lineRule="exact"/>
        <w:rPr>
          <w:rFonts w:hint="default" w:ascii="Times New Roman" w:hAnsi="Times New Roman" w:cs="Times New Roman"/>
          <w:sz w:val="24"/>
          <w:highlight w:val="none"/>
        </w:rPr>
      </w:pPr>
    </w:p>
    <w:p w14:paraId="7D018593">
      <w:pPr>
        <w:pageBreakBefore w:val="0"/>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（投标人名称）：</w:t>
      </w:r>
    </w:p>
    <w:p w14:paraId="7165FC9C">
      <w:pPr>
        <w:pageBreakBefore w:val="0"/>
        <w:kinsoku/>
        <w:wordWrap w:val="0"/>
        <w:bidi w:val="0"/>
        <w:spacing w:line="440" w:lineRule="exact"/>
        <w:rPr>
          <w:rFonts w:hint="default" w:ascii="Times New Roman" w:hAnsi="Times New Roman" w:cs="Times New Roman"/>
          <w:sz w:val="24"/>
          <w:highlight w:val="none"/>
        </w:rPr>
      </w:pPr>
    </w:p>
    <w:p w14:paraId="0ACA93B1">
      <w:pPr>
        <w:pageBreakBefore w:val="0"/>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 （项目名称）</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标段施工招标的评标委员会，对你方的投标文件进行了仔细的审查，现需你方对下列问题以书面形式予以澄清或说明：</w:t>
      </w:r>
    </w:p>
    <w:p w14:paraId="6AE5E968">
      <w:pPr>
        <w:pageBreakBefore w:val="0"/>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　　</w:t>
      </w:r>
    </w:p>
    <w:p w14:paraId="73911ADD">
      <w:pPr>
        <w:pageBreakBefore w:val="0"/>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1.</w:t>
      </w:r>
    </w:p>
    <w:p w14:paraId="063B77C2">
      <w:pPr>
        <w:pageBreakBefore w:val="0"/>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2.</w:t>
      </w:r>
    </w:p>
    <w:p w14:paraId="5767465F">
      <w:pPr>
        <w:pageBreakBefore w:val="0"/>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   </w:t>
      </w:r>
    </w:p>
    <w:p w14:paraId="308AEE3D">
      <w:pPr>
        <w:pageBreakBefore w:val="0"/>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　　　</w:t>
      </w:r>
    </w:p>
    <w:p w14:paraId="1C73112F">
      <w:pPr>
        <w:pageBreakBefore w:val="0"/>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　　请将上述问题的澄清或说明于</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月</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日</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时</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分前递交至</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（详细地址）或传真至</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（传真号码）或</w:t>
      </w:r>
      <w:r>
        <w:rPr>
          <w:rFonts w:hint="default" w:ascii="Times New Roman" w:hAnsi="Times New Roman" w:cs="Times New Roman"/>
          <w:sz w:val="24"/>
          <w:highlight w:val="none"/>
          <w:lang w:val="en-US" w:eastAsia="zh-CN"/>
        </w:rPr>
        <w:t>发送至</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w:t>
      </w:r>
      <w:r>
        <w:rPr>
          <w:rFonts w:hint="default" w:ascii="Times New Roman" w:hAnsi="Times New Roman" w:cs="Times New Roman"/>
          <w:sz w:val="24"/>
          <w:highlight w:val="none"/>
          <w:lang w:val="en-US" w:eastAsia="zh-CN"/>
        </w:rPr>
        <w:t>邮箱地址</w:t>
      </w:r>
      <w:r>
        <w:rPr>
          <w:rFonts w:hint="default" w:ascii="Times New Roman" w:hAnsi="Times New Roman" w:cs="Times New Roman"/>
          <w:sz w:val="24"/>
          <w:highlight w:val="none"/>
        </w:rPr>
        <w:t>）</w:t>
      </w:r>
      <w:r>
        <w:rPr>
          <w:rFonts w:hint="default" w:ascii="Times New Roman" w:hAnsi="Times New Roman" w:cs="Times New Roman"/>
          <w:sz w:val="24"/>
          <w:highlight w:val="none"/>
          <w:lang w:val="en-US" w:eastAsia="zh-CN"/>
        </w:rPr>
        <w:t>或</w:t>
      </w:r>
      <w:r>
        <w:rPr>
          <w:rFonts w:hint="default" w:ascii="Times New Roman" w:hAnsi="Times New Roman" w:cs="Times New Roman"/>
          <w:sz w:val="24"/>
          <w:highlight w:val="none"/>
        </w:rPr>
        <w:t>通过</w:t>
      </w:r>
      <w:r>
        <w:rPr>
          <w:rFonts w:hint="eastAsia" w:ascii="宋体" w:hAnsi="宋体" w:eastAsia="宋体" w:cs="宋体"/>
          <w:sz w:val="24"/>
          <w:highlight w:val="none"/>
          <w:lang w:eastAsia="zh-CN"/>
        </w:rPr>
        <w:t>“</w:t>
      </w:r>
      <w:r>
        <w:rPr>
          <w:rFonts w:hint="default" w:ascii="Times New Roman" w:hAnsi="Times New Roman" w:cs="Times New Roman"/>
          <w:sz w:val="24"/>
          <w:highlight w:val="none"/>
        </w:rPr>
        <w:t>电子招标交易平台</w:t>
      </w:r>
      <w:r>
        <w:rPr>
          <w:rFonts w:hint="eastAsia" w:ascii="宋体" w:hAnsi="宋体" w:eastAsia="宋体" w:cs="宋体"/>
          <w:sz w:val="24"/>
          <w:highlight w:val="none"/>
          <w:lang w:eastAsia="zh-CN"/>
        </w:rPr>
        <w:t>”</w:t>
      </w:r>
      <w:r>
        <w:rPr>
          <w:rFonts w:hint="default" w:ascii="Times New Roman" w:hAnsi="Times New Roman" w:cs="Times New Roman"/>
          <w:sz w:val="24"/>
          <w:highlight w:val="none"/>
        </w:rPr>
        <w:t>上传。采用传真</w:t>
      </w:r>
      <w:r>
        <w:rPr>
          <w:rFonts w:hint="default" w:ascii="Times New Roman" w:hAnsi="Times New Roman" w:cs="Times New Roman"/>
          <w:sz w:val="24"/>
          <w:highlight w:val="none"/>
          <w:lang w:val="en-US" w:eastAsia="zh-CN"/>
        </w:rPr>
        <w:t>或邮件</w:t>
      </w:r>
      <w:r>
        <w:rPr>
          <w:rFonts w:hint="default" w:ascii="Times New Roman" w:hAnsi="Times New Roman" w:cs="Times New Roman"/>
          <w:sz w:val="24"/>
          <w:highlight w:val="none"/>
        </w:rPr>
        <w:t>方式的，应在</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月</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日</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时</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分前将原件递交至</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（详细地址）。</w:t>
      </w:r>
    </w:p>
    <w:p w14:paraId="7CD68D44">
      <w:pPr>
        <w:pageBreakBefore w:val="0"/>
        <w:kinsoku/>
        <w:wordWrap w:val="0"/>
        <w:bidi w:val="0"/>
        <w:spacing w:line="440" w:lineRule="exact"/>
        <w:rPr>
          <w:rFonts w:hint="default" w:ascii="Times New Roman" w:hAnsi="Times New Roman" w:cs="Times New Roman"/>
          <w:sz w:val="24"/>
          <w:highlight w:val="none"/>
        </w:rPr>
      </w:pPr>
    </w:p>
    <w:p w14:paraId="53E2F756">
      <w:pPr>
        <w:pageBreakBefore w:val="0"/>
        <w:kinsoku/>
        <w:wordWrap w:val="0"/>
        <w:bidi w:val="0"/>
        <w:spacing w:line="440" w:lineRule="exact"/>
        <w:rPr>
          <w:rFonts w:hint="default" w:ascii="Times New Roman" w:hAnsi="Times New Roman" w:cs="Times New Roman"/>
          <w:sz w:val="24"/>
          <w:highlight w:val="none"/>
        </w:rPr>
      </w:pPr>
    </w:p>
    <w:p w14:paraId="5AE5E1F4">
      <w:pPr>
        <w:pageBreakBefore w:val="0"/>
        <w:kinsoku/>
        <w:wordWrap w:val="0"/>
        <w:bidi w:val="0"/>
        <w:spacing w:line="440" w:lineRule="exact"/>
        <w:jc w:val="right"/>
        <w:rPr>
          <w:rFonts w:hint="default" w:ascii="Times New Roman" w:hAnsi="Times New Roman" w:cs="Times New Roman"/>
          <w:sz w:val="24"/>
          <w:highlight w:val="none"/>
          <w:u w:val="single"/>
        </w:rPr>
      </w:pPr>
      <w:r>
        <w:rPr>
          <w:rFonts w:hint="default" w:ascii="Times New Roman" w:hAnsi="Times New Roman" w:cs="Times New Roman"/>
          <w:sz w:val="24"/>
          <w:highlight w:val="none"/>
        </w:rPr>
        <w:t>评标委员会授权的招标人或招标代理机构：</w:t>
      </w:r>
      <w:r>
        <w:rPr>
          <w:rFonts w:hint="default" w:ascii="Times New Roman" w:hAnsi="Times New Roman" w:eastAsia="黑体" w:cs="Times New Roman"/>
          <w:sz w:val="24"/>
          <w:highlight w:val="none"/>
          <w:u w:val="single"/>
        </w:rPr>
        <w:t xml:space="preserve">        </w:t>
      </w:r>
      <w:r>
        <w:rPr>
          <w:rFonts w:hint="default" w:ascii="Times New Roman" w:hAnsi="Times New Roman" w:cs="Times New Roman"/>
          <w:sz w:val="24"/>
          <w:highlight w:val="none"/>
        </w:rPr>
        <w:t>（签字或盖单位章）</w:t>
      </w:r>
    </w:p>
    <w:p w14:paraId="7C6A72DB">
      <w:pPr>
        <w:pageBreakBefore w:val="0"/>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w:t>
      </w:r>
    </w:p>
    <w:p w14:paraId="5AFE4238">
      <w:pPr>
        <w:pageBreakBefore w:val="0"/>
        <w:kinsoku/>
        <w:wordWrap w:val="0"/>
        <w:bidi w:val="0"/>
        <w:spacing w:line="440" w:lineRule="exact"/>
        <w:ind w:right="480"/>
        <w:jc w:val="center"/>
        <w:rPr>
          <w:rFonts w:hint="default" w:ascii="Times New Roman" w:hAnsi="Times New Roman" w:cs="Times New Roman"/>
          <w:sz w:val="24"/>
          <w:highlight w:val="none"/>
        </w:rPr>
      </w:pPr>
      <w:r>
        <w:rPr>
          <w:rFonts w:hint="default" w:ascii="Times New Roman" w:hAnsi="Times New Roman" w:cs="Times New Roman"/>
          <w:sz w:val="24"/>
          <w:highlight w:val="none"/>
        </w:rPr>
        <w:t xml:space="preserve">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月</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日</w:t>
      </w:r>
    </w:p>
    <w:p w14:paraId="746B9828">
      <w:pPr>
        <w:pStyle w:val="2"/>
        <w:pageBreakBefore w:val="0"/>
        <w:kinsoku/>
        <w:wordWrap w:val="0"/>
        <w:bidi w:val="0"/>
        <w:spacing w:before="0" w:after="0" w:line="240" w:lineRule="atLeast"/>
        <w:rPr>
          <w:rFonts w:hint="default" w:ascii="Times New Roman" w:hAnsi="Times New Roman" w:eastAsia="黑体" w:cs="Times New Roman"/>
          <w:b w:val="0"/>
          <w:sz w:val="24"/>
          <w:szCs w:val="24"/>
          <w:highlight w:val="none"/>
        </w:rPr>
      </w:pPr>
      <w:r>
        <w:rPr>
          <w:rFonts w:hint="default" w:ascii="Times New Roman" w:hAnsi="Times New Roman" w:cs="Times New Roman"/>
          <w:sz w:val="24"/>
          <w:highlight w:val="none"/>
        </w:rPr>
        <w:br w:type="page"/>
      </w:r>
      <w:bookmarkStart w:id="263" w:name="_Toc234832927"/>
      <w:bookmarkStart w:id="264" w:name="_Toc6756"/>
      <w:bookmarkStart w:id="265" w:name="_Toc22942"/>
      <w:r>
        <w:rPr>
          <w:rFonts w:hint="default" w:ascii="Times New Roman" w:hAnsi="Times New Roman" w:eastAsia="黑体" w:cs="Times New Roman"/>
          <w:b w:val="0"/>
          <w:sz w:val="24"/>
          <w:szCs w:val="24"/>
          <w:highlight w:val="none"/>
        </w:rPr>
        <w:t>附</w:t>
      </w:r>
      <w:r>
        <w:rPr>
          <w:rFonts w:hint="default" w:ascii="Times New Roman" w:hAnsi="Times New Roman" w:eastAsia="黑体" w:cs="Times New Roman"/>
          <w:b w:val="0"/>
          <w:sz w:val="24"/>
          <w:szCs w:val="24"/>
          <w:highlight w:val="none"/>
          <w:lang w:eastAsia="zh-CN"/>
        </w:rPr>
        <w:t>件</w:t>
      </w:r>
      <w:r>
        <w:rPr>
          <w:rFonts w:hint="default" w:ascii="Times New Roman" w:hAnsi="Times New Roman" w:eastAsia="黑体" w:cs="Times New Roman"/>
          <w:b w:val="0"/>
          <w:sz w:val="24"/>
          <w:szCs w:val="24"/>
          <w:highlight w:val="none"/>
        </w:rPr>
        <w:t>三</w:t>
      </w:r>
      <w:r>
        <w:rPr>
          <w:rFonts w:hint="default" w:ascii="Times New Roman" w:hAnsi="Times New Roman" w:eastAsia="黑体" w:cs="Times New Roman"/>
          <w:b w:val="0"/>
          <w:sz w:val="24"/>
          <w:szCs w:val="24"/>
          <w:highlight w:val="none"/>
          <w:lang w:eastAsia="zh-CN"/>
        </w:rPr>
        <w:t xml:space="preserve"> </w:t>
      </w:r>
      <w:r>
        <w:rPr>
          <w:rFonts w:hint="default" w:ascii="Times New Roman" w:hAnsi="Times New Roman" w:eastAsia="黑体" w:cs="Times New Roman"/>
          <w:b w:val="0"/>
          <w:sz w:val="24"/>
          <w:szCs w:val="24"/>
          <w:highlight w:val="none"/>
        </w:rPr>
        <w:t>问题的澄清</w:t>
      </w:r>
      <w:bookmarkEnd w:id="263"/>
      <w:bookmarkEnd w:id="264"/>
      <w:bookmarkEnd w:id="265"/>
    </w:p>
    <w:p w14:paraId="5A26F8ED">
      <w:pPr>
        <w:pageBreakBefore w:val="0"/>
        <w:kinsoku/>
        <w:wordWrap w:val="0"/>
        <w:bidi w:val="0"/>
        <w:spacing w:line="440" w:lineRule="exact"/>
        <w:jc w:val="center"/>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问题的澄清</w:t>
      </w:r>
    </w:p>
    <w:p w14:paraId="2367EC04">
      <w:pPr>
        <w:pageBreakBefore w:val="0"/>
        <w:kinsoku/>
        <w:wordWrap w:val="0"/>
        <w:bidi w:val="0"/>
        <w:spacing w:line="440" w:lineRule="exact"/>
        <w:jc w:val="center"/>
        <w:rPr>
          <w:rFonts w:hint="default" w:ascii="Times New Roman" w:hAnsi="Times New Roman" w:cs="Times New Roman"/>
          <w:sz w:val="24"/>
          <w:highlight w:val="none"/>
        </w:rPr>
      </w:pPr>
      <w:r>
        <w:rPr>
          <w:rFonts w:hint="default" w:ascii="Times New Roman" w:hAnsi="Times New Roman" w:cs="Times New Roman"/>
          <w:highlight w:val="none"/>
        </w:rPr>
        <w:t>（编号：</w:t>
      </w:r>
      <w:r>
        <w:rPr>
          <w:rFonts w:hint="default" w:ascii="Times New Roman" w:hAnsi="Times New Roman" w:eastAsia="黑体" w:cs="Times New Roman"/>
          <w:sz w:val="28"/>
          <w:highlight w:val="none"/>
          <w:u w:val="single"/>
        </w:rPr>
        <w:t xml:space="preserve">           </w:t>
      </w:r>
      <w:r>
        <w:rPr>
          <w:rFonts w:hint="default" w:ascii="Times New Roman" w:hAnsi="Times New Roman" w:cs="Times New Roman"/>
          <w:highlight w:val="none"/>
        </w:rPr>
        <w:t>）</w:t>
      </w:r>
    </w:p>
    <w:p w14:paraId="537D00AD">
      <w:pPr>
        <w:pageBreakBefore w:val="0"/>
        <w:kinsoku/>
        <w:wordWrap w:val="0"/>
        <w:bidi w:val="0"/>
        <w:spacing w:line="440" w:lineRule="exact"/>
        <w:rPr>
          <w:rFonts w:hint="default" w:ascii="Times New Roman" w:hAnsi="Times New Roman" w:cs="Times New Roman"/>
          <w:sz w:val="24"/>
          <w:highlight w:val="none"/>
        </w:rPr>
      </w:pPr>
    </w:p>
    <w:p w14:paraId="3DF35D0E">
      <w:pPr>
        <w:pageBreakBefore w:val="0"/>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项目名称）</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标段施工招标评标委员会：</w:t>
      </w:r>
    </w:p>
    <w:p w14:paraId="23CCCD76">
      <w:pPr>
        <w:pageBreakBefore w:val="0"/>
        <w:kinsoku/>
        <w:wordWrap w:val="0"/>
        <w:bidi w:val="0"/>
        <w:spacing w:line="440" w:lineRule="exact"/>
        <w:rPr>
          <w:rFonts w:hint="default" w:ascii="Times New Roman" w:hAnsi="Times New Roman" w:cs="Times New Roman"/>
          <w:sz w:val="24"/>
          <w:highlight w:val="none"/>
        </w:rPr>
      </w:pPr>
    </w:p>
    <w:p w14:paraId="3E26E29C">
      <w:pPr>
        <w:pageBreakBefore w:val="0"/>
        <w:kinsoku/>
        <w:wordWrap w:val="0"/>
        <w:bidi w:val="0"/>
        <w:spacing w:line="440" w:lineRule="exact"/>
        <w:rPr>
          <w:rFonts w:hint="default" w:ascii="Times New Roman" w:hAnsi="Times New Roman" w:cs="Times New Roman"/>
          <w:sz w:val="24"/>
          <w:highlight w:val="none"/>
        </w:rPr>
      </w:pPr>
    </w:p>
    <w:p w14:paraId="7CEEF807">
      <w:pPr>
        <w:pageBreakBefore w:val="0"/>
        <w:kinsoku/>
        <w:wordWrap w:val="0"/>
        <w:bidi w:val="0"/>
        <w:spacing w:line="44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问题澄清通知（编号：</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）已收悉，现澄清、说明如下：</w:t>
      </w:r>
    </w:p>
    <w:p w14:paraId="4498A7BA">
      <w:pPr>
        <w:pageBreakBefore w:val="0"/>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　     1.</w:t>
      </w:r>
    </w:p>
    <w:p w14:paraId="2CC75B7E">
      <w:pPr>
        <w:pageBreakBefore w:val="0"/>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　     2.</w:t>
      </w:r>
    </w:p>
    <w:p w14:paraId="539381A2">
      <w:pPr>
        <w:pageBreakBefore w:val="0"/>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w:t>
      </w:r>
    </w:p>
    <w:p w14:paraId="3668EB1B">
      <w:pPr>
        <w:pageBreakBefore w:val="0"/>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　    .....</w:t>
      </w:r>
    </w:p>
    <w:p w14:paraId="7B37B8E7">
      <w:pPr>
        <w:pageBreakBefore w:val="0"/>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w:t>
      </w:r>
    </w:p>
    <w:p w14:paraId="019E3B0E">
      <w:pPr>
        <w:pageBreakBefore w:val="0"/>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w:t>
      </w:r>
    </w:p>
    <w:p w14:paraId="0940958C">
      <w:pPr>
        <w:pageBreakBefore w:val="0"/>
        <w:kinsoku/>
        <w:wordWrap w:val="0"/>
        <w:bidi w:val="0"/>
        <w:spacing w:line="440" w:lineRule="exact"/>
        <w:rPr>
          <w:rFonts w:hint="default" w:ascii="Times New Roman" w:hAnsi="Times New Roman" w:cs="Times New Roman"/>
          <w:sz w:val="24"/>
          <w:highlight w:val="none"/>
        </w:rPr>
      </w:pPr>
    </w:p>
    <w:p w14:paraId="5379DB18">
      <w:pPr>
        <w:pageBreakBefore w:val="0"/>
        <w:kinsoku/>
        <w:wordWrap w:val="0"/>
        <w:bidi w:val="0"/>
        <w:spacing w:line="44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上述问题澄清或说明，不改变我方投标文件的实质性内容，构成我方投标文件的组成部分。</w:t>
      </w:r>
    </w:p>
    <w:p w14:paraId="529D8D66">
      <w:pPr>
        <w:pageBreakBefore w:val="0"/>
        <w:kinsoku/>
        <w:wordWrap w:val="0"/>
        <w:bidi w:val="0"/>
        <w:spacing w:line="440" w:lineRule="exact"/>
        <w:rPr>
          <w:rFonts w:hint="default" w:ascii="Times New Roman" w:hAnsi="Times New Roman" w:cs="Times New Roman"/>
          <w:sz w:val="24"/>
          <w:highlight w:val="none"/>
        </w:rPr>
      </w:pPr>
    </w:p>
    <w:p w14:paraId="7BA9CC08">
      <w:pPr>
        <w:pageBreakBefore w:val="0"/>
        <w:kinsoku/>
        <w:wordWrap w:val="0"/>
        <w:bidi w:val="0"/>
        <w:spacing w:line="440" w:lineRule="exact"/>
        <w:rPr>
          <w:rFonts w:hint="default" w:ascii="Times New Roman" w:hAnsi="Times New Roman" w:cs="Times New Roman"/>
          <w:sz w:val="24"/>
          <w:highlight w:val="none"/>
        </w:rPr>
      </w:pPr>
    </w:p>
    <w:p w14:paraId="5E93C342">
      <w:pPr>
        <w:pageBreakBefore w:val="0"/>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　　　　　　　　　　　　　　　投标人：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（盖单位章）</w:t>
      </w:r>
      <w:r>
        <w:rPr>
          <w:rFonts w:hint="default" w:ascii="Times New Roman" w:hAnsi="Times New Roman" w:cs="Times New Roman"/>
          <w:sz w:val="24"/>
          <w:highlight w:val="none"/>
          <w:vertAlign w:val="superscript"/>
        </w:rPr>
        <w:footnoteReference w:id="21"/>
      </w:r>
    </w:p>
    <w:p w14:paraId="24513A0C">
      <w:pPr>
        <w:pageBreakBefore w:val="0"/>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　　　　　　　　　　　　　　　　　　　　　　　　　　　</w:t>
      </w:r>
    </w:p>
    <w:p w14:paraId="1F76DDA0">
      <w:pPr>
        <w:pageBreakBefore w:val="0"/>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月</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日</w:t>
      </w:r>
    </w:p>
    <w:p w14:paraId="442E6472">
      <w:pPr>
        <w:pStyle w:val="2"/>
        <w:pageBreakBefore w:val="0"/>
        <w:kinsoku/>
        <w:wordWrap w:val="0"/>
        <w:bidi w:val="0"/>
        <w:spacing w:before="0" w:after="0" w:line="240" w:lineRule="atLeast"/>
        <w:rPr>
          <w:rFonts w:hint="default" w:ascii="Times New Roman" w:hAnsi="Times New Roman" w:eastAsia="黑体" w:cs="Times New Roman"/>
          <w:b w:val="0"/>
          <w:sz w:val="24"/>
          <w:szCs w:val="24"/>
          <w:highlight w:val="none"/>
        </w:rPr>
      </w:pPr>
      <w:r>
        <w:rPr>
          <w:rFonts w:hint="default" w:ascii="Times New Roman" w:hAnsi="Times New Roman" w:cs="Times New Roman"/>
          <w:sz w:val="20"/>
          <w:szCs w:val="20"/>
          <w:highlight w:val="none"/>
        </w:rPr>
        <w:br w:type="page"/>
      </w:r>
      <w:bookmarkStart w:id="266" w:name="_Toc15693"/>
      <w:bookmarkStart w:id="267" w:name="_Toc23863"/>
      <w:bookmarkStart w:id="268" w:name="_Toc234832928"/>
      <w:r>
        <w:rPr>
          <w:rFonts w:hint="default" w:ascii="Times New Roman" w:hAnsi="Times New Roman" w:eastAsia="黑体" w:cs="Times New Roman"/>
          <w:b w:val="0"/>
          <w:sz w:val="24"/>
          <w:szCs w:val="24"/>
          <w:highlight w:val="none"/>
        </w:rPr>
        <w:t>附</w:t>
      </w:r>
      <w:r>
        <w:rPr>
          <w:rFonts w:hint="default" w:ascii="Times New Roman" w:hAnsi="Times New Roman" w:eastAsia="黑体" w:cs="Times New Roman"/>
          <w:b w:val="0"/>
          <w:sz w:val="24"/>
          <w:szCs w:val="24"/>
          <w:highlight w:val="none"/>
          <w:lang w:eastAsia="zh-CN"/>
        </w:rPr>
        <w:t>件</w:t>
      </w:r>
      <w:r>
        <w:rPr>
          <w:rFonts w:hint="default" w:ascii="Times New Roman" w:hAnsi="Times New Roman" w:eastAsia="黑体" w:cs="Times New Roman"/>
          <w:b w:val="0"/>
          <w:sz w:val="24"/>
          <w:szCs w:val="24"/>
          <w:highlight w:val="none"/>
        </w:rPr>
        <w:t>四</w:t>
      </w:r>
      <w:r>
        <w:rPr>
          <w:rFonts w:hint="default" w:ascii="Times New Roman" w:hAnsi="Times New Roman" w:eastAsia="黑体" w:cs="Times New Roman"/>
          <w:b w:val="0"/>
          <w:sz w:val="24"/>
          <w:szCs w:val="24"/>
          <w:highlight w:val="none"/>
          <w:lang w:eastAsia="zh-CN"/>
        </w:rPr>
        <w:t xml:space="preserve"> </w:t>
      </w:r>
      <w:r>
        <w:rPr>
          <w:rFonts w:hint="default" w:ascii="Times New Roman" w:hAnsi="Times New Roman" w:eastAsia="黑体" w:cs="Times New Roman"/>
          <w:b w:val="0"/>
          <w:sz w:val="24"/>
          <w:szCs w:val="24"/>
          <w:highlight w:val="none"/>
        </w:rPr>
        <w:t>中标通知书</w:t>
      </w:r>
      <w:bookmarkEnd w:id="266"/>
      <w:bookmarkEnd w:id="267"/>
      <w:bookmarkEnd w:id="268"/>
    </w:p>
    <w:p w14:paraId="187AB876">
      <w:pPr>
        <w:pageBreakBefore w:val="0"/>
        <w:kinsoku/>
        <w:wordWrap w:val="0"/>
        <w:bidi w:val="0"/>
        <w:spacing w:line="440" w:lineRule="exact"/>
        <w:ind w:firstLine="3640" w:firstLineChars="1300"/>
        <w:rPr>
          <w:rFonts w:hint="default" w:ascii="Times New Roman" w:hAnsi="Times New Roman" w:eastAsia="黑体" w:cs="Times New Roman"/>
          <w:sz w:val="28"/>
          <w:szCs w:val="28"/>
          <w:highlight w:val="none"/>
        </w:rPr>
      </w:pPr>
    </w:p>
    <w:p w14:paraId="47514EFD">
      <w:pPr>
        <w:pageBreakBefore w:val="0"/>
        <w:kinsoku/>
        <w:wordWrap w:val="0"/>
        <w:bidi w:val="0"/>
        <w:spacing w:line="600" w:lineRule="exact"/>
        <w:ind w:firstLine="0" w:firstLineChars="0"/>
        <w:rPr>
          <w:rFonts w:hint="default" w:ascii="Times New Roman" w:hAnsi="Times New Roman" w:cs="Times New Roman"/>
          <w:sz w:val="24"/>
          <w:highlight w:val="none"/>
        </w:rPr>
      </w:pPr>
      <w:r>
        <w:rPr>
          <w:rFonts w:hint="default" w:cs="Times New Roman"/>
          <w:sz w:val="24"/>
          <w:szCs w:val="24"/>
          <w:highlight w:val="none"/>
          <w:u w:val="none"/>
          <w:lang w:val="en-US" w:eastAsia="zh-CN"/>
        </w:rPr>
        <w:t>以辽宁省招标投标监管网生成格式为准（如有）。</w:t>
      </w:r>
    </w:p>
    <w:p w14:paraId="3D25A5BE">
      <w:pPr>
        <w:pageBreakBefore w:val="0"/>
        <w:kinsoku/>
        <w:wordWrap w:val="0"/>
        <w:bidi w:val="0"/>
        <w:spacing w:line="440" w:lineRule="exact"/>
        <w:rPr>
          <w:rFonts w:hint="default" w:ascii="Times New Roman" w:hAnsi="Times New Roman" w:eastAsia="黑体" w:cs="Times New Roman"/>
          <w:sz w:val="24"/>
          <w:highlight w:val="none"/>
        </w:rPr>
      </w:pPr>
    </w:p>
    <w:p w14:paraId="107EBD1E">
      <w:pPr>
        <w:pageBreakBefore w:val="0"/>
        <w:kinsoku/>
        <w:wordWrap w:val="0"/>
        <w:bidi w:val="0"/>
        <w:spacing w:line="440" w:lineRule="exact"/>
        <w:rPr>
          <w:rFonts w:hint="default" w:ascii="Times New Roman" w:hAnsi="Times New Roman" w:cs="Times New Roman"/>
          <w:sz w:val="20"/>
          <w:szCs w:val="20"/>
          <w:highlight w:val="none"/>
        </w:rPr>
      </w:pPr>
    </w:p>
    <w:p w14:paraId="0E0C2FEC">
      <w:pPr>
        <w:pageBreakBefore w:val="0"/>
        <w:kinsoku/>
        <w:wordWrap w:val="0"/>
        <w:bidi w:val="0"/>
        <w:spacing w:line="440" w:lineRule="exact"/>
        <w:rPr>
          <w:rFonts w:hint="default" w:ascii="Times New Roman" w:hAnsi="Times New Roman" w:cs="Times New Roman"/>
          <w:sz w:val="20"/>
          <w:szCs w:val="20"/>
          <w:highlight w:val="none"/>
        </w:rPr>
      </w:pPr>
    </w:p>
    <w:p w14:paraId="09E41444">
      <w:pPr>
        <w:pageBreakBefore w:val="0"/>
        <w:kinsoku/>
        <w:wordWrap w:val="0"/>
        <w:bidi w:val="0"/>
        <w:spacing w:line="440" w:lineRule="exact"/>
        <w:rPr>
          <w:rFonts w:hint="default" w:ascii="Times New Roman" w:hAnsi="Times New Roman" w:cs="Times New Roman"/>
          <w:sz w:val="20"/>
          <w:szCs w:val="20"/>
          <w:highlight w:val="none"/>
        </w:rPr>
      </w:pPr>
    </w:p>
    <w:p w14:paraId="6723C729">
      <w:pPr>
        <w:pageBreakBefore w:val="0"/>
        <w:kinsoku/>
        <w:wordWrap w:val="0"/>
        <w:bidi w:val="0"/>
        <w:spacing w:line="440" w:lineRule="exact"/>
        <w:rPr>
          <w:rFonts w:hint="default" w:ascii="Times New Roman" w:hAnsi="Times New Roman" w:cs="Times New Roman"/>
          <w:sz w:val="20"/>
          <w:szCs w:val="20"/>
          <w:highlight w:val="none"/>
        </w:rPr>
      </w:pPr>
    </w:p>
    <w:p w14:paraId="7881F743">
      <w:pPr>
        <w:pageBreakBefore w:val="0"/>
        <w:kinsoku/>
        <w:wordWrap w:val="0"/>
        <w:bidi w:val="0"/>
        <w:spacing w:line="440" w:lineRule="exact"/>
        <w:rPr>
          <w:rFonts w:hint="default" w:ascii="Times New Roman" w:hAnsi="Times New Roman" w:cs="Times New Roman"/>
          <w:sz w:val="20"/>
          <w:szCs w:val="20"/>
          <w:highlight w:val="none"/>
        </w:rPr>
      </w:pPr>
    </w:p>
    <w:p w14:paraId="43339BBD">
      <w:pPr>
        <w:pageBreakBefore w:val="0"/>
        <w:kinsoku/>
        <w:wordWrap w:val="0"/>
        <w:bidi w:val="0"/>
        <w:spacing w:line="440" w:lineRule="exact"/>
        <w:rPr>
          <w:rFonts w:hint="default" w:ascii="Times New Roman" w:hAnsi="Times New Roman" w:cs="Times New Roman"/>
          <w:sz w:val="20"/>
          <w:szCs w:val="20"/>
          <w:highlight w:val="none"/>
        </w:rPr>
      </w:pPr>
    </w:p>
    <w:p w14:paraId="5DB882D1">
      <w:pPr>
        <w:pageBreakBefore w:val="0"/>
        <w:kinsoku/>
        <w:wordWrap w:val="0"/>
        <w:bidi w:val="0"/>
        <w:spacing w:before="0" w:after="0" w:line="240" w:lineRule="atLeast"/>
        <w:rPr>
          <w:rFonts w:hint="default" w:ascii="Times New Roman" w:hAnsi="Times New Roman" w:eastAsia="黑体" w:cs="Times New Roman"/>
          <w:b w:val="0"/>
          <w:sz w:val="24"/>
          <w:szCs w:val="24"/>
          <w:highlight w:val="none"/>
        </w:rPr>
        <w:sectPr>
          <w:footnotePr>
            <w:numFmt w:val="decimalEnclosedCircleChinese"/>
            <w:numRestart w:val="eachPage"/>
          </w:footnotePr>
          <w:pgSz w:w="11907" w:h="16840"/>
          <w:pgMar w:top="1588" w:right="1588" w:bottom="1474" w:left="1644" w:header="851" w:footer="851" w:gutter="0"/>
          <w:pgNumType w:fmt="decimal"/>
          <w:cols w:space="720" w:num="1"/>
          <w:docGrid w:linePitch="312" w:charSpace="0"/>
        </w:sectPr>
      </w:pPr>
      <w:bookmarkStart w:id="269" w:name="_Toc234832929"/>
    </w:p>
    <w:bookmarkEnd w:id="269"/>
    <w:p w14:paraId="4ABB4514">
      <w:pPr>
        <w:pageBreakBefore w:val="0"/>
        <w:kinsoku/>
        <w:wordWrap w:val="0"/>
        <w:bidi w:val="0"/>
        <w:spacing w:line="240" w:lineRule="atLeast"/>
        <w:rPr>
          <w:rFonts w:hint="default" w:ascii="Times New Roman" w:hAnsi="Times New Roman" w:cs="Times New Roman"/>
          <w:sz w:val="24"/>
          <w:highlight w:val="none"/>
        </w:rPr>
      </w:pPr>
    </w:p>
    <w:p w14:paraId="208660F1">
      <w:pPr>
        <w:pageBreakBefore w:val="0"/>
        <w:kinsoku/>
        <w:wordWrap w:val="0"/>
        <w:bidi w:val="0"/>
        <w:spacing w:line="440" w:lineRule="exact"/>
        <w:rPr>
          <w:rFonts w:hint="default" w:ascii="Times New Roman" w:hAnsi="Times New Roman" w:eastAsia="黑体" w:cs="Times New Roman"/>
          <w:sz w:val="20"/>
          <w:szCs w:val="20"/>
          <w:highlight w:val="none"/>
        </w:rPr>
      </w:pPr>
    </w:p>
    <w:p w14:paraId="374C3B37">
      <w:pPr>
        <w:pageBreakBefore w:val="0"/>
        <w:kinsoku/>
        <w:wordWrap w:val="0"/>
        <w:topLinePunct/>
        <w:bidi w:val="0"/>
        <w:spacing w:line="440" w:lineRule="exact"/>
        <w:ind w:right="31" w:rightChars="15"/>
        <w:jc w:val="center"/>
        <w:rPr>
          <w:rFonts w:hint="default" w:ascii="Times New Roman" w:hAnsi="Times New Roman" w:eastAsia="黑体" w:cs="Times New Roman"/>
          <w:sz w:val="32"/>
          <w:szCs w:val="32"/>
          <w:highlight w:val="none"/>
        </w:rPr>
      </w:pPr>
    </w:p>
    <w:p w14:paraId="4E871935">
      <w:pPr>
        <w:pageBreakBefore w:val="0"/>
        <w:kinsoku/>
        <w:wordWrap w:val="0"/>
        <w:topLinePunct/>
        <w:bidi w:val="0"/>
        <w:spacing w:line="440" w:lineRule="exact"/>
        <w:ind w:right="31" w:rightChars="15"/>
        <w:jc w:val="center"/>
        <w:rPr>
          <w:rFonts w:hint="default" w:ascii="Times New Roman" w:hAnsi="Times New Roman" w:eastAsia="黑体" w:cs="Times New Roman"/>
          <w:sz w:val="32"/>
          <w:szCs w:val="32"/>
          <w:highlight w:val="none"/>
        </w:rPr>
      </w:pPr>
    </w:p>
    <w:p w14:paraId="5F12FF12">
      <w:pPr>
        <w:pageBreakBefore w:val="0"/>
        <w:kinsoku/>
        <w:wordWrap w:val="0"/>
        <w:topLinePunct/>
        <w:bidi w:val="0"/>
        <w:spacing w:line="440" w:lineRule="exact"/>
        <w:ind w:right="31" w:rightChars="15"/>
        <w:jc w:val="center"/>
        <w:rPr>
          <w:rFonts w:hint="default" w:ascii="Times New Roman" w:hAnsi="Times New Roman" w:eastAsia="黑体" w:cs="Times New Roman"/>
          <w:sz w:val="32"/>
          <w:szCs w:val="32"/>
          <w:highlight w:val="none"/>
        </w:rPr>
      </w:pPr>
    </w:p>
    <w:p w14:paraId="6278059D">
      <w:pPr>
        <w:pageBreakBefore w:val="0"/>
        <w:kinsoku/>
        <w:wordWrap w:val="0"/>
        <w:topLinePunct/>
        <w:bidi w:val="0"/>
        <w:spacing w:line="440" w:lineRule="exact"/>
        <w:ind w:right="31" w:rightChars="15"/>
        <w:jc w:val="center"/>
        <w:rPr>
          <w:rFonts w:hint="default" w:ascii="Times New Roman" w:hAnsi="Times New Roman" w:eastAsia="黑体" w:cs="Times New Roman"/>
          <w:sz w:val="32"/>
          <w:szCs w:val="32"/>
          <w:highlight w:val="none"/>
        </w:rPr>
      </w:pPr>
    </w:p>
    <w:p w14:paraId="01822C7A">
      <w:pPr>
        <w:pageBreakBefore w:val="0"/>
        <w:kinsoku/>
        <w:wordWrap w:val="0"/>
        <w:topLinePunct/>
        <w:bidi w:val="0"/>
        <w:spacing w:line="440" w:lineRule="exact"/>
        <w:ind w:right="31" w:rightChars="15"/>
        <w:jc w:val="center"/>
        <w:rPr>
          <w:rFonts w:hint="default" w:ascii="Times New Roman" w:hAnsi="Times New Roman" w:eastAsia="黑体" w:cs="Times New Roman"/>
          <w:sz w:val="32"/>
          <w:szCs w:val="32"/>
          <w:highlight w:val="none"/>
        </w:rPr>
      </w:pPr>
    </w:p>
    <w:p w14:paraId="70CB955C">
      <w:pPr>
        <w:pageBreakBefore w:val="0"/>
        <w:kinsoku/>
        <w:wordWrap w:val="0"/>
        <w:topLinePunct/>
        <w:bidi w:val="0"/>
        <w:spacing w:line="440" w:lineRule="exact"/>
        <w:ind w:right="31" w:rightChars="15"/>
        <w:jc w:val="center"/>
        <w:rPr>
          <w:rFonts w:hint="default" w:ascii="Times New Roman" w:hAnsi="Times New Roman" w:eastAsia="黑体" w:cs="Times New Roman"/>
          <w:sz w:val="32"/>
          <w:szCs w:val="32"/>
          <w:highlight w:val="none"/>
        </w:rPr>
      </w:pPr>
    </w:p>
    <w:p w14:paraId="64ED8D00">
      <w:pPr>
        <w:pageBreakBefore w:val="0"/>
        <w:kinsoku/>
        <w:wordWrap w:val="0"/>
        <w:topLinePunct/>
        <w:bidi w:val="0"/>
        <w:spacing w:line="440" w:lineRule="exact"/>
        <w:ind w:right="31" w:rightChars="15"/>
        <w:jc w:val="center"/>
        <w:rPr>
          <w:rFonts w:hint="default" w:ascii="Times New Roman" w:hAnsi="Times New Roman" w:eastAsia="黑体" w:cs="Times New Roman"/>
          <w:sz w:val="32"/>
          <w:szCs w:val="32"/>
          <w:highlight w:val="none"/>
        </w:rPr>
      </w:pPr>
    </w:p>
    <w:p w14:paraId="6D80C3CA">
      <w:pPr>
        <w:pageBreakBefore w:val="0"/>
        <w:kinsoku/>
        <w:wordWrap w:val="0"/>
        <w:topLinePunct/>
        <w:bidi w:val="0"/>
        <w:spacing w:line="440" w:lineRule="exact"/>
        <w:ind w:right="31" w:rightChars="15"/>
        <w:jc w:val="center"/>
        <w:rPr>
          <w:rFonts w:hint="default" w:ascii="Times New Roman" w:hAnsi="Times New Roman" w:eastAsia="黑体" w:cs="Times New Roman"/>
          <w:sz w:val="32"/>
          <w:szCs w:val="32"/>
          <w:highlight w:val="none"/>
        </w:rPr>
      </w:pPr>
    </w:p>
    <w:p w14:paraId="0A26D1A7">
      <w:pPr>
        <w:pageBreakBefore w:val="0"/>
        <w:kinsoku/>
        <w:wordWrap w:val="0"/>
        <w:topLinePunct/>
        <w:bidi w:val="0"/>
        <w:spacing w:line="440" w:lineRule="exact"/>
        <w:ind w:right="31" w:rightChars="15"/>
        <w:jc w:val="center"/>
        <w:rPr>
          <w:rFonts w:hint="default" w:ascii="Times New Roman" w:hAnsi="Times New Roman" w:eastAsia="黑体" w:cs="Times New Roman"/>
          <w:sz w:val="32"/>
          <w:szCs w:val="32"/>
          <w:highlight w:val="none"/>
        </w:rPr>
      </w:pPr>
    </w:p>
    <w:p w14:paraId="4DB4D039">
      <w:pPr>
        <w:pageBreakBefore w:val="0"/>
        <w:kinsoku/>
        <w:wordWrap w:val="0"/>
        <w:topLinePunct/>
        <w:bidi w:val="0"/>
        <w:spacing w:line="440" w:lineRule="exact"/>
        <w:ind w:right="31" w:rightChars="15"/>
        <w:jc w:val="center"/>
        <w:rPr>
          <w:rFonts w:hint="default" w:ascii="Times New Roman" w:hAnsi="Times New Roman" w:eastAsia="黑体" w:cs="Times New Roman"/>
          <w:sz w:val="32"/>
          <w:szCs w:val="32"/>
          <w:highlight w:val="none"/>
        </w:rPr>
      </w:pPr>
    </w:p>
    <w:p w14:paraId="6EFEC084">
      <w:pPr>
        <w:pageBreakBefore w:val="0"/>
        <w:kinsoku/>
        <w:wordWrap w:val="0"/>
        <w:topLinePunct/>
        <w:bidi w:val="0"/>
        <w:spacing w:line="240" w:lineRule="atLeast"/>
        <w:ind w:right="31" w:rightChars="15"/>
        <w:jc w:val="center"/>
        <w:rPr>
          <w:rFonts w:hint="default" w:ascii="Times New Roman" w:hAnsi="Times New Roman" w:eastAsia="黑体" w:cs="Times New Roman"/>
          <w:sz w:val="56"/>
          <w:szCs w:val="56"/>
          <w:highlight w:val="none"/>
        </w:rPr>
      </w:pPr>
      <w:r>
        <w:rPr>
          <w:rFonts w:hint="default" w:ascii="Times New Roman" w:hAnsi="Times New Roman" w:eastAsia="黑体" w:cs="Times New Roman"/>
          <w:sz w:val="56"/>
          <w:szCs w:val="56"/>
          <w:highlight w:val="none"/>
        </w:rPr>
        <w:t>第三章  评标办法</w:t>
      </w:r>
    </w:p>
    <w:p w14:paraId="094E5C10">
      <w:pPr>
        <w:pStyle w:val="2"/>
        <w:pageBreakBefore w:val="0"/>
        <w:kinsoku/>
        <w:wordWrap w:val="0"/>
        <w:bidi w:val="0"/>
        <w:spacing w:before="0" w:after="120" w:afterLines="50" w:line="240" w:lineRule="atLeast"/>
        <w:jc w:val="center"/>
        <w:rPr>
          <w:rFonts w:hint="default" w:ascii="Times New Roman" w:hAnsi="Times New Roman" w:eastAsia="黑体" w:cs="Times New Roman"/>
          <w:sz w:val="36"/>
          <w:szCs w:val="36"/>
          <w:highlight w:val="none"/>
        </w:rPr>
        <w:sectPr>
          <w:headerReference r:id="rId24" w:type="default"/>
          <w:footerReference r:id="rId26" w:type="default"/>
          <w:headerReference r:id="rId25" w:type="even"/>
          <w:footerReference r:id="rId27" w:type="even"/>
          <w:footnotePr>
            <w:numFmt w:val="decimalEnclosedCircleChinese"/>
            <w:numRestart w:val="eachPage"/>
          </w:footnotePr>
          <w:pgSz w:w="11907" w:h="16840"/>
          <w:pgMar w:top="1588" w:right="1588" w:bottom="1474" w:left="1644" w:header="851" w:footer="851" w:gutter="0"/>
          <w:pgNumType w:fmt="decimal"/>
          <w:cols w:space="720" w:num="1"/>
          <w:docGrid w:linePitch="312" w:charSpace="0"/>
        </w:sectPr>
      </w:pPr>
    </w:p>
    <w:p w14:paraId="7F462FD1">
      <w:pPr>
        <w:spacing w:line="400" w:lineRule="atLeast"/>
        <w:ind w:firstLine="480" w:firstLineChars="200"/>
        <w:rPr>
          <w:rFonts w:hint="default" w:ascii="Times New Roman" w:hAnsi="Times New Roman" w:eastAsia="宋体" w:cs="Times New Roman"/>
          <w:sz w:val="24"/>
          <w:highlight w:val="none"/>
        </w:rPr>
      </w:pPr>
      <w:bookmarkStart w:id="270" w:name="_Toc234832931"/>
    </w:p>
    <w:p w14:paraId="45C133AD">
      <w:pPr>
        <w:pStyle w:val="2"/>
        <w:pageBreakBefore w:val="0"/>
        <w:kinsoku/>
        <w:wordWrap w:val="0"/>
        <w:bidi w:val="0"/>
        <w:spacing w:before="0" w:after="120" w:afterLines="50" w:line="240" w:lineRule="atLeast"/>
        <w:jc w:val="center"/>
        <w:rPr>
          <w:rFonts w:hint="default" w:ascii="Times New Roman" w:hAnsi="Times New Roman" w:eastAsia="黑体" w:cs="Times New Roman"/>
          <w:b w:val="0"/>
          <w:sz w:val="42"/>
          <w:szCs w:val="42"/>
          <w:highlight w:val="none"/>
        </w:rPr>
      </w:pPr>
      <w:bookmarkStart w:id="271" w:name="_Toc14682"/>
      <w:bookmarkStart w:id="272" w:name="_Toc2246"/>
      <w:r>
        <w:rPr>
          <w:rFonts w:hint="default" w:ascii="Times New Roman" w:hAnsi="Times New Roman" w:eastAsia="黑体" w:cs="Times New Roman"/>
          <w:b w:val="0"/>
          <w:sz w:val="42"/>
          <w:szCs w:val="42"/>
          <w:highlight w:val="none"/>
        </w:rPr>
        <w:t>第三章  评标办法（合理低价法）</w:t>
      </w:r>
      <w:r>
        <w:rPr>
          <w:rStyle w:val="56"/>
          <w:rFonts w:hint="default" w:ascii="Times New Roman" w:hAnsi="Times New Roman" w:eastAsia="黑体" w:cs="Times New Roman"/>
          <w:sz w:val="42"/>
          <w:szCs w:val="42"/>
          <w:highlight w:val="none"/>
        </w:rPr>
        <w:footnoteReference w:id="22"/>
      </w:r>
      <w:bookmarkEnd w:id="270"/>
      <w:bookmarkEnd w:id="271"/>
      <w:bookmarkEnd w:id="272"/>
    </w:p>
    <w:p w14:paraId="5BDAFB3D">
      <w:pPr>
        <w:pageBreakBefore w:val="0"/>
        <w:kinsoku/>
        <w:wordWrap w:val="0"/>
        <w:bidi w:val="0"/>
        <w:spacing w:line="420" w:lineRule="atLeast"/>
        <w:rPr>
          <w:rFonts w:hint="default" w:ascii="Times New Roman" w:hAnsi="Times New Roman" w:eastAsia="黑体" w:cs="Times New Roman"/>
          <w:sz w:val="20"/>
          <w:szCs w:val="20"/>
          <w:highlight w:val="none"/>
        </w:rPr>
      </w:pPr>
    </w:p>
    <w:p w14:paraId="0283AF92">
      <w:pPr>
        <w:pStyle w:val="2"/>
        <w:pageBreakBefore w:val="0"/>
        <w:kinsoku/>
        <w:wordWrap w:val="0"/>
        <w:bidi w:val="0"/>
        <w:spacing w:before="0" w:after="0" w:line="240" w:lineRule="atLeast"/>
        <w:rPr>
          <w:rFonts w:hint="default" w:ascii="Times New Roman" w:hAnsi="Times New Roman" w:eastAsia="黑体" w:cs="Times New Roman"/>
          <w:b w:val="0"/>
          <w:sz w:val="28"/>
          <w:szCs w:val="28"/>
          <w:highlight w:val="none"/>
        </w:rPr>
      </w:pPr>
      <w:bookmarkStart w:id="273" w:name="_Toc17606"/>
      <w:bookmarkStart w:id="274" w:name="_Toc308"/>
      <w:bookmarkStart w:id="275" w:name="_Toc234832932"/>
      <w:r>
        <w:rPr>
          <w:rFonts w:hint="default" w:ascii="Times New Roman" w:hAnsi="Times New Roman" w:eastAsia="黑体" w:cs="Times New Roman"/>
          <w:b w:val="0"/>
          <w:sz w:val="24"/>
          <w:szCs w:val="24"/>
          <w:highlight w:val="none"/>
        </w:rPr>
        <w:t>评标办法前附表</w:t>
      </w:r>
      <w:r>
        <w:rPr>
          <w:rFonts w:hint="default" w:ascii="Times New Roman" w:hAnsi="Times New Roman" w:eastAsia="黑体" w:cs="Times New Roman"/>
          <w:b w:val="0"/>
          <w:sz w:val="28"/>
          <w:szCs w:val="28"/>
          <w:highlight w:val="none"/>
        </w:rPr>
        <w:t xml:space="preserve"> </w:t>
      </w:r>
      <w:r>
        <w:rPr>
          <w:rStyle w:val="56"/>
          <w:rFonts w:hint="default" w:ascii="Times New Roman" w:hAnsi="Times New Roman" w:cs="Times New Roman"/>
          <w:sz w:val="28"/>
          <w:szCs w:val="28"/>
          <w:highlight w:val="none"/>
        </w:rPr>
        <w:footnoteReference w:id="23"/>
      </w:r>
      <w:bookmarkEnd w:id="273"/>
      <w:bookmarkEnd w:id="274"/>
      <w:bookmarkEnd w:id="275"/>
    </w:p>
    <w:tbl>
      <w:tblPr>
        <w:tblStyle w:val="40"/>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0"/>
        <w:gridCol w:w="1124"/>
        <w:gridCol w:w="12"/>
        <w:gridCol w:w="1505"/>
        <w:gridCol w:w="5099"/>
      </w:tblGrid>
      <w:tr w14:paraId="179C3E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c>
          <w:tcPr>
            <w:tcW w:w="2024" w:type="dxa"/>
            <w:gridSpan w:val="2"/>
            <w:tcBorders>
              <w:top w:val="single" w:color="auto" w:sz="4" w:space="0"/>
              <w:bottom w:val="single" w:color="auto" w:sz="4" w:space="0"/>
              <w:right w:val="single" w:color="auto" w:sz="4" w:space="0"/>
            </w:tcBorders>
            <w:noWrap w:val="0"/>
            <w:vAlign w:val="center"/>
          </w:tcPr>
          <w:p w14:paraId="41562CB9">
            <w:pPr>
              <w:pageBreakBefore w:val="0"/>
              <w:kinsoku/>
              <w:wordWrap w:val="0"/>
              <w:bidi w:val="0"/>
              <w:spacing w:line="400" w:lineRule="atLeast"/>
              <w:jc w:val="center"/>
              <w:rPr>
                <w:rFonts w:hint="default" w:ascii="Times New Roman" w:hAnsi="Times New Roman" w:cs="Times New Roman"/>
                <w:b/>
                <w:szCs w:val="21"/>
                <w:highlight w:val="none"/>
              </w:rPr>
            </w:pPr>
            <w:r>
              <w:rPr>
                <w:rFonts w:hint="default" w:ascii="Times New Roman" w:hAnsi="Times New Roman" w:cs="Times New Roman"/>
                <w:b/>
                <w:szCs w:val="21"/>
                <w:highlight w:val="none"/>
              </w:rPr>
              <w:t>条款号</w:t>
            </w:r>
          </w:p>
        </w:tc>
        <w:tc>
          <w:tcPr>
            <w:tcW w:w="6616" w:type="dxa"/>
            <w:gridSpan w:val="3"/>
            <w:tcBorders>
              <w:top w:val="single" w:color="auto" w:sz="4" w:space="0"/>
              <w:left w:val="single" w:color="auto" w:sz="4" w:space="0"/>
              <w:bottom w:val="single" w:color="auto" w:sz="4" w:space="0"/>
              <w:right w:val="single" w:color="auto" w:sz="4" w:space="0"/>
            </w:tcBorders>
            <w:noWrap w:val="0"/>
            <w:vAlign w:val="center"/>
          </w:tcPr>
          <w:p w14:paraId="61A20C69">
            <w:pPr>
              <w:pageBreakBefore w:val="0"/>
              <w:kinsoku/>
              <w:wordWrap w:val="0"/>
              <w:bidi w:val="0"/>
              <w:spacing w:line="400" w:lineRule="atLeast"/>
              <w:jc w:val="center"/>
              <w:rPr>
                <w:rFonts w:hint="default" w:ascii="Times New Roman" w:hAnsi="Times New Roman" w:cs="Times New Roman"/>
                <w:b/>
                <w:szCs w:val="21"/>
                <w:highlight w:val="none"/>
              </w:rPr>
            </w:pPr>
            <w:r>
              <w:rPr>
                <w:rFonts w:hint="default" w:ascii="Times New Roman" w:hAnsi="Times New Roman" w:cs="Times New Roman"/>
                <w:b/>
                <w:szCs w:val="21"/>
                <w:highlight w:val="none"/>
              </w:rPr>
              <w:t>评审因素与评审标准</w:t>
            </w:r>
          </w:p>
        </w:tc>
      </w:tr>
      <w:tr w14:paraId="682E36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tcBorders>
              <w:top w:val="single" w:color="auto" w:sz="4" w:space="0"/>
              <w:bottom w:val="single" w:color="auto" w:sz="4" w:space="0"/>
              <w:right w:val="single" w:color="auto" w:sz="4" w:space="0"/>
            </w:tcBorders>
            <w:noWrap w:val="0"/>
            <w:vAlign w:val="center"/>
          </w:tcPr>
          <w:p w14:paraId="5A468F85">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1</w:t>
            </w:r>
          </w:p>
        </w:tc>
        <w:tc>
          <w:tcPr>
            <w:tcW w:w="1124" w:type="dxa"/>
            <w:tcBorders>
              <w:top w:val="single" w:color="auto" w:sz="4" w:space="0"/>
              <w:bottom w:val="single" w:color="auto" w:sz="4" w:space="0"/>
              <w:right w:val="single" w:color="auto" w:sz="4" w:space="0"/>
            </w:tcBorders>
            <w:noWrap w:val="0"/>
            <w:vAlign w:val="center"/>
          </w:tcPr>
          <w:p w14:paraId="71F64E9A">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评标方法</w:t>
            </w:r>
          </w:p>
        </w:tc>
        <w:tc>
          <w:tcPr>
            <w:tcW w:w="6616" w:type="dxa"/>
            <w:gridSpan w:val="3"/>
            <w:tcBorders>
              <w:top w:val="single" w:color="auto" w:sz="4" w:space="0"/>
              <w:left w:val="single" w:color="auto" w:sz="4" w:space="0"/>
              <w:right w:val="single" w:color="auto" w:sz="4" w:space="0"/>
            </w:tcBorders>
            <w:noWrap w:val="0"/>
            <w:vAlign w:val="center"/>
          </w:tcPr>
          <w:p w14:paraId="773B6243">
            <w:pPr>
              <w:pStyle w:val="102"/>
              <w:spacing w:before="116" w:line="319" w:lineRule="auto"/>
              <w:ind w:left="107" w:right="103" w:firstLine="423"/>
              <w:rPr>
                <w:spacing w:val="-6"/>
                <w:sz w:val="21"/>
                <w:szCs w:val="21"/>
                <w:highlight w:val="none"/>
              </w:rPr>
            </w:pPr>
            <w:r>
              <w:rPr>
                <w:spacing w:val="3"/>
                <w:sz w:val="21"/>
                <w:szCs w:val="21"/>
                <w:highlight w:val="none"/>
              </w:rPr>
              <w:t>综合评分相等时，评标委员会依次按照以下优先顺序推荐中标候</w:t>
            </w:r>
            <w:r>
              <w:rPr>
                <w:spacing w:val="-6"/>
                <w:sz w:val="21"/>
                <w:szCs w:val="21"/>
                <w:highlight w:val="none"/>
              </w:rPr>
              <w:t>选人或确定中标人：</w:t>
            </w:r>
          </w:p>
          <w:p w14:paraId="7C2B8ED8">
            <w:pPr>
              <w:pStyle w:val="102"/>
              <w:spacing w:before="116" w:line="319" w:lineRule="auto"/>
              <w:ind w:left="107" w:right="103" w:firstLine="423"/>
              <w:rPr>
                <w:sz w:val="21"/>
                <w:szCs w:val="21"/>
                <w:highlight w:val="none"/>
              </w:rPr>
            </w:pPr>
            <w:r>
              <w:rPr>
                <w:spacing w:val="-5"/>
                <w:sz w:val="21"/>
                <w:szCs w:val="21"/>
                <w:highlight w:val="none"/>
              </w:rPr>
              <w:t>（</w:t>
            </w:r>
            <w:r>
              <w:rPr>
                <w:rFonts w:ascii="Times New Roman" w:hAnsi="Times New Roman" w:eastAsia="Times New Roman" w:cs="Times New Roman"/>
                <w:spacing w:val="-5"/>
                <w:sz w:val="21"/>
                <w:szCs w:val="21"/>
                <w:highlight w:val="none"/>
              </w:rPr>
              <w:t>1</w:t>
            </w:r>
            <w:r>
              <w:rPr>
                <w:spacing w:val="-5"/>
                <w:sz w:val="21"/>
                <w:szCs w:val="21"/>
                <w:highlight w:val="none"/>
              </w:rPr>
              <w:t>）评标价低的投标人优先；</w:t>
            </w:r>
          </w:p>
          <w:p w14:paraId="1F94B1C0">
            <w:pPr>
              <w:spacing w:before="154" w:line="369" w:lineRule="auto"/>
              <w:ind w:left="103" w:right="96" w:firstLine="437"/>
              <w:rPr>
                <w:spacing w:val="-3"/>
                <w:sz w:val="21"/>
                <w:szCs w:val="21"/>
                <w:highlight w:val="none"/>
              </w:rPr>
            </w:pPr>
            <w:r>
              <w:rPr>
                <w:spacing w:val="-3"/>
                <w:sz w:val="21"/>
                <w:szCs w:val="21"/>
                <w:highlight w:val="none"/>
              </w:rPr>
              <w:t>（</w:t>
            </w:r>
            <w:r>
              <w:rPr>
                <w:rFonts w:ascii="Times New Roman" w:hAnsi="Times New Roman" w:eastAsia="Times New Roman" w:cs="Times New Roman"/>
                <w:spacing w:val="-3"/>
                <w:sz w:val="21"/>
                <w:szCs w:val="21"/>
                <w:highlight w:val="none"/>
              </w:rPr>
              <w:t>2</w:t>
            </w:r>
            <w:r>
              <w:rPr>
                <w:spacing w:val="-3"/>
                <w:sz w:val="21"/>
                <w:szCs w:val="21"/>
                <w:highlight w:val="none"/>
              </w:rPr>
              <w:t>）被辽宁省交通运输厅评为较高信用等级的投标人优先；</w:t>
            </w:r>
          </w:p>
          <w:p w14:paraId="4E9EBB54">
            <w:pPr>
              <w:spacing w:before="154" w:line="369" w:lineRule="auto"/>
              <w:ind w:left="103" w:right="96" w:firstLine="437"/>
              <w:rPr>
                <w:rFonts w:ascii="宋体" w:hAnsi="宋体" w:eastAsia="宋体" w:cs="宋体"/>
                <w:spacing w:val="6"/>
                <w:sz w:val="20"/>
                <w:szCs w:val="20"/>
                <w:highlight w:val="none"/>
              </w:rPr>
            </w:pPr>
            <w:r>
              <w:rPr>
                <w:rFonts w:hint="eastAsia"/>
                <w:spacing w:val="-3"/>
                <w:sz w:val="21"/>
                <w:szCs w:val="21"/>
                <w:highlight w:val="none"/>
                <w:lang w:eastAsia="zh-CN"/>
              </w:rPr>
              <w:t>（</w:t>
            </w:r>
            <w:r>
              <w:rPr>
                <w:rFonts w:hint="eastAsia"/>
                <w:spacing w:val="-3"/>
                <w:sz w:val="21"/>
                <w:szCs w:val="21"/>
                <w:highlight w:val="none"/>
                <w:lang w:val="en-US" w:eastAsia="zh-CN"/>
              </w:rPr>
              <w:t>3</w:t>
            </w:r>
            <w:r>
              <w:rPr>
                <w:rFonts w:hint="eastAsia"/>
                <w:spacing w:val="-3"/>
                <w:sz w:val="21"/>
                <w:szCs w:val="21"/>
                <w:highlight w:val="none"/>
                <w:lang w:eastAsia="zh-CN"/>
              </w:rPr>
              <w:t>）</w:t>
            </w:r>
            <w:r>
              <w:rPr>
                <w:rFonts w:ascii="Times New Roman" w:hAnsi="Times New Roman" w:eastAsia="Times New Roman" w:cs="Times New Roman"/>
                <w:spacing w:val="6"/>
                <w:sz w:val="20"/>
                <w:szCs w:val="20"/>
                <w:highlight w:val="none"/>
              </w:rPr>
              <w:t xml:space="preserve">1. 1 </w:t>
            </w:r>
            <w:r>
              <w:rPr>
                <w:rFonts w:ascii="宋体" w:hAnsi="宋体" w:eastAsia="宋体" w:cs="宋体"/>
                <w:spacing w:val="6"/>
                <w:sz w:val="20"/>
                <w:szCs w:val="20"/>
                <w:highlight w:val="none"/>
              </w:rPr>
              <w:t>本次评标采用双信封形式合理低价法，评标委员会首先对投标文件第一个信封 (商</w:t>
            </w:r>
            <w:r>
              <w:rPr>
                <w:rFonts w:ascii="宋体" w:hAnsi="宋体" w:eastAsia="宋体" w:cs="宋体"/>
                <w:spacing w:val="3"/>
                <w:sz w:val="20"/>
                <w:szCs w:val="20"/>
                <w:highlight w:val="none"/>
              </w:rPr>
              <w:t>务</w:t>
            </w:r>
            <w:r>
              <w:rPr>
                <w:rFonts w:ascii="宋体" w:hAnsi="宋体" w:eastAsia="宋体" w:cs="宋体"/>
                <w:sz w:val="20"/>
                <w:szCs w:val="20"/>
                <w:highlight w:val="none"/>
              </w:rPr>
              <w:t xml:space="preserve">与 </w:t>
            </w:r>
            <w:r>
              <w:rPr>
                <w:rFonts w:ascii="宋体" w:hAnsi="宋体" w:eastAsia="宋体" w:cs="宋体"/>
                <w:spacing w:val="12"/>
                <w:sz w:val="20"/>
                <w:szCs w:val="20"/>
                <w:highlight w:val="none"/>
              </w:rPr>
              <w:t>技</w:t>
            </w:r>
            <w:r>
              <w:rPr>
                <w:rFonts w:ascii="宋体" w:hAnsi="宋体" w:eastAsia="宋体" w:cs="宋体"/>
                <w:spacing w:val="10"/>
                <w:sz w:val="20"/>
                <w:szCs w:val="20"/>
                <w:highlight w:val="none"/>
              </w:rPr>
              <w:t>术文件) 进行初步评审 (形式评审与响应性评审、资格评审) ，通过第一个信封初步评审后</w:t>
            </w:r>
            <w:r>
              <w:rPr>
                <w:rFonts w:ascii="宋体" w:hAnsi="宋体" w:eastAsia="宋体" w:cs="宋体"/>
                <w:spacing w:val="20"/>
                <w:sz w:val="20"/>
                <w:szCs w:val="20"/>
                <w:highlight w:val="none"/>
              </w:rPr>
              <w:t>的</w:t>
            </w:r>
            <w:r>
              <w:rPr>
                <w:rFonts w:ascii="宋体" w:hAnsi="宋体" w:eastAsia="宋体" w:cs="宋体"/>
                <w:spacing w:val="12"/>
                <w:sz w:val="20"/>
                <w:szCs w:val="20"/>
                <w:highlight w:val="none"/>
              </w:rPr>
              <w:t>投</w:t>
            </w:r>
            <w:r>
              <w:rPr>
                <w:rFonts w:ascii="宋体" w:hAnsi="宋体" w:eastAsia="宋体" w:cs="宋体"/>
                <w:spacing w:val="10"/>
                <w:sz w:val="20"/>
                <w:szCs w:val="20"/>
                <w:highlight w:val="none"/>
              </w:rPr>
              <w:t>标文件方可进入第二个信封 (报价文件) 的开标。第二个信封的开标在监督人的监督</w:t>
            </w:r>
            <w:r>
              <w:rPr>
                <w:rFonts w:ascii="宋体" w:hAnsi="宋体" w:eastAsia="宋体" w:cs="宋体"/>
                <w:spacing w:val="6"/>
                <w:sz w:val="20"/>
                <w:szCs w:val="20"/>
                <w:highlight w:val="none"/>
              </w:rPr>
              <w:t>下进行，未通过第一个信封初步评审投标人的第二个信封原封退回，不参与第二个信封的开标。评标委员会对投标文件第二个信封进行形式和响应性评审，并按照本章第 2.2 款规定的评分标准进行评分，然后按评标价得分由高到低顺序推荐中标候选人，但投标报价低于其成本的除外。</w:t>
            </w:r>
          </w:p>
          <w:p w14:paraId="02D2BB8A">
            <w:pPr>
              <w:spacing w:before="154" w:line="369" w:lineRule="auto"/>
              <w:ind w:left="103" w:right="96" w:firstLine="437"/>
              <w:rPr>
                <w:rFonts w:hint="eastAsia" w:ascii="宋体" w:hAnsi="宋体" w:eastAsia="宋体" w:cs="宋体"/>
                <w:spacing w:val="6"/>
                <w:sz w:val="20"/>
                <w:szCs w:val="20"/>
                <w:highlight w:val="none"/>
              </w:rPr>
            </w:pPr>
            <w:r>
              <w:rPr>
                <w:rFonts w:ascii="宋体" w:hAnsi="宋体" w:eastAsia="宋体" w:cs="宋体"/>
                <w:spacing w:val="6"/>
                <w:sz w:val="20"/>
                <w:szCs w:val="20"/>
                <w:highlight w:val="none"/>
              </w:rPr>
              <w:t xml:space="preserve">1.2 </w:t>
            </w:r>
            <w:r>
              <w:rPr>
                <w:rFonts w:hint="eastAsia" w:ascii="宋体" w:hAnsi="宋体" w:eastAsia="宋体" w:cs="宋体"/>
                <w:spacing w:val="6"/>
                <w:sz w:val="20"/>
                <w:szCs w:val="20"/>
                <w:highlight w:val="none"/>
              </w:rPr>
              <w:t>当两家及以上投标人在标段中的评标价得分相等时，若评标价不相等，以评标价较低者优先；当两家及以上投标人在标段中的评标价得分相等且评标价也相等时，若各投标人工程量清单子目单价也相同时，视为串标，其投标均被否决。</w:t>
            </w:r>
          </w:p>
          <w:p w14:paraId="43E05067">
            <w:pPr>
              <w:spacing w:before="154" w:line="369" w:lineRule="auto"/>
              <w:ind w:left="103" w:right="96" w:firstLine="437"/>
              <w:rPr>
                <w:rFonts w:hint="eastAsia" w:ascii="宋体" w:hAnsi="宋体" w:eastAsia="宋体" w:cs="宋体"/>
                <w:spacing w:val="6"/>
                <w:sz w:val="20"/>
                <w:szCs w:val="20"/>
                <w:highlight w:val="none"/>
              </w:rPr>
            </w:pPr>
            <w:r>
              <w:rPr>
                <w:rFonts w:hint="eastAsia" w:ascii="宋体" w:hAnsi="宋体" w:eastAsia="宋体" w:cs="宋体"/>
                <w:spacing w:val="6"/>
                <w:sz w:val="20"/>
                <w:szCs w:val="20"/>
                <w:highlight w:val="none"/>
              </w:rPr>
              <w:t>当两家及以上投标人在标段中的评标价得分相等且评标价也相等时，若各投标人工程量清单子目单价不尽相同时，则由评标委员会根据施工组织设计的编制情况投票确定其推荐顺序。</w:t>
            </w:r>
          </w:p>
          <w:p w14:paraId="7D80FE74">
            <w:pPr>
              <w:spacing w:before="154" w:line="369" w:lineRule="auto"/>
              <w:ind w:left="103" w:right="96" w:firstLine="437"/>
              <w:rPr>
                <w:rFonts w:ascii="宋体" w:hAnsi="宋体" w:eastAsia="宋体" w:cs="宋体"/>
                <w:spacing w:val="6"/>
                <w:sz w:val="20"/>
                <w:szCs w:val="20"/>
                <w:highlight w:val="none"/>
              </w:rPr>
            </w:pPr>
            <w:r>
              <w:rPr>
                <w:rFonts w:ascii="宋体" w:hAnsi="宋体" w:eastAsia="宋体" w:cs="宋体"/>
                <w:spacing w:val="6"/>
                <w:sz w:val="20"/>
                <w:szCs w:val="20"/>
                <w:highlight w:val="none"/>
              </w:rPr>
              <w:t>1.3 评标委员会将按照确定的推荐次序推荐中标候选人。</w:t>
            </w:r>
          </w:p>
          <w:p w14:paraId="0E0726C9">
            <w:pPr>
              <w:spacing w:before="154" w:line="369" w:lineRule="auto"/>
              <w:ind w:left="103" w:right="96" w:firstLine="437"/>
              <w:rPr>
                <w:rFonts w:ascii="宋体" w:hAnsi="宋体" w:eastAsia="宋体" w:cs="宋体"/>
                <w:spacing w:val="6"/>
                <w:sz w:val="20"/>
                <w:szCs w:val="20"/>
                <w:highlight w:val="none"/>
              </w:rPr>
            </w:pPr>
            <w:r>
              <w:rPr>
                <w:rFonts w:ascii="宋体" w:hAnsi="宋体" w:eastAsia="宋体" w:cs="宋体"/>
                <w:spacing w:val="6"/>
                <w:sz w:val="20"/>
                <w:szCs w:val="20"/>
                <w:highlight w:val="none"/>
              </w:rPr>
              <w:t>1.4 某一标段通过第一个信封评审且参与第二个信封开标的投标人在 3 个及以上的，招标人将按规定的程序进行第二个信封开标；在对第二个信封进行评审后，有效投标不足 3 个使得投标明显缺乏竞争的，评标委员会可以否决这一标段的全部投标。评标委员会未否决全部投标的， 应当在评标报告中阐明理由并推荐这一标段中标候选人。</w:t>
            </w:r>
          </w:p>
          <w:p w14:paraId="6664AACA">
            <w:pPr>
              <w:spacing w:before="154" w:line="369" w:lineRule="auto"/>
              <w:ind w:left="103" w:right="96" w:firstLine="437"/>
              <w:rPr>
                <w:rFonts w:hint="default" w:ascii="Times New Roman" w:hAnsi="Times New Roman" w:cs="Times New Roman"/>
                <w:szCs w:val="21"/>
                <w:highlight w:val="none"/>
              </w:rPr>
            </w:pPr>
            <w:r>
              <w:rPr>
                <w:rFonts w:ascii="宋体" w:hAnsi="宋体" w:eastAsia="宋体" w:cs="宋体"/>
                <w:spacing w:val="6"/>
                <w:sz w:val="20"/>
                <w:szCs w:val="20"/>
                <w:highlight w:val="none"/>
              </w:rPr>
              <w:t>某一标段通过第一个信封评审且参与第二个信封开标的投标人少于 3 个的，评标委员会可以否决这一标段全部投标；未否决这一标段全部投标的，评标委员会应当在评标报告中阐明理由，招标人将按规定的程序进行第二个信封开标，但评标委员会在进行第二个信封评审时仍有 权否决这一标段全部投标；评标委员会未在第二个信封评审时否决全部投标的，应当在评标报告中阐明理由并推荐这一标段中标候选人。</w:t>
            </w:r>
          </w:p>
        </w:tc>
      </w:tr>
      <w:tr w14:paraId="100523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tcBorders>
              <w:top w:val="single" w:color="auto" w:sz="4" w:space="0"/>
              <w:bottom w:val="single" w:color="auto" w:sz="4" w:space="0"/>
              <w:right w:val="single" w:color="auto" w:sz="4" w:space="0"/>
            </w:tcBorders>
            <w:noWrap w:val="0"/>
            <w:vAlign w:val="center"/>
          </w:tcPr>
          <w:p w14:paraId="2E4DE2FD">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2.1.1</w:t>
            </w:r>
          </w:p>
          <w:p w14:paraId="69729416">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2.1.3</w:t>
            </w:r>
          </w:p>
        </w:tc>
        <w:tc>
          <w:tcPr>
            <w:tcW w:w="1124" w:type="dxa"/>
            <w:tcBorders>
              <w:top w:val="single" w:color="auto" w:sz="4" w:space="0"/>
              <w:bottom w:val="single" w:color="auto" w:sz="4" w:space="0"/>
              <w:right w:val="single" w:color="auto" w:sz="4" w:space="0"/>
            </w:tcBorders>
            <w:noWrap w:val="0"/>
            <w:vAlign w:val="center"/>
          </w:tcPr>
          <w:p w14:paraId="5DFDCBBB">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形式评审与响应性评审标准</w:t>
            </w:r>
          </w:p>
        </w:tc>
        <w:tc>
          <w:tcPr>
            <w:tcW w:w="6616" w:type="dxa"/>
            <w:gridSpan w:val="3"/>
            <w:tcBorders>
              <w:top w:val="single" w:color="auto" w:sz="4" w:space="0"/>
              <w:left w:val="single" w:color="auto" w:sz="4" w:space="0"/>
              <w:right w:val="single" w:color="auto" w:sz="4" w:space="0"/>
            </w:tcBorders>
            <w:noWrap w:val="0"/>
            <w:vAlign w:val="center"/>
          </w:tcPr>
          <w:p w14:paraId="7935F7C3">
            <w:pPr>
              <w:pageBreakBefore w:val="0"/>
              <w:kinsoku/>
              <w:wordWrap w:val="0"/>
              <w:bidi w:val="0"/>
              <w:spacing w:line="360" w:lineRule="atLeast"/>
              <w:ind w:firstLine="422" w:firstLineChars="200"/>
              <w:rPr>
                <w:rFonts w:hint="default" w:ascii="Times New Roman" w:hAnsi="Times New Roman" w:cs="Times New Roman"/>
                <w:b/>
                <w:szCs w:val="21"/>
                <w:highlight w:val="none"/>
              </w:rPr>
            </w:pPr>
            <w:r>
              <w:rPr>
                <w:rFonts w:hint="default" w:ascii="Times New Roman" w:hAnsi="Times New Roman" w:cs="Times New Roman"/>
                <w:b/>
                <w:szCs w:val="21"/>
                <w:highlight w:val="none"/>
              </w:rPr>
              <w:t>第一个信封（商务及技术文件）评审标准：</w:t>
            </w:r>
          </w:p>
          <w:p w14:paraId="31BCD388">
            <w:pPr>
              <w:pageBreakBefore w:val="0"/>
              <w:kinsoku/>
              <w:wordWrap w:val="0"/>
              <w:bidi w:val="0"/>
              <w:spacing w:line="360" w:lineRule="atLeas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（1）投标文件按照招标文件规定的格式、内容填写，字迹清晰可辨：</w:t>
            </w:r>
          </w:p>
          <w:p w14:paraId="407BB2DC">
            <w:pPr>
              <w:pageBreakBefore w:val="0"/>
              <w:kinsoku/>
              <w:wordWrap w:val="0"/>
              <w:bidi w:val="0"/>
              <w:spacing w:line="360" w:lineRule="atLeas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a.投标函按招标文件规定填报了项目名称、标段号、补遗书编号（如有）、工期、工程质量要求及安全目标；</w:t>
            </w:r>
          </w:p>
          <w:p w14:paraId="5E8468F6">
            <w:pPr>
              <w:pageBreakBefore w:val="0"/>
              <w:kinsoku/>
              <w:wordWrap w:val="0"/>
              <w:bidi w:val="0"/>
              <w:spacing w:line="360" w:lineRule="atLeas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b.投标函附录的所有数据均符合招标文件规定；</w:t>
            </w:r>
          </w:p>
          <w:p w14:paraId="58F7FDAB">
            <w:pPr>
              <w:pageBreakBefore w:val="0"/>
              <w:kinsoku/>
              <w:wordWrap w:val="0"/>
              <w:bidi w:val="0"/>
              <w:spacing w:line="360" w:lineRule="atLeas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c.投标文件组成齐全完整，内容均按规定填写。</w:t>
            </w:r>
          </w:p>
          <w:p w14:paraId="38A819AC">
            <w:pPr>
              <w:pageBreakBefore w:val="0"/>
              <w:kinsoku/>
              <w:wordWrap w:val="0"/>
              <w:bidi w:val="0"/>
              <w:spacing w:line="360" w:lineRule="atLeas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（2）投标文件上法定代表人或其委托代理人的签字、投标人的单位章盖章齐全，符合招标文件规定。</w:t>
            </w:r>
          </w:p>
          <w:p w14:paraId="04EC2594">
            <w:pPr>
              <w:pageBreakBefore w:val="0"/>
              <w:kinsoku/>
              <w:wordWrap w:val="0"/>
              <w:bidi w:val="0"/>
              <w:spacing w:line="360" w:lineRule="atLeas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w:t>
            </w:r>
            <w:r>
              <w:rPr>
                <w:rFonts w:hint="eastAsia" w:cs="Times New Roman"/>
                <w:szCs w:val="21"/>
                <w:highlight w:val="none"/>
                <w:lang w:val="en-US" w:eastAsia="zh-CN"/>
              </w:rPr>
              <w:t>3</w:t>
            </w:r>
            <w:r>
              <w:rPr>
                <w:rFonts w:hint="default" w:ascii="Times New Roman" w:hAnsi="Times New Roman" w:cs="Times New Roman"/>
                <w:szCs w:val="21"/>
                <w:highlight w:val="none"/>
              </w:rPr>
              <w:t>）投标人按照招标文件的规定提供了投标保证金：</w:t>
            </w:r>
          </w:p>
          <w:p w14:paraId="24DE847F">
            <w:pPr>
              <w:pageBreakBefore w:val="0"/>
              <w:kinsoku/>
              <w:wordWrap w:val="0"/>
              <w:bidi w:val="0"/>
              <w:spacing w:line="360" w:lineRule="atLeas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a.投标保证金金额符合招标文件规定的金额，且投标保证金有效期不少于投标有效期；</w:t>
            </w:r>
          </w:p>
          <w:p w14:paraId="42D4139C">
            <w:pPr>
              <w:pageBreakBefore w:val="0"/>
              <w:kinsoku/>
              <w:wordWrap w:val="0"/>
              <w:bidi w:val="0"/>
              <w:spacing w:line="360" w:lineRule="atLeas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b.若投标保证金采用现金或支票形式提交，投标人应在递交投标文件截止时间之前，将投标保证金由投标人的基本账户转入招标人指定账户；</w:t>
            </w:r>
          </w:p>
          <w:p w14:paraId="0A275128">
            <w:pPr>
              <w:pageBreakBefore w:val="0"/>
              <w:kinsoku/>
              <w:wordWrap w:val="0"/>
              <w:bidi w:val="0"/>
              <w:spacing w:line="360" w:lineRule="atLeas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c.若投标保证金采用银行保函形式提交，银行保函的格式、开具保函的银行均满足招标文件要求。</w:t>
            </w:r>
          </w:p>
          <w:p w14:paraId="7AF7BE4B">
            <w:pPr>
              <w:pageBreakBefore w:val="0"/>
              <w:kinsoku/>
              <w:wordWrap w:val="0"/>
              <w:bidi w:val="0"/>
              <w:spacing w:line="360" w:lineRule="atLeas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d.若投标保证金采用电子保函形式提交，投标人应在投标文件中提供电子保函的原件扫描件、电子化保函验真渠道和从投标人基本账户支出的保函财务费用支付凭证。</w:t>
            </w:r>
          </w:p>
          <w:p w14:paraId="23325387">
            <w:pPr>
              <w:pageBreakBefore w:val="0"/>
              <w:kinsoku/>
              <w:wordWrap w:val="0"/>
              <w:bidi w:val="0"/>
              <w:spacing w:line="360" w:lineRule="atLeas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（4）投标人法定代表人授权委托代理人签署投标文件的，须提交授权委托书，且授权人和被授权人均在授权委托书上使用CA 数字证书加盖个人电子印章或电子签名章。</w:t>
            </w:r>
          </w:p>
          <w:p w14:paraId="41B09C01">
            <w:pPr>
              <w:pageBreakBefore w:val="0"/>
              <w:kinsoku/>
              <w:wordWrap w:val="0"/>
              <w:bidi w:val="0"/>
              <w:spacing w:line="360" w:lineRule="atLeas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（5）投标人法定代表人亲自签署投标文件的，提供了法定代表人身份证明，且法定代表人在法定代表人身份证明上使用CA 数字证书加盖个人电子印章或电子签名章。</w:t>
            </w:r>
          </w:p>
          <w:p w14:paraId="7D5B24E6">
            <w:pPr>
              <w:pageBreakBefore w:val="0"/>
              <w:kinsoku/>
              <w:wordWrap w:val="0"/>
              <w:bidi w:val="0"/>
              <w:spacing w:line="360" w:lineRule="atLeas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（6）投标人以联合体形式投标时，联合体满足招标文件的要求：投标人按照招标文件提供的格式签订了联合体协议书，明确各方承担连带责任，并明确了联合体牵头人。</w:t>
            </w:r>
          </w:p>
          <w:p w14:paraId="4BA27505">
            <w:pPr>
              <w:pageBreakBefore w:val="0"/>
              <w:kinsoku/>
              <w:wordWrap w:val="0"/>
              <w:bidi w:val="0"/>
              <w:spacing w:line="360" w:lineRule="atLeas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（7）投标人如有分包计划，符合招标文件第二章“投标人须知”第1.11款规定。</w:t>
            </w:r>
          </w:p>
          <w:p w14:paraId="514AEA61">
            <w:pPr>
              <w:pageBreakBefore w:val="0"/>
              <w:kinsoku/>
              <w:wordWrap w:val="0"/>
              <w:bidi w:val="0"/>
              <w:spacing w:line="360" w:lineRule="atLeas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（8）同一投标人未提交两个以上不同的投标文件，但招标文件要求提交备选投标的除外。</w:t>
            </w:r>
          </w:p>
          <w:p w14:paraId="6F16AC34">
            <w:pPr>
              <w:pageBreakBefore w:val="0"/>
              <w:kinsoku/>
              <w:wordWrap w:val="0"/>
              <w:bidi w:val="0"/>
              <w:spacing w:line="360" w:lineRule="atLeas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（9）投标文件中未出现有关投标报价的内容。</w:t>
            </w:r>
          </w:p>
          <w:p w14:paraId="32C6A247">
            <w:pPr>
              <w:pageBreakBefore w:val="0"/>
              <w:kinsoku/>
              <w:wordWrap w:val="0"/>
              <w:bidi w:val="0"/>
              <w:spacing w:line="360" w:lineRule="atLeas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（10）投标文件载明的招标项目完成期限未超过招标文件规定的时限。</w:t>
            </w:r>
          </w:p>
          <w:p w14:paraId="56E22F98">
            <w:pPr>
              <w:pageBreakBefore w:val="0"/>
              <w:kinsoku/>
              <w:wordWrap w:val="0"/>
              <w:bidi w:val="0"/>
              <w:spacing w:line="360" w:lineRule="atLeas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（11）投标文件对招标文件的实质性要求和条件作出响应。</w:t>
            </w:r>
          </w:p>
          <w:p w14:paraId="17E3830A">
            <w:pPr>
              <w:pageBreakBefore w:val="0"/>
              <w:kinsoku/>
              <w:wordWrap w:val="0"/>
              <w:bidi w:val="0"/>
              <w:spacing w:line="360" w:lineRule="atLeas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（12）权利义务符合招标文件规定：</w:t>
            </w:r>
          </w:p>
          <w:p w14:paraId="5633812F">
            <w:pPr>
              <w:pageBreakBefore w:val="0"/>
              <w:kinsoku/>
              <w:wordWrap w:val="0"/>
              <w:bidi w:val="0"/>
              <w:spacing w:line="360" w:lineRule="atLeas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a.投标人应接受招标文件规定的风险划分原则，未提出新的风险划分办法；</w:t>
            </w:r>
          </w:p>
          <w:p w14:paraId="05667195">
            <w:pPr>
              <w:pageBreakBefore w:val="0"/>
              <w:kinsoku/>
              <w:wordWrap w:val="0"/>
              <w:bidi w:val="0"/>
              <w:spacing w:line="360" w:lineRule="atLeas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b.投标人未增加发包人的责任范围，或减少投标人义务；</w:t>
            </w:r>
          </w:p>
          <w:p w14:paraId="4E167141">
            <w:pPr>
              <w:pageBreakBefore w:val="0"/>
              <w:kinsoku/>
              <w:wordWrap w:val="0"/>
              <w:bidi w:val="0"/>
              <w:spacing w:line="360" w:lineRule="atLeas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c.投标人未提出不同的工程验收、计量、支付办法；</w:t>
            </w:r>
          </w:p>
          <w:p w14:paraId="4F23904C">
            <w:pPr>
              <w:pageBreakBefore w:val="0"/>
              <w:kinsoku/>
              <w:wordWrap w:val="0"/>
              <w:bidi w:val="0"/>
              <w:spacing w:line="360" w:lineRule="atLeas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d.投标人对合同纠纷、事故处理办法未提出异议；</w:t>
            </w:r>
          </w:p>
          <w:p w14:paraId="1870F80E">
            <w:pPr>
              <w:pageBreakBefore w:val="0"/>
              <w:kinsoku/>
              <w:wordWrap w:val="0"/>
              <w:bidi w:val="0"/>
              <w:spacing w:line="360" w:lineRule="atLeas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e.投标人在投标活动中无欺诈行为；</w:t>
            </w:r>
          </w:p>
          <w:p w14:paraId="68D58D31">
            <w:pPr>
              <w:pageBreakBefore w:val="0"/>
              <w:kinsoku/>
              <w:wordWrap w:val="0"/>
              <w:bidi w:val="0"/>
              <w:spacing w:line="360" w:lineRule="atLeas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f.投标人未对合同条款有重要保留。</w:t>
            </w:r>
          </w:p>
          <w:p w14:paraId="2C5AA192">
            <w:pPr>
              <w:pageBreakBefore w:val="0"/>
              <w:kinsoku/>
              <w:wordWrap w:val="0"/>
              <w:bidi w:val="0"/>
              <w:spacing w:line="360" w:lineRule="atLeas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（13）投标人上传投标文件的标段数量满足第一章“招标公告 ”第 3.3 款规定，投标函上填写的标段号与上传的对应项目标段号一致。</w:t>
            </w:r>
          </w:p>
          <w:p w14:paraId="6C742EC8">
            <w:pPr>
              <w:pageBreakBefore w:val="0"/>
              <w:kinsoku/>
              <w:wordWrap w:val="0"/>
              <w:bidi w:val="0"/>
              <w:spacing w:line="360" w:lineRule="atLeas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（14）未发现投标人与其他投标人存在使用同一不可篡改的唯一标识软硬件设备投标的（如：MAC地址、标书制作特征码、标书唯一特征码等）。</w:t>
            </w:r>
          </w:p>
          <w:p w14:paraId="789EB7B4">
            <w:pPr>
              <w:pageBreakBefore w:val="0"/>
              <w:kinsoku/>
              <w:wordWrap w:val="0"/>
              <w:bidi w:val="0"/>
              <w:spacing w:line="360" w:lineRule="atLeas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w:t>
            </w:r>
          </w:p>
          <w:p w14:paraId="56338F0E">
            <w:pPr>
              <w:pageBreakBefore w:val="0"/>
              <w:kinsoku/>
              <w:wordWrap w:val="0"/>
              <w:bidi w:val="0"/>
              <w:spacing w:line="360" w:lineRule="atLeas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第二个信封（报价文件）评审标准：</w:t>
            </w:r>
          </w:p>
          <w:p w14:paraId="66AB8FEA">
            <w:pPr>
              <w:pageBreakBefore w:val="0"/>
              <w:kinsoku/>
              <w:wordWrap w:val="0"/>
              <w:bidi w:val="0"/>
              <w:spacing w:line="360" w:lineRule="atLeas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（1）投标文件按照招标文件规定的格式、内容填写，字迹清晰可辨：</w:t>
            </w:r>
          </w:p>
          <w:p w14:paraId="0BE88D73">
            <w:pPr>
              <w:pageBreakBefore w:val="0"/>
              <w:kinsoku/>
              <w:wordWrap w:val="0"/>
              <w:bidi w:val="0"/>
              <w:spacing w:line="360" w:lineRule="atLeas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a.投标函按招标文件规定填报了项目名称、标段号、补遗书编号（如有）、投标价（包括大写金额和小写金额）；</w:t>
            </w:r>
          </w:p>
          <w:p w14:paraId="7869EB71">
            <w:pPr>
              <w:pageBreakBefore w:val="0"/>
              <w:kinsoku/>
              <w:wordWrap w:val="0"/>
              <w:bidi w:val="0"/>
              <w:spacing w:line="360" w:lineRule="atLeas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b.已标价工程量清单说明文字与招标文件规定一致，未进行实质性修改和删减；</w:t>
            </w:r>
          </w:p>
          <w:p w14:paraId="10001BBF">
            <w:pPr>
              <w:pageBreakBefore w:val="0"/>
              <w:kinsoku/>
              <w:wordWrap w:val="0"/>
              <w:bidi w:val="0"/>
              <w:spacing w:line="360" w:lineRule="atLeas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c.投标文件组成齐全完整，内容均按规定填写。</w:t>
            </w:r>
          </w:p>
          <w:p w14:paraId="4804F303">
            <w:pPr>
              <w:pageBreakBefore w:val="0"/>
              <w:kinsoku/>
              <w:wordWrap w:val="0"/>
              <w:bidi w:val="0"/>
              <w:spacing w:line="360" w:lineRule="atLeas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（2）投标文件上法定代表人或其委托代理人的签字、投标人的单位章盖章齐全，符合招标文件规定。</w:t>
            </w:r>
          </w:p>
          <w:p w14:paraId="3285D7CB">
            <w:pPr>
              <w:pageBreakBefore w:val="0"/>
              <w:kinsoku/>
              <w:wordWrap w:val="0"/>
              <w:bidi w:val="0"/>
              <w:spacing w:line="360" w:lineRule="atLeas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（3）投标报价中的报价未超过招标文件设定的最高投标限价（如有）。</w:t>
            </w:r>
          </w:p>
          <w:p w14:paraId="7ADEF6B1">
            <w:pPr>
              <w:pageBreakBefore w:val="0"/>
              <w:kinsoku/>
              <w:wordWrap w:val="0"/>
              <w:bidi w:val="0"/>
              <w:spacing w:line="360" w:lineRule="atLeas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（4）投标报价中报价的大写金额能够确定具体数值。</w:t>
            </w:r>
          </w:p>
          <w:p w14:paraId="71E721E4">
            <w:pPr>
              <w:pageBreakBefore w:val="0"/>
              <w:kinsoku/>
              <w:wordWrap w:val="0"/>
              <w:bidi w:val="0"/>
              <w:spacing w:line="360" w:lineRule="atLeas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（5）同一投标人未提交两个以上不同的投标报价，但招标文件要求提交备选投标的除外。</w:t>
            </w:r>
          </w:p>
          <w:p w14:paraId="39BD45D3">
            <w:pPr>
              <w:pageBreakBefore w:val="0"/>
              <w:kinsoku/>
              <w:wordWrap w:val="0"/>
              <w:bidi w:val="0"/>
              <w:spacing w:line="360" w:lineRule="atLeas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（6）投标人若填写工程量固化清单，填写完毕的工程量固化清单未对工程量固化清单电子文件中的数据、格式和运算定义进行修改；工程量固化清单中的投标报价和投标函大写金额报价一致。</w:t>
            </w:r>
          </w:p>
          <w:p w14:paraId="654BE192">
            <w:pPr>
              <w:pageBreakBefore w:val="0"/>
              <w:kinsoku/>
              <w:wordWrap w:val="0"/>
              <w:bidi w:val="0"/>
              <w:spacing w:line="360" w:lineRule="atLeas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w:t>
            </w:r>
            <w:r>
              <w:rPr>
                <w:rFonts w:hint="eastAsia" w:cs="Times New Roman"/>
                <w:szCs w:val="21"/>
                <w:highlight w:val="none"/>
                <w:lang w:val="en-US" w:eastAsia="zh-CN"/>
              </w:rPr>
              <w:t>8</w:t>
            </w:r>
            <w:r>
              <w:rPr>
                <w:rFonts w:hint="default" w:ascii="Times New Roman" w:hAnsi="Times New Roman" w:cs="Times New Roman"/>
                <w:szCs w:val="21"/>
                <w:highlight w:val="none"/>
              </w:rPr>
              <w:t>）未发现投标人与其他投标人存在使用同一不可篡改的唯一标识软硬件设备投标的（如：MAC地址、标书制作特征码、标书唯一特征码等）。</w:t>
            </w:r>
          </w:p>
          <w:p w14:paraId="3E40B095">
            <w:pPr>
              <w:pageBreakBefore w:val="0"/>
              <w:kinsoku/>
              <w:wordWrap w:val="0"/>
              <w:bidi w:val="0"/>
              <w:spacing w:line="360" w:lineRule="atLeas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w:t>
            </w:r>
          </w:p>
        </w:tc>
      </w:tr>
      <w:tr w14:paraId="0459AE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530" w:hRule="atLeast"/>
        </w:trPr>
        <w:tc>
          <w:tcPr>
            <w:tcW w:w="900" w:type="dxa"/>
            <w:tcBorders>
              <w:top w:val="single" w:color="auto" w:sz="4" w:space="0"/>
              <w:right w:val="single" w:color="auto" w:sz="4" w:space="0"/>
            </w:tcBorders>
            <w:noWrap w:val="0"/>
            <w:vAlign w:val="center"/>
          </w:tcPr>
          <w:p w14:paraId="5540A23C">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2.1.2</w:t>
            </w:r>
          </w:p>
        </w:tc>
        <w:tc>
          <w:tcPr>
            <w:tcW w:w="1136" w:type="dxa"/>
            <w:gridSpan w:val="2"/>
            <w:tcBorders>
              <w:top w:val="single" w:color="auto" w:sz="4" w:space="0"/>
              <w:right w:val="single" w:color="auto" w:sz="4" w:space="0"/>
            </w:tcBorders>
            <w:noWrap w:val="0"/>
            <w:vAlign w:val="center"/>
          </w:tcPr>
          <w:p w14:paraId="11508C5C">
            <w:pPr>
              <w:pageBreakBefore w:val="0"/>
              <w:kinsoku/>
              <w:wordWrap w:val="0"/>
              <w:bidi w:val="0"/>
              <w:spacing w:line="36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资格评审标准</w:t>
            </w:r>
          </w:p>
        </w:tc>
        <w:tc>
          <w:tcPr>
            <w:tcW w:w="6604" w:type="dxa"/>
            <w:gridSpan w:val="2"/>
            <w:tcBorders>
              <w:top w:val="single" w:color="auto" w:sz="4" w:space="0"/>
              <w:left w:val="single" w:color="auto" w:sz="4" w:space="0"/>
              <w:right w:val="single" w:color="auto" w:sz="4" w:space="0"/>
            </w:tcBorders>
            <w:noWrap w:val="0"/>
            <w:vAlign w:val="center"/>
          </w:tcPr>
          <w:p w14:paraId="68A15BB4">
            <w:pPr>
              <w:pageBreakBefore w:val="0"/>
              <w:kinsoku/>
              <w:wordWrap w:val="0"/>
              <w:bidi w:val="0"/>
              <w:spacing w:line="360" w:lineRule="atLeas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（1）投标人的资质等级符合招标文件规定。</w:t>
            </w:r>
          </w:p>
          <w:p w14:paraId="75676147">
            <w:pPr>
              <w:pageBreakBefore w:val="0"/>
              <w:kinsoku/>
              <w:wordWrap w:val="0"/>
              <w:bidi w:val="0"/>
              <w:spacing w:line="360" w:lineRule="atLeas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w:t>
            </w:r>
            <w:r>
              <w:rPr>
                <w:rFonts w:hint="default" w:ascii="Times New Roman" w:hAnsi="Times New Roman" w:cs="Times New Roman"/>
                <w:szCs w:val="21"/>
                <w:highlight w:val="none"/>
                <w:lang w:val="en-US" w:eastAsia="zh-CN"/>
              </w:rPr>
              <w:t>2</w:t>
            </w:r>
            <w:r>
              <w:rPr>
                <w:rFonts w:hint="default" w:ascii="Times New Roman" w:hAnsi="Times New Roman" w:cs="Times New Roman"/>
                <w:szCs w:val="21"/>
                <w:highlight w:val="none"/>
              </w:rPr>
              <w:t>）投标人的财务状况符合招标文件规定。</w:t>
            </w:r>
          </w:p>
          <w:p w14:paraId="26FBBB59">
            <w:pPr>
              <w:pageBreakBefore w:val="0"/>
              <w:kinsoku/>
              <w:wordWrap w:val="0"/>
              <w:bidi w:val="0"/>
              <w:spacing w:line="360" w:lineRule="atLeas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w:t>
            </w:r>
            <w:r>
              <w:rPr>
                <w:rFonts w:hint="default" w:ascii="Times New Roman" w:hAnsi="Times New Roman" w:cs="Times New Roman"/>
                <w:szCs w:val="21"/>
                <w:highlight w:val="none"/>
                <w:lang w:val="en-US" w:eastAsia="zh-CN"/>
              </w:rPr>
              <w:t>3</w:t>
            </w:r>
            <w:r>
              <w:rPr>
                <w:rFonts w:hint="default" w:ascii="Times New Roman" w:hAnsi="Times New Roman" w:cs="Times New Roman"/>
                <w:szCs w:val="21"/>
                <w:highlight w:val="none"/>
              </w:rPr>
              <w:t>）投标人的类似项目业绩符合招标文件规定。</w:t>
            </w:r>
          </w:p>
          <w:p w14:paraId="2A82A5F0">
            <w:pPr>
              <w:pageBreakBefore w:val="0"/>
              <w:kinsoku/>
              <w:wordWrap w:val="0"/>
              <w:bidi w:val="0"/>
              <w:spacing w:line="360" w:lineRule="atLeas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w:t>
            </w:r>
            <w:r>
              <w:rPr>
                <w:rFonts w:hint="default" w:ascii="Times New Roman" w:hAnsi="Times New Roman" w:cs="Times New Roman"/>
                <w:szCs w:val="21"/>
                <w:highlight w:val="none"/>
                <w:lang w:val="en-US" w:eastAsia="zh-CN"/>
              </w:rPr>
              <w:t>4</w:t>
            </w:r>
            <w:r>
              <w:rPr>
                <w:rFonts w:hint="default" w:ascii="Times New Roman" w:hAnsi="Times New Roman" w:cs="Times New Roman"/>
                <w:szCs w:val="21"/>
                <w:highlight w:val="none"/>
              </w:rPr>
              <w:t>）投标人的信誉符合招标文件规定。</w:t>
            </w:r>
          </w:p>
          <w:p w14:paraId="7E71147B">
            <w:pPr>
              <w:pageBreakBefore w:val="0"/>
              <w:kinsoku/>
              <w:wordWrap w:val="0"/>
              <w:bidi w:val="0"/>
              <w:spacing w:line="360" w:lineRule="atLeas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w:t>
            </w:r>
            <w:r>
              <w:rPr>
                <w:rFonts w:hint="default" w:ascii="Times New Roman" w:hAnsi="Times New Roman" w:cs="Times New Roman"/>
                <w:szCs w:val="21"/>
                <w:highlight w:val="none"/>
                <w:lang w:val="en-US" w:eastAsia="zh-CN"/>
              </w:rPr>
              <w:t>5</w:t>
            </w:r>
            <w:r>
              <w:rPr>
                <w:rFonts w:hint="default" w:ascii="Times New Roman" w:hAnsi="Times New Roman" w:cs="Times New Roman"/>
                <w:szCs w:val="21"/>
                <w:highlight w:val="none"/>
              </w:rPr>
              <w:t>）投标人的项目经理和项目总工资格、在岗情况符合招标文件规定。</w:t>
            </w:r>
          </w:p>
          <w:p w14:paraId="5C0DED64">
            <w:pPr>
              <w:pageBreakBefore w:val="0"/>
              <w:kinsoku/>
              <w:wordWrap w:val="0"/>
              <w:bidi w:val="0"/>
              <w:spacing w:line="360" w:lineRule="atLeas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w:t>
            </w:r>
            <w:r>
              <w:rPr>
                <w:rFonts w:hint="default" w:ascii="Times New Roman" w:hAnsi="Times New Roman" w:cs="Times New Roman"/>
                <w:szCs w:val="21"/>
                <w:highlight w:val="none"/>
                <w:lang w:val="en-US" w:eastAsia="zh-CN"/>
              </w:rPr>
              <w:t>6</w:t>
            </w:r>
            <w:r>
              <w:rPr>
                <w:rFonts w:hint="default" w:ascii="Times New Roman" w:hAnsi="Times New Roman" w:cs="Times New Roman"/>
                <w:szCs w:val="21"/>
                <w:highlight w:val="none"/>
              </w:rPr>
              <w:t>）投标人的其他要求符合招标文件规定。</w:t>
            </w:r>
            <w:r>
              <w:rPr>
                <w:rFonts w:hint="default" w:ascii="Times New Roman" w:hAnsi="Times New Roman" w:cs="Times New Roman"/>
                <w:szCs w:val="21"/>
                <w:highlight w:val="none"/>
                <w:vertAlign w:val="superscript"/>
              </w:rPr>
              <w:footnoteReference w:id="24"/>
            </w:r>
          </w:p>
          <w:p w14:paraId="764FB6B1">
            <w:pPr>
              <w:pageBreakBefore w:val="0"/>
              <w:kinsoku/>
              <w:wordWrap w:val="0"/>
              <w:bidi w:val="0"/>
              <w:spacing w:line="360" w:lineRule="atLeas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w:t>
            </w:r>
            <w:r>
              <w:rPr>
                <w:rFonts w:hint="default" w:ascii="Times New Roman" w:hAnsi="Times New Roman" w:cs="Times New Roman"/>
                <w:szCs w:val="21"/>
                <w:highlight w:val="none"/>
                <w:lang w:val="en-US" w:eastAsia="zh-CN"/>
              </w:rPr>
              <w:t>7</w:t>
            </w:r>
            <w:r>
              <w:rPr>
                <w:rFonts w:hint="default" w:ascii="Times New Roman" w:hAnsi="Times New Roman" w:cs="Times New Roman"/>
                <w:szCs w:val="21"/>
                <w:highlight w:val="none"/>
              </w:rPr>
              <w:t>）投标人不存在第二章</w:t>
            </w:r>
            <w:r>
              <w:rPr>
                <w:rFonts w:hint="eastAsia" w:ascii="宋体" w:hAnsi="宋体" w:eastAsia="宋体" w:cs="宋体"/>
                <w:szCs w:val="21"/>
                <w:highlight w:val="none"/>
              </w:rPr>
              <w:t>“</w:t>
            </w:r>
            <w:r>
              <w:rPr>
                <w:rFonts w:hint="default" w:ascii="Times New Roman" w:hAnsi="Times New Roman" w:cs="Times New Roman"/>
                <w:szCs w:val="21"/>
                <w:highlight w:val="none"/>
              </w:rPr>
              <w:t>投标人须知</w:t>
            </w:r>
            <w:r>
              <w:rPr>
                <w:rFonts w:hint="eastAsia" w:ascii="宋体" w:hAnsi="宋体" w:eastAsia="宋体" w:cs="宋体"/>
                <w:szCs w:val="21"/>
                <w:highlight w:val="none"/>
              </w:rPr>
              <w:t>”</w:t>
            </w:r>
            <w:r>
              <w:rPr>
                <w:rFonts w:hint="default" w:ascii="Times New Roman" w:hAnsi="Times New Roman" w:cs="Times New Roman"/>
                <w:szCs w:val="21"/>
                <w:highlight w:val="none"/>
              </w:rPr>
              <w:t xml:space="preserve">第1.4.3项或第1.4.4项规定的任何一种情形。 </w:t>
            </w:r>
          </w:p>
          <w:p w14:paraId="70D5F5FA">
            <w:pPr>
              <w:pageBreakBefore w:val="0"/>
              <w:kinsoku/>
              <w:wordWrap w:val="0"/>
              <w:bidi w:val="0"/>
              <w:spacing w:line="360" w:lineRule="atLeas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w:t>
            </w:r>
            <w:r>
              <w:rPr>
                <w:rFonts w:hint="default" w:ascii="Times New Roman" w:hAnsi="Times New Roman" w:cs="Times New Roman"/>
                <w:szCs w:val="21"/>
                <w:highlight w:val="none"/>
                <w:lang w:val="en-US" w:eastAsia="zh-CN"/>
              </w:rPr>
              <w:t>8</w:t>
            </w:r>
            <w:r>
              <w:rPr>
                <w:rFonts w:hint="default" w:ascii="Times New Roman" w:hAnsi="Times New Roman" w:cs="Times New Roman"/>
                <w:szCs w:val="21"/>
                <w:highlight w:val="none"/>
              </w:rPr>
              <w:t>）投标人符合第二章</w:t>
            </w:r>
            <w:r>
              <w:rPr>
                <w:rFonts w:hint="eastAsia" w:ascii="宋体" w:hAnsi="宋体" w:eastAsia="宋体" w:cs="宋体"/>
                <w:szCs w:val="21"/>
                <w:highlight w:val="none"/>
              </w:rPr>
              <w:t>“</w:t>
            </w:r>
            <w:r>
              <w:rPr>
                <w:rFonts w:hint="default" w:ascii="Times New Roman" w:hAnsi="Times New Roman" w:cs="Times New Roman"/>
                <w:szCs w:val="21"/>
                <w:highlight w:val="none"/>
              </w:rPr>
              <w:t>投标人须知</w:t>
            </w:r>
            <w:r>
              <w:rPr>
                <w:rFonts w:hint="eastAsia" w:ascii="宋体" w:hAnsi="宋体" w:eastAsia="宋体" w:cs="宋体"/>
                <w:szCs w:val="21"/>
                <w:highlight w:val="none"/>
              </w:rPr>
              <w:t>”</w:t>
            </w:r>
            <w:r>
              <w:rPr>
                <w:rFonts w:hint="default" w:ascii="Times New Roman" w:hAnsi="Times New Roman" w:cs="Times New Roman"/>
                <w:szCs w:val="21"/>
                <w:highlight w:val="none"/>
              </w:rPr>
              <w:t>第1.4.5项规定。</w:t>
            </w:r>
            <w:r>
              <w:rPr>
                <w:rStyle w:val="56"/>
                <w:rFonts w:hint="default" w:ascii="Times New Roman" w:hAnsi="Times New Roman" w:cs="Times New Roman"/>
                <w:highlight w:val="none"/>
              </w:rPr>
              <w:footnoteReference w:id="25"/>
            </w:r>
          </w:p>
          <w:p w14:paraId="4D4BE819">
            <w:pPr>
              <w:pageBreakBefore w:val="0"/>
              <w:kinsoku/>
              <w:wordWrap w:val="0"/>
              <w:bidi w:val="0"/>
              <w:spacing w:line="360" w:lineRule="atLeas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w:t>
            </w:r>
            <w:r>
              <w:rPr>
                <w:rFonts w:hint="default" w:ascii="Times New Roman" w:hAnsi="Times New Roman" w:cs="Times New Roman"/>
                <w:szCs w:val="21"/>
                <w:highlight w:val="none"/>
                <w:lang w:val="en-US" w:eastAsia="zh-CN"/>
              </w:rPr>
              <w:t>9</w:t>
            </w:r>
            <w:r>
              <w:rPr>
                <w:rFonts w:hint="default" w:ascii="Times New Roman" w:hAnsi="Times New Roman" w:cs="Times New Roman"/>
                <w:szCs w:val="21"/>
                <w:highlight w:val="none"/>
              </w:rPr>
              <w:t>）以联合体形式参与投标的，联合体各方均未再以自己名义单独或参加其他联合体在同一标段中投标；独立参与投标的，投标人未同时参加联合体在同一标段中投标。</w:t>
            </w:r>
          </w:p>
          <w:p w14:paraId="6C8882F8">
            <w:pPr>
              <w:pageBreakBefore w:val="0"/>
              <w:kinsoku/>
              <w:wordWrap w:val="0"/>
              <w:bidi w:val="0"/>
              <w:spacing w:line="360" w:lineRule="atLeas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w:t>
            </w:r>
          </w:p>
        </w:tc>
      </w:tr>
      <w:tr w14:paraId="16593B2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036" w:type="dxa"/>
            <w:gridSpan w:val="3"/>
            <w:tcBorders>
              <w:top w:val="single" w:color="auto" w:sz="4" w:space="0"/>
              <w:bottom w:val="single" w:color="auto" w:sz="4" w:space="0"/>
              <w:right w:val="single" w:color="auto" w:sz="4" w:space="0"/>
            </w:tcBorders>
            <w:noWrap w:val="0"/>
            <w:vAlign w:val="center"/>
          </w:tcPr>
          <w:p w14:paraId="3CA0F4A3">
            <w:pPr>
              <w:pageBreakBefore w:val="0"/>
              <w:kinsoku/>
              <w:wordWrap w:val="0"/>
              <w:bidi w:val="0"/>
              <w:spacing w:line="360" w:lineRule="atLeast"/>
              <w:jc w:val="center"/>
              <w:rPr>
                <w:rFonts w:hint="default" w:ascii="Times New Roman" w:hAnsi="Times New Roman" w:cs="Times New Roman"/>
                <w:b/>
                <w:szCs w:val="21"/>
                <w:highlight w:val="none"/>
              </w:rPr>
            </w:pPr>
            <w:r>
              <w:rPr>
                <w:rFonts w:hint="default" w:ascii="Times New Roman" w:hAnsi="Times New Roman" w:cs="Times New Roman"/>
                <w:b/>
                <w:szCs w:val="21"/>
                <w:highlight w:val="none"/>
              </w:rPr>
              <w:t>条款号</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3FE2C04E">
            <w:pPr>
              <w:pageBreakBefore w:val="0"/>
              <w:kinsoku/>
              <w:wordWrap w:val="0"/>
              <w:bidi w:val="0"/>
              <w:spacing w:line="360" w:lineRule="atLeast"/>
              <w:jc w:val="center"/>
              <w:rPr>
                <w:rFonts w:hint="default" w:ascii="Times New Roman" w:hAnsi="Times New Roman" w:cs="Times New Roman"/>
                <w:b/>
                <w:szCs w:val="21"/>
                <w:highlight w:val="none"/>
              </w:rPr>
            </w:pPr>
            <w:r>
              <w:rPr>
                <w:rFonts w:hint="default" w:ascii="Times New Roman" w:hAnsi="Times New Roman" w:cs="Times New Roman"/>
                <w:b/>
                <w:szCs w:val="21"/>
                <w:highlight w:val="none"/>
              </w:rPr>
              <w:t>条款内容</w:t>
            </w:r>
          </w:p>
        </w:tc>
        <w:tc>
          <w:tcPr>
            <w:tcW w:w="5099" w:type="dxa"/>
            <w:tcBorders>
              <w:top w:val="single" w:color="auto" w:sz="4" w:space="0"/>
              <w:left w:val="single" w:color="auto" w:sz="4" w:space="0"/>
              <w:bottom w:val="single" w:color="auto" w:sz="4" w:space="0"/>
              <w:right w:val="single" w:color="auto" w:sz="4" w:space="0"/>
            </w:tcBorders>
            <w:noWrap w:val="0"/>
            <w:vAlign w:val="center"/>
          </w:tcPr>
          <w:p w14:paraId="5C1D2C36">
            <w:pPr>
              <w:pageBreakBefore w:val="0"/>
              <w:kinsoku/>
              <w:wordWrap w:val="0"/>
              <w:bidi w:val="0"/>
              <w:spacing w:line="360" w:lineRule="atLeast"/>
              <w:jc w:val="center"/>
              <w:rPr>
                <w:rFonts w:hint="default" w:ascii="Times New Roman" w:hAnsi="Times New Roman" w:cs="Times New Roman"/>
                <w:b/>
                <w:szCs w:val="21"/>
                <w:highlight w:val="none"/>
              </w:rPr>
            </w:pPr>
            <w:r>
              <w:rPr>
                <w:rFonts w:hint="default" w:ascii="Times New Roman" w:hAnsi="Times New Roman" w:cs="Times New Roman"/>
                <w:b/>
                <w:szCs w:val="21"/>
                <w:highlight w:val="none"/>
              </w:rPr>
              <w:t>编列内容</w:t>
            </w:r>
          </w:p>
        </w:tc>
      </w:tr>
      <w:tr w14:paraId="397A1F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036" w:type="dxa"/>
            <w:gridSpan w:val="3"/>
            <w:tcBorders>
              <w:bottom w:val="single" w:color="auto" w:sz="4" w:space="0"/>
              <w:right w:val="single" w:color="auto" w:sz="4" w:space="0"/>
            </w:tcBorders>
            <w:noWrap w:val="0"/>
            <w:vAlign w:val="center"/>
          </w:tcPr>
          <w:p w14:paraId="06BABB18">
            <w:pPr>
              <w:pageBreakBefore w:val="0"/>
              <w:kinsoku/>
              <w:wordWrap w:val="0"/>
              <w:bidi w:val="0"/>
              <w:spacing w:line="36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2.2.1</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6A811273">
            <w:pPr>
              <w:pageBreakBefore w:val="0"/>
              <w:kinsoku/>
              <w:wordWrap w:val="0"/>
              <w:bidi w:val="0"/>
              <w:spacing w:line="36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分值构成</w:t>
            </w:r>
          </w:p>
          <w:p w14:paraId="5E552745">
            <w:pPr>
              <w:pageBreakBefore w:val="0"/>
              <w:kinsoku/>
              <w:wordWrap w:val="0"/>
              <w:bidi w:val="0"/>
              <w:spacing w:line="36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（总分100分）</w:t>
            </w:r>
          </w:p>
        </w:tc>
        <w:tc>
          <w:tcPr>
            <w:tcW w:w="5099" w:type="dxa"/>
            <w:tcBorders>
              <w:top w:val="single" w:color="auto" w:sz="4" w:space="0"/>
              <w:left w:val="single" w:color="auto" w:sz="4" w:space="0"/>
              <w:bottom w:val="single" w:color="auto" w:sz="4" w:space="0"/>
              <w:right w:val="single" w:color="auto" w:sz="4" w:space="0"/>
            </w:tcBorders>
            <w:noWrap w:val="0"/>
            <w:vAlign w:val="center"/>
          </w:tcPr>
          <w:p w14:paraId="61DB9AA9">
            <w:pPr>
              <w:pageBreakBefore w:val="0"/>
              <w:kinsoku/>
              <w:wordWrap w:val="0"/>
              <w:bidi w:val="0"/>
              <w:spacing w:line="360" w:lineRule="atLeast"/>
              <w:rPr>
                <w:rFonts w:hint="default" w:ascii="Times New Roman" w:hAnsi="Times New Roman" w:cs="Times New Roman"/>
                <w:szCs w:val="21"/>
                <w:highlight w:val="none"/>
              </w:rPr>
            </w:pPr>
            <w:r>
              <w:rPr>
                <w:rFonts w:hint="default" w:ascii="Times New Roman" w:hAnsi="Times New Roman" w:cs="Times New Roman"/>
                <w:szCs w:val="21"/>
                <w:highlight w:val="none"/>
              </w:rPr>
              <w:t>评标价：100分</w:t>
            </w:r>
          </w:p>
        </w:tc>
      </w:tr>
      <w:tr w14:paraId="662117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62" w:hRule="atLeast"/>
        </w:trPr>
        <w:tc>
          <w:tcPr>
            <w:tcW w:w="2036" w:type="dxa"/>
            <w:gridSpan w:val="3"/>
            <w:tcBorders>
              <w:top w:val="single" w:color="auto" w:sz="4" w:space="0"/>
              <w:right w:val="single" w:color="auto" w:sz="4" w:space="0"/>
            </w:tcBorders>
            <w:noWrap w:val="0"/>
            <w:vAlign w:val="center"/>
          </w:tcPr>
          <w:p w14:paraId="23324C1B">
            <w:pPr>
              <w:pageBreakBefore w:val="0"/>
              <w:kinsoku/>
              <w:wordWrap w:val="0"/>
              <w:bidi w:val="0"/>
              <w:spacing w:line="36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2.2.2</w:t>
            </w:r>
          </w:p>
        </w:tc>
        <w:tc>
          <w:tcPr>
            <w:tcW w:w="1505" w:type="dxa"/>
            <w:tcBorders>
              <w:top w:val="single" w:color="auto" w:sz="4" w:space="0"/>
              <w:left w:val="single" w:color="auto" w:sz="4" w:space="0"/>
              <w:right w:val="single" w:color="auto" w:sz="4" w:space="0"/>
            </w:tcBorders>
            <w:noWrap w:val="0"/>
            <w:vAlign w:val="center"/>
          </w:tcPr>
          <w:p w14:paraId="2A51018F">
            <w:pPr>
              <w:pageBreakBefore w:val="0"/>
              <w:kinsoku/>
              <w:wordWrap w:val="0"/>
              <w:bidi w:val="0"/>
              <w:spacing w:line="360" w:lineRule="atLeast"/>
              <w:jc w:val="center"/>
              <w:rPr>
                <w:rFonts w:hint="default" w:ascii="Times New Roman" w:hAnsi="Times New Roman" w:cs="Times New Roman"/>
                <w:b/>
                <w:szCs w:val="21"/>
                <w:highlight w:val="none"/>
              </w:rPr>
            </w:pPr>
            <w:r>
              <w:rPr>
                <w:rFonts w:hint="default" w:ascii="Times New Roman" w:hAnsi="Times New Roman" w:cs="Times New Roman"/>
                <w:szCs w:val="21"/>
                <w:highlight w:val="none"/>
              </w:rPr>
              <w:t>评标基准价计算方法</w:t>
            </w:r>
          </w:p>
        </w:tc>
        <w:tc>
          <w:tcPr>
            <w:tcW w:w="5099" w:type="dxa"/>
            <w:tcBorders>
              <w:top w:val="single" w:color="auto" w:sz="4" w:space="0"/>
              <w:left w:val="single" w:color="auto" w:sz="4" w:space="0"/>
              <w:bottom w:val="single" w:color="auto" w:sz="4" w:space="0"/>
              <w:right w:val="single" w:color="auto" w:sz="4" w:space="0"/>
            </w:tcBorders>
            <w:noWrap w:val="0"/>
            <w:vAlign w:val="center"/>
          </w:tcPr>
          <w:p w14:paraId="61A82D7D">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在开标现场，招标人将当场计算并宣布各标段评标基准价。在评标过程中，评标委员会将对招标人计算的评标基准价进行复核，存在计算错误的应予以修正并在评标报告中作出说明。除此之外，评标基准价在整个评标期间保持不变，不随任何因素发生变化。</w:t>
            </w:r>
          </w:p>
          <w:p w14:paraId="282F5013">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计算差错，仅限于以下两种情况：</w:t>
            </w:r>
            <w:r>
              <w:rPr>
                <w:rFonts w:hint="eastAsia" w:ascii="Times New Roman" w:hAnsi="Times New Roman" w:eastAsia="宋体" w:cs="Times New Roman"/>
                <w:color w:val="000000"/>
                <w:kern w:val="0"/>
                <w:szCs w:val="21"/>
                <w:highlight w:val="none"/>
                <w:lang w:bidi="ar"/>
              </w:rPr>
              <w:t>1、</w:t>
            </w:r>
            <w:r>
              <w:rPr>
                <w:rFonts w:ascii="Times New Roman" w:hAnsi="Times New Roman" w:eastAsia="宋体" w:cs="Times New Roman"/>
                <w:color w:val="000000"/>
                <w:kern w:val="0"/>
                <w:szCs w:val="21"/>
                <w:highlight w:val="none"/>
                <w:lang w:bidi="ar"/>
              </w:rPr>
              <w:t>纯算术性四则运算差错；</w:t>
            </w:r>
            <w:r>
              <w:rPr>
                <w:rFonts w:hint="eastAsia" w:ascii="Times New Roman" w:hAnsi="Times New Roman" w:eastAsia="宋体" w:cs="Times New Roman"/>
                <w:color w:val="000000"/>
                <w:kern w:val="0"/>
                <w:szCs w:val="21"/>
                <w:highlight w:val="none"/>
                <w:lang w:bidi="ar"/>
              </w:rPr>
              <w:t>2、</w:t>
            </w:r>
            <w:r>
              <w:rPr>
                <w:rFonts w:ascii="Times New Roman" w:hAnsi="Times New Roman" w:eastAsia="宋体" w:cs="Times New Roman"/>
                <w:color w:val="000000"/>
                <w:kern w:val="0"/>
                <w:szCs w:val="21"/>
                <w:highlight w:val="none"/>
                <w:lang w:bidi="ar"/>
              </w:rPr>
              <w:t>未按约定的</w:t>
            </w:r>
            <w:r>
              <w:rPr>
                <w:rFonts w:hint="eastAsia" w:ascii="Times New Roman" w:hAnsi="Times New Roman" w:eastAsia="宋体" w:cs="Times New Roman"/>
                <w:color w:val="000000"/>
                <w:kern w:val="0"/>
                <w:szCs w:val="21"/>
                <w:highlight w:val="none"/>
                <w:lang w:bidi="ar"/>
              </w:rPr>
              <w:t>规则</w:t>
            </w:r>
            <w:r>
              <w:rPr>
                <w:rFonts w:ascii="Times New Roman" w:hAnsi="Times New Roman" w:eastAsia="宋体" w:cs="Times New Roman"/>
                <w:color w:val="000000"/>
                <w:kern w:val="0"/>
                <w:szCs w:val="21"/>
                <w:highlight w:val="none"/>
                <w:lang w:bidi="ar"/>
              </w:rPr>
              <w:t>，多计或少计</w:t>
            </w:r>
            <w:r>
              <w:rPr>
                <w:rFonts w:hint="eastAsia" w:ascii="Times New Roman" w:hAnsi="Times New Roman" w:eastAsia="宋体" w:cs="Times New Roman"/>
                <w:color w:val="000000"/>
                <w:kern w:val="0"/>
                <w:szCs w:val="21"/>
                <w:highlight w:val="none"/>
                <w:lang w:bidi="ar"/>
              </w:rPr>
              <w:t>参加评标价平均值计算的评标价</w:t>
            </w:r>
            <w:r>
              <w:rPr>
                <w:rFonts w:ascii="Times New Roman" w:hAnsi="Times New Roman" w:eastAsia="宋体" w:cs="Times New Roman"/>
                <w:color w:val="000000"/>
                <w:kern w:val="0"/>
                <w:szCs w:val="21"/>
                <w:highlight w:val="none"/>
                <w:lang w:bidi="ar"/>
              </w:rPr>
              <w:t>。</w:t>
            </w:r>
          </w:p>
          <w:p w14:paraId="5672EA5B">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highlight w:val="none"/>
              </w:rPr>
            </w:pPr>
            <w:r>
              <w:rPr>
                <w:rFonts w:hint="eastAsia" w:ascii="Times New Roman" w:hAnsi="Times New Roman" w:eastAsia="宋体" w:cs="Times New Roman"/>
                <w:highlight w:val="none"/>
              </w:rPr>
              <w:t>本次招标设定</w:t>
            </w:r>
            <w:r>
              <w:rPr>
                <w:rFonts w:ascii="Times New Roman" w:hAnsi="Times New Roman" w:eastAsia="宋体" w:cs="Times New Roman"/>
                <w:highlight w:val="none"/>
              </w:rPr>
              <w:t>3</w:t>
            </w:r>
            <w:r>
              <w:rPr>
                <w:rFonts w:hint="eastAsia" w:ascii="Times New Roman" w:hAnsi="Times New Roman" w:eastAsia="宋体" w:cs="Times New Roman"/>
                <w:highlight w:val="none"/>
              </w:rPr>
              <w:t>种评标价平均值（B）计算方法，在第二个信封（报价文件）开标现场，每个标段随机抽取其中1种作为该标段的评标价平均值计算方法。</w:t>
            </w:r>
          </w:p>
          <w:p w14:paraId="07B1BBE9">
            <w:pPr>
              <w:widowControl w:val="0"/>
              <w:spacing w:before="0" w:beforeLines="-2147483648" w:after="0" w:afterLines="-2147483648" w:line="360" w:lineRule="exact"/>
              <w:ind w:firstLine="422" w:firstLineChars="200"/>
              <w:jc w:val="both"/>
              <w:outlineLvl w:val="9"/>
              <w:rPr>
                <w:rFonts w:ascii="Times New Roman" w:hAnsi="Times New Roman" w:eastAsia="宋体" w:cs="Times New Roman"/>
                <w:b/>
                <w:bCs/>
                <w:kern w:val="2"/>
                <w:sz w:val="21"/>
                <w:szCs w:val="24"/>
                <w:highlight w:val="none"/>
                <w:lang w:val="en-US" w:eastAsia="zh-CN" w:bidi="ar-SA"/>
              </w:rPr>
            </w:pPr>
            <w:r>
              <w:rPr>
                <w:rFonts w:hint="eastAsia" w:ascii="Times New Roman" w:hAnsi="Times New Roman" w:eastAsia="宋体" w:cs="Times New Roman"/>
                <w:b/>
                <w:bCs/>
                <w:color w:val="000000"/>
                <w:kern w:val="0"/>
                <w:sz w:val="21"/>
                <w:szCs w:val="21"/>
                <w:highlight w:val="none"/>
                <w:lang w:val="en-US" w:eastAsia="zh-CN" w:bidi="ar"/>
              </w:rPr>
              <w:t>一、</w:t>
            </w:r>
            <w:r>
              <w:rPr>
                <w:rFonts w:ascii="Times New Roman" w:hAnsi="Times New Roman" w:eastAsia="宋体" w:cs="Times New Roman"/>
                <w:b/>
                <w:bCs/>
                <w:color w:val="000000"/>
                <w:kern w:val="0"/>
                <w:sz w:val="21"/>
                <w:szCs w:val="21"/>
                <w:highlight w:val="none"/>
                <w:lang w:val="en-US" w:eastAsia="zh-CN" w:bidi="ar"/>
              </w:rPr>
              <w:t>评标价</w:t>
            </w:r>
            <w:r>
              <w:rPr>
                <w:rFonts w:hint="eastAsia" w:ascii="Times New Roman" w:hAnsi="Times New Roman" w:eastAsia="宋体" w:cs="Times New Roman"/>
                <w:b/>
                <w:bCs/>
                <w:color w:val="000000"/>
                <w:kern w:val="0"/>
                <w:sz w:val="21"/>
                <w:szCs w:val="21"/>
                <w:highlight w:val="none"/>
                <w:lang w:val="en-US" w:eastAsia="zh-CN" w:bidi="ar"/>
              </w:rPr>
              <w:t>（A）</w:t>
            </w:r>
          </w:p>
          <w:p w14:paraId="01B41C44">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highlight w:val="none"/>
              </w:rPr>
            </w:pPr>
            <w:r>
              <w:rPr>
                <w:rFonts w:ascii="Times New Roman" w:hAnsi="Times New Roman" w:eastAsia="宋体" w:cs="Times New Roman"/>
                <w:color w:val="000000"/>
                <w:kern w:val="0"/>
                <w:szCs w:val="21"/>
                <w:highlight w:val="none"/>
                <w:lang w:bidi="ar"/>
              </w:rPr>
              <w:t>评标价=投标函的文字报价</w:t>
            </w:r>
          </w:p>
          <w:p w14:paraId="7C1DDB13">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如果投标文件出现以下1～5任一情况，不参加评标价平均值的计算：</w:t>
            </w:r>
          </w:p>
          <w:p w14:paraId="6606CC07">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1、未按要求在投标函上填写投标总价；</w:t>
            </w:r>
          </w:p>
          <w:p w14:paraId="284D0ED2">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黑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2</w:t>
            </w:r>
            <w:r>
              <w:rPr>
                <w:rFonts w:hint="eastAsia" w:ascii="Times New Roman" w:hAnsi="Times New Roman" w:eastAsia="宋体" w:cs="Times New Roman"/>
                <w:color w:val="000000"/>
                <w:kern w:val="0"/>
                <w:szCs w:val="21"/>
                <w:highlight w:val="none"/>
                <w:lang w:bidi="ar"/>
              </w:rPr>
              <w:t>、投标报价超出招标人公布的最高投标限价，或低于招标人公布的最高投标限价的</w:t>
            </w:r>
            <w:r>
              <w:rPr>
                <w:rFonts w:hint="eastAsia" w:ascii="Times New Roman" w:hAnsi="Times New Roman" w:eastAsia="宋体" w:cs="Times New Roman"/>
                <w:color w:val="000000"/>
                <w:kern w:val="0"/>
                <w:szCs w:val="21"/>
                <w:highlight w:val="none"/>
                <w:u w:val="single"/>
                <w:lang w:bidi="ar"/>
              </w:rPr>
              <w:t xml:space="preserve"> </w:t>
            </w:r>
            <w:r>
              <w:rPr>
                <w:rFonts w:ascii="Times New Roman" w:hAnsi="Times New Roman" w:eastAsia="宋体" w:cs="Times New Roman"/>
                <w:color w:val="000000"/>
                <w:kern w:val="0"/>
                <w:szCs w:val="21"/>
                <w:highlight w:val="none"/>
                <w:u w:val="single"/>
                <w:lang w:bidi="ar"/>
              </w:rPr>
              <w:t xml:space="preserve"> </w:t>
            </w:r>
            <w:r>
              <w:rPr>
                <w:rFonts w:hint="eastAsia" w:cs="Times New Roman"/>
                <w:color w:val="000000"/>
                <w:kern w:val="0"/>
                <w:szCs w:val="21"/>
                <w:highlight w:val="none"/>
                <w:u w:val="single"/>
                <w:lang w:val="en-US" w:eastAsia="zh-CN" w:bidi="ar"/>
              </w:rPr>
              <w:t>90</w:t>
            </w:r>
            <w:r>
              <w:rPr>
                <w:rFonts w:ascii="Times New Roman" w:hAnsi="Times New Roman" w:eastAsia="宋体" w:cs="Times New Roman"/>
                <w:color w:val="000000"/>
                <w:kern w:val="0"/>
                <w:szCs w:val="21"/>
                <w:highlight w:val="none"/>
                <w:u w:val="single"/>
                <w:lang w:bidi="ar"/>
              </w:rPr>
              <w:t xml:space="preserve">  </w:t>
            </w:r>
            <w:r>
              <w:rPr>
                <w:rFonts w:ascii="Times New Roman" w:hAnsi="Times New Roman" w:eastAsia="宋体" w:cs="Times New Roman"/>
                <w:color w:val="000000"/>
                <w:kern w:val="0"/>
                <w:szCs w:val="21"/>
                <w:highlight w:val="none"/>
                <w:lang w:bidi="ar"/>
              </w:rPr>
              <w:t>%</w:t>
            </w:r>
            <w:r>
              <w:rPr>
                <w:rFonts w:hint="eastAsia" w:ascii="Times New Roman" w:hAnsi="Times New Roman" w:eastAsia="宋体" w:cs="Times New Roman"/>
                <w:color w:val="000000"/>
                <w:kern w:val="0"/>
                <w:szCs w:val="21"/>
                <w:highlight w:val="none"/>
                <w:lang w:bidi="ar"/>
              </w:rPr>
              <w:t>；</w:t>
            </w:r>
            <w:r>
              <w:rPr>
                <w:rFonts w:ascii="Times New Roman" w:hAnsi="Times New Roman" w:eastAsia="黑体" w:cs="Times New Roman"/>
                <w:color w:val="000000"/>
                <w:kern w:val="0"/>
                <w:szCs w:val="21"/>
                <w:highlight w:val="none"/>
                <w:lang w:bidi="ar"/>
              </w:rPr>
              <w:t>（注：由招标人在招标文件中约定低于投标最高限价一定范围值的投标报价不参与评标基准价的计算，G%原则上在85%～90%之间取值。）</w:t>
            </w:r>
          </w:p>
          <w:p w14:paraId="517F7CAA">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3</w:t>
            </w:r>
            <w:r>
              <w:rPr>
                <w:rFonts w:hint="eastAsia" w:ascii="Times New Roman" w:hAnsi="Times New Roman" w:eastAsia="宋体" w:cs="Times New Roman"/>
                <w:color w:val="000000"/>
                <w:kern w:val="0"/>
                <w:szCs w:val="21"/>
                <w:highlight w:val="none"/>
                <w:lang w:bidi="ar"/>
              </w:rPr>
              <w:t>、无法确定投标报价具体数值；</w:t>
            </w:r>
          </w:p>
          <w:p w14:paraId="6C425FBF">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4</w:t>
            </w:r>
            <w:r>
              <w:rPr>
                <w:rFonts w:hint="eastAsia" w:ascii="Times New Roman" w:hAnsi="Times New Roman" w:eastAsia="宋体" w:cs="Times New Roman"/>
                <w:color w:val="000000"/>
                <w:kern w:val="0"/>
                <w:szCs w:val="21"/>
                <w:highlight w:val="none"/>
                <w:lang w:bidi="ar"/>
              </w:rPr>
              <w:t>、投标函上填写的标段号与上传的对应项目标段号不一致（如分标段）；</w:t>
            </w:r>
          </w:p>
          <w:p w14:paraId="55A057AB">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eastAsia"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5</w:t>
            </w:r>
            <w:r>
              <w:rPr>
                <w:rFonts w:hint="eastAsia" w:ascii="Times New Roman" w:hAnsi="Times New Roman" w:eastAsia="宋体" w:cs="Times New Roman"/>
                <w:color w:val="000000"/>
                <w:kern w:val="0"/>
                <w:szCs w:val="21"/>
                <w:highlight w:val="none"/>
                <w:lang w:bidi="ar"/>
              </w:rPr>
              <w:t>、投标函中的投标报价大写金额与投标文件工程量清单中的投标报价金额不一致。</w:t>
            </w:r>
          </w:p>
          <w:p w14:paraId="5B435641">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highlight w:val="none"/>
              </w:rPr>
            </w:pPr>
            <w:r>
              <w:rPr>
                <w:rFonts w:hint="eastAsia" w:ascii="Times New Roman" w:hAnsi="Times New Roman" w:eastAsia="宋体" w:cs="Times New Roman"/>
                <w:color w:val="000000"/>
                <w:kern w:val="0"/>
                <w:szCs w:val="21"/>
                <w:highlight w:val="none"/>
                <w:lang w:bidi="ar"/>
              </w:rPr>
              <w:t>投标文件存在以上1～5任一情况，但招标人在第二个信封（报价文件）开标现场未发现的，视为计算过程中基础数据取用错误，由评标委员会在评标过程中予以修正。投标文件未出现以上1～5情况的，均参加评标价平均值的计算。</w:t>
            </w:r>
          </w:p>
          <w:p w14:paraId="170C4FCF">
            <w:pPr>
              <w:pStyle w:val="102"/>
              <w:spacing w:before="157" w:line="219" w:lineRule="auto"/>
              <w:ind w:left="534"/>
              <w:rPr>
                <w:rFonts w:ascii="Times New Roman" w:hAnsi="Times New Roman" w:eastAsia="Times New Roman" w:cs="Times New Roman"/>
                <w:sz w:val="21"/>
                <w:szCs w:val="21"/>
                <w:highlight w:val="none"/>
              </w:rPr>
            </w:pPr>
            <w:r>
              <w:rPr>
                <w:b/>
                <w:bCs/>
                <w:spacing w:val="-2"/>
                <w:sz w:val="21"/>
                <w:szCs w:val="21"/>
                <w:highlight w:val="none"/>
              </w:rPr>
              <w:t>二、评标价平均值（</w:t>
            </w:r>
            <w:r>
              <w:rPr>
                <w:rFonts w:ascii="Times New Roman" w:hAnsi="Times New Roman" w:eastAsia="Times New Roman" w:cs="Times New Roman"/>
                <w:b/>
                <w:bCs/>
                <w:spacing w:val="-2"/>
                <w:sz w:val="21"/>
                <w:szCs w:val="21"/>
                <w:highlight w:val="none"/>
              </w:rPr>
              <w:t>B</w:t>
            </w:r>
            <w:r>
              <w:rPr>
                <w:b/>
                <w:bCs/>
                <w:spacing w:val="-2"/>
                <w:sz w:val="21"/>
                <w:szCs w:val="21"/>
                <w:highlight w:val="none"/>
              </w:rPr>
              <w:t>）计算方法</w:t>
            </w:r>
            <w:r>
              <w:rPr>
                <w:spacing w:val="-38"/>
                <w:sz w:val="21"/>
                <w:szCs w:val="21"/>
                <w:highlight w:val="none"/>
              </w:rPr>
              <w:t xml:space="preserve"> </w:t>
            </w:r>
            <w:r>
              <w:rPr>
                <w:rFonts w:ascii="Times New Roman" w:hAnsi="Times New Roman" w:eastAsia="Times New Roman" w:cs="Times New Roman"/>
                <w:b/>
                <w:bCs/>
                <w:spacing w:val="-2"/>
                <w:sz w:val="21"/>
                <w:szCs w:val="21"/>
                <w:highlight w:val="none"/>
              </w:rPr>
              <w:t>1</w:t>
            </w:r>
          </w:p>
          <w:p w14:paraId="490B70C4">
            <w:pPr>
              <w:pStyle w:val="102"/>
              <w:spacing w:before="113" w:line="297" w:lineRule="auto"/>
              <w:ind w:left="111" w:right="89" w:firstLine="419"/>
              <w:rPr>
                <w:sz w:val="21"/>
                <w:szCs w:val="21"/>
                <w:highlight w:val="none"/>
              </w:rPr>
            </w:pPr>
            <w:r>
              <w:rPr>
                <w:rFonts w:ascii="Times New Roman" w:hAnsi="Times New Roman" w:eastAsia="Times New Roman" w:cs="Times New Roman"/>
                <w:spacing w:val="-1"/>
                <w:sz w:val="21"/>
                <w:szCs w:val="21"/>
                <w:highlight w:val="none"/>
              </w:rPr>
              <w:t xml:space="preserve">C </w:t>
            </w:r>
            <w:r>
              <w:rPr>
                <w:spacing w:val="-1"/>
                <w:sz w:val="21"/>
                <w:szCs w:val="21"/>
                <w:highlight w:val="none"/>
              </w:rPr>
              <w:t>为招标人设定的最高投标限价，如果所有评标价均低于</w:t>
            </w:r>
            <w:r>
              <w:rPr>
                <w:rFonts w:ascii="Times New Roman" w:hAnsi="Times New Roman" w:eastAsia="Times New Roman" w:cs="Times New Roman"/>
                <w:spacing w:val="-1"/>
                <w:sz w:val="21"/>
                <w:szCs w:val="21"/>
                <w:highlight w:val="none"/>
                <w:u w:val="single" w:color="auto"/>
              </w:rPr>
              <w:t xml:space="preserve">    G    </w:t>
            </w:r>
            <w:r>
              <w:rPr>
                <w:rFonts w:ascii="Times New Roman" w:hAnsi="Times New Roman" w:eastAsia="Times New Roman" w:cs="Times New Roman"/>
                <w:spacing w:val="-45"/>
                <w:sz w:val="21"/>
                <w:szCs w:val="21"/>
                <w:highlight w:val="none"/>
              </w:rPr>
              <w:t xml:space="preserve"> </w:t>
            </w:r>
            <w:r>
              <w:rPr>
                <w:rFonts w:ascii="Times New Roman" w:hAnsi="Times New Roman" w:eastAsia="Times New Roman" w:cs="Times New Roman"/>
                <w:spacing w:val="-1"/>
                <w:sz w:val="21"/>
                <w:szCs w:val="21"/>
                <w:highlight w:val="none"/>
              </w:rPr>
              <w:t xml:space="preserve">%*C </w:t>
            </w:r>
            <w:r>
              <w:rPr>
                <w:spacing w:val="-1"/>
                <w:sz w:val="21"/>
                <w:szCs w:val="21"/>
                <w:highlight w:val="none"/>
              </w:rPr>
              <w:t>值（最高投标限价的</w:t>
            </w:r>
            <w:r>
              <w:rPr>
                <w:rFonts w:ascii="Times New Roman" w:hAnsi="Times New Roman" w:eastAsia="Times New Roman" w:cs="Times New Roman"/>
                <w:spacing w:val="-1"/>
                <w:sz w:val="21"/>
                <w:szCs w:val="21"/>
                <w:highlight w:val="none"/>
                <w:u w:val="single" w:color="auto"/>
              </w:rPr>
              <w:t xml:space="preserve">    G    </w:t>
            </w:r>
            <w:r>
              <w:rPr>
                <w:rFonts w:ascii="Times New Roman" w:hAnsi="Times New Roman" w:eastAsia="Times New Roman" w:cs="Times New Roman"/>
                <w:spacing w:val="-45"/>
                <w:sz w:val="21"/>
                <w:szCs w:val="21"/>
                <w:highlight w:val="none"/>
              </w:rPr>
              <w:t xml:space="preserve"> </w:t>
            </w:r>
            <w:r>
              <w:rPr>
                <w:rFonts w:ascii="Times New Roman" w:hAnsi="Times New Roman" w:eastAsia="Times New Roman" w:cs="Times New Roman"/>
                <w:spacing w:val="-1"/>
                <w:sz w:val="21"/>
                <w:szCs w:val="21"/>
                <w:highlight w:val="none"/>
              </w:rPr>
              <w:t>%</w:t>
            </w:r>
            <w:r>
              <w:rPr>
                <w:spacing w:val="-17"/>
                <w:sz w:val="21"/>
                <w:szCs w:val="21"/>
                <w:highlight w:val="none"/>
              </w:rPr>
              <w:t>），</w:t>
            </w:r>
            <w:r>
              <w:rPr>
                <w:spacing w:val="-4"/>
                <w:sz w:val="21"/>
                <w:szCs w:val="21"/>
                <w:highlight w:val="none"/>
              </w:rPr>
              <w:t>则评标价平均值（</w:t>
            </w:r>
            <w:r>
              <w:rPr>
                <w:rFonts w:ascii="Times New Roman" w:hAnsi="Times New Roman" w:eastAsia="Times New Roman" w:cs="Times New Roman"/>
                <w:spacing w:val="-4"/>
                <w:sz w:val="21"/>
                <w:szCs w:val="21"/>
                <w:highlight w:val="none"/>
              </w:rPr>
              <w:t>B</w:t>
            </w:r>
            <w:r>
              <w:rPr>
                <w:spacing w:val="-4"/>
                <w:sz w:val="21"/>
                <w:szCs w:val="21"/>
                <w:highlight w:val="none"/>
              </w:rPr>
              <w:t>）直接为</w:t>
            </w:r>
            <w:r>
              <w:rPr>
                <w:spacing w:val="-91"/>
                <w:sz w:val="21"/>
                <w:szCs w:val="21"/>
                <w:highlight w:val="none"/>
              </w:rPr>
              <w:t xml:space="preserve"> </w:t>
            </w:r>
            <w:r>
              <w:rPr>
                <w:rFonts w:ascii="Times New Roman" w:hAnsi="Times New Roman" w:eastAsia="Times New Roman" w:cs="Times New Roman"/>
                <w:spacing w:val="-4"/>
                <w:sz w:val="21"/>
                <w:szCs w:val="21"/>
                <w:highlight w:val="none"/>
                <w:u w:val="single" w:color="auto"/>
              </w:rPr>
              <w:t xml:space="preserve">    G%    </w:t>
            </w:r>
            <w:r>
              <w:rPr>
                <w:rFonts w:ascii="Times New Roman" w:hAnsi="Times New Roman" w:eastAsia="Times New Roman" w:cs="Times New Roman"/>
                <w:spacing w:val="-38"/>
                <w:sz w:val="21"/>
                <w:szCs w:val="21"/>
                <w:highlight w:val="none"/>
              </w:rPr>
              <w:t xml:space="preserve"> </w:t>
            </w:r>
            <w:r>
              <w:rPr>
                <w:rFonts w:ascii="Times New Roman" w:hAnsi="Times New Roman" w:eastAsia="Times New Roman" w:cs="Times New Roman"/>
                <w:spacing w:val="-4"/>
                <w:sz w:val="21"/>
                <w:szCs w:val="21"/>
                <w:highlight w:val="none"/>
              </w:rPr>
              <w:t xml:space="preserve">*C </w:t>
            </w:r>
            <w:r>
              <w:rPr>
                <w:spacing w:val="-4"/>
                <w:sz w:val="21"/>
                <w:szCs w:val="21"/>
                <w:highlight w:val="none"/>
              </w:rPr>
              <w:t>值（最高投标</w:t>
            </w:r>
            <w:r>
              <w:rPr>
                <w:spacing w:val="-5"/>
                <w:sz w:val="21"/>
                <w:szCs w:val="21"/>
                <w:highlight w:val="none"/>
              </w:rPr>
              <w:t>限价的</w:t>
            </w:r>
            <w:r>
              <w:rPr>
                <w:rFonts w:ascii="Times New Roman" w:hAnsi="Times New Roman" w:eastAsia="Times New Roman" w:cs="Times New Roman"/>
                <w:spacing w:val="-5"/>
                <w:sz w:val="21"/>
                <w:szCs w:val="21"/>
                <w:highlight w:val="none"/>
                <w:u w:val="single" w:color="auto"/>
              </w:rPr>
              <w:t xml:space="preserve">    G%    </w:t>
            </w:r>
            <w:r>
              <w:rPr>
                <w:spacing w:val="-5"/>
                <w:sz w:val="21"/>
                <w:szCs w:val="21"/>
                <w:highlight w:val="none"/>
              </w:rPr>
              <w:t>）。否则，</w:t>
            </w:r>
            <w:r>
              <w:rPr>
                <w:spacing w:val="-24"/>
                <w:sz w:val="21"/>
                <w:szCs w:val="21"/>
                <w:highlight w:val="none"/>
              </w:rPr>
              <w:t xml:space="preserve"> </w:t>
            </w:r>
            <w:r>
              <w:rPr>
                <w:spacing w:val="-5"/>
                <w:sz w:val="21"/>
                <w:szCs w:val="21"/>
                <w:highlight w:val="none"/>
              </w:rPr>
              <w:t>按以下方式计算评</w:t>
            </w:r>
            <w:r>
              <w:rPr>
                <w:spacing w:val="-6"/>
                <w:sz w:val="21"/>
                <w:szCs w:val="21"/>
                <w:highlight w:val="none"/>
              </w:rPr>
              <w:t>标价平均</w:t>
            </w:r>
            <w:r>
              <w:rPr>
                <w:spacing w:val="-3"/>
                <w:sz w:val="21"/>
                <w:szCs w:val="21"/>
                <w:highlight w:val="none"/>
              </w:rPr>
              <w:t>值（</w:t>
            </w:r>
            <w:r>
              <w:rPr>
                <w:rFonts w:ascii="Times New Roman" w:hAnsi="Times New Roman" w:eastAsia="Times New Roman" w:cs="Times New Roman"/>
                <w:spacing w:val="-3"/>
                <w:sz w:val="21"/>
                <w:szCs w:val="21"/>
                <w:highlight w:val="none"/>
              </w:rPr>
              <w:t>B</w:t>
            </w:r>
            <w:r>
              <w:rPr>
                <w:spacing w:val="-13"/>
                <w:sz w:val="21"/>
                <w:szCs w:val="21"/>
                <w:highlight w:val="none"/>
              </w:rPr>
              <w:t>）：</w:t>
            </w:r>
          </w:p>
          <w:p w14:paraId="795ED05C">
            <w:pPr>
              <w:keepNext w:val="0"/>
              <w:keepLines w:val="0"/>
              <w:pageBreakBefore w:val="0"/>
              <w:widowControl/>
              <w:kinsoku/>
              <w:wordWrap/>
              <w:overflowPunct/>
              <w:topLinePunct w:val="0"/>
              <w:autoSpaceDE/>
              <w:autoSpaceDN/>
              <w:bidi w:val="0"/>
              <w:adjustRightInd/>
              <w:snapToGrid/>
              <w:spacing w:line="360" w:lineRule="exact"/>
              <w:ind w:firstLine="412" w:firstLineChars="200"/>
              <w:jc w:val="left"/>
              <w:textAlignment w:val="auto"/>
              <w:rPr>
                <w:spacing w:val="-2"/>
                <w:sz w:val="21"/>
                <w:szCs w:val="21"/>
                <w:highlight w:val="none"/>
              </w:rPr>
            </w:pPr>
            <w:r>
              <w:rPr>
                <w:rFonts w:ascii="Times New Roman" w:hAnsi="Times New Roman" w:eastAsia="Times New Roman" w:cs="Times New Roman"/>
                <w:spacing w:val="-2"/>
                <w:sz w:val="21"/>
                <w:szCs w:val="21"/>
                <w:highlight w:val="none"/>
              </w:rPr>
              <w:t>1</w:t>
            </w:r>
            <w:r>
              <w:rPr>
                <w:spacing w:val="-2"/>
                <w:sz w:val="21"/>
                <w:szCs w:val="21"/>
                <w:highlight w:val="none"/>
              </w:rPr>
              <w:t>、评标价初始平均值（</w:t>
            </w:r>
            <w:r>
              <w:rPr>
                <w:rFonts w:ascii="Times New Roman" w:hAnsi="Times New Roman" w:eastAsia="Times New Roman" w:cs="Times New Roman"/>
                <w:spacing w:val="-2"/>
                <w:sz w:val="21"/>
                <w:szCs w:val="21"/>
                <w:highlight w:val="none"/>
              </w:rPr>
              <w:t>B1</w:t>
            </w:r>
            <w:r>
              <w:rPr>
                <w:spacing w:val="-2"/>
                <w:sz w:val="21"/>
                <w:szCs w:val="21"/>
                <w:highlight w:val="none"/>
              </w:rPr>
              <w:t>）</w:t>
            </w:r>
          </w:p>
          <w:p w14:paraId="5F3A29C5">
            <w:pPr>
              <w:pStyle w:val="102"/>
              <w:spacing w:before="107" w:line="318" w:lineRule="auto"/>
              <w:ind w:left="111" w:right="154" w:firstLine="420"/>
              <w:rPr>
                <w:sz w:val="21"/>
                <w:szCs w:val="21"/>
                <w:highlight w:val="none"/>
              </w:rPr>
            </w:pPr>
            <w:r>
              <w:rPr>
                <w:spacing w:val="-1"/>
                <w:sz w:val="21"/>
                <w:szCs w:val="21"/>
                <w:highlight w:val="none"/>
              </w:rPr>
              <w:t>所有参加评标价平均值计算的评标价的算术平均值为评标价初始平均值</w:t>
            </w:r>
            <w:r>
              <w:rPr>
                <w:spacing w:val="-49"/>
                <w:sz w:val="21"/>
                <w:szCs w:val="21"/>
                <w:highlight w:val="none"/>
              </w:rPr>
              <w:t xml:space="preserve"> </w:t>
            </w:r>
            <w:r>
              <w:rPr>
                <w:rFonts w:ascii="Times New Roman" w:hAnsi="Times New Roman" w:eastAsia="Times New Roman" w:cs="Times New Roman"/>
                <w:spacing w:val="-1"/>
                <w:sz w:val="21"/>
                <w:szCs w:val="21"/>
                <w:highlight w:val="none"/>
              </w:rPr>
              <w:t>B1</w:t>
            </w:r>
            <w:r>
              <w:rPr>
                <w:spacing w:val="-1"/>
                <w:sz w:val="21"/>
                <w:szCs w:val="21"/>
                <w:highlight w:val="none"/>
              </w:rPr>
              <w:t>。</w:t>
            </w:r>
          </w:p>
          <w:p w14:paraId="3B43F3F3">
            <w:pPr>
              <w:pStyle w:val="102"/>
              <w:spacing w:before="158" w:line="318" w:lineRule="auto"/>
              <w:ind w:left="112" w:right="135" w:firstLine="417"/>
              <w:rPr>
                <w:sz w:val="21"/>
                <w:szCs w:val="21"/>
                <w:highlight w:val="none"/>
              </w:rPr>
            </w:pPr>
            <w:r>
              <w:rPr>
                <w:spacing w:val="-1"/>
                <w:sz w:val="21"/>
                <w:szCs w:val="21"/>
                <w:highlight w:val="none"/>
              </w:rPr>
              <w:t>评标价初始平均值（</w:t>
            </w:r>
            <w:r>
              <w:rPr>
                <w:rFonts w:ascii="Times New Roman" w:hAnsi="Times New Roman" w:eastAsia="Times New Roman" w:cs="Times New Roman"/>
                <w:spacing w:val="-1"/>
                <w:sz w:val="21"/>
                <w:szCs w:val="21"/>
                <w:highlight w:val="none"/>
              </w:rPr>
              <w:t>B1</w:t>
            </w:r>
            <w:r>
              <w:rPr>
                <w:spacing w:val="-1"/>
                <w:sz w:val="21"/>
                <w:szCs w:val="21"/>
                <w:highlight w:val="none"/>
              </w:rPr>
              <w:t>）保留七位小数，小</w:t>
            </w:r>
            <w:r>
              <w:rPr>
                <w:spacing w:val="-2"/>
                <w:sz w:val="21"/>
                <w:szCs w:val="21"/>
                <w:highlight w:val="none"/>
              </w:rPr>
              <w:t>数点</w:t>
            </w:r>
            <w:r>
              <w:rPr>
                <w:spacing w:val="-4"/>
                <w:sz w:val="21"/>
                <w:szCs w:val="21"/>
                <w:highlight w:val="none"/>
              </w:rPr>
              <w:t>后第八位“四舍五入”。</w:t>
            </w:r>
          </w:p>
          <w:p w14:paraId="62110310">
            <w:pPr>
              <w:pStyle w:val="102"/>
              <w:spacing w:before="155" w:line="219" w:lineRule="auto"/>
              <w:ind w:left="527"/>
              <w:rPr>
                <w:sz w:val="21"/>
                <w:szCs w:val="21"/>
                <w:highlight w:val="none"/>
              </w:rPr>
            </w:pPr>
            <w:r>
              <w:rPr>
                <w:rFonts w:ascii="Times New Roman" w:hAnsi="Times New Roman" w:eastAsia="Times New Roman" w:cs="Times New Roman"/>
                <w:spacing w:val="-1"/>
                <w:sz w:val="21"/>
                <w:szCs w:val="21"/>
                <w:highlight w:val="none"/>
              </w:rPr>
              <w:t>2</w:t>
            </w:r>
            <w:r>
              <w:rPr>
                <w:spacing w:val="-1"/>
                <w:sz w:val="21"/>
                <w:szCs w:val="21"/>
                <w:highlight w:val="none"/>
              </w:rPr>
              <w:t>、评标价区段平均值（</w:t>
            </w:r>
            <w:r>
              <w:rPr>
                <w:rFonts w:ascii="Times New Roman" w:hAnsi="Times New Roman" w:eastAsia="Times New Roman" w:cs="Times New Roman"/>
                <w:spacing w:val="-1"/>
                <w:sz w:val="21"/>
                <w:szCs w:val="21"/>
                <w:highlight w:val="none"/>
              </w:rPr>
              <w:t>B2</w:t>
            </w:r>
            <w:r>
              <w:rPr>
                <w:spacing w:val="-1"/>
                <w:sz w:val="21"/>
                <w:szCs w:val="21"/>
                <w:highlight w:val="none"/>
              </w:rPr>
              <w:t>）</w:t>
            </w:r>
          </w:p>
          <w:p w14:paraId="64A64F7C">
            <w:pPr>
              <w:pStyle w:val="102"/>
              <w:spacing w:before="270" w:line="219" w:lineRule="auto"/>
              <w:ind w:left="531"/>
              <w:rPr>
                <w:sz w:val="21"/>
                <w:szCs w:val="21"/>
                <w:highlight w:val="none"/>
              </w:rPr>
            </w:pPr>
            <w:r>
              <w:rPr>
                <w:spacing w:val="-1"/>
                <w:sz w:val="21"/>
                <w:szCs w:val="21"/>
                <w:highlight w:val="none"/>
              </w:rPr>
              <w:t>根据下述区段计算评标价区段平均值（</w:t>
            </w:r>
            <w:r>
              <w:rPr>
                <w:rFonts w:ascii="Times New Roman" w:hAnsi="Times New Roman" w:eastAsia="Times New Roman" w:cs="Times New Roman"/>
                <w:spacing w:val="-1"/>
                <w:sz w:val="21"/>
                <w:szCs w:val="21"/>
                <w:highlight w:val="none"/>
              </w:rPr>
              <w:t>B2.1</w:t>
            </w:r>
            <w:r>
              <w:rPr>
                <w:spacing w:val="-1"/>
                <w:sz w:val="21"/>
                <w:szCs w:val="21"/>
                <w:highlight w:val="none"/>
              </w:rPr>
              <w:t>、</w:t>
            </w:r>
          </w:p>
          <w:p w14:paraId="3214B5CB">
            <w:pPr>
              <w:keepNext w:val="0"/>
              <w:keepLines w:val="0"/>
              <w:pageBreakBefore w:val="0"/>
              <w:widowControl/>
              <w:kinsoku/>
              <w:wordWrap/>
              <w:overflowPunct/>
              <w:topLinePunct w:val="0"/>
              <w:autoSpaceDE/>
              <w:autoSpaceDN/>
              <w:bidi w:val="0"/>
              <w:adjustRightInd/>
              <w:snapToGrid/>
              <w:spacing w:line="360" w:lineRule="exact"/>
              <w:ind w:firstLine="408" w:firstLineChars="200"/>
              <w:jc w:val="left"/>
              <w:textAlignment w:val="auto"/>
              <w:rPr>
                <w:rFonts w:hint="eastAsia"/>
                <w:spacing w:val="-2"/>
                <w:sz w:val="21"/>
                <w:szCs w:val="21"/>
                <w:highlight w:val="none"/>
              </w:rPr>
            </w:pPr>
            <w:r>
              <w:rPr>
                <w:rFonts w:ascii="Times New Roman" w:hAnsi="Times New Roman" w:eastAsia="Times New Roman" w:cs="Times New Roman"/>
                <w:spacing w:val="-3"/>
                <w:sz w:val="21"/>
                <w:szCs w:val="21"/>
                <w:highlight w:val="none"/>
              </w:rPr>
              <w:t>B2.2</w:t>
            </w:r>
            <w:r>
              <w:rPr>
                <w:rFonts w:ascii="Times New Roman" w:hAnsi="Times New Roman" w:eastAsia="Times New Roman" w:cs="Times New Roman"/>
                <w:spacing w:val="-30"/>
                <w:sz w:val="21"/>
                <w:szCs w:val="21"/>
                <w:highlight w:val="none"/>
              </w:rPr>
              <w:t xml:space="preserve"> </w:t>
            </w:r>
            <w:r>
              <w:rPr>
                <w:spacing w:val="-3"/>
                <w:sz w:val="21"/>
                <w:szCs w:val="21"/>
                <w:highlight w:val="none"/>
              </w:rPr>
              <w:t>、……、</w:t>
            </w:r>
            <w:r>
              <w:rPr>
                <w:rFonts w:ascii="Times New Roman" w:hAnsi="Times New Roman" w:eastAsia="Times New Roman" w:cs="Times New Roman"/>
                <w:spacing w:val="-3"/>
                <w:sz w:val="21"/>
                <w:szCs w:val="21"/>
                <w:highlight w:val="none"/>
              </w:rPr>
              <w:t>B2.15</w:t>
            </w:r>
            <w:r>
              <w:rPr>
                <w:spacing w:val="-3"/>
                <w:sz w:val="21"/>
                <w:szCs w:val="21"/>
                <w:highlight w:val="none"/>
              </w:rPr>
              <w:t>、</w:t>
            </w:r>
            <w:r>
              <w:rPr>
                <w:rFonts w:ascii="Times New Roman" w:hAnsi="Times New Roman" w:eastAsia="Times New Roman" w:cs="Times New Roman"/>
                <w:spacing w:val="-3"/>
                <w:sz w:val="21"/>
                <w:szCs w:val="21"/>
                <w:highlight w:val="none"/>
              </w:rPr>
              <w:t>B2.16</w:t>
            </w:r>
            <w:r>
              <w:rPr>
                <w:spacing w:val="-27"/>
                <w:sz w:val="21"/>
                <w:szCs w:val="21"/>
                <w:highlight w:val="none"/>
              </w:rPr>
              <w:t>），</w:t>
            </w:r>
            <w:r>
              <w:rPr>
                <w:spacing w:val="-3"/>
                <w:sz w:val="21"/>
                <w:szCs w:val="21"/>
                <w:highlight w:val="none"/>
              </w:rPr>
              <w:t>各区段平均值为该区段内各评标价的算术平均值。如：</w:t>
            </w:r>
            <w:r>
              <w:rPr>
                <w:rFonts w:ascii="Times New Roman" w:hAnsi="Times New Roman" w:eastAsia="Times New Roman" w:cs="Times New Roman"/>
                <w:spacing w:val="-3"/>
                <w:sz w:val="21"/>
                <w:szCs w:val="21"/>
                <w:highlight w:val="none"/>
              </w:rPr>
              <w:t xml:space="preserve">B2.2 </w:t>
            </w:r>
            <w:r>
              <w:rPr>
                <w:spacing w:val="-3"/>
                <w:sz w:val="21"/>
                <w:szCs w:val="21"/>
                <w:highlight w:val="none"/>
              </w:rPr>
              <w:t>为“</w:t>
            </w:r>
            <w:r>
              <w:rPr>
                <w:rFonts w:ascii="Times New Roman" w:hAnsi="Times New Roman" w:eastAsia="Times New Roman" w:cs="Times New Roman"/>
                <w:spacing w:val="-3"/>
                <w:sz w:val="21"/>
                <w:szCs w:val="21"/>
                <w:highlight w:val="none"/>
              </w:rPr>
              <w:t>1.03*B1</w:t>
            </w:r>
            <w:r>
              <w:rPr>
                <w:spacing w:val="-3"/>
                <w:sz w:val="21"/>
                <w:szCs w:val="21"/>
                <w:highlight w:val="none"/>
              </w:rPr>
              <w:t>（不</w:t>
            </w:r>
            <w:r>
              <w:rPr>
                <w:sz w:val="21"/>
                <w:szCs w:val="21"/>
                <w:highlight w:val="none"/>
              </w:rPr>
              <w:t>含</w:t>
            </w:r>
            <w:r>
              <w:rPr>
                <w:spacing w:val="-9"/>
                <w:sz w:val="21"/>
                <w:szCs w:val="21"/>
                <w:highlight w:val="none"/>
              </w:rPr>
              <w:t>）～</w:t>
            </w:r>
            <w:r>
              <w:rPr>
                <w:rFonts w:ascii="Times New Roman" w:hAnsi="Times New Roman" w:eastAsia="Times New Roman" w:cs="Times New Roman"/>
                <w:sz w:val="21"/>
                <w:szCs w:val="21"/>
                <w:highlight w:val="none"/>
              </w:rPr>
              <w:t>1.035*B1</w:t>
            </w:r>
            <w:r>
              <w:rPr>
                <w:sz w:val="21"/>
                <w:szCs w:val="21"/>
                <w:highlight w:val="none"/>
              </w:rPr>
              <w:t>（含）”范围内的所有评标价的</w:t>
            </w:r>
            <w:r>
              <w:rPr>
                <w:spacing w:val="-1"/>
                <w:sz w:val="21"/>
                <w:szCs w:val="21"/>
                <w:highlight w:val="none"/>
              </w:rPr>
              <w:t>算术平均值。评标价区段平均值（</w:t>
            </w:r>
            <w:r>
              <w:rPr>
                <w:rFonts w:ascii="Times New Roman" w:hAnsi="Times New Roman" w:eastAsia="Times New Roman" w:cs="Times New Roman"/>
                <w:spacing w:val="-1"/>
                <w:sz w:val="21"/>
                <w:szCs w:val="21"/>
                <w:highlight w:val="none"/>
              </w:rPr>
              <w:t>B2</w:t>
            </w:r>
            <w:r>
              <w:rPr>
                <w:spacing w:val="-1"/>
                <w:sz w:val="21"/>
                <w:szCs w:val="21"/>
                <w:highlight w:val="none"/>
              </w:rPr>
              <w:t>）保留七位小数，小</w:t>
            </w:r>
            <w:r>
              <w:rPr>
                <w:spacing w:val="-3"/>
                <w:sz w:val="21"/>
                <w:szCs w:val="21"/>
                <w:highlight w:val="none"/>
              </w:rPr>
              <w:t>数点后第八位“四舍五入”。</w:t>
            </w:r>
          </w:p>
          <w:tbl>
            <w:tblPr>
              <w:tblStyle w:val="41"/>
              <w:tblW w:w="48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89"/>
              <w:gridCol w:w="1494"/>
            </w:tblGrid>
            <w:tr w14:paraId="670C1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9" w:type="dxa"/>
                  <w:vAlign w:val="center"/>
                </w:tcPr>
                <w:p w14:paraId="0ABE299E">
                  <w:pPr>
                    <w:pStyle w:val="102"/>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color w:val="000000"/>
                      <w:kern w:val="0"/>
                      <w:szCs w:val="21"/>
                      <w:highlight w:val="none"/>
                      <w:vertAlign w:val="baseline"/>
                      <w:lang w:bidi="ar"/>
                    </w:rPr>
                  </w:pPr>
                  <w:r>
                    <w:rPr>
                      <w:spacing w:val="-6"/>
                      <w:sz w:val="21"/>
                      <w:szCs w:val="21"/>
                      <w:highlight w:val="none"/>
                    </w:rPr>
                    <w:t>区段</w:t>
                  </w:r>
                </w:p>
              </w:tc>
              <w:tc>
                <w:tcPr>
                  <w:tcW w:w="1494" w:type="dxa"/>
                  <w:vAlign w:val="center"/>
                </w:tcPr>
                <w:p w14:paraId="07E6E921">
                  <w:pPr>
                    <w:pStyle w:val="102"/>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Times New Roman" w:hAnsi="Times New Roman" w:eastAsia="宋体" w:cs="Times New Roman"/>
                      <w:b/>
                      <w:bCs/>
                      <w:color w:val="000000"/>
                      <w:kern w:val="0"/>
                      <w:szCs w:val="21"/>
                      <w:highlight w:val="none"/>
                      <w:vertAlign w:val="baseline"/>
                      <w:lang w:eastAsia="zh-CN" w:bidi="ar"/>
                    </w:rPr>
                  </w:pPr>
                  <w:r>
                    <w:rPr>
                      <w:spacing w:val="-5"/>
                      <w:sz w:val="21"/>
                      <w:szCs w:val="21"/>
                      <w:highlight w:val="none"/>
                    </w:rPr>
                    <w:t>区段平均值</w:t>
                  </w:r>
                  <w:r>
                    <w:rPr>
                      <w:rFonts w:hint="eastAsia"/>
                      <w:spacing w:val="-5"/>
                      <w:sz w:val="21"/>
                      <w:szCs w:val="21"/>
                      <w:highlight w:val="none"/>
                      <w:lang w:eastAsia="zh-CN"/>
                    </w:rPr>
                    <w:t>（</w:t>
                  </w:r>
                  <w:r>
                    <w:rPr>
                      <w:rFonts w:hint="eastAsia"/>
                      <w:spacing w:val="-5"/>
                      <w:sz w:val="21"/>
                      <w:szCs w:val="21"/>
                      <w:highlight w:val="none"/>
                      <w:lang w:val="en-US" w:eastAsia="zh-CN"/>
                    </w:rPr>
                    <w:t>B2</w:t>
                  </w:r>
                  <w:r>
                    <w:rPr>
                      <w:rFonts w:hint="eastAsia"/>
                      <w:spacing w:val="-5"/>
                      <w:sz w:val="21"/>
                      <w:szCs w:val="21"/>
                      <w:highlight w:val="none"/>
                      <w:lang w:eastAsia="zh-CN"/>
                    </w:rPr>
                    <w:t>）</w:t>
                  </w:r>
                </w:p>
              </w:tc>
            </w:tr>
            <w:tr w14:paraId="577CE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389" w:type="dxa"/>
                  <w:vAlign w:val="center"/>
                </w:tcPr>
                <w:p w14:paraId="65E52D79">
                  <w:pPr>
                    <w:pStyle w:val="102"/>
                    <w:spacing w:before="112" w:line="219" w:lineRule="auto"/>
                    <w:jc w:val="center"/>
                    <w:rPr>
                      <w:rFonts w:hint="eastAsia" w:ascii="Times New Roman" w:hAnsi="Times New Roman" w:eastAsia="Times New Roman" w:cs="Times New Roman"/>
                      <w:spacing w:val="-2"/>
                      <w:sz w:val="21"/>
                      <w:szCs w:val="21"/>
                      <w:highlight w:val="none"/>
                    </w:rPr>
                  </w:pPr>
                  <w:r>
                    <w:rPr>
                      <w:rFonts w:ascii="Times New Roman" w:hAnsi="Times New Roman" w:eastAsia="Times New Roman" w:cs="Times New Roman"/>
                      <w:spacing w:val="-2"/>
                      <w:sz w:val="21"/>
                      <w:szCs w:val="21"/>
                      <w:highlight w:val="none"/>
                    </w:rPr>
                    <w:t>1.035*B1&lt;评标价</w:t>
                  </w:r>
                </w:p>
              </w:tc>
              <w:tc>
                <w:tcPr>
                  <w:tcW w:w="1494" w:type="dxa"/>
                  <w:vAlign w:val="top"/>
                </w:tcPr>
                <w:p w14:paraId="474C657C">
                  <w:pPr>
                    <w:spacing w:before="146" w:line="186" w:lineRule="auto"/>
                    <w:ind w:left="530" w:leftChars="0"/>
                    <w:rPr>
                      <w:rFonts w:hint="eastAsia" w:ascii="Times New Roman" w:hAnsi="Times New Roman" w:eastAsia="宋体" w:cs="Times New Roman"/>
                      <w:b/>
                      <w:bCs/>
                      <w:color w:val="000000"/>
                      <w:kern w:val="0"/>
                      <w:szCs w:val="21"/>
                      <w:highlight w:val="none"/>
                      <w:vertAlign w:val="baseline"/>
                      <w:lang w:bidi="ar"/>
                    </w:rPr>
                  </w:pPr>
                  <w:r>
                    <w:rPr>
                      <w:rFonts w:ascii="Times New Roman" w:hAnsi="Times New Roman" w:eastAsia="Times New Roman" w:cs="Times New Roman"/>
                      <w:spacing w:val="-1"/>
                      <w:sz w:val="21"/>
                      <w:szCs w:val="21"/>
                      <w:highlight w:val="none"/>
                    </w:rPr>
                    <w:t>B2.1</w:t>
                  </w:r>
                </w:p>
              </w:tc>
            </w:tr>
            <w:tr w14:paraId="18228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9" w:type="dxa"/>
                  <w:vAlign w:val="center"/>
                </w:tcPr>
                <w:p w14:paraId="6302FF2C">
                  <w:pPr>
                    <w:pStyle w:val="102"/>
                    <w:spacing w:before="112" w:line="219" w:lineRule="auto"/>
                    <w:jc w:val="center"/>
                    <w:rPr>
                      <w:rFonts w:hint="eastAsia" w:ascii="Times New Roman" w:hAnsi="Times New Roman" w:eastAsia="Times New Roman" w:cs="Times New Roman"/>
                      <w:spacing w:val="-2"/>
                      <w:sz w:val="21"/>
                      <w:szCs w:val="21"/>
                      <w:highlight w:val="none"/>
                    </w:rPr>
                  </w:pPr>
                  <w:r>
                    <w:rPr>
                      <w:rFonts w:ascii="Times New Roman" w:hAnsi="Times New Roman" w:eastAsia="Times New Roman" w:cs="Times New Roman"/>
                      <w:spacing w:val="-2"/>
                      <w:sz w:val="21"/>
                      <w:szCs w:val="21"/>
                      <w:highlight w:val="none"/>
                    </w:rPr>
                    <w:t>1.03*B1&lt;评标价≤1.035*B1</w:t>
                  </w:r>
                </w:p>
              </w:tc>
              <w:tc>
                <w:tcPr>
                  <w:tcW w:w="1494" w:type="dxa"/>
                  <w:vAlign w:val="top"/>
                </w:tcPr>
                <w:p w14:paraId="6A1D6FAB">
                  <w:pPr>
                    <w:spacing w:before="147" w:line="186" w:lineRule="auto"/>
                    <w:ind w:left="530" w:leftChars="0"/>
                    <w:rPr>
                      <w:rFonts w:hint="eastAsia" w:ascii="Times New Roman" w:hAnsi="Times New Roman" w:eastAsia="宋体" w:cs="Times New Roman"/>
                      <w:b/>
                      <w:bCs/>
                      <w:color w:val="000000"/>
                      <w:kern w:val="0"/>
                      <w:szCs w:val="21"/>
                      <w:highlight w:val="none"/>
                      <w:vertAlign w:val="baseline"/>
                      <w:lang w:bidi="ar"/>
                    </w:rPr>
                  </w:pPr>
                  <w:r>
                    <w:rPr>
                      <w:rFonts w:ascii="Times New Roman" w:hAnsi="Times New Roman" w:eastAsia="Times New Roman" w:cs="Times New Roman"/>
                      <w:spacing w:val="-1"/>
                      <w:sz w:val="21"/>
                      <w:szCs w:val="21"/>
                      <w:highlight w:val="none"/>
                    </w:rPr>
                    <w:t>B2.2</w:t>
                  </w:r>
                </w:p>
              </w:tc>
            </w:tr>
            <w:tr w14:paraId="305F7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9" w:type="dxa"/>
                  <w:vAlign w:val="center"/>
                </w:tcPr>
                <w:p w14:paraId="1A21CADC">
                  <w:pPr>
                    <w:pStyle w:val="102"/>
                    <w:spacing w:before="112" w:line="219" w:lineRule="auto"/>
                    <w:jc w:val="center"/>
                    <w:rPr>
                      <w:rFonts w:hint="eastAsia" w:ascii="Times New Roman" w:hAnsi="Times New Roman" w:eastAsia="Times New Roman" w:cs="Times New Roman"/>
                      <w:spacing w:val="-2"/>
                      <w:sz w:val="21"/>
                      <w:szCs w:val="21"/>
                      <w:highlight w:val="none"/>
                    </w:rPr>
                  </w:pPr>
                  <w:r>
                    <w:rPr>
                      <w:rFonts w:ascii="Times New Roman" w:hAnsi="Times New Roman" w:eastAsia="Times New Roman" w:cs="Times New Roman"/>
                      <w:spacing w:val="-2"/>
                      <w:sz w:val="21"/>
                      <w:szCs w:val="21"/>
                      <w:highlight w:val="none"/>
                    </w:rPr>
                    <w:t>1.025*B1&lt;评标价≤1.03*B1</w:t>
                  </w:r>
                </w:p>
              </w:tc>
              <w:tc>
                <w:tcPr>
                  <w:tcW w:w="1494" w:type="dxa"/>
                  <w:vAlign w:val="top"/>
                </w:tcPr>
                <w:p w14:paraId="7F705E6C">
                  <w:pPr>
                    <w:spacing w:before="148" w:line="186" w:lineRule="auto"/>
                    <w:ind w:left="530" w:leftChars="0"/>
                    <w:rPr>
                      <w:rFonts w:hint="eastAsia" w:ascii="Times New Roman" w:hAnsi="Times New Roman" w:eastAsia="宋体" w:cs="Times New Roman"/>
                      <w:b/>
                      <w:bCs/>
                      <w:color w:val="000000"/>
                      <w:kern w:val="0"/>
                      <w:szCs w:val="21"/>
                      <w:highlight w:val="none"/>
                      <w:vertAlign w:val="baseline"/>
                      <w:lang w:bidi="ar"/>
                    </w:rPr>
                  </w:pPr>
                  <w:r>
                    <w:rPr>
                      <w:rFonts w:ascii="Times New Roman" w:hAnsi="Times New Roman" w:eastAsia="Times New Roman" w:cs="Times New Roman"/>
                      <w:spacing w:val="-1"/>
                      <w:sz w:val="21"/>
                      <w:szCs w:val="21"/>
                      <w:highlight w:val="none"/>
                    </w:rPr>
                    <w:t>B2.3</w:t>
                  </w:r>
                </w:p>
              </w:tc>
            </w:tr>
            <w:tr w14:paraId="79E93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9" w:type="dxa"/>
                  <w:vAlign w:val="center"/>
                </w:tcPr>
                <w:p w14:paraId="5CC36191">
                  <w:pPr>
                    <w:pStyle w:val="102"/>
                    <w:spacing w:before="112" w:line="219" w:lineRule="auto"/>
                    <w:jc w:val="center"/>
                    <w:rPr>
                      <w:rFonts w:hint="eastAsia" w:ascii="Times New Roman" w:hAnsi="Times New Roman" w:eastAsia="Times New Roman" w:cs="Times New Roman"/>
                      <w:spacing w:val="-2"/>
                      <w:sz w:val="21"/>
                      <w:szCs w:val="21"/>
                      <w:highlight w:val="none"/>
                    </w:rPr>
                  </w:pPr>
                  <w:r>
                    <w:rPr>
                      <w:rFonts w:ascii="Times New Roman" w:hAnsi="Times New Roman" w:eastAsia="Times New Roman" w:cs="Times New Roman"/>
                      <w:spacing w:val="-2"/>
                      <w:sz w:val="21"/>
                      <w:szCs w:val="21"/>
                      <w:highlight w:val="none"/>
                    </w:rPr>
                    <w:t>1.02*B1&lt;评标价≤1.025*B1</w:t>
                  </w:r>
                </w:p>
              </w:tc>
              <w:tc>
                <w:tcPr>
                  <w:tcW w:w="1494" w:type="dxa"/>
                  <w:vAlign w:val="top"/>
                </w:tcPr>
                <w:p w14:paraId="6F669B0D">
                  <w:pPr>
                    <w:spacing w:before="149" w:line="186" w:lineRule="auto"/>
                    <w:ind w:left="530" w:leftChars="0"/>
                    <w:rPr>
                      <w:rFonts w:hint="eastAsia" w:ascii="Times New Roman" w:hAnsi="Times New Roman" w:eastAsia="宋体" w:cs="Times New Roman"/>
                      <w:b/>
                      <w:bCs/>
                      <w:color w:val="000000"/>
                      <w:kern w:val="0"/>
                      <w:szCs w:val="21"/>
                      <w:highlight w:val="none"/>
                      <w:vertAlign w:val="baseline"/>
                      <w:lang w:bidi="ar"/>
                    </w:rPr>
                  </w:pPr>
                  <w:r>
                    <w:rPr>
                      <w:rFonts w:ascii="Times New Roman" w:hAnsi="Times New Roman" w:eastAsia="Times New Roman" w:cs="Times New Roman"/>
                      <w:spacing w:val="-1"/>
                      <w:sz w:val="21"/>
                      <w:szCs w:val="21"/>
                      <w:highlight w:val="none"/>
                    </w:rPr>
                    <w:t>B2.4</w:t>
                  </w:r>
                </w:p>
              </w:tc>
            </w:tr>
            <w:tr w14:paraId="62A53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9" w:type="dxa"/>
                  <w:vAlign w:val="center"/>
                </w:tcPr>
                <w:p w14:paraId="37C265BE">
                  <w:pPr>
                    <w:pStyle w:val="102"/>
                    <w:spacing w:before="112" w:line="219" w:lineRule="auto"/>
                    <w:jc w:val="center"/>
                    <w:rPr>
                      <w:rFonts w:hint="eastAsia" w:ascii="Times New Roman" w:hAnsi="Times New Roman" w:eastAsia="Times New Roman" w:cs="Times New Roman"/>
                      <w:spacing w:val="-2"/>
                      <w:sz w:val="21"/>
                      <w:szCs w:val="21"/>
                      <w:highlight w:val="none"/>
                    </w:rPr>
                  </w:pPr>
                  <w:r>
                    <w:rPr>
                      <w:rFonts w:ascii="Times New Roman" w:hAnsi="Times New Roman" w:eastAsia="Times New Roman" w:cs="Times New Roman"/>
                      <w:spacing w:val="-2"/>
                      <w:sz w:val="21"/>
                      <w:szCs w:val="21"/>
                      <w:highlight w:val="none"/>
                    </w:rPr>
                    <w:t>1.015*B1&lt;评标价≤1.02*B1</w:t>
                  </w:r>
                </w:p>
              </w:tc>
              <w:tc>
                <w:tcPr>
                  <w:tcW w:w="1494" w:type="dxa"/>
                  <w:vAlign w:val="top"/>
                </w:tcPr>
                <w:p w14:paraId="0AC4EBF9">
                  <w:pPr>
                    <w:spacing w:before="150" w:line="186" w:lineRule="auto"/>
                    <w:ind w:left="530" w:leftChars="0"/>
                    <w:rPr>
                      <w:rFonts w:hint="eastAsia" w:ascii="Times New Roman" w:hAnsi="Times New Roman" w:eastAsia="宋体" w:cs="Times New Roman"/>
                      <w:b/>
                      <w:bCs/>
                      <w:color w:val="000000"/>
                      <w:kern w:val="0"/>
                      <w:szCs w:val="21"/>
                      <w:highlight w:val="none"/>
                      <w:vertAlign w:val="baseline"/>
                      <w:lang w:bidi="ar"/>
                    </w:rPr>
                  </w:pPr>
                  <w:r>
                    <w:rPr>
                      <w:rFonts w:ascii="Times New Roman" w:hAnsi="Times New Roman" w:eastAsia="Times New Roman" w:cs="Times New Roman"/>
                      <w:spacing w:val="-1"/>
                      <w:sz w:val="21"/>
                      <w:szCs w:val="21"/>
                      <w:highlight w:val="none"/>
                    </w:rPr>
                    <w:t>B2.5</w:t>
                  </w:r>
                </w:p>
              </w:tc>
            </w:tr>
            <w:tr w14:paraId="6F790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9" w:type="dxa"/>
                  <w:vAlign w:val="center"/>
                </w:tcPr>
                <w:p w14:paraId="212CBB37">
                  <w:pPr>
                    <w:pStyle w:val="102"/>
                    <w:spacing w:before="112" w:line="219" w:lineRule="auto"/>
                    <w:jc w:val="center"/>
                    <w:rPr>
                      <w:rFonts w:hint="eastAsia" w:ascii="Times New Roman" w:hAnsi="Times New Roman" w:eastAsia="Times New Roman" w:cs="Times New Roman"/>
                      <w:spacing w:val="-2"/>
                      <w:sz w:val="21"/>
                      <w:szCs w:val="21"/>
                      <w:highlight w:val="none"/>
                    </w:rPr>
                  </w:pPr>
                  <w:r>
                    <w:rPr>
                      <w:rFonts w:ascii="Times New Roman" w:hAnsi="Times New Roman" w:eastAsia="Times New Roman" w:cs="Times New Roman"/>
                      <w:spacing w:val="-2"/>
                      <w:sz w:val="21"/>
                      <w:szCs w:val="21"/>
                      <w:highlight w:val="none"/>
                    </w:rPr>
                    <w:t>1.01*B1&lt;评标价≤1.015*B1</w:t>
                  </w:r>
                </w:p>
              </w:tc>
              <w:tc>
                <w:tcPr>
                  <w:tcW w:w="1494" w:type="dxa"/>
                  <w:vAlign w:val="top"/>
                </w:tcPr>
                <w:p w14:paraId="4F71AF5E">
                  <w:pPr>
                    <w:spacing w:before="151" w:line="186" w:lineRule="auto"/>
                    <w:ind w:left="530" w:leftChars="0"/>
                    <w:rPr>
                      <w:rFonts w:hint="eastAsia" w:ascii="Times New Roman" w:hAnsi="Times New Roman" w:eastAsia="宋体" w:cs="Times New Roman"/>
                      <w:b/>
                      <w:bCs/>
                      <w:color w:val="000000"/>
                      <w:kern w:val="0"/>
                      <w:szCs w:val="21"/>
                      <w:highlight w:val="none"/>
                      <w:vertAlign w:val="baseline"/>
                      <w:lang w:bidi="ar"/>
                    </w:rPr>
                  </w:pPr>
                  <w:r>
                    <w:rPr>
                      <w:rFonts w:ascii="Times New Roman" w:hAnsi="Times New Roman" w:eastAsia="Times New Roman" w:cs="Times New Roman"/>
                      <w:spacing w:val="-1"/>
                      <w:sz w:val="21"/>
                      <w:szCs w:val="21"/>
                      <w:highlight w:val="none"/>
                    </w:rPr>
                    <w:t>B2.6</w:t>
                  </w:r>
                </w:p>
              </w:tc>
            </w:tr>
            <w:tr w14:paraId="6BB65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9" w:type="dxa"/>
                  <w:shd w:val="clear" w:color="auto" w:fill="auto"/>
                  <w:vAlign w:val="top"/>
                </w:tcPr>
                <w:p w14:paraId="2340BC75">
                  <w:pPr>
                    <w:pStyle w:val="102"/>
                    <w:spacing w:before="112" w:line="219" w:lineRule="auto"/>
                    <w:jc w:val="center"/>
                    <w:rPr>
                      <w:rFonts w:ascii="Times New Roman" w:hAnsi="Times New Roman" w:eastAsia="Times New Roman" w:cs="Times New Roman"/>
                      <w:spacing w:val="-2"/>
                      <w:sz w:val="21"/>
                      <w:szCs w:val="21"/>
                      <w:highlight w:val="none"/>
                      <w:lang w:val="en-US" w:eastAsia="en-US"/>
                    </w:rPr>
                  </w:pPr>
                  <w:r>
                    <w:rPr>
                      <w:rFonts w:ascii="Times New Roman" w:hAnsi="Times New Roman" w:eastAsia="Times New Roman" w:cs="Times New Roman"/>
                      <w:spacing w:val="-2"/>
                      <w:sz w:val="21"/>
                      <w:szCs w:val="21"/>
                      <w:highlight w:val="none"/>
                    </w:rPr>
                    <w:t>1.005*B1&lt;评标价≤1.01*B1</w:t>
                  </w:r>
                </w:p>
              </w:tc>
              <w:tc>
                <w:tcPr>
                  <w:tcW w:w="1494" w:type="dxa"/>
                  <w:shd w:val="clear" w:color="auto" w:fill="auto"/>
                  <w:vAlign w:val="center"/>
                </w:tcPr>
                <w:p w14:paraId="516A3007">
                  <w:pPr>
                    <w:pStyle w:val="102"/>
                    <w:spacing w:before="112" w:line="219" w:lineRule="auto"/>
                    <w:jc w:val="center"/>
                    <w:rPr>
                      <w:rFonts w:ascii="Times New Roman" w:hAnsi="Times New Roman" w:eastAsia="Times New Roman" w:cs="Times New Roman"/>
                      <w:spacing w:val="-2"/>
                      <w:sz w:val="21"/>
                      <w:szCs w:val="21"/>
                      <w:highlight w:val="none"/>
                      <w:lang w:val="en-US" w:eastAsia="zh-CN"/>
                    </w:rPr>
                  </w:pPr>
                  <w:r>
                    <w:rPr>
                      <w:rFonts w:ascii="Times New Roman" w:hAnsi="Times New Roman" w:eastAsia="Times New Roman" w:cs="Times New Roman"/>
                      <w:spacing w:val="-2"/>
                      <w:sz w:val="21"/>
                      <w:szCs w:val="21"/>
                      <w:highlight w:val="none"/>
                    </w:rPr>
                    <w:t>B2.7</w:t>
                  </w:r>
                </w:p>
              </w:tc>
            </w:tr>
            <w:tr w14:paraId="126D1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9" w:type="dxa"/>
                  <w:shd w:val="clear" w:color="auto" w:fill="auto"/>
                  <w:vAlign w:val="top"/>
                </w:tcPr>
                <w:p w14:paraId="2338C471">
                  <w:pPr>
                    <w:pStyle w:val="102"/>
                    <w:spacing w:before="112" w:line="219" w:lineRule="auto"/>
                    <w:jc w:val="center"/>
                    <w:rPr>
                      <w:rFonts w:ascii="Times New Roman" w:hAnsi="Times New Roman" w:eastAsia="Times New Roman" w:cs="Times New Roman"/>
                      <w:spacing w:val="-2"/>
                      <w:sz w:val="21"/>
                      <w:szCs w:val="21"/>
                      <w:highlight w:val="none"/>
                      <w:lang w:val="en-US" w:eastAsia="en-US"/>
                    </w:rPr>
                  </w:pPr>
                  <w:r>
                    <w:rPr>
                      <w:rFonts w:ascii="Times New Roman" w:hAnsi="Times New Roman" w:eastAsia="Times New Roman" w:cs="Times New Roman"/>
                      <w:spacing w:val="-2"/>
                      <w:sz w:val="21"/>
                      <w:szCs w:val="21"/>
                      <w:highlight w:val="none"/>
                    </w:rPr>
                    <w:t>1.00*B1&lt;评标价≤1.005*B1</w:t>
                  </w:r>
                </w:p>
              </w:tc>
              <w:tc>
                <w:tcPr>
                  <w:tcW w:w="1494" w:type="dxa"/>
                  <w:shd w:val="clear" w:color="auto" w:fill="auto"/>
                  <w:vAlign w:val="center"/>
                </w:tcPr>
                <w:p w14:paraId="36E16FEB">
                  <w:pPr>
                    <w:pStyle w:val="102"/>
                    <w:spacing w:before="112" w:line="219" w:lineRule="auto"/>
                    <w:jc w:val="center"/>
                    <w:rPr>
                      <w:rFonts w:ascii="Times New Roman" w:hAnsi="Times New Roman" w:eastAsia="Times New Roman" w:cs="Times New Roman"/>
                      <w:spacing w:val="-2"/>
                      <w:sz w:val="21"/>
                      <w:szCs w:val="21"/>
                      <w:highlight w:val="none"/>
                      <w:lang w:val="en-US" w:eastAsia="zh-CN"/>
                    </w:rPr>
                  </w:pPr>
                  <w:r>
                    <w:rPr>
                      <w:rFonts w:ascii="Times New Roman" w:hAnsi="Times New Roman" w:eastAsia="Times New Roman" w:cs="Times New Roman"/>
                      <w:spacing w:val="-2"/>
                      <w:sz w:val="21"/>
                      <w:szCs w:val="21"/>
                      <w:highlight w:val="none"/>
                    </w:rPr>
                    <w:t>B2.8</w:t>
                  </w:r>
                </w:p>
              </w:tc>
            </w:tr>
            <w:tr w14:paraId="71AF3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9" w:type="dxa"/>
                  <w:shd w:val="clear" w:color="auto" w:fill="auto"/>
                  <w:vAlign w:val="top"/>
                </w:tcPr>
                <w:p w14:paraId="2C354B70">
                  <w:pPr>
                    <w:pStyle w:val="102"/>
                    <w:spacing w:before="112" w:line="219" w:lineRule="auto"/>
                    <w:jc w:val="center"/>
                    <w:rPr>
                      <w:rFonts w:ascii="Times New Roman" w:hAnsi="Times New Roman" w:eastAsia="Times New Roman" w:cs="Times New Roman"/>
                      <w:spacing w:val="-2"/>
                      <w:sz w:val="21"/>
                      <w:szCs w:val="21"/>
                      <w:highlight w:val="none"/>
                      <w:lang w:val="en-US" w:eastAsia="en-US"/>
                    </w:rPr>
                  </w:pPr>
                  <w:r>
                    <w:rPr>
                      <w:rFonts w:ascii="Times New Roman" w:hAnsi="Times New Roman" w:eastAsia="Times New Roman" w:cs="Times New Roman"/>
                      <w:spacing w:val="-2"/>
                      <w:sz w:val="21"/>
                      <w:szCs w:val="21"/>
                      <w:highlight w:val="none"/>
                    </w:rPr>
                    <w:t>0.995*B1&lt;评标价≤1.00*B1</w:t>
                  </w:r>
                </w:p>
              </w:tc>
              <w:tc>
                <w:tcPr>
                  <w:tcW w:w="1494" w:type="dxa"/>
                  <w:shd w:val="clear" w:color="auto" w:fill="auto"/>
                  <w:vAlign w:val="center"/>
                </w:tcPr>
                <w:p w14:paraId="30D06086">
                  <w:pPr>
                    <w:pStyle w:val="102"/>
                    <w:spacing w:before="112" w:line="219" w:lineRule="auto"/>
                    <w:jc w:val="center"/>
                    <w:rPr>
                      <w:rFonts w:ascii="Times New Roman" w:hAnsi="Times New Roman" w:eastAsia="Times New Roman" w:cs="Times New Roman"/>
                      <w:spacing w:val="-2"/>
                      <w:sz w:val="21"/>
                      <w:szCs w:val="21"/>
                      <w:highlight w:val="none"/>
                      <w:lang w:val="en-US" w:eastAsia="zh-CN"/>
                    </w:rPr>
                  </w:pPr>
                  <w:r>
                    <w:rPr>
                      <w:rFonts w:ascii="Times New Roman" w:hAnsi="Times New Roman" w:eastAsia="Times New Roman" w:cs="Times New Roman"/>
                      <w:spacing w:val="-2"/>
                      <w:sz w:val="21"/>
                      <w:szCs w:val="21"/>
                      <w:highlight w:val="none"/>
                    </w:rPr>
                    <w:t>B2.9</w:t>
                  </w:r>
                </w:p>
              </w:tc>
            </w:tr>
            <w:tr w14:paraId="53E8C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9" w:type="dxa"/>
                  <w:shd w:val="clear" w:color="auto" w:fill="auto"/>
                  <w:vAlign w:val="top"/>
                </w:tcPr>
                <w:p w14:paraId="60D07723">
                  <w:pPr>
                    <w:pStyle w:val="102"/>
                    <w:spacing w:before="112" w:line="219" w:lineRule="auto"/>
                    <w:jc w:val="center"/>
                    <w:rPr>
                      <w:rFonts w:ascii="Times New Roman" w:hAnsi="Times New Roman" w:eastAsia="Times New Roman" w:cs="Times New Roman"/>
                      <w:spacing w:val="-2"/>
                      <w:sz w:val="21"/>
                      <w:szCs w:val="21"/>
                      <w:highlight w:val="none"/>
                      <w:lang w:val="en-US" w:eastAsia="en-US"/>
                    </w:rPr>
                  </w:pPr>
                  <w:r>
                    <w:rPr>
                      <w:rFonts w:ascii="Times New Roman" w:hAnsi="Times New Roman" w:eastAsia="Times New Roman" w:cs="Times New Roman"/>
                      <w:spacing w:val="-2"/>
                      <w:sz w:val="21"/>
                      <w:szCs w:val="21"/>
                      <w:highlight w:val="none"/>
                    </w:rPr>
                    <w:t>0.99*B1&lt;评标价≤0.995*B1</w:t>
                  </w:r>
                </w:p>
              </w:tc>
              <w:tc>
                <w:tcPr>
                  <w:tcW w:w="1494" w:type="dxa"/>
                  <w:shd w:val="clear" w:color="auto" w:fill="auto"/>
                  <w:vAlign w:val="center"/>
                </w:tcPr>
                <w:p w14:paraId="77150067">
                  <w:pPr>
                    <w:pStyle w:val="102"/>
                    <w:spacing w:before="112" w:line="219" w:lineRule="auto"/>
                    <w:jc w:val="center"/>
                    <w:rPr>
                      <w:rFonts w:ascii="Times New Roman" w:hAnsi="Times New Roman" w:eastAsia="Times New Roman" w:cs="Times New Roman"/>
                      <w:spacing w:val="-2"/>
                      <w:sz w:val="21"/>
                      <w:szCs w:val="21"/>
                      <w:highlight w:val="none"/>
                      <w:lang w:val="en-US" w:eastAsia="zh-CN"/>
                    </w:rPr>
                  </w:pPr>
                  <w:r>
                    <w:rPr>
                      <w:rFonts w:ascii="Times New Roman" w:hAnsi="Times New Roman" w:eastAsia="Times New Roman" w:cs="Times New Roman"/>
                      <w:spacing w:val="-2"/>
                      <w:sz w:val="21"/>
                      <w:szCs w:val="21"/>
                      <w:highlight w:val="none"/>
                    </w:rPr>
                    <w:t>B2.10</w:t>
                  </w:r>
                </w:p>
              </w:tc>
            </w:tr>
            <w:tr w14:paraId="29F1C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9" w:type="dxa"/>
                  <w:shd w:val="clear" w:color="auto" w:fill="auto"/>
                  <w:vAlign w:val="top"/>
                </w:tcPr>
                <w:p w14:paraId="4C6C7D66">
                  <w:pPr>
                    <w:pStyle w:val="102"/>
                    <w:spacing w:before="112" w:line="219" w:lineRule="auto"/>
                    <w:jc w:val="center"/>
                    <w:rPr>
                      <w:rFonts w:ascii="Times New Roman" w:hAnsi="Times New Roman" w:eastAsia="Times New Roman" w:cs="Times New Roman"/>
                      <w:spacing w:val="-2"/>
                      <w:sz w:val="21"/>
                      <w:szCs w:val="21"/>
                      <w:highlight w:val="none"/>
                      <w:lang w:val="en-US" w:eastAsia="en-US"/>
                    </w:rPr>
                  </w:pPr>
                  <w:r>
                    <w:rPr>
                      <w:rFonts w:ascii="Times New Roman" w:hAnsi="Times New Roman" w:eastAsia="Times New Roman" w:cs="Times New Roman"/>
                      <w:spacing w:val="-2"/>
                      <w:sz w:val="21"/>
                      <w:szCs w:val="21"/>
                      <w:highlight w:val="none"/>
                    </w:rPr>
                    <w:t>0.985*B1&lt;评标价≤0.99*B1</w:t>
                  </w:r>
                </w:p>
              </w:tc>
              <w:tc>
                <w:tcPr>
                  <w:tcW w:w="1494" w:type="dxa"/>
                  <w:shd w:val="clear" w:color="auto" w:fill="auto"/>
                  <w:vAlign w:val="center"/>
                </w:tcPr>
                <w:p w14:paraId="09FB76D7">
                  <w:pPr>
                    <w:pStyle w:val="102"/>
                    <w:spacing w:before="112" w:line="219" w:lineRule="auto"/>
                    <w:jc w:val="center"/>
                    <w:rPr>
                      <w:rFonts w:ascii="Times New Roman" w:hAnsi="Times New Roman" w:eastAsia="Times New Roman" w:cs="Times New Roman"/>
                      <w:spacing w:val="-2"/>
                      <w:sz w:val="21"/>
                      <w:szCs w:val="21"/>
                      <w:highlight w:val="none"/>
                      <w:lang w:val="en-US" w:eastAsia="zh-CN"/>
                    </w:rPr>
                  </w:pPr>
                  <w:r>
                    <w:rPr>
                      <w:rFonts w:ascii="Times New Roman" w:hAnsi="Times New Roman" w:eastAsia="Times New Roman" w:cs="Times New Roman"/>
                      <w:spacing w:val="-2"/>
                      <w:sz w:val="21"/>
                      <w:szCs w:val="21"/>
                      <w:highlight w:val="none"/>
                    </w:rPr>
                    <w:t>B2.11</w:t>
                  </w:r>
                </w:p>
              </w:tc>
            </w:tr>
            <w:tr w14:paraId="7BAD6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9" w:type="dxa"/>
                  <w:shd w:val="clear" w:color="auto" w:fill="auto"/>
                  <w:vAlign w:val="top"/>
                </w:tcPr>
                <w:p w14:paraId="24B7AD12">
                  <w:pPr>
                    <w:pStyle w:val="102"/>
                    <w:spacing w:before="112" w:line="219" w:lineRule="auto"/>
                    <w:jc w:val="center"/>
                    <w:rPr>
                      <w:rFonts w:ascii="Times New Roman" w:hAnsi="Times New Roman" w:eastAsia="Times New Roman" w:cs="Times New Roman"/>
                      <w:spacing w:val="-2"/>
                      <w:sz w:val="21"/>
                      <w:szCs w:val="21"/>
                      <w:highlight w:val="none"/>
                      <w:lang w:val="en-US" w:eastAsia="en-US"/>
                    </w:rPr>
                  </w:pPr>
                  <w:r>
                    <w:rPr>
                      <w:rFonts w:ascii="Times New Roman" w:hAnsi="Times New Roman" w:eastAsia="Times New Roman" w:cs="Times New Roman"/>
                      <w:spacing w:val="-2"/>
                      <w:sz w:val="21"/>
                      <w:szCs w:val="21"/>
                      <w:highlight w:val="none"/>
                    </w:rPr>
                    <w:t>0.98*B1&lt;评标价≤0.985*B1</w:t>
                  </w:r>
                </w:p>
              </w:tc>
              <w:tc>
                <w:tcPr>
                  <w:tcW w:w="1494" w:type="dxa"/>
                  <w:shd w:val="clear" w:color="auto" w:fill="auto"/>
                  <w:vAlign w:val="center"/>
                </w:tcPr>
                <w:p w14:paraId="274EB77F">
                  <w:pPr>
                    <w:pStyle w:val="102"/>
                    <w:spacing w:before="112" w:line="219" w:lineRule="auto"/>
                    <w:jc w:val="center"/>
                    <w:rPr>
                      <w:rFonts w:ascii="Times New Roman" w:hAnsi="Times New Roman" w:eastAsia="Times New Roman" w:cs="Times New Roman"/>
                      <w:spacing w:val="-2"/>
                      <w:sz w:val="21"/>
                      <w:szCs w:val="21"/>
                      <w:highlight w:val="none"/>
                      <w:lang w:val="en-US" w:eastAsia="zh-CN"/>
                    </w:rPr>
                  </w:pPr>
                  <w:r>
                    <w:rPr>
                      <w:rFonts w:ascii="Times New Roman" w:hAnsi="Times New Roman" w:eastAsia="Times New Roman" w:cs="Times New Roman"/>
                      <w:spacing w:val="-2"/>
                      <w:sz w:val="21"/>
                      <w:szCs w:val="21"/>
                      <w:highlight w:val="none"/>
                    </w:rPr>
                    <w:t>B2.12</w:t>
                  </w:r>
                </w:p>
              </w:tc>
            </w:tr>
            <w:tr w14:paraId="18C9E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9" w:type="dxa"/>
                  <w:shd w:val="clear" w:color="auto" w:fill="auto"/>
                  <w:vAlign w:val="top"/>
                </w:tcPr>
                <w:p w14:paraId="1F844618">
                  <w:pPr>
                    <w:pStyle w:val="102"/>
                    <w:spacing w:before="112" w:line="219" w:lineRule="auto"/>
                    <w:jc w:val="center"/>
                    <w:rPr>
                      <w:rFonts w:ascii="Times New Roman" w:hAnsi="Times New Roman" w:eastAsia="Times New Roman" w:cs="Times New Roman"/>
                      <w:spacing w:val="-2"/>
                      <w:sz w:val="21"/>
                      <w:szCs w:val="21"/>
                      <w:highlight w:val="none"/>
                      <w:lang w:val="en-US" w:eastAsia="en-US"/>
                    </w:rPr>
                  </w:pPr>
                  <w:r>
                    <w:rPr>
                      <w:rFonts w:ascii="Times New Roman" w:hAnsi="Times New Roman" w:eastAsia="Times New Roman" w:cs="Times New Roman"/>
                      <w:spacing w:val="-2"/>
                      <w:sz w:val="21"/>
                      <w:szCs w:val="21"/>
                      <w:highlight w:val="none"/>
                    </w:rPr>
                    <w:t>0.975*B1&lt;评标价≤0.98*B1</w:t>
                  </w:r>
                </w:p>
              </w:tc>
              <w:tc>
                <w:tcPr>
                  <w:tcW w:w="1494" w:type="dxa"/>
                  <w:shd w:val="clear" w:color="auto" w:fill="auto"/>
                  <w:vAlign w:val="center"/>
                </w:tcPr>
                <w:p w14:paraId="2D80FEF3">
                  <w:pPr>
                    <w:pStyle w:val="102"/>
                    <w:spacing w:before="112" w:line="219" w:lineRule="auto"/>
                    <w:jc w:val="center"/>
                    <w:rPr>
                      <w:rFonts w:ascii="Times New Roman" w:hAnsi="Times New Roman" w:eastAsia="Times New Roman" w:cs="Times New Roman"/>
                      <w:spacing w:val="-2"/>
                      <w:sz w:val="21"/>
                      <w:szCs w:val="21"/>
                      <w:highlight w:val="none"/>
                      <w:lang w:val="en-US" w:eastAsia="zh-CN"/>
                    </w:rPr>
                  </w:pPr>
                  <w:r>
                    <w:rPr>
                      <w:rFonts w:ascii="Times New Roman" w:hAnsi="Times New Roman" w:eastAsia="Times New Roman" w:cs="Times New Roman"/>
                      <w:spacing w:val="-2"/>
                      <w:sz w:val="21"/>
                      <w:szCs w:val="21"/>
                      <w:highlight w:val="none"/>
                    </w:rPr>
                    <w:t>B2.13</w:t>
                  </w:r>
                </w:p>
              </w:tc>
            </w:tr>
            <w:tr w14:paraId="4E8A2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9" w:type="dxa"/>
                  <w:shd w:val="clear" w:color="auto" w:fill="auto"/>
                  <w:vAlign w:val="top"/>
                </w:tcPr>
                <w:p w14:paraId="3A61AC30">
                  <w:pPr>
                    <w:pStyle w:val="102"/>
                    <w:spacing w:before="112" w:line="219" w:lineRule="auto"/>
                    <w:jc w:val="center"/>
                    <w:rPr>
                      <w:rFonts w:ascii="Times New Roman" w:hAnsi="Times New Roman" w:eastAsia="Times New Roman" w:cs="Times New Roman"/>
                      <w:spacing w:val="-2"/>
                      <w:sz w:val="21"/>
                      <w:szCs w:val="21"/>
                      <w:highlight w:val="none"/>
                      <w:lang w:val="en-US" w:eastAsia="en-US"/>
                    </w:rPr>
                  </w:pPr>
                  <w:r>
                    <w:rPr>
                      <w:rFonts w:ascii="Times New Roman" w:hAnsi="Times New Roman" w:eastAsia="Times New Roman" w:cs="Times New Roman"/>
                      <w:spacing w:val="-2"/>
                      <w:sz w:val="21"/>
                      <w:szCs w:val="21"/>
                      <w:highlight w:val="none"/>
                    </w:rPr>
                    <w:t>0.97*B1&lt;评标价≤0.975*B1</w:t>
                  </w:r>
                </w:p>
              </w:tc>
              <w:tc>
                <w:tcPr>
                  <w:tcW w:w="1494" w:type="dxa"/>
                  <w:shd w:val="clear" w:color="auto" w:fill="auto"/>
                  <w:vAlign w:val="center"/>
                </w:tcPr>
                <w:p w14:paraId="21F3042A">
                  <w:pPr>
                    <w:pStyle w:val="102"/>
                    <w:spacing w:before="112" w:line="219" w:lineRule="auto"/>
                    <w:jc w:val="center"/>
                    <w:rPr>
                      <w:rFonts w:ascii="Times New Roman" w:hAnsi="Times New Roman" w:eastAsia="Times New Roman" w:cs="Times New Roman"/>
                      <w:spacing w:val="-2"/>
                      <w:sz w:val="21"/>
                      <w:szCs w:val="21"/>
                      <w:highlight w:val="none"/>
                      <w:lang w:val="en-US" w:eastAsia="zh-CN"/>
                    </w:rPr>
                  </w:pPr>
                  <w:r>
                    <w:rPr>
                      <w:rFonts w:ascii="Times New Roman" w:hAnsi="Times New Roman" w:eastAsia="Times New Roman" w:cs="Times New Roman"/>
                      <w:spacing w:val="-2"/>
                      <w:sz w:val="21"/>
                      <w:szCs w:val="21"/>
                      <w:highlight w:val="none"/>
                    </w:rPr>
                    <w:t>B2.14</w:t>
                  </w:r>
                </w:p>
              </w:tc>
            </w:tr>
            <w:tr w14:paraId="2420B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9" w:type="dxa"/>
                  <w:shd w:val="clear" w:color="auto" w:fill="auto"/>
                  <w:vAlign w:val="top"/>
                </w:tcPr>
                <w:p w14:paraId="06C31C23">
                  <w:pPr>
                    <w:pStyle w:val="102"/>
                    <w:spacing w:before="112" w:line="219" w:lineRule="auto"/>
                    <w:jc w:val="center"/>
                    <w:rPr>
                      <w:rFonts w:ascii="Times New Roman" w:hAnsi="Times New Roman" w:eastAsia="Times New Roman" w:cs="Times New Roman"/>
                      <w:spacing w:val="-2"/>
                      <w:sz w:val="21"/>
                      <w:szCs w:val="21"/>
                      <w:highlight w:val="none"/>
                      <w:lang w:val="en-US" w:eastAsia="en-US"/>
                    </w:rPr>
                  </w:pPr>
                  <w:r>
                    <w:rPr>
                      <w:rFonts w:ascii="Times New Roman" w:hAnsi="Times New Roman" w:eastAsia="Times New Roman" w:cs="Times New Roman"/>
                      <w:spacing w:val="-2"/>
                      <w:sz w:val="21"/>
                      <w:szCs w:val="21"/>
                      <w:highlight w:val="none"/>
                    </w:rPr>
                    <w:t>0.965*B1≤评标价≤0.97*B1</w:t>
                  </w:r>
                </w:p>
              </w:tc>
              <w:tc>
                <w:tcPr>
                  <w:tcW w:w="1494" w:type="dxa"/>
                  <w:shd w:val="clear" w:color="auto" w:fill="auto"/>
                  <w:vAlign w:val="center"/>
                </w:tcPr>
                <w:p w14:paraId="59F05C7B">
                  <w:pPr>
                    <w:pStyle w:val="102"/>
                    <w:spacing w:before="112" w:line="219" w:lineRule="auto"/>
                    <w:jc w:val="center"/>
                    <w:rPr>
                      <w:rFonts w:ascii="Times New Roman" w:hAnsi="Times New Roman" w:eastAsia="Times New Roman" w:cs="Times New Roman"/>
                      <w:spacing w:val="-2"/>
                      <w:sz w:val="21"/>
                      <w:szCs w:val="21"/>
                      <w:highlight w:val="none"/>
                      <w:lang w:val="en-US" w:eastAsia="zh-CN"/>
                    </w:rPr>
                  </w:pPr>
                  <w:r>
                    <w:rPr>
                      <w:rFonts w:ascii="Times New Roman" w:hAnsi="Times New Roman" w:eastAsia="Times New Roman" w:cs="Times New Roman"/>
                      <w:spacing w:val="-2"/>
                      <w:sz w:val="21"/>
                      <w:szCs w:val="21"/>
                      <w:highlight w:val="none"/>
                    </w:rPr>
                    <w:t>B2.15</w:t>
                  </w:r>
                </w:p>
              </w:tc>
            </w:tr>
            <w:tr w14:paraId="6F527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9" w:type="dxa"/>
                  <w:shd w:val="clear" w:color="auto" w:fill="auto"/>
                  <w:vAlign w:val="top"/>
                </w:tcPr>
                <w:p w14:paraId="7B3C8360">
                  <w:pPr>
                    <w:pStyle w:val="102"/>
                    <w:spacing w:before="112" w:line="219" w:lineRule="auto"/>
                    <w:jc w:val="center"/>
                    <w:rPr>
                      <w:rFonts w:ascii="Times New Roman" w:hAnsi="Times New Roman" w:eastAsia="Times New Roman" w:cs="Times New Roman"/>
                      <w:spacing w:val="-2"/>
                      <w:sz w:val="21"/>
                      <w:szCs w:val="21"/>
                      <w:highlight w:val="none"/>
                      <w:lang w:val="en-US" w:eastAsia="en-US"/>
                    </w:rPr>
                  </w:pPr>
                  <w:r>
                    <w:rPr>
                      <w:rFonts w:ascii="Times New Roman" w:hAnsi="Times New Roman" w:eastAsia="Times New Roman" w:cs="Times New Roman"/>
                      <w:spacing w:val="-2"/>
                      <w:sz w:val="21"/>
                      <w:szCs w:val="21"/>
                      <w:highlight w:val="none"/>
                    </w:rPr>
                    <w:t>评标价&lt;0.965*B1</w:t>
                  </w:r>
                </w:p>
              </w:tc>
              <w:tc>
                <w:tcPr>
                  <w:tcW w:w="1494" w:type="dxa"/>
                  <w:shd w:val="clear" w:color="auto" w:fill="auto"/>
                  <w:vAlign w:val="center"/>
                </w:tcPr>
                <w:p w14:paraId="00CE0E3C">
                  <w:pPr>
                    <w:spacing w:before="146" w:line="186" w:lineRule="auto"/>
                    <w:jc w:val="center"/>
                    <w:rPr>
                      <w:rFonts w:ascii="Times New Roman" w:hAnsi="Times New Roman" w:eastAsia="Times New Roman" w:cs="Times New Roman"/>
                      <w:kern w:val="2"/>
                      <w:sz w:val="21"/>
                      <w:szCs w:val="21"/>
                      <w:highlight w:val="none"/>
                      <w:lang w:val="en-US" w:eastAsia="zh-CN" w:bidi="ar-SA"/>
                    </w:rPr>
                  </w:pPr>
                  <w:r>
                    <w:rPr>
                      <w:rFonts w:ascii="Times New Roman" w:hAnsi="Times New Roman" w:eastAsia="Times New Roman" w:cs="Times New Roman"/>
                      <w:spacing w:val="-1"/>
                      <w:sz w:val="21"/>
                      <w:szCs w:val="21"/>
                      <w:highlight w:val="none"/>
                    </w:rPr>
                    <w:t>B2.16</w:t>
                  </w:r>
                </w:p>
              </w:tc>
            </w:tr>
          </w:tbl>
          <w:p w14:paraId="60F5CEE2">
            <w:pPr>
              <w:pStyle w:val="102"/>
              <w:spacing w:before="107" w:line="219" w:lineRule="auto"/>
              <w:ind w:left="531"/>
              <w:rPr>
                <w:sz w:val="21"/>
                <w:szCs w:val="21"/>
                <w:highlight w:val="none"/>
              </w:rPr>
            </w:pPr>
            <w:r>
              <w:rPr>
                <w:rFonts w:ascii="Times New Roman" w:hAnsi="Times New Roman" w:eastAsia="Times New Roman" w:cs="Times New Roman"/>
                <w:spacing w:val="-1"/>
                <w:sz w:val="21"/>
                <w:szCs w:val="21"/>
                <w:highlight w:val="none"/>
              </w:rPr>
              <w:t>3</w:t>
            </w:r>
            <w:r>
              <w:rPr>
                <w:spacing w:val="-1"/>
                <w:sz w:val="21"/>
                <w:szCs w:val="21"/>
                <w:highlight w:val="none"/>
              </w:rPr>
              <w:t>、评标价平均值（</w:t>
            </w:r>
            <w:r>
              <w:rPr>
                <w:rFonts w:ascii="Times New Roman" w:hAnsi="Times New Roman" w:eastAsia="Times New Roman" w:cs="Times New Roman"/>
                <w:spacing w:val="-1"/>
                <w:sz w:val="21"/>
                <w:szCs w:val="21"/>
                <w:highlight w:val="none"/>
              </w:rPr>
              <w:t>B</w:t>
            </w:r>
            <w:r>
              <w:rPr>
                <w:spacing w:val="-1"/>
                <w:sz w:val="21"/>
                <w:szCs w:val="21"/>
                <w:highlight w:val="none"/>
              </w:rPr>
              <w:t>）</w:t>
            </w:r>
          </w:p>
          <w:p w14:paraId="4E48D772">
            <w:pPr>
              <w:pStyle w:val="102"/>
              <w:spacing w:before="271" w:line="220" w:lineRule="auto"/>
              <w:ind w:left="536"/>
              <w:rPr>
                <w:sz w:val="21"/>
                <w:szCs w:val="21"/>
                <w:highlight w:val="none"/>
              </w:rPr>
            </w:pPr>
            <w:r>
              <w:rPr>
                <w:spacing w:val="-2"/>
                <w:sz w:val="21"/>
                <w:szCs w:val="21"/>
                <w:highlight w:val="none"/>
              </w:rPr>
              <w:t>（</w:t>
            </w:r>
            <w:r>
              <w:rPr>
                <w:rFonts w:ascii="Times New Roman" w:hAnsi="Times New Roman" w:eastAsia="Times New Roman" w:cs="Times New Roman"/>
                <w:spacing w:val="-2"/>
                <w:sz w:val="21"/>
                <w:szCs w:val="21"/>
                <w:highlight w:val="none"/>
              </w:rPr>
              <w:t>1</w:t>
            </w:r>
            <w:r>
              <w:rPr>
                <w:spacing w:val="-2"/>
                <w:sz w:val="21"/>
                <w:szCs w:val="21"/>
                <w:highlight w:val="none"/>
              </w:rPr>
              <w:t>）按下列公式，将计算得出的区段平均值</w:t>
            </w:r>
          </w:p>
          <w:p w14:paraId="2A5D4A69">
            <w:pPr>
              <w:pStyle w:val="102"/>
              <w:spacing w:before="111" w:line="317" w:lineRule="auto"/>
              <w:ind w:left="106" w:right="42" w:firstLine="10"/>
              <w:rPr>
                <w:sz w:val="21"/>
                <w:szCs w:val="21"/>
                <w:highlight w:val="none"/>
              </w:rPr>
            </w:pPr>
            <w:r>
              <w:rPr>
                <w:spacing w:val="-3"/>
                <w:sz w:val="21"/>
                <w:szCs w:val="21"/>
                <w:highlight w:val="none"/>
              </w:rPr>
              <w:t>（</w:t>
            </w:r>
            <w:r>
              <w:rPr>
                <w:rFonts w:ascii="Times New Roman" w:hAnsi="Times New Roman" w:eastAsia="Times New Roman" w:cs="Times New Roman"/>
                <w:spacing w:val="-3"/>
                <w:sz w:val="21"/>
                <w:szCs w:val="21"/>
                <w:highlight w:val="none"/>
              </w:rPr>
              <w:t>B2.1</w:t>
            </w:r>
            <w:r>
              <w:rPr>
                <w:rFonts w:ascii="Times New Roman" w:hAnsi="Times New Roman" w:eastAsia="Times New Roman" w:cs="Times New Roman"/>
                <w:spacing w:val="-29"/>
                <w:sz w:val="21"/>
                <w:szCs w:val="21"/>
                <w:highlight w:val="none"/>
              </w:rPr>
              <w:t xml:space="preserve"> </w:t>
            </w:r>
            <w:r>
              <w:rPr>
                <w:spacing w:val="-3"/>
                <w:sz w:val="21"/>
                <w:szCs w:val="21"/>
                <w:highlight w:val="none"/>
              </w:rPr>
              <w:t>、</w:t>
            </w:r>
            <w:r>
              <w:rPr>
                <w:rFonts w:ascii="Times New Roman" w:hAnsi="Times New Roman" w:eastAsia="Times New Roman" w:cs="Times New Roman"/>
                <w:spacing w:val="-3"/>
                <w:sz w:val="21"/>
                <w:szCs w:val="21"/>
                <w:highlight w:val="none"/>
              </w:rPr>
              <w:t>B2.2</w:t>
            </w:r>
            <w:r>
              <w:rPr>
                <w:rFonts w:ascii="Times New Roman" w:hAnsi="Times New Roman" w:eastAsia="Times New Roman" w:cs="Times New Roman"/>
                <w:spacing w:val="-30"/>
                <w:sz w:val="21"/>
                <w:szCs w:val="21"/>
                <w:highlight w:val="none"/>
              </w:rPr>
              <w:t xml:space="preserve"> </w:t>
            </w:r>
            <w:r>
              <w:rPr>
                <w:spacing w:val="-3"/>
                <w:sz w:val="21"/>
                <w:szCs w:val="21"/>
                <w:highlight w:val="none"/>
              </w:rPr>
              <w:t>、……、</w:t>
            </w:r>
            <w:r>
              <w:rPr>
                <w:rFonts w:ascii="Times New Roman" w:hAnsi="Times New Roman" w:eastAsia="Times New Roman" w:cs="Times New Roman"/>
                <w:spacing w:val="-3"/>
                <w:sz w:val="21"/>
                <w:szCs w:val="21"/>
                <w:highlight w:val="none"/>
              </w:rPr>
              <w:t>B2.15</w:t>
            </w:r>
            <w:r>
              <w:rPr>
                <w:rFonts w:ascii="Times New Roman" w:hAnsi="Times New Roman" w:eastAsia="Times New Roman" w:cs="Times New Roman"/>
                <w:spacing w:val="-30"/>
                <w:sz w:val="21"/>
                <w:szCs w:val="21"/>
                <w:highlight w:val="none"/>
              </w:rPr>
              <w:t xml:space="preserve"> </w:t>
            </w:r>
            <w:r>
              <w:rPr>
                <w:spacing w:val="-3"/>
                <w:sz w:val="21"/>
                <w:szCs w:val="21"/>
                <w:highlight w:val="none"/>
              </w:rPr>
              <w:t>、</w:t>
            </w:r>
            <w:r>
              <w:rPr>
                <w:rFonts w:ascii="Times New Roman" w:hAnsi="Times New Roman" w:eastAsia="Times New Roman" w:cs="Times New Roman"/>
                <w:spacing w:val="-3"/>
                <w:sz w:val="21"/>
                <w:szCs w:val="21"/>
                <w:highlight w:val="none"/>
              </w:rPr>
              <w:t>B2.16</w:t>
            </w:r>
            <w:r>
              <w:rPr>
                <w:spacing w:val="-3"/>
                <w:sz w:val="21"/>
                <w:szCs w:val="21"/>
                <w:highlight w:val="none"/>
              </w:rPr>
              <w:t>）进行加权</w:t>
            </w:r>
            <w:r>
              <w:rPr>
                <w:spacing w:val="-4"/>
                <w:sz w:val="21"/>
                <w:szCs w:val="21"/>
                <w:highlight w:val="none"/>
              </w:rPr>
              <w:t>平均（</w:t>
            </w:r>
            <w:r>
              <w:rPr>
                <w:rFonts w:ascii="Times New Roman" w:hAnsi="Times New Roman" w:eastAsia="Times New Roman" w:cs="Times New Roman"/>
                <w:spacing w:val="-4"/>
                <w:sz w:val="21"/>
                <w:szCs w:val="21"/>
                <w:highlight w:val="none"/>
              </w:rPr>
              <w:t xml:space="preserve">B2.1 </w:t>
            </w:r>
            <w:r>
              <w:rPr>
                <w:spacing w:val="-4"/>
                <w:sz w:val="21"/>
                <w:szCs w:val="21"/>
                <w:highlight w:val="none"/>
              </w:rPr>
              <w:t>和</w:t>
            </w:r>
            <w:r>
              <w:rPr>
                <w:spacing w:val="-49"/>
                <w:sz w:val="21"/>
                <w:szCs w:val="21"/>
                <w:highlight w:val="none"/>
              </w:rPr>
              <w:t xml:space="preserve"> </w:t>
            </w:r>
            <w:r>
              <w:rPr>
                <w:rFonts w:ascii="Times New Roman" w:hAnsi="Times New Roman" w:eastAsia="Times New Roman" w:cs="Times New Roman"/>
                <w:spacing w:val="-4"/>
                <w:sz w:val="21"/>
                <w:szCs w:val="21"/>
                <w:highlight w:val="none"/>
              </w:rPr>
              <w:t xml:space="preserve">B2.16 </w:t>
            </w:r>
            <w:r>
              <w:rPr>
                <w:spacing w:val="-4"/>
                <w:sz w:val="21"/>
                <w:szCs w:val="21"/>
                <w:highlight w:val="none"/>
              </w:rPr>
              <w:t>权重为</w:t>
            </w:r>
            <w:r>
              <w:rPr>
                <w:spacing w:val="-44"/>
                <w:sz w:val="21"/>
                <w:szCs w:val="21"/>
                <w:highlight w:val="none"/>
              </w:rPr>
              <w:t xml:space="preserve"> </w:t>
            </w:r>
            <w:r>
              <w:rPr>
                <w:rFonts w:ascii="Times New Roman" w:hAnsi="Times New Roman" w:eastAsia="Times New Roman" w:cs="Times New Roman"/>
                <w:spacing w:val="-4"/>
                <w:sz w:val="21"/>
                <w:szCs w:val="21"/>
                <w:highlight w:val="none"/>
              </w:rPr>
              <w:t>0.1</w:t>
            </w:r>
            <w:r>
              <w:rPr>
                <w:spacing w:val="-4"/>
                <w:sz w:val="21"/>
                <w:szCs w:val="21"/>
                <w:highlight w:val="none"/>
              </w:rPr>
              <w:t>，</w:t>
            </w:r>
            <w:r>
              <w:rPr>
                <w:rFonts w:ascii="Times New Roman" w:hAnsi="Times New Roman" w:eastAsia="Times New Roman" w:cs="Times New Roman"/>
                <w:spacing w:val="-4"/>
                <w:sz w:val="21"/>
                <w:szCs w:val="21"/>
                <w:highlight w:val="none"/>
              </w:rPr>
              <w:t xml:space="preserve">B2.2 </w:t>
            </w:r>
            <w:r>
              <w:rPr>
                <w:spacing w:val="-4"/>
                <w:sz w:val="21"/>
                <w:szCs w:val="21"/>
                <w:highlight w:val="none"/>
              </w:rPr>
              <w:t>和</w:t>
            </w:r>
            <w:r>
              <w:rPr>
                <w:spacing w:val="-49"/>
                <w:sz w:val="21"/>
                <w:szCs w:val="21"/>
                <w:highlight w:val="none"/>
              </w:rPr>
              <w:t xml:space="preserve"> </w:t>
            </w:r>
            <w:r>
              <w:rPr>
                <w:rFonts w:ascii="Times New Roman" w:hAnsi="Times New Roman" w:eastAsia="Times New Roman" w:cs="Times New Roman"/>
                <w:spacing w:val="-4"/>
                <w:sz w:val="21"/>
                <w:szCs w:val="21"/>
                <w:highlight w:val="none"/>
              </w:rPr>
              <w:t xml:space="preserve">B2.15 </w:t>
            </w:r>
            <w:r>
              <w:rPr>
                <w:spacing w:val="-4"/>
                <w:sz w:val="21"/>
                <w:szCs w:val="21"/>
                <w:highlight w:val="none"/>
              </w:rPr>
              <w:t>权重为</w:t>
            </w:r>
            <w:r>
              <w:rPr>
                <w:spacing w:val="-45"/>
                <w:sz w:val="21"/>
                <w:szCs w:val="21"/>
                <w:highlight w:val="none"/>
              </w:rPr>
              <w:t xml:space="preserve"> </w:t>
            </w:r>
            <w:r>
              <w:rPr>
                <w:rFonts w:ascii="Times New Roman" w:hAnsi="Times New Roman" w:eastAsia="Times New Roman" w:cs="Times New Roman"/>
                <w:spacing w:val="-5"/>
                <w:sz w:val="21"/>
                <w:szCs w:val="21"/>
                <w:highlight w:val="none"/>
              </w:rPr>
              <w:t>0.3</w:t>
            </w:r>
            <w:r>
              <w:rPr>
                <w:spacing w:val="-5"/>
                <w:sz w:val="21"/>
                <w:szCs w:val="21"/>
                <w:highlight w:val="none"/>
              </w:rPr>
              <w:t>，</w:t>
            </w:r>
            <w:r>
              <w:rPr>
                <w:sz w:val="21"/>
                <w:szCs w:val="21"/>
                <w:highlight w:val="none"/>
              </w:rPr>
              <w:t xml:space="preserve"> </w:t>
            </w:r>
            <w:r>
              <w:rPr>
                <w:rFonts w:ascii="Times New Roman" w:hAnsi="Times New Roman" w:eastAsia="Times New Roman" w:cs="Times New Roman"/>
                <w:spacing w:val="-2"/>
                <w:sz w:val="21"/>
                <w:szCs w:val="21"/>
                <w:highlight w:val="none"/>
              </w:rPr>
              <w:t xml:space="preserve">B2.3 </w:t>
            </w:r>
            <w:r>
              <w:rPr>
                <w:spacing w:val="-2"/>
                <w:sz w:val="21"/>
                <w:szCs w:val="21"/>
                <w:highlight w:val="none"/>
              </w:rPr>
              <w:t>和</w:t>
            </w:r>
            <w:r>
              <w:rPr>
                <w:spacing w:val="-48"/>
                <w:sz w:val="21"/>
                <w:szCs w:val="21"/>
                <w:highlight w:val="none"/>
              </w:rPr>
              <w:t xml:space="preserve"> </w:t>
            </w:r>
            <w:r>
              <w:rPr>
                <w:rFonts w:ascii="Times New Roman" w:hAnsi="Times New Roman" w:eastAsia="Times New Roman" w:cs="Times New Roman"/>
                <w:spacing w:val="-2"/>
                <w:sz w:val="21"/>
                <w:szCs w:val="21"/>
                <w:highlight w:val="none"/>
              </w:rPr>
              <w:t xml:space="preserve">B2.14 </w:t>
            </w:r>
            <w:r>
              <w:rPr>
                <w:spacing w:val="-2"/>
                <w:sz w:val="21"/>
                <w:szCs w:val="21"/>
                <w:highlight w:val="none"/>
              </w:rPr>
              <w:t>权重为</w:t>
            </w:r>
            <w:r>
              <w:rPr>
                <w:spacing w:val="-45"/>
                <w:sz w:val="21"/>
                <w:szCs w:val="21"/>
                <w:highlight w:val="none"/>
              </w:rPr>
              <w:t xml:space="preserve"> </w:t>
            </w:r>
            <w:r>
              <w:rPr>
                <w:rFonts w:ascii="Times New Roman" w:hAnsi="Times New Roman" w:eastAsia="Times New Roman" w:cs="Times New Roman"/>
                <w:spacing w:val="-2"/>
                <w:sz w:val="21"/>
                <w:szCs w:val="21"/>
                <w:highlight w:val="none"/>
              </w:rPr>
              <w:t>0.5</w:t>
            </w:r>
            <w:r>
              <w:rPr>
                <w:spacing w:val="-2"/>
                <w:sz w:val="21"/>
                <w:szCs w:val="21"/>
                <w:highlight w:val="none"/>
              </w:rPr>
              <w:t>，</w:t>
            </w:r>
            <w:r>
              <w:rPr>
                <w:spacing w:val="-3"/>
                <w:sz w:val="21"/>
                <w:szCs w:val="21"/>
                <w:highlight w:val="none"/>
              </w:rPr>
              <w:t xml:space="preserve">其余权重为 </w:t>
            </w:r>
            <w:r>
              <w:rPr>
                <w:rFonts w:ascii="Times New Roman" w:hAnsi="Times New Roman" w:eastAsia="Times New Roman" w:cs="Times New Roman"/>
                <w:spacing w:val="-3"/>
                <w:sz w:val="21"/>
                <w:szCs w:val="21"/>
                <w:highlight w:val="none"/>
              </w:rPr>
              <w:t>1.0</w:t>
            </w:r>
            <w:r>
              <w:rPr>
                <w:spacing w:val="-2"/>
                <w:sz w:val="21"/>
                <w:szCs w:val="21"/>
                <w:highlight w:val="none"/>
              </w:rPr>
              <w:t>），</w:t>
            </w:r>
            <w:r>
              <w:rPr>
                <w:spacing w:val="-3"/>
                <w:sz w:val="21"/>
                <w:szCs w:val="21"/>
                <w:highlight w:val="none"/>
              </w:rPr>
              <w:t>得出评</w:t>
            </w:r>
            <w:r>
              <w:rPr>
                <w:spacing w:val="-7"/>
                <w:sz w:val="21"/>
                <w:szCs w:val="21"/>
                <w:highlight w:val="none"/>
              </w:rPr>
              <w:t>标价平均值（</w:t>
            </w:r>
            <w:r>
              <w:rPr>
                <w:rFonts w:ascii="Times New Roman" w:hAnsi="Times New Roman" w:eastAsia="Times New Roman" w:cs="Times New Roman"/>
                <w:spacing w:val="-7"/>
                <w:sz w:val="21"/>
                <w:szCs w:val="21"/>
                <w:highlight w:val="none"/>
              </w:rPr>
              <w:t>B</w:t>
            </w:r>
            <w:r>
              <w:rPr>
                <w:spacing w:val="-7"/>
                <w:sz w:val="21"/>
                <w:szCs w:val="21"/>
                <w:highlight w:val="none"/>
              </w:rPr>
              <w:t>）。评标价平均值（</w:t>
            </w:r>
            <w:r>
              <w:rPr>
                <w:rFonts w:ascii="Times New Roman" w:hAnsi="Times New Roman" w:eastAsia="Times New Roman" w:cs="Times New Roman"/>
                <w:spacing w:val="-7"/>
                <w:sz w:val="21"/>
                <w:szCs w:val="21"/>
                <w:highlight w:val="none"/>
              </w:rPr>
              <w:t>B</w:t>
            </w:r>
            <w:r>
              <w:rPr>
                <w:spacing w:val="-7"/>
                <w:sz w:val="21"/>
                <w:szCs w:val="21"/>
                <w:highlight w:val="none"/>
              </w:rPr>
              <w:t>）保留七位小数，</w:t>
            </w:r>
            <w:r>
              <w:rPr>
                <w:spacing w:val="-3"/>
                <w:sz w:val="21"/>
                <w:szCs w:val="21"/>
                <w:highlight w:val="none"/>
              </w:rPr>
              <w:t>小数点后第八位“四舍五入”。</w:t>
            </w:r>
          </w:p>
          <w:p w14:paraId="64B82130">
            <w:pPr>
              <w:pStyle w:val="102"/>
              <w:spacing w:before="126" w:line="323" w:lineRule="auto"/>
              <w:ind w:left="103" w:right="102" w:firstLine="423"/>
              <w:jc w:val="both"/>
              <w:rPr>
                <w:sz w:val="21"/>
                <w:szCs w:val="21"/>
                <w:highlight w:val="none"/>
              </w:rPr>
            </w:pPr>
            <w:r>
              <w:rPr>
                <w:rFonts w:ascii="Times New Roman" w:hAnsi="Times New Roman" w:eastAsia="Times New Roman" w:cs="Times New Roman"/>
                <w:sz w:val="21"/>
                <w:szCs w:val="21"/>
                <w:highlight w:val="none"/>
              </w:rPr>
              <w:t>B=[0.1*B2.1+0.3*B2.2+0.5*B2.3+1.0*</w:t>
            </w:r>
            <w:r>
              <w:rPr>
                <w:rFonts w:ascii="Times New Roman" w:hAnsi="Times New Roman" w:eastAsia="Times New Roman" w:cs="Times New Roman"/>
                <w:spacing w:val="20"/>
                <w:w w:val="101"/>
                <w:sz w:val="21"/>
                <w:szCs w:val="21"/>
                <w:highlight w:val="none"/>
              </w:rPr>
              <w:t xml:space="preserve"> </w:t>
            </w:r>
            <w:r>
              <w:rPr>
                <w:sz w:val="21"/>
                <w:szCs w:val="21"/>
                <w:highlight w:val="none"/>
              </w:rPr>
              <w:t>（</w:t>
            </w:r>
            <w:r>
              <w:rPr>
                <w:rFonts w:ascii="Times New Roman" w:hAnsi="Times New Roman" w:eastAsia="Times New Roman" w:cs="Times New Roman"/>
                <w:sz w:val="21"/>
                <w:szCs w:val="21"/>
                <w:highlight w:val="none"/>
              </w:rPr>
              <w:t>B2.</w:t>
            </w:r>
            <w:r>
              <w:rPr>
                <w:rFonts w:ascii="Times New Roman" w:hAnsi="Times New Roman" w:eastAsia="Times New Roman" w:cs="Times New Roman"/>
                <w:spacing w:val="-1"/>
                <w:sz w:val="21"/>
                <w:szCs w:val="21"/>
                <w:highlight w:val="none"/>
              </w:rPr>
              <w:t>4+B2.</w:t>
            </w:r>
            <w:r>
              <w:rPr>
                <w:rFonts w:ascii="Times New Roman" w:hAnsi="Times New Roman" w:eastAsia="Times New Roman" w:cs="Times New Roman"/>
                <w:sz w:val="21"/>
                <w:szCs w:val="21"/>
                <w:highlight w:val="none"/>
              </w:rPr>
              <w:t xml:space="preserve"> </w:t>
            </w:r>
            <w:r>
              <w:rPr>
                <w:rFonts w:ascii="Times New Roman" w:hAnsi="Times New Roman" w:eastAsia="Times New Roman" w:cs="Times New Roman"/>
                <w:spacing w:val="-6"/>
                <w:sz w:val="21"/>
                <w:szCs w:val="21"/>
                <w:highlight w:val="none"/>
              </w:rPr>
              <w:t>5+</w:t>
            </w:r>
            <w:r>
              <w:rPr>
                <w:spacing w:val="-6"/>
                <w:sz w:val="21"/>
                <w:szCs w:val="21"/>
                <w:highlight w:val="none"/>
              </w:rPr>
              <w:t>……</w:t>
            </w:r>
            <w:r>
              <w:rPr>
                <w:rFonts w:ascii="Times New Roman" w:hAnsi="Times New Roman" w:eastAsia="Times New Roman" w:cs="Times New Roman"/>
                <w:spacing w:val="-6"/>
                <w:sz w:val="21"/>
                <w:szCs w:val="21"/>
                <w:highlight w:val="none"/>
              </w:rPr>
              <w:t>+B2.12+B2.13+</w:t>
            </w:r>
            <w:r>
              <w:rPr>
                <w:spacing w:val="-6"/>
                <w:sz w:val="21"/>
                <w:szCs w:val="21"/>
                <w:highlight w:val="none"/>
              </w:rPr>
              <w:t>）</w:t>
            </w:r>
            <w:r>
              <w:rPr>
                <w:rFonts w:ascii="Times New Roman" w:hAnsi="Times New Roman" w:eastAsia="Times New Roman" w:cs="Times New Roman"/>
                <w:spacing w:val="-6"/>
                <w:sz w:val="21"/>
                <w:szCs w:val="21"/>
                <w:highlight w:val="none"/>
              </w:rPr>
              <w:t>0.5*B2.14+0.3*B2.15+0.1*B2.16]</w:t>
            </w:r>
            <w:r>
              <w:rPr>
                <w:rFonts w:ascii="Times New Roman" w:hAnsi="Times New Roman" w:eastAsia="Times New Roman" w:cs="Times New Roman"/>
                <w:spacing w:val="13"/>
                <w:w w:val="101"/>
                <w:sz w:val="21"/>
                <w:szCs w:val="21"/>
                <w:highlight w:val="none"/>
              </w:rPr>
              <w:t xml:space="preserve"> </w:t>
            </w:r>
            <w:r>
              <w:rPr>
                <w:rFonts w:ascii="Times New Roman" w:hAnsi="Times New Roman" w:eastAsia="Times New Roman" w:cs="Times New Roman"/>
                <w:sz w:val="21"/>
                <w:szCs w:val="21"/>
                <w:highlight w:val="none"/>
              </w:rPr>
              <w:t>/[0.1+0.3+0.5+1.0+1.0+1.0+1.0+1.0+1.0+1.0+1.0+1.0+</w:t>
            </w:r>
            <w:r>
              <w:rPr>
                <w:rFonts w:ascii="Times New Roman" w:hAnsi="Times New Roman" w:eastAsia="Times New Roman" w:cs="Times New Roman"/>
                <w:spacing w:val="-1"/>
                <w:sz w:val="21"/>
                <w:szCs w:val="21"/>
                <w:highlight w:val="none"/>
              </w:rPr>
              <w:t>1.</w:t>
            </w:r>
            <w:r>
              <w:rPr>
                <w:rFonts w:ascii="Times New Roman" w:hAnsi="Times New Roman" w:eastAsia="Times New Roman" w:cs="Times New Roman"/>
                <w:sz w:val="21"/>
                <w:szCs w:val="21"/>
                <w:highlight w:val="none"/>
              </w:rPr>
              <w:t xml:space="preserve"> </w:t>
            </w:r>
            <w:r>
              <w:rPr>
                <w:rFonts w:ascii="Times New Roman" w:hAnsi="Times New Roman" w:eastAsia="Times New Roman" w:cs="Times New Roman"/>
                <w:spacing w:val="-1"/>
                <w:sz w:val="21"/>
                <w:szCs w:val="21"/>
                <w:highlight w:val="none"/>
              </w:rPr>
              <w:t>0+0.5+0.3+0.1]</w:t>
            </w:r>
            <w:r>
              <w:rPr>
                <w:spacing w:val="-1"/>
                <w:sz w:val="21"/>
                <w:szCs w:val="21"/>
                <w:highlight w:val="none"/>
              </w:rPr>
              <w:t>。</w:t>
            </w:r>
          </w:p>
          <w:p w14:paraId="0FEDDE49">
            <w:pPr>
              <w:pStyle w:val="102"/>
              <w:spacing w:before="201" w:line="317" w:lineRule="auto"/>
              <w:ind w:left="106" w:firstLine="423"/>
              <w:rPr>
                <w:sz w:val="21"/>
                <w:szCs w:val="21"/>
                <w:highlight w:val="none"/>
              </w:rPr>
            </w:pPr>
            <w:r>
              <w:rPr>
                <w:spacing w:val="-7"/>
                <w:sz w:val="21"/>
                <w:szCs w:val="21"/>
                <w:highlight w:val="none"/>
              </w:rPr>
              <w:t>（</w:t>
            </w:r>
            <w:r>
              <w:rPr>
                <w:rFonts w:ascii="Times New Roman" w:hAnsi="Times New Roman" w:eastAsia="Times New Roman" w:cs="Times New Roman"/>
                <w:spacing w:val="-7"/>
                <w:sz w:val="21"/>
                <w:szCs w:val="21"/>
                <w:highlight w:val="none"/>
              </w:rPr>
              <w:t>2</w:t>
            </w:r>
            <w:r>
              <w:rPr>
                <w:spacing w:val="-7"/>
                <w:sz w:val="21"/>
                <w:szCs w:val="21"/>
                <w:highlight w:val="none"/>
              </w:rPr>
              <w:t>）如果某区段无区段平均值，则该区段不计区段平均值。如：无</w:t>
            </w:r>
            <w:r>
              <w:rPr>
                <w:spacing w:val="-50"/>
                <w:sz w:val="21"/>
                <w:szCs w:val="21"/>
                <w:highlight w:val="none"/>
              </w:rPr>
              <w:t xml:space="preserve"> </w:t>
            </w:r>
            <w:r>
              <w:rPr>
                <w:rFonts w:ascii="Times New Roman" w:hAnsi="Times New Roman" w:eastAsia="Times New Roman" w:cs="Times New Roman"/>
                <w:spacing w:val="-7"/>
                <w:sz w:val="21"/>
                <w:szCs w:val="21"/>
                <w:highlight w:val="none"/>
              </w:rPr>
              <w:t>B2.1</w:t>
            </w:r>
            <w:r>
              <w:rPr>
                <w:rFonts w:ascii="Times New Roman" w:hAnsi="Times New Roman" w:eastAsia="Times New Roman" w:cs="Times New Roman"/>
                <w:spacing w:val="-30"/>
                <w:sz w:val="21"/>
                <w:szCs w:val="21"/>
                <w:highlight w:val="none"/>
              </w:rPr>
              <w:t xml:space="preserve"> </w:t>
            </w:r>
            <w:r>
              <w:rPr>
                <w:spacing w:val="-7"/>
                <w:sz w:val="21"/>
                <w:szCs w:val="21"/>
                <w:highlight w:val="none"/>
              </w:rPr>
              <w:t>、</w:t>
            </w:r>
            <w:r>
              <w:rPr>
                <w:rFonts w:ascii="Times New Roman" w:hAnsi="Times New Roman" w:eastAsia="Times New Roman" w:cs="Times New Roman"/>
                <w:spacing w:val="-7"/>
                <w:sz w:val="21"/>
                <w:szCs w:val="21"/>
                <w:highlight w:val="none"/>
              </w:rPr>
              <w:t>B2.3</w:t>
            </w:r>
            <w:r>
              <w:rPr>
                <w:rFonts w:ascii="Times New Roman" w:hAnsi="Times New Roman" w:eastAsia="Times New Roman" w:cs="Times New Roman"/>
                <w:spacing w:val="-30"/>
                <w:sz w:val="21"/>
                <w:szCs w:val="21"/>
                <w:highlight w:val="none"/>
              </w:rPr>
              <w:t xml:space="preserve"> </w:t>
            </w:r>
            <w:r>
              <w:rPr>
                <w:spacing w:val="-7"/>
                <w:sz w:val="21"/>
                <w:szCs w:val="21"/>
                <w:highlight w:val="none"/>
              </w:rPr>
              <w:t>、</w:t>
            </w:r>
            <w:r>
              <w:rPr>
                <w:rFonts w:ascii="Times New Roman" w:hAnsi="Times New Roman" w:eastAsia="Times New Roman" w:cs="Times New Roman"/>
                <w:spacing w:val="-7"/>
                <w:sz w:val="21"/>
                <w:szCs w:val="21"/>
                <w:highlight w:val="none"/>
              </w:rPr>
              <w:t>B2.</w:t>
            </w:r>
            <w:r>
              <w:rPr>
                <w:rFonts w:ascii="Times New Roman" w:hAnsi="Times New Roman" w:eastAsia="Times New Roman" w:cs="Times New Roman"/>
                <w:spacing w:val="-8"/>
                <w:sz w:val="21"/>
                <w:szCs w:val="21"/>
                <w:highlight w:val="none"/>
              </w:rPr>
              <w:t>9</w:t>
            </w:r>
            <w:r>
              <w:rPr>
                <w:rFonts w:ascii="Times New Roman" w:hAnsi="Times New Roman" w:eastAsia="Times New Roman" w:cs="Times New Roman"/>
                <w:spacing w:val="-30"/>
                <w:sz w:val="21"/>
                <w:szCs w:val="21"/>
                <w:highlight w:val="none"/>
              </w:rPr>
              <w:t xml:space="preserve"> </w:t>
            </w:r>
            <w:r>
              <w:rPr>
                <w:spacing w:val="-8"/>
                <w:sz w:val="21"/>
                <w:szCs w:val="21"/>
                <w:highlight w:val="none"/>
              </w:rPr>
              <w:t>、</w:t>
            </w:r>
            <w:r>
              <w:rPr>
                <w:rFonts w:ascii="Times New Roman" w:hAnsi="Times New Roman" w:eastAsia="Times New Roman" w:cs="Times New Roman"/>
                <w:spacing w:val="-8"/>
                <w:sz w:val="21"/>
                <w:szCs w:val="21"/>
                <w:highlight w:val="none"/>
              </w:rPr>
              <w:t xml:space="preserve">B2.15 </w:t>
            </w:r>
            <w:r>
              <w:rPr>
                <w:spacing w:val="-8"/>
                <w:sz w:val="21"/>
                <w:szCs w:val="21"/>
                <w:highlight w:val="none"/>
              </w:rPr>
              <w:t>等区段平</w:t>
            </w:r>
            <w:r>
              <w:rPr>
                <w:spacing w:val="-7"/>
                <w:sz w:val="21"/>
                <w:szCs w:val="21"/>
                <w:highlight w:val="none"/>
              </w:rPr>
              <w:t>均值，即</w:t>
            </w:r>
            <w:r>
              <w:rPr>
                <w:spacing w:val="-32"/>
                <w:sz w:val="21"/>
                <w:szCs w:val="21"/>
                <w:highlight w:val="none"/>
              </w:rPr>
              <w:t xml:space="preserve"> </w:t>
            </w:r>
            <w:r>
              <w:rPr>
                <w:rFonts w:ascii="Times New Roman" w:hAnsi="Times New Roman" w:eastAsia="Times New Roman" w:cs="Times New Roman"/>
                <w:spacing w:val="-7"/>
                <w:sz w:val="21"/>
                <w:szCs w:val="21"/>
                <w:highlight w:val="none"/>
              </w:rPr>
              <w:t>B2.1</w:t>
            </w:r>
            <w:r>
              <w:rPr>
                <w:spacing w:val="-7"/>
                <w:sz w:val="21"/>
                <w:szCs w:val="21"/>
                <w:highlight w:val="none"/>
              </w:rPr>
              <w:t>、</w:t>
            </w:r>
            <w:r>
              <w:rPr>
                <w:rFonts w:ascii="Times New Roman" w:hAnsi="Times New Roman" w:eastAsia="Times New Roman" w:cs="Times New Roman"/>
                <w:spacing w:val="-7"/>
                <w:sz w:val="21"/>
                <w:szCs w:val="21"/>
                <w:highlight w:val="none"/>
              </w:rPr>
              <w:t>B2.3</w:t>
            </w:r>
            <w:r>
              <w:rPr>
                <w:spacing w:val="-7"/>
                <w:sz w:val="21"/>
                <w:szCs w:val="21"/>
                <w:highlight w:val="none"/>
              </w:rPr>
              <w:t>、</w:t>
            </w:r>
            <w:r>
              <w:rPr>
                <w:rFonts w:ascii="Times New Roman" w:hAnsi="Times New Roman" w:eastAsia="Times New Roman" w:cs="Times New Roman"/>
                <w:spacing w:val="-7"/>
                <w:sz w:val="21"/>
                <w:szCs w:val="21"/>
                <w:highlight w:val="none"/>
              </w:rPr>
              <w:t>B2.9</w:t>
            </w:r>
            <w:r>
              <w:rPr>
                <w:spacing w:val="-7"/>
                <w:sz w:val="21"/>
                <w:szCs w:val="21"/>
                <w:highlight w:val="none"/>
              </w:rPr>
              <w:t>、</w:t>
            </w:r>
            <w:r>
              <w:rPr>
                <w:rFonts w:ascii="Times New Roman" w:hAnsi="Times New Roman" w:eastAsia="Times New Roman" w:cs="Times New Roman"/>
                <w:spacing w:val="-7"/>
                <w:sz w:val="21"/>
                <w:szCs w:val="21"/>
                <w:highlight w:val="none"/>
              </w:rPr>
              <w:t>B2.15</w:t>
            </w:r>
            <w:r>
              <w:rPr>
                <w:rFonts w:ascii="Times New Roman" w:hAnsi="Times New Roman" w:eastAsia="Times New Roman" w:cs="Times New Roman"/>
                <w:spacing w:val="31"/>
                <w:sz w:val="21"/>
                <w:szCs w:val="21"/>
                <w:highlight w:val="none"/>
              </w:rPr>
              <w:t xml:space="preserve"> </w:t>
            </w:r>
            <w:r>
              <w:rPr>
                <w:spacing w:val="-7"/>
                <w:sz w:val="21"/>
                <w:szCs w:val="21"/>
                <w:highlight w:val="none"/>
              </w:rPr>
              <w:t>以及其权重均等于</w:t>
            </w:r>
            <w:r>
              <w:rPr>
                <w:sz w:val="21"/>
                <w:szCs w:val="21"/>
                <w:highlight w:val="none"/>
              </w:rPr>
              <w:t xml:space="preserve"> </w:t>
            </w:r>
            <w:r>
              <w:rPr>
                <w:rFonts w:ascii="Times New Roman" w:hAnsi="Times New Roman" w:eastAsia="Times New Roman" w:cs="Times New Roman"/>
                <w:spacing w:val="-3"/>
                <w:sz w:val="21"/>
                <w:szCs w:val="21"/>
                <w:highlight w:val="none"/>
              </w:rPr>
              <w:t>0</w:t>
            </w:r>
            <w:r>
              <w:rPr>
                <w:spacing w:val="-3"/>
                <w:sz w:val="21"/>
                <w:szCs w:val="21"/>
                <w:highlight w:val="none"/>
              </w:rPr>
              <w:t>，则评标价平均值</w:t>
            </w:r>
            <w:r>
              <w:rPr>
                <w:spacing w:val="-50"/>
                <w:sz w:val="21"/>
                <w:szCs w:val="21"/>
                <w:highlight w:val="none"/>
              </w:rPr>
              <w:t xml:space="preserve"> </w:t>
            </w:r>
            <w:r>
              <w:rPr>
                <w:rFonts w:ascii="Times New Roman" w:hAnsi="Times New Roman" w:eastAsia="Times New Roman" w:cs="Times New Roman"/>
                <w:spacing w:val="-3"/>
                <w:sz w:val="21"/>
                <w:szCs w:val="21"/>
                <w:highlight w:val="none"/>
              </w:rPr>
              <w:t>B=[0.0*0.0+0.3*B2.2+0.0*0.0+1.0*</w:t>
            </w:r>
            <w:r>
              <w:rPr>
                <w:rFonts w:ascii="Times New Roman" w:hAnsi="Times New Roman" w:eastAsia="Times New Roman" w:cs="Times New Roman"/>
                <w:sz w:val="21"/>
                <w:szCs w:val="21"/>
                <w:highlight w:val="none"/>
              </w:rPr>
              <w:t xml:space="preserve"> </w:t>
            </w:r>
            <w:r>
              <w:rPr>
                <w:spacing w:val="-2"/>
                <w:sz w:val="21"/>
                <w:szCs w:val="21"/>
                <w:highlight w:val="none"/>
              </w:rPr>
              <w:t>（</w:t>
            </w:r>
            <w:r>
              <w:rPr>
                <w:rFonts w:ascii="Times New Roman" w:hAnsi="Times New Roman" w:eastAsia="Times New Roman" w:cs="Times New Roman"/>
                <w:spacing w:val="-2"/>
                <w:sz w:val="21"/>
                <w:szCs w:val="21"/>
                <w:highlight w:val="none"/>
              </w:rPr>
              <w:t>B2.4+B2.5+</w:t>
            </w:r>
            <w:r>
              <w:rPr>
                <w:spacing w:val="-2"/>
                <w:sz w:val="21"/>
                <w:szCs w:val="21"/>
                <w:highlight w:val="none"/>
              </w:rPr>
              <w:t>……</w:t>
            </w:r>
            <w:r>
              <w:rPr>
                <w:rFonts w:ascii="Times New Roman" w:hAnsi="Times New Roman" w:eastAsia="Times New Roman" w:cs="Times New Roman"/>
                <w:spacing w:val="-2"/>
                <w:sz w:val="21"/>
                <w:szCs w:val="21"/>
                <w:highlight w:val="none"/>
              </w:rPr>
              <w:t>+B2.8+0.0+B2.1</w:t>
            </w:r>
            <w:r>
              <w:rPr>
                <w:rFonts w:ascii="Times New Roman" w:hAnsi="Times New Roman" w:eastAsia="Times New Roman" w:cs="Times New Roman"/>
                <w:spacing w:val="-3"/>
                <w:sz w:val="21"/>
                <w:szCs w:val="21"/>
                <w:highlight w:val="none"/>
              </w:rPr>
              <w:t>0+</w:t>
            </w:r>
            <w:r>
              <w:rPr>
                <w:spacing w:val="-3"/>
                <w:sz w:val="21"/>
                <w:szCs w:val="21"/>
                <w:highlight w:val="none"/>
              </w:rPr>
              <w:t>……</w:t>
            </w:r>
            <w:r>
              <w:rPr>
                <w:rFonts w:ascii="Times New Roman" w:hAnsi="Times New Roman" w:eastAsia="Times New Roman" w:cs="Times New Roman"/>
                <w:spacing w:val="-3"/>
                <w:sz w:val="21"/>
                <w:szCs w:val="21"/>
                <w:highlight w:val="none"/>
              </w:rPr>
              <w:t>B2.12+B2.13</w:t>
            </w:r>
            <w:r>
              <w:rPr>
                <w:spacing w:val="-3"/>
                <w:sz w:val="21"/>
                <w:szCs w:val="21"/>
                <w:highlight w:val="none"/>
              </w:rPr>
              <w:t>）</w:t>
            </w:r>
            <w:r>
              <w:rPr>
                <w:sz w:val="21"/>
                <w:szCs w:val="21"/>
                <w:highlight w:val="none"/>
              </w:rPr>
              <w:t xml:space="preserve"> </w:t>
            </w:r>
            <w:r>
              <w:rPr>
                <w:rFonts w:ascii="Times New Roman" w:hAnsi="Times New Roman" w:eastAsia="Times New Roman" w:cs="Times New Roman"/>
                <w:spacing w:val="-2"/>
                <w:sz w:val="21"/>
                <w:szCs w:val="21"/>
                <w:highlight w:val="none"/>
              </w:rPr>
              <w:t>+0.5*B2.14+0.0*0.0+0.1*B2.16]/[0.0+0.3+0.0+1.0+1.0+</w:t>
            </w:r>
            <w:r>
              <w:rPr>
                <w:rFonts w:ascii="Times New Roman" w:hAnsi="Times New Roman" w:eastAsia="Times New Roman" w:cs="Times New Roman"/>
                <w:spacing w:val="3"/>
                <w:sz w:val="21"/>
                <w:szCs w:val="21"/>
                <w:highlight w:val="none"/>
              </w:rPr>
              <w:t xml:space="preserve">   </w:t>
            </w:r>
            <w:r>
              <w:rPr>
                <w:rFonts w:ascii="Times New Roman" w:hAnsi="Times New Roman" w:eastAsia="Times New Roman" w:cs="Times New Roman"/>
                <w:spacing w:val="-2"/>
                <w:sz w:val="21"/>
                <w:szCs w:val="21"/>
                <w:highlight w:val="none"/>
              </w:rPr>
              <w:t>1.0+1.0+1.0+0.0+1.0+1.0+1.0+1.0+0.5+0.0+0.1]</w:t>
            </w:r>
            <w:r>
              <w:rPr>
                <w:spacing w:val="-2"/>
                <w:sz w:val="21"/>
                <w:szCs w:val="21"/>
                <w:highlight w:val="none"/>
              </w:rPr>
              <w:t>。</w:t>
            </w:r>
          </w:p>
          <w:p w14:paraId="0B12D78C">
            <w:pPr>
              <w:pStyle w:val="102"/>
              <w:spacing w:before="197" w:line="219" w:lineRule="auto"/>
              <w:ind w:left="531"/>
              <w:rPr>
                <w:rFonts w:ascii="Times New Roman" w:hAnsi="Times New Roman" w:eastAsia="Times New Roman" w:cs="Times New Roman"/>
                <w:sz w:val="21"/>
                <w:szCs w:val="21"/>
                <w:highlight w:val="none"/>
              </w:rPr>
            </w:pPr>
            <w:r>
              <w:rPr>
                <w:b/>
                <w:bCs/>
                <w:spacing w:val="-2"/>
                <w:sz w:val="21"/>
                <w:szCs w:val="21"/>
                <w:highlight w:val="none"/>
              </w:rPr>
              <w:t>三、评标价平均值（</w:t>
            </w:r>
            <w:r>
              <w:rPr>
                <w:rFonts w:ascii="Times New Roman" w:hAnsi="Times New Roman" w:eastAsia="Times New Roman" w:cs="Times New Roman"/>
                <w:b/>
                <w:bCs/>
                <w:spacing w:val="-2"/>
                <w:sz w:val="21"/>
                <w:szCs w:val="21"/>
                <w:highlight w:val="none"/>
              </w:rPr>
              <w:t>B</w:t>
            </w:r>
            <w:r>
              <w:rPr>
                <w:b/>
                <w:bCs/>
                <w:spacing w:val="-2"/>
                <w:sz w:val="21"/>
                <w:szCs w:val="21"/>
                <w:highlight w:val="none"/>
              </w:rPr>
              <w:t>）计算方法</w:t>
            </w:r>
            <w:r>
              <w:rPr>
                <w:spacing w:val="-44"/>
                <w:sz w:val="21"/>
                <w:szCs w:val="21"/>
                <w:highlight w:val="none"/>
              </w:rPr>
              <w:t xml:space="preserve"> </w:t>
            </w:r>
            <w:r>
              <w:rPr>
                <w:rFonts w:ascii="Times New Roman" w:hAnsi="Times New Roman" w:eastAsia="Times New Roman" w:cs="Times New Roman"/>
                <w:b/>
                <w:bCs/>
                <w:spacing w:val="-2"/>
                <w:sz w:val="21"/>
                <w:szCs w:val="21"/>
                <w:highlight w:val="none"/>
              </w:rPr>
              <w:t>2</w:t>
            </w:r>
          </w:p>
          <w:p w14:paraId="47531101">
            <w:pPr>
              <w:pStyle w:val="102"/>
              <w:spacing w:before="113" w:line="317" w:lineRule="auto"/>
              <w:ind w:left="112" w:right="102" w:firstLine="418"/>
              <w:jc w:val="both"/>
              <w:rPr>
                <w:sz w:val="21"/>
                <w:szCs w:val="21"/>
                <w:highlight w:val="none"/>
              </w:rPr>
            </w:pPr>
            <w:r>
              <w:rPr>
                <w:spacing w:val="-1"/>
                <w:sz w:val="21"/>
                <w:szCs w:val="21"/>
                <w:highlight w:val="none"/>
              </w:rPr>
              <w:t>根据所有参加评标价平均值计算的评标价（个数</w:t>
            </w:r>
            <w:r>
              <w:rPr>
                <w:spacing w:val="-4"/>
                <w:sz w:val="21"/>
                <w:szCs w:val="21"/>
                <w:highlight w:val="none"/>
              </w:rPr>
              <w:t>用</w:t>
            </w:r>
            <w:r>
              <w:rPr>
                <w:spacing w:val="-41"/>
                <w:sz w:val="21"/>
                <w:szCs w:val="21"/>
                <w:highlight w:val="none"/>
              </w:rPr>
              <w:t xml:space="preserve"> </w:t>
            </w:r>
            <w:r>
              <w:rPr>
                <w:rFonts w:ascii="Times New Roman" w:hAnsi="Times New Roman" w:eastAsia="Times New Roman" w:cs="Times New Roman"/>
                <w:spacing w:val="-4"/>
                <w:sz w:val="21"/>
                <w:szCs w:val="21"/>
                <w:highlight w:val="none"/>
              </w:rPr>
              <w:t xml:space="preserve">P </w:t>
            </w:r>
            <w:r>
              <w:rPr>
                <w:spacing w:val="-4"/>
                <w:sz w:val="21"/>
                <w:szCs w:val="21"/>
                <w:highlight w:val="none"/>
              </w:rPr>
              <w:t>表示）计算评标价平均值（</w:t>
            </w:r>
            <w:r>
              <w:rPr>
                <w:rFonts w:ascii="Times New Roman" w:hAnsi="Times New Roman" w:eastAsia="Times New Roman" w:cs="Times New Roman"/>
                <w:spacing w:val="-4"/>
                <w:sz w:val="21"/>
                <w:szCs w:val="21"/>
                <w:highlight w:val="none"/>
              </w:rPr>
              <w:t>B</w:t>
            </w:r>
            <w:r>
              <w:rPr>
                <w:spacing w:val="-4"/>
                <w:sz w:val="21"/>
                <w:szCs w:val="21"/>
                <w:highlight w:val="none"/>
              </w:rPr>
              <w:t>）。</w:t>
            </w:r>
            <w:r>
              <w:rPr>
                <w:rFonts w:ascii="Times New Roman" w:hAnsi="Times New Roman" w:eastAsia="Times New Roman" w:cs="Times New Roman"/>
                <w:spacing w:val="-4"/>
                <w:sz w:val="21"/>
                <w:szCs w:val="21"/>
                <w:highlight w:val="none"/>
              </w:rPr>
              <w:t xml:space="preserve">C </w:t>
            </w:r>
            <w:r>
              <w:rPr>
                <w:spacing w:val="-4"/>
                <w:sz w:val="21"/>
                <w:szCs w:val="21"/>
                <w:highlight w:val="none"/>
              </w:rPr>
              <w:t>为招标人设定</w:t>
            </w:r>
            <w:r>
              <w:rPr>
                <w:spacing w:val="-1"/>
                <w:sz w:val="21"/>
                <w:szCs w:val="21"/>
                <w:highlight w:val="none"/>
              </w:rPr>
              <w:t>的最高投标限价。评标价平均值保留七位小数，小数</w:t>
            </w:r>
            <w:r>
              <w:rPr>
                <w:spacing w:val="-4"/>
                <w:sz w:val="21"/>
                <w:szCs w:val="21"/>
                <w:highlight w:val="none"/>
              </w:rPr>
              <w:t>点后第八位“四舍五入”。</w:t>
            </w:r>
          </w:p>
          <w:p w14:paraId="02782192">
            <w:pPr>
              <w:pStyle w:val="102"/>
              <w:spacing w:before="155" w:line="284" w:lineRule="auto"/>
              <w:ind w:left="112" w:right="102" w:firstLine="434"/>
              <w:rPr>
                <w:sz w:val="21"/>
                <w:szCs w:val="21"/>
                <w:highlight w:val="none"/>
              </w:rPr>
            </w:pPr>
            <w:r>
              <w:rPr>
                <w:rFonts w:ascii="Times New Roman" w:hAnsi="Times New Roman" w:eastAsia="Times New Roman" w:cs="Times New Roman"/>
                <w:spacing w:val="-4"/>
                <w:sz w:val="21"/>
                <w:szCs w:val="21"/>
                <w:highlight w:val="none"/>
              </w:rPr>
              <w:t>1</w:t>
            </w:r>
            <w:r>
              <w:rPr>
                <w:spacing w:val="-4"/>
                <w:sz w:val="21"/>
                <w:szCs w:val="21"/>
                <w:highlight w:val="none"/>
              </w:rPr>
              <w:t>、当</w:t>
            </w:r>
            <w:r>
              <w:rPr>
                <w:spacing w:val="-49"/>
                <w:sz w:val="21"/>
                <w:szCs w:val="21"/>
                <w:highlight w:val="none"/>
              </w:rPr>
              <w:t xml:space="preserve"> </w:t>
            </w:r>
            <w:r>
              <w:rPr>
                <w:rFonts w:ascii="Times New Roman" w:hAnsi="Times New Roman" w:eastAsia="Times New Roman" w:cs="Times New Roman"/>
                <w:spacing w:val="-4"/>
                <w:sz w:val="21"/>
                <w:szCs w:val="21"/>
                <w:highlight w:val="none"/>
              </w:rPr>
              <w:t>P=0</w:t>
            </w:r>
            <w:r>
              <w:rPr>
                <w:rFonts w:ascii="Times New Roman" w:hAnsi="Times New Roman" w:eastAsia="Times New Roman" w:cs="Times New Roman"/>
                <w:spacing w:val="18"/>
                <w:sz w:val="21"/>
                <w:szCs w:val="21"/>
                <w:highlight w:val="none"/>
              </w:rPr>
              <w:t xml:space="preserve"> </w:t>
            </w:r>
            <w:r>
              <w:rPr>
                <w:spacing w:val="-4"/>
                <w:sz w:val="21"/>
                <w:szCs w:val="21"/>
                <w:highlight w:val="none"/>
              </w:rPr>
              <w:t>时，即所有评标价均低于</w:t>
            </w:r>
            <w:r>
              <w:rPr>
                <w:rFonts w:ascii="Times New Roman" w:hAnsi="Times New Roman" w:eastAsia="Times New Roman" w:cs="Times New Roman"/>
                <w:spacing w:val="-4"/>
                <w:sz w:val="21"/>
                <w:szCs w:val="21"/>
                <w:highlight w:val="none"/>
                <w:u w:val="single" w:color="auto"/>
              </w:rPr>
              <w:t xml:space="preserve">    G    </w:t>
            </w:r>
            <w:r>
              <w:rPr>
                <w:rFonts w:ascii="Times New Roman" w:hAnsi="Times New Roman" w:eastAsia="Times New Roman" w:cs="Times New Roman"/>
                <w:spacing w:val="-46"/>
                <w:sz w:val="21"/>
                <w:szCs w:val="21"/>
                <w:highlight w:val="none"/>
              </w:rPr>
              <w:t xml:space="preserve"> </w:t>
            </w:r>
            <w:r>
              <w:rPr>
                <w:rFonts w:ascii="Times New Roman" w:hAnsi="Times New Roman" w:eastAsia="Times New Roman" w:cs="Times New Roman"/>
                <w:spacing w:val="-4"/>
                <w:sz w:val="21"/>
                <w:szCs w:val="21"/>
                <w:highlight w:val="none"/>
              </w:rPr>
              <w:t>%*C</w:t>
            </w:r>
            <w:r>
              <w:rPr>
                <w:rFonts w:ascii="Times New Roman" w:hAnsi="Times New Roman" w:eastAsia="Times New Roman" w:cs="Times New Roman"/>
                <w:spacing w:val="-5"/>
                <w:sz w:val="21"/>
                <w:szCs w:val="21"/>
                <w:highlight w:val="none"/>
              </w:rPr>
              <w:t xml:space="preserve"> </w:t>
            </w:r>
            <w:r>
              <w:rPr>
                <w:spacing w:val="-5"/>
                <w:sz w:val="21"/>
                <w:szCs w:val="21"/>
                <w:highlight w:val="none"/>
              </w:rPr>
              <w:t>值</w:t>
            </w:r>
            <w:r>
              <w:rPr>
                <w:spacing w:val="-1"/>
                <w:sz w:val="21"/>
                <w:szCs w:val="21"/>
                <w:highlight w:val="none"/>
              </w:rPr>
              <w:t>（最高投标限价的</w:t>
            </w:r>
            <w:r>
              <w:rPr>
                <w:spacing w:val="-88"/>
                <w:sz w:val="21"/>
                <w:szCs w:val="21"/>
                <w:highlight w:val="none"/>
              </w:rPr>
              <w:t xml:space="preserve"> </w:t>
            </w:r>
            <w:r>
              <w:rPr>
                <w:rFonts w:ascii="Times New Roman" w:hAnsi="Times New Roman" w:eastAsia="Times New Roman" w:cs="Times New Roman"/>
                <w:spacing w:val="-1"/>
                <w:sz w:val="21"/>
                <w:szCs w:val="21"/>
                <w:highlight w:val="none"/>
                <w:u w:val="single" w:color="auto"/>
              </w:rPr>
              <w:t xml:space="preserve">    G    </w:t>
            </w:r>
            <w:r>
              <w:rPr>
                <w:rFonts w:ascii="Times New Roman" w:hAnsi="Times New Roman" w:eastAsia="Times New Roman" w:cs="Times New Roman"/>
                <w:spacing w:val="-45"/>
                <w:sz w:val="21"/>
                <w:szCs w:val="21"/>
                <w:highlight w:val="none"/>
              </w:rPr>
              <w:t xml:space="preserve"> </w:t>
            </w:r>
            <w:r>
              <w:rPr>
                <w:rFonts w:ascii="Times New Roman" w:hAnsi="Times New Roman" w:eastAsia="Times New Roman" w:cs="Times New Roman"/>
                <w:spacing w:val="-1"/>
                <w:sz w:val="21"/>
                <w:szCs w:val="21"/>
                <w:highlight w:val="none"/>
              </w:rPr>
              <w:t>%</w:t>
            </w:r>
            <w:r>
              <w:rPr>
                <w:spacing w:val="-4"/>
                <w:sz w:val="21"/>
                <w:szCs w:val="21"/>
                <w:highlight w:val="none"/>
              </w:rPr>
              <w:t>），</w:t>
            </w:r>
            <w:r>
              <w:rPr>
                <w:spacing w:val="-1"/>
                <w:sz w:val="21"/>
                <w:szCs w:val="21"/>
                <w:highlight w:val="none"/>
              </w:rPr>
              <w:t>则评标价平均值（</w:t>
            </w:r>
            <w:r>
              <w:rPr>
                <w:rFonts w:ascii="Times New Roman" w:hAnsi="Times New Roman" w:eastAsia="Times New Roman" w:cs="Times New Roman"/>
                <w:spacing w:val="-1"/>
                <w:sz w:val="21"/>
                <w:szCs w:val="21"/>
                <w:highlight w:val="none"/>
              </w:rPr>
              <w:t>B</w:t>
            </w:r>
            <w:r>
              <w:rPr>
                <w:spacing w:val="-1"/>
                <w:sz w:val="21"/>
                <w:szCs w:val="21"/>
                <w:highlight w:val="none"/>
              </w:rPr>
              <w:t>）直接为</w:t>
            </w:r>
            <w:r>
              <w:rPr>
                <w:rFonts w:ascii="Times New Roman" w:hAnsi="Times New Roman" w:eastAsia="Times New Roman" w:cs="Times New Roman"/>
                <w:spacing w:val="-1"/>
                <w:sz w:val="21"/>
                <w:szCs w:val="21"/>
                <w:highlight w:val="none"/>
                <w:u w:val="single" w:color="auto"/>
              </w:rPr>
              <w:t xml:space="preserve">    G%    </w:t>
            </w:r>
            <w:r>
              <w:rPr>
                <w:rFonts w:ascii="Times New Roman" w:hAnsi="Times New Roman" w:eastAsia="Times New Roman" w:cs="Times New Roman"/>
                <w:spacing w:val="-38"/>
                <w:sz w:val="21"/>
                <w:szCs w:val="21"/>
                <w:highlight w:val="none"/>
              </w:rPr>
              <w:t xml:space="preserve"> </w:t>
            </w:r>
            <w:r>
              <w:rPr>
                <w:rFonts w:ascii="Times New Roman" w:hAnsi="Times New Roman" w:eastAsia="Times New Roman" w:cs="Times New Roman"/>
                <w:spacing w:val="-1"/>
                <w:sz w:val="21"/>
                <w:szCs w:val="21"/>
                <w:highlight w:val="none"/>
              </w:rPr>
              <w:t xml:space="preserve">*C </w:t>
            </w:r>
            <w:r>
              <w:rPr>
                <w:spacing w:val="-1"/>
                <w:sz w:val="21"/>
                <w:szCs w:val="21"/>
                <w:highlight w:val="none"/>
              </w:rPr>
              <w:t>值（最高投标限价的</w:t>
            </w:r>
            <w:r>
              <w:rPr>
                <w:rFonts w:ascii="Times New Roman" w:hAnsi="Times New Roman" w:eastAsia="Times New Roman" w:cs="Times New Roman"/>
                <w:spacing w:val="-1"/>
                <w:sz w:val="21"/>
                <w:szCs w:val="21"/>
                <w:highlight w:val="none"/>
                <w:u w:val="single" w:color="auto"/>
              </w:rPr>
              <w:t xml:space="preserve">    G%  </w:t>
            </w:r>
            <w:r>
              <w:rPr>
                <w:rFonts w:ascii="Times New Roman" w:hAnsi="Times New Roman" w:eastAsia="Times New Roman" w:cs="Times New Roman"/>
                <w:spacing w:val="-2"/>
                <w:sz w:val="21"/>
                <w:szCs w:val="21"/>
                <w:highlight w:val="none"/>
                <w:u w:val="single" w:color="auto"/>
              </w:rPr>
              <w:t xml:space="preserve">  </w:t>
            </w:r>
            <w:r>
              <w:rPr>
                <w:spacing w:val="-2"/>
                <w:sz w:val="21"/>
                <w:szCs w:val="21"/>
                <w:highlight w:val="none"/>
              </w:rPr>
              <w:t>）。</w:t>
            </w:r>
          </w:p>
          <w:p w14:paraId="380A1C14">
            <w:pPr>
              <w:pStyle w:val="102"/>
              <w:spacing w:before="271" w:line="268" w:lineRule="auto"/>
              <w:ind w:left="112" w:right="101" w:firstLine="415"/>
              <w:rPr>
                <w:sz w:val="21"/>
                <w:szCs w:val="21"/>
                <w:highlight w:val="none"/>
              </w:rPr>
            </w:pPr>
            <w:r>
              <w:rPr>
                <w:rFonts w:ascii="Times New Roman" w:hAnsi="Times New Roman" w:eastAsia="Times New Roman" w:cs="Times New Roman"/>
                <w:spacing w:val="-2"/>
                <w:sz w:val="21"/>
                <w:szCs w:val="21"/>
                <w:highlight w:val="none"/>
              </w:rPr>
              <w:t>2</w:t>
            </w:r>
            <w:r>
              <w:rPr>
                <w:spacing w:val="-2"/>
                <w:sz w:val="21"/>
                <w:szCs w:val="21"/>
                <w:highlight w:val="none"/>
              </w:rPr>
              <w:t>、当</w:t>
            </w:r>
            <w:r>
              <w:rPr>
                <w:spacing w:val="-38"/>
                <w:sz w:val="21"/>
                <w:szCs w:val="21"/>
                <w:highlight w:val="none"/>
              </w:rPr>
              <w:t xml:space="preserve"> </w:t>
            </w:r>
            <w:r>
              <w:rPr>
                <w:rFonts w:ascii="Times New Roman" w:hAnsi="Times New Roman" w:eastAsia="Times New Roman" w:cs="Times New Roman"/>
                <w:spacing w:val="-2"/>
                <w:sz w:val="21"/>
                <w:szCs w:val="21"/>
                <w:highlight w:val="none"/>
              </w:rPr>
              <w:t>0</w:t>
            </w:r>
            <w:r>
              <w:rPr>
                <w:spacing w:val="-2"/>
                <w:sz w:val="21"/>
                <w:szCs w:val="21"/>
                <w:highlight w:val="none"/>
              </w:rPr>
              <w:t>＜</w:t>
            </w:r>
            <w:r>
              <w:rPr>
                <w:rFonts w:ascii="Times New Roman" w:hAnsi="Times New Roman" w:eastAsia="Times New Roman" w:cs="Times New Roman"/>
                <w:spacing w:val="-2"/>
                <w:sz w:val="21"/>
                <w:szCs w:val="21"/>
                <w:highlight w:val="none"/>
              </w:rPr>
              <w:t>P</w:t>
            </w:r>
            <w:r>
              <w:rPr>
                <w:spacing w:val="-2"/>
                <w:sz w:val="21"/>
                <w:szCs w:val="21"/>
                <w:highlight w:val="none"/>
              </w:rPr>
              <w:t>≤</w:t>
            </w:r>
            <w:r>
              <w:rPr>
                <w:rFonts w:ascii="Times New Roman" w:hAnsi="Times New Roman" w:eastAsia="Times New Roman" w:cs="Times New Roman"/>
                <w:spacing w:val="-2"/>
                <w:sz w:val="21"/>
                <w:szCs w:val="21"/>
                <w:highlight w:val="none"/>
              </w:rPr>
              <w:t>5</w:t>
            </w:r>
            <w:r>
              <w:rPr>
                <w:rFonts w:ascii="Times New Roman" w:hAnsi="Times New Roman" w:eastAsia="Times New Roman" w:cs="Times New Roman"/>
                <w:spacing w:val="18"/>
                <w:w w:val="101"/>
                <w:sz w:val="21"/>
                <w:szCs w:val="21"/>
                <w:highlight w:val="none"/>
              </w:rPr>
              <w:t xml:space="preserve"> </w:t>
            </w:r>
            <w:r>
              <w:rPr>
                <w:spacing w:val="-2"/>
                <w:sz w:val="21"/>
                <w:szCs w:val="21"/>
                <w:highlight w:val="none"/>
              </w:rPr>
              <w:t>时，评标价平均值（</w:t>
            </w:r>
            <w:r>
              <w:rPr>
                <w:rFonts w:ascii="Times New Roman" w:hAnsi="Times New Roman" w:eastAsia="Times New Roman" w:cs="Times New Roman"/>
                <w:spacing w:val="-2"/>
                <w:sz w:val="21"/>
                <w:szCs w:val="21"/>
                <w:highlight w:val="none"/>
              </w:rPr>
              <w:t>B</w:t>
            </w:r>
            <w:r>
              <w:rPr>
                <w:spacing w:val="-2"/>
                <w:sz w:val="21"/>
                <w:szCs w:val="21"/>
                <w:highlight w:val="none"/>
              </w:rPr>
              <w:t>）为</w:t>
            </w:r>
            <w:r>
              <w:rPr>
                <w:spacing w:val="-49"/>
                <w:sz w:val="21"/>
                <w:szCs w:val="21"/>
                <w:highlight w:val="none"/>
              </w:rPr>
              <w:t xml:space="preserve"> </w:t>
            </w:r>
            <w:r>
              <w:rPr>
                <w:rFonts w:ascii="Times New Roman" w:hAnsi="Times New Roman" w:eastAsia="Times New Roman" w:cs="Times New Roman"/>
                <w:spacing w:val="-2"/>
                <w:sz w:val="21"/>
                <w:szCs w:val="21"/>
                <w:highlight w:val="none"/>
              </w:rPr>
              <w:t xml:space="preserve">P </w:t>
            </w:r>
            <w:r>
              <w:rPr>
                <w:spacing w:val="-2"/>
                <w:sz w:val="21"/>
                <w:szCs w:val="21"/>
                <w:highlight w:val="none"/>
              </w:rPr>
              <w:t>个评</w:t>
            </w:r>
            <w:r>
              <w:rPr>
                <w:spacing w:val="-4"/>
                <w:sz w:val="21"/>
                <w:szCs w:val="21"/>
                <w:highlight w:val="none"/>
              </w:rPr>
              <w:t>标价的算术平均值。</w:t>
            </w:r>
          </w:p>
          <w:p w14:paraId="0610843D">
            <w:pPr>
              <w:pStyle w:val="102"/>
              <w:spacing w:before="271" w:line="284" w:lineRule="auto"/>
              <w:ind w:left="112" w:right="102" w:firstLine="419"/>
              <w:rPr>
                <w:sz w:val="21"/>
                <w:szCs w:val="21"/>
                <w:highlight w:val="none"/>
              </w:rPr>
            </w:pPr>
            <w:r>
              <w:rPr>
                <w:rFonts w:ascii="Times New Roman" w:hAnsi="Times New Roman" w:eastAsia="Times New Roman" w:cs="Times New Roman"/>
                <w:spacing w:val="-6"/>
                <w:sz w:val="21"/>
                <w:szCs w:val="21"/>
                <w:highlight w:val="none"/>
              </w:rPr>
              <w:t>3</w:t>
            </w:r>
            <w:r>
              <w:rPr>
                <w:spacing w:val="-6"/>
                <w:sz w:val="21"/>
                <w:szCs w:val="21"/>
                <w:highlight w:val="none"/>
              </w:rPr>
              <w:t>、当</w:t>
            </w:r>
            <w:r>
              <w:rPr>
                <w:spacing w:val="-34"/>
                <w:sz w:val="21"/>
                <w:szCs w:val="21"/>
                <w:highlight w:val="none"/>
              </w:rPr>
              <w:t xml:space="preserve"> </w:t>
            </w:r>
            <w:r>
              <w:rPr>
                <w:rFonts w:ascii="Times New Roman" w:hAnsi="Times New Roman" w:eastAsia="Times New Roman" w:cs="Times New Roman"/>
                <w:spacing w:val="-6"/>
                <w:sz w:val="21"/>
                <w:szCs w:val="21"/>
                <w:highlight w:val="none"/>
              </w:rPr>
              <w:t>6</w:t>
            </w:r>
            <w:r>
              <w:rPr>
                <w:spacing w:val="-6"/>
                <w:sz w:val="21"/>
                <w:szCs w:val="21"/>
                <w:highlight w:val="none"/>
              </w:rPr>
              <w:t>≤</w:t>
            </w:r>
            <w:r>
              <w:rPr>
                <w:rFonts w:ascii="Times New Roman" w:hAnsi="Times New Roman" w:eastAsia="Times New Roman" w:cs="Times New Roman"/>
                <w:spacing w:val="-6"/>
                <w:sz w:val="21"/>
                <w:szCs w:val="21"/>
                <w:highlight w:val="none"/>
              </w:rPr>
              <w:t>P</w:t>
            </w:r>
            <w:r>
              <w:rPr>
                <w:spacing w:val="-6"/>
                <w:sz w:val="21"/>
                <w:szCs w:val="21"/>
                <w:highlight w:val="none"/>
              </w:rPr>
              <w:t>≤</w:t>
            </w:r>
            <w:r>
              <w:rPr>
                <w:rFonts w:ascii="Times New Roman" w:hAnsi="Times New Roman" w:eastAsia="Times New Roman" w:cs="Times New Roman"/>
                <w:spacing w:val="-6"/>
                <w:sz w:val="21"/>
                <w:szCs w:val="21"/>
                <w:highlight w:val="none"/>
              </w:rPr>
              <w:t>9</w:t>
            </w:r>
            <w:r>
              <w:rPr>
                <w:rFonts w:ascii="Times New Roman" w:hAnsi="Times New Roman" w:eastAsia="Times New Roman" w:cs="Times New Roman"/>
                <w:spacing w:val="18"/>
                <w:sz w:val="21"/>
                <w:szCs w:val="21"/>
                <w:highlight w:val="none"/>
              </w:rPr>
              <w:t xml:space="preserve"> </w:t>
            </w:r>
            <w:r>
              <w:rPr>
                <w:spacing w:val="-6"/>
                <w:sz w:val="21"/>
                <w:szCs w:val="21"/>
                <w:highlight w:val="none"/>
              </w:rPr>
              <w:t>时，在</w:t>
            </w:r>
            <w:r>
              <w:rPr>
                <w:spacing w:val="-49"/>
                <w:sz w:val="21"/>
                <w:szCs w:val="21"/>
                <w:highlight w:val="none"/>
              </w:rPr>
              <w:t xml:space="preserve"> </w:t>
            </w:r>
            <w:r>
              <w:rPr>
                <w:rFonts w:ascii="Times New Roman" w:hAnsi="Times New Roman" w:eastAsia="Times New Roman" w:cs="Times New Roman"/>
                <w:spacing w:val="-6"/>
                <w:sz w:val="21"/>
                <w:szCs w:val="21"/>
                <w:highlight w:val="none"/>
              </w:rPr>
              <w:t xml:space="preserve">P </w:t>
            </w:r>
            <w:r>
              <w:rPr>
                <w:spacing w:val="-6"/>
                <w:sz w:val="21"/>
                <w:szCs w:val="21"/>
                <w:highlight w:val="none"/>
              </w:rPr>
              <w:t>个评标价中，去掉</w:t>
            </w:r>
            <w:r>
              <w:rPr>
                <w:spacing w:val="-28"/>
                <w:sz w:val="21"/>
                <w:szCs w:val="21"/>
                <w:highlight w:val="none"/>
              </w:rPr>
              <w:t xml:space="preserve"> </w:t>
            </w:r>
            <w:r>
              <w:rPr>
                <w:rFonts w:ascii="Times New Roman" w:hAnsi="Times New Roman" w:eastAsia="Times New Roman" w:cs="Times New Roman"/>
                <w:spacing w:val="-6"/>
                <w:sz w:val="21"/>
                <w:szCs w:val="21"/>
                <w:highlight w:val="none"/>
              </w:rPr>
              <w:t xml:space="preserve">1 </w:t>
            </w:r>
            <w:r>
              <w:rPr>
                <w:spacing w:val="-6"/>
                <w:sz w:val="21"/>
                <w:szCs w:val="21"/>
                <w:highlight w:val="none"/>
              </w:rPr>
              <w:t>个最</w:t>
            </w:r>
            <w:r>
              <w:rPr>
                <w:spacing w:val="-2"/>
                <w:sz w:val="21"/>
                <w:szCs w:val="21"/>
                <w:highlight w:val="none"/>
              </w:rPr>
              <w:t>高值和</w:t>
            </w:r>
            <w:r>
              <w:rPr>
                <w:spacing w:val="-15"/>
                <w:sz w:val="21"/>
                <w:szCs w:val="21"/>
                <w:highlight w:val="none"/>
              </w:rPr>
              <w:t xml:space="preserve"> </w:t>
            </w:r>
            <w:r>
              <w:rPr>
                <w:rFonts w:ascii="Times New Roman" w:hAnsi="Times New Roman" w:eastAsia="Times New Roman" w:cs="Times New Roman"/>
                <w:spacing w:val="-2"/>
                <w:sz w:val="21"/>
                <w:szCs w:val="21"/>
                <w:highlight w:val="none"/>
              </w:rPr>
              <w:t xml:space="preserve">1 </w:t>
            </w:r>
            <w:r>
              <w:rPr>
                <w:spacing w:val="-2"/>
                <w:sz w:val="21"/>
                <w:szCs w:val="21"/>
                <w:highlight w:val="none"/>
              </w:rPr>
              <w:t>个最低值后的其余评标价的算术平均值为评</w:t>
            </w:r>
            <w:r>
              <w:rPr>
                <w:spacing w:val="-3"/>
                <w:sz w:val="21"/>
                <w:szCs w:val="21"/>
                <w:highlight w:val="none"/>
              </w:rPr>
              <w:t>标价平均值（</w:t>
            </w:r>
            <w:r>
              <w:rPr>
                <w:rFonts w:ascii="Times New Roman" w:hAnsi="Times New Roman" w:eastAsia="Times New Roman" w:cs="Times New Roman"/>
                <w:spacing w:val="-3"/>
                <w:sz w:val="21"/>
                <w:szCs w:val="21"/>
                <w:highlight w:val="none"/>
              </w:rPr>
              <w:t>B</w:t>
            </w:r>
            <w:r>
              <w:rPr>
                <w:spacing w:val="-3"/>
                <w:sz w:val="21"/>
                <w:szCs w:val="21"/>
                <w:highlight w:val="none"/>
              </w:rPr>
              <w:t>）。</w:t>
            </w:r>
          </w:p>
          <w:p w14:paraId="5A936047">
            <w:pPr>
              <w:pStyle w:val="102"/>
              <w:spacing w:before="107" w:line="219" w:lineRule="auto"/>
              <w:ind w:left="110"/>
              <w:rPr>
                <w:sz w:val="21"/>
                <w:szCs w:val="21"/>
                <w:highlight w:val="none"/>
              </w:rPr>
            </w:pPr>
            <w:r>
              <w:rPr>
                <w:rFonts w:ascii="Times New Roman" w:hAnsi="Times New Roman" w:eastAsia="Times New Roman" w:cs="Times New Roman"/>
                <w:spacing w:val="-2"/>
                <w:sz w:val="21"/>
                <w:szCs w:val="21"/>
                <w:highlight w:val="none"/>
              </w:rPr>
              <w:t>4</w:t>
            </w:r>
            <w:r>
              <w:rPr>
                <w:spacing w:val="-2"/>
                <w:sz w:val="21"/>
                <w:szCs w:val="21"/>
                <w:highlight w:val="none"/>
              </w:rPr>
              <w:t>、当</w:t>
            </w:r>
            <w:r>
              <w:rPr>
                <w:spacing w:val="-29"/>
                <w:sz w:val="21"/>
                <w:szCs w:val="21"/>
                <w:highlight w:val="none"/>
              </w:rPr>
              <w:t xml:space="preserve"> </w:t>
            </w:r>
            <w:r>
              <w:rPr>
                <w:rFonts w:ascii="Times New Roman" w:hAnsi="Times New Roman" w:eastAsia="Times New Roman" w:cs="Times New Roman"/>
                <w:spacing w:val="-2"/>
                <w:sz w:val="21"/>
                <w:szCs w:val="21"/>
                <w:highlight w:val="none"/>
              </w:rPr>
              <w:t>P</w:t>
            </w:r>
            <w:r>
              <w:rPr>
                <w:spacing w:val="-2"/>
                <w:sz w:val="21"/>
                <w:szCs w:val="21"/>
                <w:highlight w:val="none"/>
              </w:rPr>
              <w:t>≥</w:t>
            </w:r>
            <w:r>
              <w:rPr>
                <w:rFonts w:ascii="Times New Roman" w:hAnsi="Times New Roman" w:eastAsia="Times New Roman" w:cs="Times New Roman"/>
                <w:spacing w:val="-2"/>
                <w:sz w:val="21"/>
                <w:szCs w:val="21"/>
                <w:highlight w:val="none"/>
              </w:rPr>
              <w:t>10</w:t>
            </w:r>
            <w:r>
              <w:rPr>
                <w:rFonts w:ascii="Times New Roman" w:hAnsi="Times New Roman" w:eastAsia="Times New Roman" w:cs="Times New Roman"/>
                <w:spacing w:val="18"/>
                <w:sz w:val="21"/>
                <w:szCs w:val="21"/>
                <w:highlight w:val="none"/>
              </w:rPr>
              <w:t xml:space="preserve"> </w:t>
            </w:r>
            <w:r>
              <w:rPr>
                <w:spacing w:val="-2"/>
                <w:sz w:val="21"/>
                <w:szCs w:val="21"/>
                <w:highlight w:val="none"/>
              </w:rPr>
              <w:t>时，在</w:t>
            </w:r>
            <w:r>
              <w:rPr>
                <w:spacing w:val="-49"/>
                <w:sz w:val="21"/>
                <w:szCs w:val="21"/>
                <w:highlight w:val="none"/>
              </w:rPr>
              <w:t xml:space="preserve"> </w:t>
            </w:r>
            <w:r>
              <w:rPr>
                <w:rFonts w:ascii="Times New Roman" w:hAnsi="Times New Roman" w:eastAsia="Times New Roman" w:cs="Times New Roman"/>
                <w:spacing w:val="-2"/>
                <w:sz w:val="21"/>
                <w:szCs w:val="21"/>
                <w:highlight w:val="none"/>
              </w:rPr>
              <w:t xml:space="preserve">P </w:t>
            </w:r>
            <w:r>
              <w:rPr>
                <w:spacing w:val="-2"/>
                <w:sz w:val="21"/>
                <w:szCs w:val="21"/>
                <w:highlight w:val="none"/>
              </w:rPr>
              <w:t>个评标价中，去掉</w:t>
            </w:r>
            <w:r>
              <w:rPr>
                <w:spacing w:val="-49"/>
                <w:sz w:val="21"/>
                <w:szCs w:val="21"/>
                <w:highlight w:val="none"/>
              </w:rPr>
              <w:t xml:space="preserve"> </w:t>
            </w:r>
            <w:r>
              <w:rPr>
                <w:rFonts w:ascii="Times New Roman" w:hAnsi="Times New Roman" w:eastAsia="Times New Roman" w:cs="Times New Roman"/>
                <w:spacing w:val="-2"/>
                <w:sz w:val="21"/>
                <w:szCs w:val="21"/>
                <w:highlight w:val="none"/>
              </w:rPr>
              <w:t>P1</w:t>
            </w:r>
            <w:r>
              <w:rPr>
                <w:rFonts w:ascii="Times New Roman" w:hAnsi="Times New Roman" w:eastAsia="Times New Roman" w:cs="Times New Roman"/>
                <w:spacing w:val="-3"/>
                <w:sz w:val="21"/>
                <w:szCs w:val="21"/>
                <w:highlight w:val="none"/>
              </w:rPr>
              <w:t xml:space="preserve"> </w:t>
            </w:r>
            <w:r>
              <w:rPr>
                <w:spacing w:val="-3"/>
                <w:sz w:val="21"/>
                <w:szCs w:val="21"/>
                <w:highlight w:val="none"/>
              </w:rPr>
              <w:t>个最</w:t>
            </w:r>
            <w:r>
              <w:rPr>
                <w:spacing w:val="-1"/>
                <w:sz w:val="21"/>
                <w:szCs w:val="21"/>
                <w:highlight w:val="none"/>
              </w:rPr>
              <w:t>高值和</w:t>
            </w:r>
            <w:r>
              <w:rPr>
                <w:spacing w:val="-43"/>
                <w:sz w:val="21"/>
                <w:szCs w:val="21"/>
                <w:highlight w:val="none"/>
              </w:rPr>
              <w:t xml:space="preserve"> </w:t>
            </w:r>
            <w:r>
              <w:rPr>
                <w:rFonts w:ascii="Times New Roman" w:hAnsi="Times New Roman" w:eastAsia="Times New Roman" w:cs="Times New Roman"/>
                <w:spacing w:val="-1"/>
                <w:sz w:val="21"/>
                <w:szCs w:val="21"/>
                <w:highlight w:val="none"/>
              </w:rPr>
              <w:t xml:space="preserve">P2 </w:t>
            </w:r>
            <w:r>
              <w:rPr>
                <w:spacing w:val="-1"/>
                <w:sz w:val="21"/>
                <w:szCs w:val="21"/>
                <w:highlight w:val="none"/>
              </w:rPr>
              <w:t>个最低值后的其余评标价的算术平均值为</w:t>
            </w:r>
            <w:r>
              <w:rPr>
                <w:spacing w:val="-3"/>
                <w:sz w:val="21"/>
                <w:szCs w:val="21"/>
                <w:highlight w:val="none"/>
              </w:rPr>
              <w:t>评标价平均值（</w:t>
            </w:r>
            <w:r>
              <w:rPr>
                <w:rFonts w:ascii="Times New Roman" w:hAnsi="Times New Roman" w:eastAsia="Times New Roman" w:cs="Times New Roman"/>
                <w:spacing w:val="-3"/>
                <w:sz w:val="21"/>
                <w:szCs w:val="21"/>
                <w:highlight w:val="none"/>
              </w:rPr>
              <w:t>B</w:t>
            </w:r>
            <w:r>
              <w:rPr>
                <w:spacing w:val="-3"/>
                <w:sz w:val="21"/>
                <w:szCs w:val="21"/>
                <w:highlight w:val="none"/>
              </w:rPr>
              <w:t>）。</w:t>
            </w:r>
          </w:p>
          <w:p w14:paraId="062F7779">
            <w:pPr>
              <w:pStyle w:val="102"/>
              <w:spacing w:before="269" w:line="312" w:lineRule="auto"/>
              <w:ind w:left="111" w:right="42" w:firstLine="415"/>
              <w:jc w:val="both"/>
              <w:rPr>
                <w:sz w:val="21"/>
                <w:szCs w:val="21"/>
                <w:highlight w:val="none"/>
              </w:rPr>
            </w:pPr>
            <w:r>
              <w:rPr>
                <w:rFonts w:ascii="Times New Roman" w:hAnsi="Times New Roman" w:eastAsia="Times New Roman" w:cs="Times New Roman"/>
                <w:spacing w:val="-3"/>
                <w:sz w:val="21"/>
                <w:szCs w:val="21"/>
                <w:highlight w:val="none"/>
              </w:rPr>
              <w:t>P1=Q1</w:t>
            </w:r>
            <w:r>
              <w:rPr>
                <w:rFonts w:ascii="Times New Roman" w:hAnsi="Times New Roman" w:eastAsia="Times New Roman" w:cs="Times New Roman"/>
                <w:spacing w:val="-30"/>
                <w:sz w:val="21"/>
                <w:szCs w:val="21"/>
                <w:highlight w:val="none"/>
              </w:rPr>
              <w:t xml:space="preserve"> </w:t>
            </w:r>
            <w:r>
              <w:rPr>
                <w:spacing w:val="-3"/>
                <w:sz w:val="21"/>
                <w:szCs w:val="21"/>
                <w:highlight w:val="none"/>
              </w:rPr>
              <w:t>，</w:t>
            </w:r>
            <w:r>
              <w:rPr>
                <w:rFonts w:ascii="Times New Roman" w:hAnsi="Times New Roman" w:eastAsia="Times New Roman" w:cs="Times New Roman"/>
                <w:spacing w:val="-3"/>
                <w:sz w:val="21"/>
                <w:szCs w:val="21"/>
                <w:highlight w:val="none"/>
              </w:rPr>
              <w:t>P2=Q2</w:t>
            </w:r>
            <w:r>
              <w:rPr>
                <w:rFonts w:ascii="Times New Roman" w:hAnsi="Times New Roman" w:eastAsia="Times New Roman" w:cs="Times New Roman"/>
                <w:spacing w:val="-24"/>
                <w:sz w:val="21"/>
                <w:szCs w:val="21"/>
                <w:highlight w:val="none"/>
              </w:rPr>
              <w:t xml:space="preserve"> </w:t>
            </w:r>
            <w:r>
              <w:rPr>
                <w:spacing w:val="-3"/>
                <w:sz w:val="21"/>
                <w:szCs w:val="21"/>
                <w:highlight w:val="none"/>
              </w:rPr>
              <w:t>。</w:t>
            </w:r>
            <w:r>
              <w:rPr>
                <w:rFonts w:ascii="Times New Roman" w:hAnsi="Times New Roman" w:eastAsia="Times New Roman" w:cs="Times New Roman"/>
                <w:spacing w:val="-3"/>
                <w:sz w:val="21"/>
                <w:szCs w:val="21"/>
                <w:highlight w:val="none"/>
              </w:rPr>
              <w:t>Q1</w:t>
            </w:r>
            <w:r>
              <w:rPr>
                <w:rFonts w:ascii="Times New Roman" w:hAnsi="Times New Roman" w:eastAsia="Times New Roman" w:cs="Times New Roman"/>
                <w:spacing w:val="-29"/>
                <w:sz w:val="21"/>
                <w:szCs w:val="21"/>
                <w:highlight w:val="none"/>
              </w:rPr>
              <w:t xml:space="preserve"> </w:t>
            </w:r>
            <w:r>
              <w:rPr>
                <w:spacing w:val="-3"/>
                <w:sz w:val="21"/>
                <w:szCs w:val="21"/>
                <w:highlight w:val="none"/>
              </w:rPr>
              <w:t>、</w:t>
            </w:r>
            <w:r>
              <w:rPr>
                <w:rFonts w:ascii="Times New Roman" w:hAnsi="Times New Roman" w:eastAsia="Times New Roman" w:cs="Times New Roman"/>
                <w:spacing w:val="-3"/>
                <w:sz w:val="21"/>
                <w:szCs w:val="21"/>
                <w:highlight w:val="none"/>
              </w:rPr>
              <w:t xml:space="preserve">Q2 </w:t>
            </w:r>
            <w:r>
              <w:rPr>
                <w:spacing w:val="-3"/>
                <w:sz w:val="21"/>
                <w:szCs w:val="21"/>
                <w:highlight w:val="none"/>
              </w:rPr>
              <w:t>是在取值区</w:t>
            </w:r>
            <w:r>
              <w:rPr>
                <w:spacing w:val="-4"/>
                <w:sz w:val="21"/>
                <w:szCs w:val="21"/>
                <w:highlight w:val="none"/>
              </w:rPr>
              <w:t>间（</w:t>
            </w:r>
            <w:r>
              <w:rPr>
                <w:rFonts w:ascii="Times New Roman" w:hAnsi="Times New Roman" w:eastAsia="Times New Roman" w:cs="Times New Roman"/>
                <w:spacing w:val="-4"/>
                <w:sz w:val="21"/>
                <w:szCs w:val="21"/>
                <w:highlight w:val="none"/>
              </w:rPr>
              <w:t>1</w:t>
            </w:r>
            <w:r>
              <w:rPr>
                <w:spacing w:val="-4"/>
                <w:sz w:val="21"/>
                <w:szCs w:val="21"/>
                <w:highlight w:val="none"/>
              </w:rPr>
              <w:t>～</w:t>
            </w:r>
            <w:r>
              <w:rPr>
                <w:rFonts w:ascii="Times New Roman" w:hAnsi="Times New Roman" w:eastAsia="Times New Roman" w:cs="Times New Roman"/>
                <w:spacing w:val="-4"/>
                <w:sz w:val="21"/>
                <w:szCs w:val="21"/>
                <w:highlight w:val="none"/>
              </w:rPr>
              <w:t>Q</w:t>
            </w:r>
            <w:r>
              <w:rPr>
                <w:spacing w:val="-4"/>
                <w:sz w:val="21"/>
                <w:szCs w:val="21"/>
                <w:highlight w:val="none"/>
              </w:rPr>
              <w:t>）</w:t>
            </w:r>
            <w:r>
              <w:rPr>
                <w:spacing w:val="-3"/>
                <w:sz w:val="21"/>
                <w:szCs w:val="21"/>
                <w:highlight w:val="none"/>
              </w:rPr>
              <w:t>中随机抽取的两个数值，较大的数值为</w:t>
            </w:r>
            <w:r>
              <w:rPr>
                <w:spacing w:val="-36"/>
                <w:sz w:val="21"/>
                <w:szCs w:val="21"/>
                <w:highlight w:val="none"/>
              </w:rPr>
              <w:t xml:space="preserve"> </w:t>
            </w:r>
            <w:r>
              <w:rPr>
                <w:rFonts w:ascii="Times New Roman" w:hAnsi="Times New Roman" w:eastAsia="Times New Roman" w:cs="Times New Roman"/>
                <w:spacing w:val="-3"/>
                <w:sz w:val="21"/>
                <w:szCs w:val="21"/>
                <w:highlight w:val="none"/>
              </w:rPr>
              <w:t>Q1</w:t>
            </w:r>
            <w:r>
              <w:rPr>
                <w:spacing w:val="-3"/>
                <w:sz w:val="21"/>
                <w:szCs w:val="21"/>
                <w:highlight w:val="none"/>
              </w:rPr>
              <w:t>，较小的数值为</w:t>
            </w:r>
            <w:r>
              <w:rPr>
                <w:spacing w:val="-45"/>
                <w:sz w:val="21"/>
                <w:szCs w:val="21"/>
                <w:highlight w:val="none"/>
              </w:rPr>
              <w:t xml:space="preserve"> </w:t>
            </w:r>
            <w:r>
              <w:rPr>
                <w:rFonts w:ascii="Times New Roman" w:hAnsi="Times New Roman" w:eastAsia="Times New Roman" w:cs="Times New Roman"/>
                <w:spacing w:val="-3"/>
                <w:sz w:val="21"/>
                <w:szCs w:val="21"/>
                <w:highlight w:val="none"/>
              </w:rPr>
              <w:t>Q2</w:t>
            </w:r>
            <w:r>
              <w:rPr>
                <w:rFonts w:ascii="Times New Roman" w:hAnsi="Times New Roman" w:eastAsia="Times New Roman" w:cs="Times New Roman"/>
                <w:spacing w:val="-24"/>
                <w:sz w:val="21"/>
                <w:szCs w:val="21"/>
                <w:highlight w:val="none"/>
              </w:rPr>
              <w:t xml:space="preserve"> </w:t>
            </w:r>
            <w:r>
              <w:rPr>
                <w:spacing w:val="-3"/>
                <w:sz w:val="21"/>
                <w:szCs w:val="21"/>
                <w:highlight w:val="none"/>
              </w:rPr>
              <w:t>。</w:t>
            </w:r>
            <w:r>
              <w:rPr>
                <w:rFonts w:ascii="Times New Roman" w:hAnsi="Times New Roman" w:eastAsia="Times New Roman" w:cs="Times New Roman"/>
                <w:spacing w:val="-3"/>
                <w:sz w:val="21"/>
                <w:szCs w:val="21"/>
                <w:highlight w:val="none"/>
              </w:rPr>
              <w:t>Q=INT</w:t>
            </w:r>
            <w:r>
              <w:rPr>
                <w:spacing w:val="-3"/>
                <w:sz w:val="21"/>
                <w:szCs w:val="21"/>
                <w:highlight w:val="none"/>
              </w:rPr>
              <w:t>（</w:t>
            </w:r>
            <w:r>
              <w:rPr>
                <w:rFonts w:ascii="Times New Roman" w:hAnsi="Times New Roman" w:eastAsia="Times New Roman" w:cs="Times New Roman"/>
                <w:spacing w:val="-3"/>
                <w:sz w:val="21"/>
                <w:szCs w:val="21"/>
                <w:highlight w:val="none"/>
              </w:rPr>
              <w:t>P/5</w:t>
            </w:r>
            <w:r>
              <w:rPr>
                <w:spacing w:val="-8"/>
                <w:sz w:val="21"/>
                <w:szCs w:val="21"/>
                <w:highlight w:val="none"/>
              </w:rPr>
              <w:t>），</w:t>
            </w:r>
            <w:r>
              <w:rPr>
                <w:spacing w:val="-3"/>
                <w:sz w:val="21"/>
                <w:szCs w:val="21"/>
                <w:highlight w:val="none"/>
              </w:rPr>
              <w:t>即</w:t>
            </w:r>
            <w:r>
              <w:rPr>
                <w:spacing w:val="-23"/>
                <w:sz w:val="21"/>
                <w:szCs w:val="21"/>
                <w:highlight w:val="none"/>
              </w:rPr>
              <w:t xml:space="preserve"> </w:t>
            </w:r>
            <w:r>
              <w:rPr>
                <w:rFonts w:ascii="Times New Roman" w:hAnsi="Times New Roman" w:eastAsia="Times New Roman" w:cs="Times New Roman"/>
                <w:spacing w:val="-3"/>
                <w:sz w:val="21"/>
                <w:szCs w:val="21"/>
                <w:highlight w:val="none"/>
              </w:rPr>
              <w:t xml:space="preserve">Q </w:t>
            </w:r>
            <w:r>
              <w:rPr>
                <w:spacing w:val="-3"/>
                <w:sz w:val="21"/>
                <w:szCs w:val="21"/>
                <w:highlight w:val="none"/>
              </w:rPr>
              <w:t>为（</w:t>
            </w:r>
            <w:r>
              <w:rPr>
                <w:rFonts w:ascii="Times New Roman" w:hAnsi="Times New Roman" w:eastAsia="Times New Roman" w:cs="Times New Roman"/>
                <w:spacing w:val="-3"/>
                <w:sz w:val="21"/>
                <w:szCs w:val="21"/>
                <w:highlight w:val="none"/>
              </w:rPr>
              <w:t>P/5</w:t>
            </w:r>
            <w:r>
              <w:rPr>
                <w:spacing w:val="-3"/>
                <w:sz w:val="21"/>
                <w:szCs w:val="21"/>
                <w:highlight w:val="none"/>
              </w:rPr>
              <w:t>）向下取整。</w:t>
            </w:r>
          </w:p>
          <w:p w14:paraId="50EF445F">
            <w:pPr>
              <w:pStyle w:val="102"/>
              <w:spacing w:before="176" w:line="219" w:lineRule="auto"/>
              <w:ind w:left="550"/>
              <w:rPr>
                <w:rFonts w:ascii="Times New Roman" w:hAnsi="Times New Roman" w:eastAsia="Times New Roman" w:cs="Times New Roman"/>
                <w:sz w:val="21"/>
                <w:szCs w:val="21"/>
                <w:highlight w:val="none"/>
              </w:rPr>
            </w:pPr>
            <w:r>
              <w:rPr>
                <w:b/>
                <w:bCs/>
                <w:spacing w:val="-3"/>
                <w:sz w:val="21"/>
                <w:szCs w:val="21"/>
                <w:highlight w:val="none"/>
              </w:rPr>
              <w:t>四、评标价平均值（</w:t>
            </w:r>
            <w:r>
              <w:rPr>
                <w:rFonts w:ascii="Times New Roman" w:hAnsi="Times New Roman" w:eastAsia="Times New Roman" w:cs="Times New Roman"/>
                <w:b/>
                <w:bCs/>
                <w:spacing w:val="-3"/>
                <w:sz w:val="21"/>
                <w:szCs w:val="21"/>
                <w:highlight w:val="none"/>
              </w:rPr>
              <w:t>B</w:t>
            </w:r>
            <w:r>
              <w:rPr>
                <w:b/>
                <w:bCs/>
                <w:spacing w:val="-3"/>
                <w:sz w:val="21"/>
                <w:szCs w:val="21"/>
                <w:highlight w:val="none"/>
              </w:rPr>
              <w:t>）计算方法</w:t>
            </w:r>
            <w:r>
              <w:rPr>
                <w:spacing w:val="-49"/>
                <w:sz w:val="21"/>
                <w:szCs w:val="21"/>
                <w:highlight w:val="none"/>
              </w:rPr>
              <w:t xml:space="preserve"> </w:t>
            </w:r>
            <w:r>
              <w:rPr>
                <w:rFonts w:ascii="Times New Roman" w:hAnsi="Times New Roman" w:eastAsia="Times New Roman" w:cs="Times New Roman"/>
                <w:b/>
                <w:bCs/>
                <w:spacing w:val="-3"/>
                <w:sz w:val="21"/>
                <w:szCs w:val="21"/>
                <w:highlight w:val="none"/>
              </w:rPr>
              <w:t>3</w:t>
            </w:r>
          </w:p>
          <w:p w14:paraId="65744E08">
            <w:pPr>
              <w:pStyle w:val="102"/>
              <w:spacing w:before="113" w:line="317" w:lineRule="auto"/>
              <w:ind w:left="112" w:right="102" w:firstLine="418"/>
              <w:jc w:val="both"/>
              <w:rPr>
                <w:sz w:val="21"/>
                <w:szCs w:val="21"/>
                <w:highlight w:val="none"/>
              </w:rPr>
            </w:pPr>
            <w:r>
              <w:rPr>
                <w:spacing w:val="-1"/>
                <w:sz w:val="21"/>
                <w:szCs w:val="21"/>
                <w:highlight w:val="none"/>
              </w:rPr>
              <w:t>根据所有参加评标价平均值计算的评标价（个数</w:t>
            </w:r>
            <w:r>
              <w:rPr>
                <w:spacing w:val="-4"/>
                <w:sz w:val="21"/>
                <w:szCs w:val="21"/>
                <w:highlight w:val="none"/>
              </w:rPr>
              <w:t>用</w:t>
            </w:r>
            <w:r>
              <w:rPr>
                <w:spacing w:val="-41"/>
                <w:sz w:val="21"/>
                <w:szCs w:val="21"/>
                <w:highlight w:val="none"/>
              </w:rPr>
              <w:t xml:space="preserve"> </w:t>
            </w:r>
            <w:r>
              <w:rPr>
                <w:rFonts w:ascii="Times New Roman" w:hAnsi="Times New Roman" w:eastAsia="Times New Roman" w:cs="Times New Roman"/>
                <w:spacing w:val="-4"/>
                <w:sz w:val="21"/>
                <w:szCs w:val="21"/>
                <w:highlight w:val="none"/>
              </w:rPr>
              <w:t xml:space="preserve">P </w:t>
            </w:r>
            <w:r>
              <w:rPr>
                <w:spacing w:val="-4"/>
                <w:sz w:val="21"/>
                <w:szCs w:val="21"/>
                <w:highlight w:val="none"/>
              </w:rPr>
              <w:t>表示）计算评标价平均值（</w:t>
            </w:r>
            <w:r>
              <w:rPr>
                <w:rFonts w:ascii="Times New Roman" w:hAnsi="Times New Roman" w:eastAsia="Times New Roman" w:cs="Times New Roman"/>
                <w:spacing w:val="-4"/>
                <w:sz w:val="21"/>
                <w:szCs w:val="21"/>
                <w:highlight w:val="none"/>
              </w:rPr>
              <w:t>B</w:t>
            </w:r>
            <w:r>
              <w:rPr>
                <w:spacing w:val="-4"/>
                <w:sz w:val="21"/>
                <w:szCs w:val="21"/>
                <w:highlight w:val="none"/>
              </w:rPr>
              <w:t>）。</w:t>
            </w:r>
            <w:r>
              <w:rPr>
                <w:rFonts w:ascii="Times New Roman" w:hAnsi="Times New Roman" w:eastAsia="Times New Roman" w:cs="Times New Roman"/>
                <w:spacing w:val="-4"/>
                <w:sz w:val="21"/>
                <w:szCs w:val="21"/>
                <w:highlight w:val="none"/>
              </w:rPr>
              <w:t xml:space="preserve">C </w:t>
            </w:r>
            <w:r>
              <w:rPr>
                <w:spacing w:val="-4"/>
                <w:sz w:val="21"/>
                <w:szCs w:val="21"/>
                <w:highlight w:val="none"/>
              </w:rPr>
              <w:t>为招标人设定</w:t>
            </w:r>
            <w:r>
              <w:rPr>
                <w:spacing w:val="-1"/>
                <w:sz w:val="21"/>
                <w:szCs w:val="21"/>
                <w:highlight w:val="none"/>
              </w:rPr>
              <w:t>的最高投标限价。评标价平均值保留七位小数，小数</w:t>
            </w:r>
            <w:r>
              <w:rPr>
                <w:spacing w:val="-4"/>
                <w:sz w:val="21"/>
                <w:szCs w:val="21"/>
                <w:highlight w:val="none"/>
              </w:rPr>
              <w:t>点后第八位“四舍五入”。</w:t>
            </w:r>
          </w:p>
          <w:p w14:paraId="072D84FA">
            <w:pPr>
              <w:pStyle w:val="102"/>
              <w:spacing w:before="155" w:line="284" w:lineRule="auto"/>
              <w:ind w:left="112" w:right="102" w:firstLine="434"/>
              <w:rPr>
                <w:sz w:val="21"/>
                <w:szCs w:val="21"/>
                <w:highlight w:val="none"/>
              </w:rPr>
            </w:pPr>
            <w:r>
              <w:rPr>
                <w:rFonts w:ascii="Times New Roman" w:hAnsi="Times New Roman" w:eastAsia="Times New Roman" w:cs="Times New Roman"/>
                <w:spacing w:val="-4"/>
                <w:sz w:val="21"/>
                <w:szCs w:val="21"/>
                <w:highlight w:val="none"/>
              </w:rPr>
              <w:t>1</w:t>
            </w:r>
            <w:r>
              <w:rPr>
                <w:spacing w:val="-4"/>
                <w:sz w:val="21"/>
                <w:szCs w:val="21"/>
                <w:highlight w:val="none"/>
              </w:rPr>
              <w:t>、当</w:t>
            </w:r>
            <w:r>
              <w:rPr>
                <w:spacing w:val="-49"/>
                <w:sz w:val="21"/>
                <w:szCs w:val="21"/>
                <w:highlight w:val="none"/>
              </w:rPr>
              <w:t xml:space="preserve"> </w:t>
            </w:r>
            <w:r>
              <w:rPr>
                <w:rFonts w:ascii="Times New Roman" w:hAnsi="Times New Roman" w:eastAsia="Times New Roman" w:cs="Times New Roman"/>
                <w:spacing w:val="-4"/>
                <w:sz w:val="21"/>
                <w:szCs w:val="21"/>
                <w:highlight w:val="none"/>
              </w:rPr>
              <w:t>P=0</w:t>
            </w:r>
            <w:r>
              <w:rPr>
                <w:rFonts w:ascii="Times New Roman" w:hAnsi="Times New Roman" w:eastAsia="Times New Roman" w:cs="Times New Roman"/>
                <w:spacing w:val="18"/>
                <w:sz w:val="21"/>
                <w:szCs w:val="21"/>
                <w:highlight w:val="none"/>
              </w:rPr>
              <w:t xml:space="preserve"> </w:t>
            </w:r>
            <w:r>
              <w:rPr>
                <w:spacing w:val="-4"/>
                <w:sz w:val="21"/>
                <w:szCs w:val="21"/>
                <w:highlight w:val="none"/>
              </w:rPr>
              <w:t>时，即所有评标价均低于</w:t>
            </w:r>
            <w:r>
              <w:rPr>
                <w:rFonts w:ascii="Times New Roman" w:hAnsi="Times New Roman" w:eastAsia="Times New Roman" w:cs="Times New Roman"/>
                <w:spacing w:val="-4"/>
                <w:sz w:val="21"/>
                <w:szCs w:val="21"/>
                <w:highlight w:val="none"/>
                <w:u w:val="single" w:color="auto"/>
              </w:rPr>
              <w:t xml:space="preserve">    G    </w:t>
            </w:r>
            <w:r>
              <w:rPr>
                <w:rFonts w:ascii="Times New Roman" w:hAnsi="Times New Roman" w:eastAsia="Times New Roman" w:cs="Times New Roman"/>
                <w:spacing w:val="-46"/>
                <w:sz w:val="21"/>
                <w:szCs w:val="21"/>
                <w:highlight w:val="none"/>
              </w:rPr>
              <w:t xml:space="preserve"> </w:t>
            </w:r>
            <w:r>
              <w:rPr>
                <w:rFonts w:ascii="Times New Roman" w:hAnsi="Times New Roman" w:eastAsia="Times New Roman" w:cs="Times New Roman"/>
                <w:spacing w:val="-4"/>
                <w:sz w:val="21"/>
                <w:szCs w:val="21"/>
                <w:highlight w:val="none"/>
              </w:rPr>
              <w:t>%*C</w:t>
            </w:r>
            <w:r>
              <w:rPr>
                <w:rFonts w:ascii="Times New Roman" w:hAnsi="Times New Roman" w:eastAsia="Times New Roman" w:cs="Times New Roman"/>
                <w:spacing w:val="-5"/>
                <w:sz w:val="21"/>
                <w:szCs w:val="21"/>
                <w:highlight w:val="none"/>
              </w:rPr>
              <w:t xml:space="preserve"> </w:t>
            </w:r>
            <w:r>
              <w:rPr>
                <w:spacing w:val="-5"/>
                <w:sz w:val="21"/>
                <w:szCs w:val="21"/>
                <w:highlight w:val="none"/>
              </w:rPr>
              <w:t>值</w:t>
            </w:r>
            <w:r>
              <w:rPr>
                <w:spacing w:val="-1"/>
                <w:sz w:val="21"/>
                <w:szCs w:val="21"/>
                <w:highlight w:val="none"/>
              </w:rPr>
              <w:t>（最高投标限价的</w:t>
            </w:r>
            <w:r>
              <w:rPr>
                <w:spacing w:val="-88"/>
                <w:sz w:val="21"/>
                <w:szCs w:val="21"/>
                <w:highlight w:val="none"/>
              </w:rPr>
              <w:t xml:space="preserve"> </w:t>
            </w:r>
            <w:r>
              <w:rPr>
                <w:rFonts w:ascii="Times New Roman" w:hAnsi="Times New Roman" w:eastAsia="Times New Roman" w:cs="Times New Roman"/>
                <w:spacing w:val="-1"/>
                <w:sz w:val="21"/>
                <w:szCs w:val="21"/>
                <w:highlight w:val="none"/>
                <w:u w:val="single" w:color="auto"/>
              </w:rPr>
              <w:t xml:space="preserve">    G    </w:t>
            </w:r>
            <w:r>
              <w:rPr>
                <w:rFonts w:ascii="Times New Roman" w:hAnsi="Times New Roman" w:eastAsia="Times New Roman" w:cs="Times New Roman"/>
                <w:spacing w:val="-45"/>
                <w:sz w:val="21"/>
                <w:szCs w:val="21"/>
                <w:highlight w:val="none"/>
              </w:rPr>
              <w:t xml:space="preserve"> </w:t>
            </w:r>
            <w:r>
              <w:rPr>
                <w:rFonts w:ascii="Times New Roman" w:hAnsi="Times New Roman" w:eastAsia="Times New Roman" w:cs="Times New Roman"/>
                <w:spacing w:val="-1"/>
                <w:sz w:val="21"/>
                <w:szCs w:val="21"/>
                <w:highlight w:val="none"/>
              </w:rPr>
              <w:t>%</w:t>
            </w:r>
            <w:r>
              <w:rPr>
                <w:spacing w:val="-4"/>
                <w:sz w:val="21"/>
                <w:szCs w:val="21"/>
                <w:highlight w:val="none"/>
              </w:rPr>
              <w:t>），</w:t>
            </w:r>
            <w:r>
              <w:rPr>
                <w:spacing w:val="-1"/>
                <w:sz w:val="21"/>
                <w:szCs w:val="21"/>
                <w:highlight w:val="none"/>
              </w:rPr>
              <w:t>则评标价平均值（</w:t>
            </w:r>
            <w:r>
              <w:rPr>
                <w:rFonts w:ascii="Times New Roman" w:hAnsi="Times New Roman" w:eastAsia="Times New Roman" w:cs="Times New Roman"/>
                <w:spacing w:val="-1"/>
                <w:sz w:val="21"/>
                <w:szCs w:val="21"/>
                <w:highlight w:val="none"/>
              </w:rPr>
              <w:t>B</w:t>
            </w:r>
            <w:r>
              <w:rPr>
                <w:spacing w:val="-1"/>
                <w:sz w:val="21"/>
                <w:szCs w:val="21"/>
                <w:highlight w:val="none"/>
              </w:rPr>
              <w:t>）直接为</w:t>
            </w:r>
            <w:r>
              <w:rPr>
                <w:rFonts w:ascii="Times New Roman" w:hAnsi="Times New Roman" w:eastAsia="Times New Roman" w:cs="Times New Roman"/>
                <w:spacing w:val="-1"/>
                <w:sz w:val="21"/>
                <w:szCs w:val="21"/>
                <w:highlight w:val="none"/>
                <w:u w:val="single" w:color="auto"/>
              </w:rPr>
              <w:t xml:space="preserve">    G%    </w:t>
            </w:r>
            <w:r>
              <w:rPr>
                <w:rFonts w:ascii="Times New Roman" w:hAnsi="Times New Roman" w:eastAsia="Times New Roman" w:cs="Times New Roman"/>
                <w:spacing w:val="-38"/>
                <w:sz w:val="21"/>
                <w:szCs w:val="21"/>
                <w:highlight w:val="none"/>
              </w:rPr>
              <w:t xml:space="preserve"> </w:t>
            </w:r>
            <w:r>
              <w:rPr>
                <w:rFonts w:ascii="Times New Roman" w:hAnsi="Times New Roman" w:eastAsia="Times New Roman" w:cs="Times New Roman"/>
                <w:spacing w:val="-1"/>
                <w:sz w:val="21"/>
                <w:szCs w:val="21"/>
                <w:highlight w:val="none"/>
              </w:rPr>
              <w:t xml:space="preserve">*C </w:t>
            </w:r>
            <w:r>
              <w:rPr>
                <w:spacing w:val="-1"/>
                <w:sz w:val="21"/>
                <w:szCs w:val="21"/>
                <w:highlight w:val="none"/>
              </w:rPr>
              <w:t>值（最高投标限价的</w:t>
            </w:r>
            <w:r>
              <w:rPr>
                <w:rFonts w:ascii="Times New Roman" w:hAnsi="Times New Roman" w:eastAsia="Times New Roman" w:cs="Times New Roman"/>
                <w:spacing w:val="-1"/>
                <w:sz w:val="21"/>
                <w:szCs w:val="21"/>
                <w:highlight w:val="none"/>
                <w:u w:val="single" w:color="auto"/>
              </w:rPr>
              <w:t xml:space="preserve">    G%  </w:t>
            </w:r>
            <w:r>
              <w:rPr>
                <w:rFonts w:ascii="Times New Roman" w:hAnsi="Times New Roman" w:eastAsia="Times New Roman" w:cs="Times New Roman"/>
                <w:spacing w:val="-2"/>
                <w:sz w:val="21"/>
                <w:szCs w:val="21"/>
                <w:highlight w:val="none"/>
                <w:u w:val="single" w:color="auto"/>
              </w:rPr>
              <w:t xml:space="preserve">  </w:t>
            </w:r>
            <w:r>
              <w:rPr>
                <w:spacing w:val="-2"/>
                <w:sz w:val="21"/>
                <w:szCs w:val="21"/>
                <w:highlight w:val="none"/>
              </w:rPr>
              <w:t>）。</w:t>
            </w:r>
          </w:p>
          <w:p w14:paraId="6E2DF2CC">
            <w:pPr>
              <w:pStyle w:val="102"/>
              <w:spacing w:before="270" w:line="268" w:lineRule="auto"/>
              <w:ind w:left="112" w:right="101" w:firstLine="415"/>
              <w:rPr>
                <w:sz w:val="21"/>
                <w:szCs w:val="21"/>
                <w:highlight w:val="none"/>
              </w:rPr>
            </w:pPr>
            <w:r>
              <w:rPr>
                <w:rFonts w:ascii="Times New Roman" w:hAnsi="Times New Roman" w:eastAsia="Times New Roman" w:cs="Times New Roman"/>
                <w:spacing w:val="-2"/>
                <w:sz w:val="21"/>
                <w:szCs w:val="21"/>
                <w:highlight w:val="none"/>
              </w:rPr>
              <w:t>2</w:t>
            </w:r>
            <w:r>
              <w:rPr>
                <w:spacing w:val="-2"/>
                <w:sz w:val="21"/>
                <w:szCs w:val="21"/>
                <w:highlight w:val="none"/>
              </w:rPr>
              <w:t>、当</w:t>
            </w:r>
            <w:r>
              <w:rPr>
                <w:spacing w:val="-38"/>
                <w:sz w:val="21"/>
                <w:szCs w:val="21"/>
                <w:highlight w:val="none"/>
              </w:rPr>
              <w:t xml:space="preserve"> </w:t>
            </w:r>
            <w:r>
              <w:rPr>
                <w:rFonts w:ascii="Times New Roman" w:hAnsi="Times New Roman" w:eastAsia="Times New Roman" w:cs="Times New Roman"/>
                <w:spacing w:val="-2"/>
                <w:sz w:val="21"/>
                <w:szCs w:val="21"/>
                <w:highlight w:val="none"/>
              </w:rPr>
              <w:t>0</w:t>
            </w:r>
            <w:r>
              <w:rPr>
                <w:spacing w:val="-2"/>
                <w:sz w:val="21"/>
                <w:szCs w:val="21"/>
                <w:highlight w:val="none"/>
              </w:rPr>
              <w:t>＜</w:t>
            </w:r>
            <w:r>
              <w:rPr>
                <w:rFonts w:ascii="Times New Roman" w:hAnsi="Times New Roman" w:eastAsia="Times New Roman" w:cs="Times New Roman"/>
                <w:spacing w:val="-2"/>
                <w:sz w:val="21"/>
                <w:szCs w:val="21"/>
                <w:highlight w:val="none"/>
              </w:rPr>
              <w:t>P</w:t>
            </w:r>
            <w:r>
              <w:rPr>
                <w:spacing w:val="-2"/>
                <w:sz w:val="21"/>
                <w:szCs w:val="21"/>
                <w:highlight w:val="none"/>
              </w:rPr>
              <w:t>≤</w:t>
            </w:r>
            <w:r>
              <w:rPr>
                <w:rFonts w:ascii="Times New Roman" w:hAnsi="Times New Roman" w:eastAsia="Times New Roman" w:cs="Times New Roman"/>
                <w:spacing w:val="-2"/>
                <w:sz w:val="21"/>
                <w:szCs w:val="21"/>
                <w:highlight w:val="none"/>
              </w:rPr>
              <w:t>5</w:t>
            </w:r>
            <w:r>
              <w:rPr>
                <w:rFonts w:ascii="Times New Roman" w:hAnsi="Times New Roman" w:eastAsia="Times New Roman" w:cs="Times New Roman"/>
                <w:spacing w:val="18"/>
                <w:w w:val="101"/>
                <w:sz w:val="21"/>
                <w:szCs w:val="21"/>
                <w:highlight w:val="none"/>
              </w:rPr>
              <w:t xml:space="preserve"> </w:t>
            </w:r>
            <w:r>
              <w:rPr>
                <w:spacing w:val="-2"/>
                <w:sz w:val="21"/>
                <w:szCs w:val="21"/>
                <w:highlight w:val="none"/>
              </w:rPr>
              <w:t>时，评标价平均值（</w:t>
            </w:r>
            <w:r>
              <w:rPr>
                <w:rFonts w:ascii="Times New Roman" w:hAnsi="Times New Roman" w:eastAsia="Times New Roman" w:cs="Times New Roman"/>
                <w:spacing w:val="-2"/>
                <w:sz w:val="21"/>
                <w:szCs w:val="21"/>
                <w:highlight w:val="none"/>
              </w:rPr>
              <w:t>B</w:t>
            </w:r>
            <w:r>
              <w:rPr>
                <w:spacing w:val="-2"/>
                <w:sz w:val="21"/>
                <w:szCs w:val="21"/>
                <w:highlight w:val="none"/>
              </w:rPr>
              <w:t>）为</w:t>
            </w:r>
            <w:r>
              <w:rPr>
                <w:spacing w:val="-49"/>
                <w:sz w:val="21"/>
                <w:szCs w:val="21"/>
                <w:highlight w:val="none"/>
              </w:rPr>
              <w:t xml:space="preserve"> </w:t>
            </w:r>
            <w:r>
              <w:rPr>
                <w:rFonts w:ascii="Times New Roman" w:hAnsi="Times New Roman" w:eastAsia="Times New Roman" w:cs="Times New Roman"/>
                <w:spacing w:val="-2"/>
                <w:sz w:val="21"/>
                <w:szCs w:val="21"/>
                <w:highlight w:val="none"/>
              </w:rPr>
              <w:t xml:space="preserve">P </w:t>
            </w:r>
            <w:r>
              <w:rPr>
                <w:spacing w:val="-2"/>
                <w:sz w:val="21"/>
                <w:szCs w:val="21"/>
                <w:highlight w:val="none"/>
              </w:rPr>
              <w:t>个评</w:t>
            </w:r>
            <w:r>
              <w:rPr>
                <w:spacing w:val="-4"/>
                <w:sz w:val="21"/>
                <w:szCs w:val="21"/>
                <w:highlight w:val="none"/>
              </w:rPr>
              <w:t>标价的算术平均值。</w:t>
            </w:r>
          </w:p>
          <w:p w14:paraId="5E05E4FE">
            <w:pPr>
              <w:pStyle w:val="102"/>
              <w:spacing w:before="271" w:line="284" w:lineRule="auto"/>
              <w:ind w:left="112" w:right="101" w:firstLine="419"/>
              <w:rPr>
                <w:sz w:val="21"/>
                <w:szCs w:val="21"/>
                <w:highlight w:val="none"/>
              </w:rPr>
            </w:pPr>
            <w:r>
              <w:rPr>
                <w:rFonts w:ascii="Times New Roman" w:hAnsi="Times New Roman" w:eastAsia="Times New Roman" w:cs="Times New Roman"/>
                <w:spacing w:val="-7"/>
                <w:sz w:val="21"/>
                <w:szCs w:val="21"/>
                <w:highlight w:val="none"/>
              </w:rPr>
              <w:t>3</w:t>
            </w:r>
            <w:r>
              <w:rPr>
                <w:spacing w:val="-7"/>
                <w:sz w:val="21"/>
                <w:szCs w:val="21"/>
                <w:highlight w:val="none"/>
              </w:rPr>
              <w:t>、当</w:t>
            </w:r>
            <w:r>
              <w:rPr>
                <w:spacing w:val="-41"/>
                <w:sz w:val="21"/>
                <w:szCs w:val="21"/>
                <w:highlight w:val="none"/>
              </w:rPr>
              <w:t xml:space="preserve"> </w:t>
            </w:r>
            <w:r>
              <w:rPr>
                <w:rFonts w:ascii="Times New Roman" w:hAnsi="Times New Roman" w:eastAsia="Times New Roman" w:cs="Times New Roman"/>
                <w:spacing w:val="-7"/>
                <w:sz w:val="21"/>
                <w:szCs w:val="21"/>
                <w:highlight w:val="none"/>
              </w:rPr>
              <w:t>P=6</w:t>
            </w:r>
            <w:r>
              <w:rPr>
                <w:rFonts w:ascii="Times New Roman" w:hAnsi="Times New Roman" w:eastAsia="Times New Roman" w:cs="Times New Roman"/>
                <w:spacing w:val="11"/>
                <w:sz w:val="21"/>
                <w:szCs w:val="21"/>
                <w:highlight w:val="none"/>
              </w:rPr>
              <w:t xml:space="preserve"> </w:t>
            </w:r>
            <w:r>
              <w:rPr>
                <w:spacing w:val="-7"/>
                <w:sz w:val="21"/>
                <w:szCs w:val="21"/>
                <w:highlight w:val="none"/>
              </w:rPr>
              <w:t>或</w:t>
            </w:r>
            <w:r>
              <w:rPr>
                <w:spacing w:val="-45"/>
                <w:sz w:val="21"/>
                <w:szCs w:val="21"/>
                <w:highlight w:val="none"/>
              </w:rPr>
              <w:t xml:space="preserve"> </w:t>
            </w:r>
            <w:r>
              <w:rPr>
                <w:rFonts w:ascii="Times New Roman" w:hAnsi="Times New Roman" w:eastAsia="Times New Roman" w:cs="Times New Roman"/>
                <w:spacing w:val="-7"/>
                <w:sz w:val="21"/>
                <w:szCs w:val="21"/>
                <w:highlight w:val="none"/>
              </w:rPr>
              <w:t>7</w:t>
            </w:r>
            <w:r>
              <w:rPr>
                <w:rFonts w:ascii="Times New Roman" w:hAnsi="Times New Roman" w:eastAsia="Times New Roman" w:cs="Times New Roman"/>
                <w:spacing w:val="18"/>
                <w:sz w:val="21"/>
                <w:szCs w:val="21"/>
                <w:highlight w:val="none"/>
              </w:rPr>
              <w:t xml:space="preserve"> </w:t>
            </w:r>
            <w:r>
              <w:rPr>
                <w:spacing w:val="-7"/>
                <w:sz w:val="21"/>
                <w:szCs w:val="21"/>
                <w:highlight w:val="none"/>
              </w:rPr>
              <w:t>时，在</w:t>
            </w:r>
            <w:r>
              <w:rPr>
                <w:spacing w:val="-49"/>
                <w:sz w:val="21"/>
                <w:szCs w:val="21"/>
                <w:highlight w:val="none"/>
              </w:rPr>
              <w:t xml:space="preserve"> </w:t>
            </w:r>
            <w:r>
              <w:rPr>
                <w:rFonts w:ascii="Times New Roman" w:hAnsi="Times New Roman" w:eastAsia="Times New Roman" w:cs="Times New Roman"/>
                <w:spacing w:val="-7"/>
                <w:sz w:val="21"/>
                <w:szCs w:val="21"/>
                <w:highlight w:val="none"/>
              </w:rPr>
              <w:t xml:space="preserve">P </w:t>
            </w:r>
            <w:r>
              <w:rPr>
                <w:spacing w:val="-7"/>
                <w:sz w:val="21"/>
                <w:szCs w:val="21"/>
                <w:highlight w:val="none"/>
              </w:rPr>
              <w:t>个评标价中，去掉</w:t>
            </w:r>
            <w:r>
              <w:rPr>
                <w:spacing w:val="-28"/>
                <w:sz w:val="21"/>
                <w:szCs w:val="21"/>
                <w:highlight w:val="none"/>
              </w:rPr>
              <w:t xml:space="preserve"> </w:t>
            </w:r>
            <w:r>
              <w:rPr>
                <w:rFonts w:ascii="Times New Roman" w:hAnsi="Times New Roman" w:eastAsia="Times New Roman" w:cs="Times New Roman"/>
                <w:spacing w:val="-7"/>
                <w:sz w:val="21"/>
                <w:szCs w:val="21"/>
                <w:highlight w:val="none"/>
              </w:rPr>
              <w:t xml:space="preserve">1 </w:t>
            </w:r>
            <w:r>
              <w:rPr>
                <w:spacing w:val="-7"/>
                <w:sz w:val="21"/>
                <w:szCs w:val="21"/>
                <w:highlight w:val="none"/>
              </w:rPr>
              <w:t>个最</w:t>
            </w:r>
            <w:r>
              <w:rPr>
                <w:spacing w:val="-2"/>
                <w:sz w:val="21"/>
                <w:szCs w:val="21"/>
                <w:highlight w:val="none"/>
              </w:rPr>
              <w:t>高值和</w:t>
            </w:r>
            <w:r>
              <w:rPr>
                <w:spacing w:val="-15"/>
                <w:sz w:val="21"/>
                <w:szCs w:val="21"/>
                <w:highlight w:val="none"/>
              </w:rPr>
              <w:t xml:space="preserve"> </w:t>
            </w:r>
            <w:r>
              <w:rPr>
                <w:rFonts w:ascii="Times New Roman" w:hAnsi="Times New Roman" w:eastAsia="Times New Roman" w:cs="Times New Roman"/>
                <w:spacing w:val="-2"/>
                <w:sz w:val="21"/>
                <w:szCs w:val="21"/>
                <w:highlight w:val="none"/>
              </w:rPr>
              <w:t xml:space="preserve">1 </w:t>
            </w:r>
            <w:r>
              <w:rPr>
                <w:spacing w:val="-2"/>
                <w:sz w:val="21"/>
                <w:szCs w:val="21"/>
                <w:highlight w:val="none"/>
              </w:rPr>
              <w:t>个最低值后的其余评标价的算术平均值为评</w:t>
            </w:r>
            <w:r>
              <w:rPr>
                <w:spacing w:val="-3"/>
                <w:sz w:val="21"/>
                <w:szCs w:val="21"/>
                <w:highlight w:val="none"/>
              </w:rPr>
              <w:t>标价平均值（</w:t>
            </w:r>
            <w:r>
              <w:rPr>
                <w:rFonts w:ascii="Times New Roman" w:hAnsi="Times New Roman" w:eastAsia="Times New Roman" w:cs="Times New Roman"/>
                <w:spacing w:val="-3"/>
                <w:sz w:val="21"/>
                <w:szCs w:val="21"/>
                <w:highlight w:val="none"/>
              </w:rPr>
              <w:t>B</w:t>
            </w:r>
            <w:r>
              <w:rPr>
                <w:spacing w:val="-3"/>
                <w:sz w:val="21"/>
                <w:szCs w:val="21"/>
                <w:highlight w:val="none"/>
              </w:rPr>
              <w:t>）。</w:t>
            </w:r>
          </w:p>
          <w:p w14:paraId="505769BC">
            <w:pPr>
              <w:pStyle w:val="102"/>
              <w:spacing w:before="271" w:line="222" w:lineRule="auto"/>
              <w:ind w:left="526"/>
              <w:rPr>
                <w:sz w:val="21"/>
                <w:szCs w:val="21"/>
                <w:highlight w:val="none"/>
              </w:rPr>
            </w:pPr>
            <w:r>
              <w:rPr>
                <w:rFonts w:ascii="Times New Roman" w:hAnsi="Times New Roman" w:eastAsia="Times New Roman" w:cs="Times New Roman"/>
                <w:spacing w:val="-4"/>
                <w:sz w:val="21"/>
                <w:szCs w:val="21"/>
                <w:highlight w:val="none"/>
              </w:rPr>
              <w:t>4</w:t>
            </w:r>
            <w:r>
              <w:rPr>
                <w:spacing w:val="-4"/>
                <w:sz w:val="21"/>
                <w:szCs w:val="21"/>
                <w:highlight w:val="none"/>
              </w:rPr>
              <w:t>、当</w:t>
            </w:r>
            <w:r>
              <w:rPr>
                <w:spacing w:val="-29"/>
                <w:sz w:val="21"/>
                <w:szCs w:val="21"/>
                <w:highlight w:val="none"/>
              </w:rPr>
              <w:t xml:space="preserve"> </w:t>
            </w:r>
            <w:r>
              <w:rPr>
                <w:rFonts w:ascii="Times New Roman" w:hAnsi="Times New Roman" w:eastAsia="Times New Roman" w:cs="Times New Roman"/>
                <w:spacing w:val="-4"/>
                <w:sz w:val="21"/>
                <w:szCs w:val="21"/>
                <w:highlight w:val="none"/>
              </w:rPr>
              <w:t>P</w:t>
            </w:r>
            <w:r>
              <w:rPr>
                <w:spacing w:val="-4"/>
                <w:sz w:val="21"/>
                <w:szCs w:val="21"/>
                <w:highlight w:val="none"/>
              </w:rPr>
              <w:t>≥</w:t>
            </w:r>
            <w:r>
              <w:rPr>
                <w:rFonts w:ascii="Times New Roman" w:hAnsi="Times New Roman" w:eastAsia="Times New Roman" w:cs="Times New Roman"/>
                <w:spacing w:val="-4"/>
                <w:sz w:val="21"/>
                <w:szCs w:val="21"/>
                <w:highlight w:val="none"/>
              </w:rPr>
              <w:t>8</w:t>
            </w:r>
            <w:r>
              <w:rPr>
                <w:rFonts w:ascii="Times New Roman" w:hAnsi="Times New Roman" w:eastAsia="Times New Roman" w:cs="Times New Roman"/>
                <w:spacing w:val="18"/>
                <w:sz w:val="21"/>
                <w:szCs w:val="21"/>
                <w:highlight w:val="none"/>
              </w:rPr>
              <w:t xml:space="preserve"> </w:t>
            </w:r>
            <w:r>
              <w:rPr>
                <w:spacing w:val="-4"/>
                <w:sz w:val="21"/>
                <w:szCs w:val="21"/>
                <w:highlight w:val="none"/>
              </w:rPr>
              <w:t>时</w:t>
            </w:r>
          </w:p>
          <w:p w14:paraId="370F1A94">
            <w:pPr>
              <w:pStyle w:val="102"/>
              <w:spacing w:before="268" w:line="268" w:lineRule="auto"/>
              <w:ind w:left="112" w:right="131" w:firstLine="424"/>
              <w:rPr>
                <w:sz w:val="21"/>
                <w:szCs w:val="21"/>
                <w:highlight w:val="none"/>
              </w:rPr>
            </w:pPr>
            <w:r>
              <w:rPr>
                <w:spacing w:val="-2"/>
                <w:sz w:val="21"/>
                <w:szCs w:val="21"/>
                <w:highlight w:val="none"/>
              </w:rPr>
              <w:t>（</w:t>
            </w:r>
            <w:r>
              <w:rPr>
                <w:rFonts w:ascii="Times New Roman" w:hAnsi="Times New Roman" w:eastAsia="Times New Roman" w:cs="Times New Roman"/>
                <w:spacing w:val="-2"/>
                <w:sz w:val="21"/>
                <w:szCs w:val="21"/>
                <w:highlight w:val="none"/>
              </w:rPr>
              <w:t>1</w:t>
            </w:r>
            <w:r>
              <w:rPr>
                <w:spacing w:val="-2"/>
                <w:sz w:val="21"/>
                <w:szCs w:val="21"/>
                <w:highlight w:val="none"/>
              </w:rPr>
              <w:t>）首先，在</w:t>
            </w:r>
            <w:r>
              <w:rPr>
                <w:spacing w:val="-23"/>
                <w:sz w:val="21"/>
                <w:szCs w:val="21"/>
                <w:highlight w:val="none"/>
              </w:rPr>
              <w:t xml:space="preserve"> </w:t>
            </w:r>
            <w:r>
              <w:rPr>
                <w:rFonts w:ascii="Times New Roman" w:hAnsi="Times New Roman" w:eastAsia="Times New Roman" w:cs="Times New Roman"/>
                <w:spacing w:val="-2"/>
                <w:sz w:val="21"/>
                <w:szCs w:val="21"/>
                <w:highlight w:val="none"/>
              </w:rPr>
              <w:t xml:space="preserve">P </w:t>
            </w:r>
            <w:r>
              <w:rPr>
                <w:spacing w:val="-2"/>
                <w:sz w:val="21"/>
                <w:szCs w:val="21"/>
                <w:highlight w:val="none"/>
              </w:rPr>
              <w:t>个评标价中，去掉</w:t>
            </w:r>
            <w:r>
              <w:rPr>
                <w:spacing w:val="-49"/>
                <w:sz w:val="21"/>
                <w:szCs w:val="21"/>
                <w:highlight w:val="none"/>
              </w:rPr>
              <w:t xml:space="preserve"> </w:t>
            </w:r>
            <w:r>
              <w:rPr>
                <w:rFonts w:ascii="Times New Roman" w:hAnsi="Times New Roman" w:eastAsia="Times New Roman" w:cs="Times New Roman"/>
                <w:spacing w:val="-2"/>
                <w:sz w:val="21"/>
                <w:szCs w:val="21"/>
                <w:highlight w:val="none"/>
              </w:rPr>
              <w:t xml:space="preserve">P1 </w:t>
            </w:r>
            <w:r>
              <w:rPr>
                <w:spacing w:val="-2"/>
                <w:sz w:val="21"/>
                <w:szCs w:val="21"/>
                <w:highlight w:val="none"/>
              </w:rPr>
              <w:t>个最高值</w:t>
            </w:r>
            <w:r>
              <w:rPr>
                <w:spacing w:val="-4"/>
                <w:sz w:val="21"/>
                <w:szCs w:val="21"/>
                <w:highlight w:val="none"/>
              </w:rPr>
              <w:t>和</w:t>
            </w:r>
            <w:r>
              <w:rPr>
                <w:spacing w:val="-49"/>
                <w:sz w:val="21"/>
                <w:szCs w:val="21"/>
                <w:highlight w:val="none"/>
              </w:rPr>
              <w:t xml:space="preserve"> </w:t>
            </w:r>
            <w:r>
              <w:rPr>
                <w:rFonts w:ascii="Times New Roman" w:hAnsi="Times New Roman" w:eastAsia="Times New Roman" w:cs="Times New Roman"/>
                <w:spacing w:val="-4"/>
                <w:sz w:val="21"/>
                <w:szCs w:val="21"/>
                <w:highlight w:val="none"/>
              </w:rPr>
              <w:t xml:space="preserve">P2 </w:t>
            </w:r>
            <w:r>
              <w:rPr>
                <w:spacing w:val="-4"/>
                <w:sz w:val="21"/>
                <w:szCs w:val="21"/>
                <w:highlight w:val="none"/>
              </w:rPr>
              <w:t>个最低值。</w:t>
            </w:r>
          </w:p>
          <w:p w14:paraId="3397E8AC">
            <w:pPr>
              <w:pStyle w:val="102"/>
              <w:spacing w:before="270" w:line="218" w:lineRule="auto"/>
              <w:ind w:left="530"/>
              <w:rPr>
                <w:sz w:val="21"/>
                <w:szCs w:val="21"/>
                <w:highlight w:val="none"/>
              </w:rPr>
            </w:pPr>
            <w:r>
              <w:rPr>
                <w:spacing w:val="-3"/>
                <w:sz w:val="21"/>
                <w:szCs w:val="21"/>
                <w:highlight w:val="none"/>
              </w:rPr>
              <w:t>①当</w:t>
            </w:r>
            <w:r>
              <w:rPr>
                <w:spacing w:val="-34"/>
                <w:sz w:val="21"/>
                <w:szCs w:val="21"/>
                <w:highlight w:val="none"/>
              </w:rPr>
              <w:t xml:space="preserve"> </w:t>
            </w:r>
            <w:r>
              <w:rPr>
                <w:rFonts w:ascii="Times New Roman" w:hAnsi="Times New Roman" w:eastAsia="Times New Roman" w:cs="Times New Roman"/>
                <w:spacing w:val="-3"/>
                <w:sz w:val="21"/>
                <w:szCs w:val="21"/>
                <w:highlight w:val="none"/>
              </w:rPr>
              <w:t xml:space="preserve">P=8 </w:t>
            </w:r>
            <w:r>
              <w:rPr>
                <w:spacing w:val="-3"/>
                <w:sz w:val="21"/>
                <w:szCs w:val="21"/>
                <w:highlight w:val="none"/>
              </w:rPr>
              <w:t>或</w:t>
            </w:r>
            <w:r>
              <w:rPr>
                <w:spacing w:val="-44"/>
                <w:sz w:val="21"/>
                <w:szCs w:val="21"/>
                <w:highlight w:val="none"/>
              </w:rPr>
              <w:t xml:space="preserve"> </w:t>
            </w:r>
            <w:r>
              <w:rPr>
                <w:rFonts w:ascii="Times New Roman" w:hAnsi="Times New Roman" w:eastAsia="Times New Roman" w:cs="Times New Roman"/>
                <w:spacing w:val="-3"/>
                <w:sz w:val="21"/>
                <w:szCs w:val="21"/>
                <w:highlight w:val="none"/>
              </w:rPr>
              <w:t>9</w:t>
            </w:r>
            <w:r>
              <w:rPr>
                <w:rFonts w:ascii="Times New Roman" w:hAnsi="Times New Roman" w:eastAsia="Times New Roman" w:cs="Times New Roman"/>
                <w:spacing w:val="18"/>
                <w:w w:val="101"/>
                <w:sz w:val="21"/>
                <w:szCs w:val="21"/>
                <w:highlight w:val="none"/>
              </w:rPr>
              <w:t xml:space="preserve"> </w:t>
            </w:r>
            <w:r>
              <w:rPr>
                <w:spacing w:val="-3"/>
                <w:sz w:val="21"/>
                <w:szCs w:val="21"/>
                <w:highlight w:val="none"/>
              </w:rPr>
              <w:t>时，</w:t>
            </w:r>
            <w:r>
              <w:rPr>
                <w:rFonts w:ascii="Times New Roman" w:hAnsi="Times New Roman" w:eastAsia="Times New Roman" w:cs="Times New Roman"/>
                <w:spacing w:val="-3"/>
                <w:sz w:val="21"/>
                <w:szCs w:val="21"/>
                <w:highlight w:val="none"/>
              </w:rPr>
              <w:t>P1=P2=1</w:t>
            </w:r>
            <w:r>
              <w:rPr>
                <w:spacing w:val="-3"/>
                <w:sz w:val="21"/>
                <w:szCs w:val="21"/>
                <w:highlight w:val="none"/>
              </w:rPr>
              <w:t>；</w:t>
            </w:r>
          </w:p>
          <w:p w14:paraId="5065FF94">
            <w:pPr>
              <w:pStyle w:val="102"/>
              <w:spacing w:before="273" w:line="269" w:lineRule="auto"/>
              <w:ind w:left="106" w:right="464" w:firstLine="422"/>
              <w:rPr>
                <w:sz w:val="21"/>
                <w:szCs w:val="21"/>
                <w:highlight w:val="none"/>
              </w:rPr>
            </w:pPr>
            <w:r>
              <w:rPr>
                <w:spacing w:val="-9"/>
                <w:sz w:val="21"/>
                <w:szCs w:val="21"/>
                <w:highlight w:val="none"/>
              </w:rPr>
              <w:t>②当</w:t>
            </w:r>
            <w:r>
              <w:rPr>
                <w:spacing w:val="-40"/>
                <w:sz w:val="21"/>
                <w:szCs w:val="21"/>
                <w:highlight w:val="none"/>
              </w:rPr>
              <w:t xml:space="preserve"> </w:t>
            </w:r>
            <w:r>
              <w:rPr>
                <w:rFonts w:ascii="Times New Roman" w:hAnsi="Times New Roman" w:eastAsia="Times New Roman" w:cs="Times New Roman"/>
                <w:spacing w:val="-9"/>
                <w:sz w:val="21"/>
                <w:szCs w:val="21"/>
                <w:highlight w:val="none"/>
              </w:rPr>
              <w:t>P=10</w:t>
            </w:r>
            <w:r>
              <w:rPr>
                <w:rFonts w:ascii="Times New Roman" w:hAnsi="Times New Roman" w:eastAsia="Times New Roman" w:cs="Times New Roman"/>
                <w:spacing w:val="11"/>
                <w:sz w:val="21"/>
                <w:szCs w:val="21"/>
                <w:highlight w:val="none"/>
              </w:rPr>
              <w:t xml:space="preserve"> </w:t>
            </w:r>
            <w:r>
              <w:rPr>
                <w:spacing w:val="-9"/>
                <w:sz w:val="21"/>
                <w:szCs w:val="21"/>
                <w:highlight w:val="none"/>
              </w:rPr>
              <w:t>或</w:t>
            </w:r>
            <w:r>
              <w:rPr>
                <w:spacing w:val="-28"/>
                <w:sz w:val="21"/>
                <w:szCs w:val="21"/>
                <w:highlight w:val="none"/>
              </w:rPr>
              <w:t xml:space="preserve"> </w:t>
            </w:r>
            <w:r>
              <w:rPr>
                <w:rFonts w:ascii="Times New Roman" w:hAnsi="Times New Roman" w:eastAsia="Times New Roman" w:cs="Times New Roman"/>
                <w:spacing w:val="-9"/>
                <w:sz w:val="21"/>
                <w:szCs w:val="21"/>
                <w:highlight w:val="none"/>
              </w:rPr>
              <w:t>11</w:t>
            </w:r>
            <w:r>
              <w:rPr>
                <w:rFonts w:ascii="Times New Roman" w:hAnsi="Times New Roman" w:eastAsia="Times New Roman" w:cs="Times New Roman"/>
                <w:spacing w:val="11"/>
                <w:sz w:val="21"/>
                <w:szCs w:val="21"/>
                <w:highlight w:val="none"/>
              </w:rPr>
              <w:t xml:space="preserve"> </w:t>
            </w:r>
            <w:r>
              <w:rPr>
                <w:spacing w:val="-9"/>
                <w:sz w:val="21"/>
                <w:szCs w:val="21"/>
                <w:highlight w:val="none"/>
              </w:rPr>
              <w:t>或</w:t>
            </w:r>
            <w:r>
              <w:rPr>
                <w:spacing w:val="-28"/>
                <w:sz w:val="21"/>
                <w:szCs w:val="21"/>
                <w:highlight w:val="none"/>
              </w:rPr>
              <w:t xml:space="preserve"> </w:t>
            </w:r>
            <w:r>
              <w:rPr>
                <w:rFonts w:ascii="Times New Roman" w:hAnsi="Times New Roman" w:eastAsia="Times New Roman" w:cs="Times New Roman"/>
                <w:spacing w:val="-9"/>
                <w:sz w:val="21"/>
                <w:szCs w:val="21"/>
                <w:highlight w:val="none"/>
              </w:rPr>
              <w:t>12</w:t>
            </w:r>
            <w:r>
              <w:rPr>
                <w:rFonts w:ascii="Times New Roman" w:hAnsi="Times New Roman" w:eastAsia="Times New Roman" w:cs="Times New Roman"/>
                <w:spacing w:val="10"/>
                <w:sz w:val="21"/>
                <w:szCs w:val="21"/>
                <w:highlight w:val="none"/>
              </w:rPr>
              <w:t xml:space="preserve"> </w:t>
            </w:r>
            <w:r>
              <w:rPr>
                <w:spacing w:val="-9"/>
                <w:sz w:val="21"/>
                <w:szCs w:val="21"/>
                <w:highlight w:val="none"/>
              </w:rPr>
              <w:t>或</w:t>
            </w:r>
            <w:r>
              <w:rPr>
                <w:spacing w:val="-28"/>
                <w:sz w:val="21"/>
                <w:szCs w:val="21"/>
                <w:highlight w:val="none"/>
              </w:rPr>
              <w:t xml:space="preserve"> </w:t>
            </w:r>
            <w:r>
              <w:rPr>
                <w:rFonts w:ascii="Times New Roman" w:hAnsi="Times New Roman" w:eastAsia="Times New Roman" w:cs="Times New Roman"/>
                <w:spacing w:val="-9"/>
                <w:sz w:val="21"/>
                <w:szCs w:val="21"/>
                <w:highlight w:val="none"/>
              </w:rPr>
              <w:t>13</w:t>
            </w:r>
            <w:r>
              <w:rPr>
                <w:rFonts w:ascii="Times New Roman" w:hAnsi="Times New Roman" w:eastAsia="Times New Roman" w:cs="Times New Roman"/>
                <w:spacing w:val="11"/>
                <w:sz w:val="21"/>
                <w:szCs w:val="21"/>
                <w:highlight w:val="none"/>
              </w:rPr>
              <w:t xml:space="preserve"> </w:t>
            </w:r>
            <w:r>
              <w:rPr>
                <w:spacing w:val="-9"/>
                <w:sz w:val="21"/>
                <w:szCs w:val="21"/>
                <w:highlight w:val="none"/>
              </w:rPr>
              <w:t>或</w:t>
            </w:r>
            <w:r>
              <w:rPr>
                <w:spacing w:val="-28"/>
                <w:sz w:val="21"/>
                <w:szCs w:val="21"/>
                <w:highlight w:val="none"/>
              </w:rPr>
              <w:t xml:space="preserve"> </w:t>
            </w:r>
            <w:r>
              <w:rPr>
                <w:rFonts w:ascii="Times New Roman" w:hAnsi="Times New Roman" w:eastAsia="Times New Roman" w:cs="Times New Roman"/>
                <w:spacing w:val="-9"/>
                <w:sz w:val="21"/>
                <w:szCs w:val="21"/>
                <w:highlight w:val="none"/>
              </w:rPr>
              <w:t>14</w:t>
            </w:r>
            <w:r>
              <w:rPr>
                <w:rFonts w:ascii="Times New Roman" w:hAnsi="Times New Roman" w:eastAsia="Times New Roman" w:cs="Times New Roman"/>
                <w:spacing w:val="18"/>
                <w:w w:val="101"/>
                <w:sz w:val="21"/>
                <w:szCs w:val="21"/>
                <w:highlight w:val="none"/>
              </w:rPr>
              <w:t xml:space="preserve"> </w:t>
            </w:r>
            <w:r>
              <w:rPr>
                <w:spacing w:val="-9"/>
                <w:sz w:val="21"/>
                <w:szCs w:val="21"/>
                <w:highlight w:val="none"/>
              </w:rPr>
              <w:t>时，</w:t>
            </w:r>
            <w:r>
              <w:rPr>
                <w:rFonts w:ascii="Times New Roman" w:hAnsi="Times New Roman" w:eastAsia="Times New Roman" w:cs="Times New Roman"/>
                <w:spacing w:val="-9"/>
                <w:sz w:val="21"/>
                <w:szCs w:val="21"/>
                <w:highlight w:val="none"/>
              </w:rPr>
              <w:t>P1=2</w:t>
            </w:r>
            <w:r>
              <w:rPr>
                <w:spacing w:val="-9"/>
                <w:sz w:val="21"/>
                <w:szCs w:val="21"/>
                <w:highlight w:val="none"/>
              </w:rPr>
              <w:t>，</w:t>
            </w:r>
            <w:r>
              <w:rPr>
                <w:sz w:val="21"/>
                <w:szCs w:val="21"/>
                <w:highlight w:val="none"/>
              </w:rPr>
              <w:t xml:space="preserve"> </w:t>
            </w:r>
            <w:r>
              <w:rPr>
                <w:rFonts w:ascii="Times New Roman" w:hAnsi="Times New Roman" w:eastAsia="Times New Roman" w:cs="Times New Roman"/>
                <w:spacing w:val="-1"/>
                <w:sz w:val="21"/>
                <w:szCs w:val="21"/>
                <w:highlight w:val="none"/>
              </w:rPr>
              <w:t>P2=1</w:t>
            </w:r>
            <w:r>
              <w:rPr>
                <w:spacing w:val="-1"/>
                <w:sz w:val="21"/>
                <w:szCs w:val="21"/>
                <w:highlight w:val="none"/>
              </w:rPr>
              <w:t>；</w:t>
            </w:r>
          </w:p>
          <w:p w14:paraId="4AE0744D">
            <w:pPr>
              <w:pStyle w:val="102"/>
              <w:spacing w:before="269" w:line="292" w:lineRule="auto"/>
              <w:ind w:left="111" w:right="102" w:firstLine="418"/>
              <w:rPr>
                <w:sz w:val="21"/>
                <w:szCs w:val="21"/>
                <w:highlight w:val="none"/>
              </w:rPr>
            </w:pPr>
            <w:r>
              <w:rPr>
                <w:spacing w:val="-6"/>
                <w:sz w:val="21"/>
                <w:szCs w:val="21"/>
                <w:highlight w:val="none"/>
              </w:rPr>
              <w:t>③当</w:t>
            </w:r>
            <w:r>
              <w:rPr>
                <w:spacing w:val="-35"/>
                <w:sz w:val="21"/>
                <w:szCs w:val="21"/>
                <w:highlight w:val="none"/>
              </w:rPr>
              <w:t xml:space="preserve"> </w:t>
            </w:r>
            <w:r>
              <w:rPr>
                <w:rFonts w:ascii="Times New Roman" w:hAnsi="Times New Roman" w:eastAsia="Times New Roman" w:cs="Times New Roman"/>
                <w:spacing w:val="-6"/>
                <w:sz w:val="21"/>
                <w:szCs w:val="21"/>
                <w:highlight w:val="none"/>
              </w:rPr>
              <w:t>P</w:t>
            </w:r>
            <w:r>
              <w:rPr>
                <w:spacing w:val="-6"/>
                <w:sz w:val="21"/>
                <w:szCs w:val="21"/>
                <w:highlight w:val="none"/>
              </w:rPr>
              <w:t>≥</w:t>
            </w:r>
            <w:r>
              <w:rPr>
                <w:rFonts w:ascii="Times New Roman" w:hAnsi="Times New Roman" w:eastAsia="Times New Roman" w:cs="Times New Roman"/>
                <w:spacing w:val="-6"/>
                <w:sz w:val="21"/>
                <w:szCs w:val="21"/>
                <w:highlight w:val="none"/>
              </w:rPr>
              <w:t>15</w:t>
            </w:r>
            <w:r>
              <w:rPr>
                <w:rFonts w:ascii="Times New Roman" w:hAnsi="Times New Roman" w:eastAsia="Times New Roman" w:cs="Times New Roman"/>
                <w:spacing w:val="18"/>
                <w:sz w:val="21"/>
                <w:szCs w:val="21"/>
                <w:highlight w:val="none"/>
              </w:rPr>
              <w:t xml:space="preserve"> </w:t>
            </w:r>
            <w:r>
              <w:rPr>
                <w:spacing w:val="-6"/>
                <w:sz w:val="21"/>
                <w:szCs w:val="21"/>
                <w:highlight w:val="none"/>
              </w:rPr>
              <w:t>时，</w:t>
            </w:r>
            <w:r>
              <w:rPr>
                <w:rFonts w:ascii="Times New Roman" w:hAnsi="Times New Roman" w:eastAsia="Times New Roman" w:cs="Times New Roman"/>
                <w:spacing w:val="-6"/>
                <w:sz w:val="21"/>
                <w:szCs w:val="21"/>
                <w:highlight w:val="none"/>
              </w:rPr>
              <w:t>P1=Q1</w:t>
            </w:r>
            <w:r>
              <w:rPr>
                <w:rFonts w:ascii="Times New Roman" w:hAnsi="Times New Roman" w:eastAsia="Times New Roman" w:cs="Times New Roman"/>
                <w:spacing w:val="-30"/>
                <w:sz w:val="21"/>
                <w:szCs w:val="21"/>
                <w:highlight w:val="none"/>
              </w:rPr>
              <w:t xml:space="preserve"> </w:t>
            </w:r>
            <w:r>
              <w:rPr>
                <w:spacing w:val="-6"/>
                <w:sz w:val="21"/>
                <w:szCs w:val="21"/>
                <w:highlight w:val="none"/>
              </w:rPr>
              <w:t>，</w:t>
            </w:r>
            <w:r>
              <w:rPr>
                <w:rFonts w:ascii="Times New Roman" w:hAnsi="Times New Roman" w:eastAsia="Times New Roman" w:cs="Times New Roman"/>
                <w:spacing w:val="-6"/>
                <w:sz w:val="21"/>
                <w:szCs w:val="21"/>
                <w:highlight w:val="none"/>
              </w:rPr>
              <w:t>P2=Q2</w:t>
            </w:r>
            <w:r>
              <w:rPr>
                <w:rFonts w:ascii="Times New Roman" w:hAnsi="Times New Roman" w:eastAsia="Times New Roman" w:cs="Times New Roman"/>
                <w:spacing w:val="-23"/>
                <w:sz w:val="21"/>
                <w:szCs w:val="21"/>
                <w:highlight w:val="none"/>
              </w:rPr>
              <w:t xml:space="preserve"> </w:t>
            </w:r>
            <w:r>
              <w:rPr>
                <w:spacing w:val="-6"/>
                <w:sz w:val="21"/>
                <w:szCs w:val="21"/>
                <w:highlight w:val="none"/>
              </w:rPr>
              <w:t>。</w:t>
            </w:r>
            <w:r>
              <w:rPr>
                <w:rFonts w:ascii="Times New Roman" w:hAnsi="Times New Roman" w:eastAsia="Times New Roman" w:cs="Times New Roman"/>
                <w:spacing w:val="-6"/>
                <w:sz w:val="21"/>
                <w:szCs w:val="21"/>
                <w:highlight w:val="none"/>
              </w:rPr>
              <w:t>Q1</w:t>
            </w:r>
            <w:r>
              <w:rPr>
                <w:rFonts w:ascii="Times New Roman" w:hAnsi="Times New Roman" w:eastAsia="Times New Roman" w:cs="Times New Roman"/>
                <w:spacing w:val="-30"/>
                <w:sz w:val="21"/>
                <w:szCs w:val="21"/>
                <w:highlight w:val="none"/>
              </w:rPr>
              <w:t xml:space="preserve"> </w:t>
            </w:r>
            <w:r>
              <w:rPr>
                <w:spacing w:val="-6"/>
                <w:sz w:val="21"/>
                <w:szCs w:val="21"/>
                <w:highlight w:val="none"/>
              </w:rPr>
              <w:t>、</w:t>
            </w:r>
            <w:r>
              <w:rPr>
                <w:rFonts w:ascii="Times New Roman" w:hAnsi="Times New Roman" w:eastAsia="Times New Roman" w:cs="Times New Roman"/>
                <w:spacing w:val="-6"/>
                <w:sz w:val="21"/>
                <w:szCs w:val="21"/>
                <w:highlight w:val="none"/>
              </w:rPr>
              <w:t>Q2</w:t>
            </w:r>
            <w:r>
              <w:rPr>
                <w:rFonts w:ascii="Times New Roman" w:hAnsi="Times New Roman" w:eastAsia="Times New Roman" w:cs="Times New Roman"/>
                <w:spacing w:val="12"/>
                <w:sz w:val="21"/>
                <w:szCs w:val="21"/>
                <w:highlight w:val="none"/>
              </w:rPr>
              <w:t xml:space="preserve"> </w:t>
            </w:r>
            <w:r>
              <w:rPr>
                <w:spacing w:val="-6"/>
                <w:sz w:val="21"/>
                <w:szCs w:val="21"/>
                <w:highlight w:val="none"/>
              </w:rPr>
              <w:t>是在取</w:t>
            </w:r>
            <w:r>
              <w:rPr>
                <w:spacing w:val="-1"/>
                <w:sz w:val="21"/>
                <w:szCs w:val="21"/>
                <w:highlight w:val="none"/>
              </w:rPr>
              <w:t>值区间（</w:t>
            </w:r>
            <w:r>
              <w:rPr>
                <w:rFonts w:ascii="Times New Roman" w:hAnsi="Times New Roman" w:eastAsia="Times New Roman" w:cs="Times New Roman"/>
                <w:spacing w:val="-1"/>
                <w:sz w:val="21"/>
                <w:szCs w:val="21"/>
                <w:highlight w:val="none"/>
              </w:rPr>
              <w:t>1</w:t>
            </w:r>
            <w:r>
              <w:rPr>
                <w:spacing w:val="-1"/>
                <w:sz w:val="21"/>
                <w:szCs w:val="21"/>
                <w:highlight w:val="none"/>
              </w:rPr>
              <w:t>～</w:t>
            </w:r>
            <w:r>
              <w:rPr>
                <w:rFonts w:ascii="Times New Roman" w:hAnsi="Times New Roman" w:eastAsia="Times New Roman" w:cs="Times New Roman"/>
                <w:spacing w:val="-1"/>
                <w:sz w:val="21"/>
                <w:szCs w:val="21"/>
                <w:highlight w:val="none"/>
              </w:rPr>
              <w:t>Q</w:t>
            </w:r>
            <w:r>
              <w:rPr>
                <w:spacing w:val="-1"/>
                <w:sz w:val="21"/>
                <w:szCs w:val="21"/>
                <w:highlight w:val="none"/>
              </w:rPr>
              <w:t>）中随机抽取的两个数值，较大的数值</w:t>
            </w:r>
            <w:r>
              <w:rPr>
                <w:spacing w:val="-3"/>
                <w:sz w:val="21"/>
                <w:szCs w:val="21"/>
                <w:highlight w:val="none"/>
              </w:rPr>
              <w:t>为</w:t>
            </w:r>
            <w:r>
              <w:rPr>
                <w:spacing w:val="-44"/>
                <w:sz w:val="21"/>
                <w:szCs w:val="21"/>
                <w:highlight w:val="none"/>
              </w:rPr>
              <w:t xml:space="preserve"> </w:t>
            </w:r>
            <w:r>
              <w:rPr>
                <w:rFonts w:ascii="Times New Roman" w:hAnsi="Times New Roman" w:eastAsia="Times New Roman" w:cs="Times New Roman"/>
                <w:spacing w:val="-3"/>
                <w:sz w:val="21"/>
                <w:szCs w:val="21"/>
                <w:highlight w:val="none"/>
              </w:rPr>
              <w:t>Q1</w:t>
            </w:r>
            <w:r>
              <w:rPr>
                <w:spacing w:val="-3"/>
                <w:sz w:val="21"/>
                <w:szCs w:val="21"/>
                <w:highlight w:val="none"/>
              </w:rPr>
              <w:t>，较小的数值为</w:t>
            </w:r>
            <w:r>
              <w:rPr>
                <w:spacing w:val="-35"/>
                <w:sz w:val="21"/>
                <w:szCs w:val="21"/>
                <w:highlight w:val="none"/>
              </w:rPr>
              <w:t xml:space="preserve"> </w:t>
            </w:r>
            <w:r>
              <w:rPr>
                <w:rFonts w:ascii="Times New Roman" w:hAnsi="Times New Roman" w:eastAsia="Times New Roman" w:cs="Times New Roman"/>
                <w:spacing w:val="-3"/>
                <w:sz w:val="21"/>
                <w:szCs w:val="21"/>
                <w:highlight w:val="none"/>
              </w:rPr>
              <w:t>Q2</w:t>
            </w:r>
            <w:r>
              <w:rPr>
                <w:rFonts w:ascii="Times New Roman" w:hAnsi="Times New Roman" w:eastAsia="Times New Roman" w:cs="Times New Roman"/>
                <w:spacing w:val="-24"/>
                <w:sz w:val="21"/>
                <w:szCs w:val="21"/>
                <w:highlight w:val="none"/>
              </w:rPr>
              <w:t xml:space="preserve"> </w:t>
            </w:r>
            <w:r>
              <w:rPr>
                <w:spacing w:val="-3"/>
                <w:sz w:val="21"/>
                <w:szCs w:val="21"/>
                <w:highlight w:val="none"/>
              </w:rPr>
              <w:t>。</w:t>
            </w:r>
            <w:r>
              <w:rPr>
                <w:rFonts w:ascii="Times New Roman" w:hAnsi="Times New Roman" w:eastAsia="Times New Roman" w:cs="Times New Roman"/>
                <w:spacing w:val="-3"/>
                <w:sz w:val="21"/>
                <w:szCs w:val="21"/>
                <w:highlight w:val="none"/>
              </w:rPr>
              <w:t>Q=INT</w:t>
            </w:r>
            <w:r>
              <w:rPr>
                <w:spacing w:val="-3"/>
                <w:sz w:val="21"/>
                <w:szCs w:val="21"/>
                <w:highlight w:val="none"/>
              </w:rPr>
              <w:t>（</w:t>
            </w:r>
            <w:r>
              <w:rPr>
                <w:rFonts w:ascii="Times New Roman" w:hAnsi="Times New Roman" w:eastAsia="Times New Roman" w:cs="Times New Roman"/>
                <w:spacing w:val="-3"/>
                <w:sz w:val="21"/>
                <w:szCs w:val="21"/>
                <w:highlight w:val="none"/>
              </w:rPr>
              <w:t>P/5</w:t>
            </w:r>
            <w:r>
              <w:rPr>
                <w:spacing w:val="-8"/>
                <w:sz w:val="21"/>
                <w:szCs w:val="21"/>
                <w:highlight w:val="none"/>
              </w:rPr>
              <w:t>），</w:t>
            </w:r>
            <w:r>
              <w:rPr>
                <w:spacing w:val="-3"/>
                <w:sz w:val="21"/>
                <w:szCs w:val="21"/>
                <w:highlight w:val="none"/>
              </w:rPr>
              <w:t>即</w:t>
            </w:r>
            <w:r>
              <w:rPr>
                <w:spacing w:val="-23"/>
                <w:sz w:val="21"/>
                <w:szCs w:val="21"/>
                <w:highlight w:val="none"/>
              </w:rPr>
              <w:t xml:space="preserve"> </w:t>
            </w:r>
            <w:r>
              <w:rPr>
                <w:rFonts w:ascii="Times New Roman" w:hAnsi="Times New Roman" w:eastAsia="Times New Roman" w:cs="Times New Roman"/>
                <w:spacing w:val="-3"/>
                <w:sz w:val="21"/>
                <w:szCs w:val="21"/>
                <w:highlight w:val="none"/>
              </w:rPr>
              <w:t xml:space="preserve">Q </w:t>
            </w:r>
            <w:r>
              <w:rPr>
                <w:spacing w:val="-3"/>
                <w:sz w:val="21"/>
                <w:szCs w:val="21"/>
                <w:highlight w:val="none"/>
              </w:rPr>
              <w:t>为</w:t>
            </w:r>
            <w:r>
              <w:rPr>
                <w:spacing w:val="-4"/>
                <w:sz w:val="21"/>
                <w:szCs w:val="21"/>
                <w:highlight w:val="none"/>
              </w:rPr>
              <w:t>（</w:t>
            </w:r>
            <w:r>
              <w:rPr>
                <w:rFonts w:ascii="Times New Roman" w:hAnsi="Times New Roman" w:eastAsia="Times New Roman" w:cs="Times New Roman"/>
                <w:spacing w:val="-4"/>
                <w:sz w:val="21"/>
                <w:szCs w:val="21"/>
                <w:highlight w:val="none"/>
              </w:rPr>
              <w:t>P/5</w:t>
            </w:r>
            <w:r>
              <w:rPr>
                <w:spacing w:val="-4"/>
                <w:sz w:val="21"/>
                <w:szCs w:val="21"/>
                <w:highlight w:val="none"/>
              </w:rPr>
              <w:t xml:space="preserve">）向下取整且最小为 </w:t>
            </w:r>
            <w:r>
              <w:rPr>
                <w:rFonts w:ascii="Times New Roman" w:hAnsi="Times New Roman" w:eastAsia="Times New Roman" w:cs="Times New Roman"/>
                <w:spacing w:val="-4"/>
                <w:sz w:val="21"/>
                <w:szCs w:val="21"/>
                <w:highlight w:val="none"/>
              </w:rPr>
              <w:t>1</w:t>
            </w:r>
            <w:r>
              <w:rPr>
                <w:spacing w:val="-4"/>
                <w:sz w:val="21"/>
                <w:szCs w:val="21"/>
                <w:highlight w:val="none"/>
              </w:rPr>
              <w:t>。</w:t>
            </w:r>
          </w:p>
          <w:p w14:paraId="6495F145">
            <w:pPr>
              <w:pStyle w:val="102"/>
              <w:spacing w:before="269" w:line="284" w:lineRule="auto"/>
              <w:ind w:left="110" w:right="111" w:firstLine="426"/>
              <w:rPr>
                <w:sz w:val="21"/>
                <w:szCs w:val="21"/>
                <w:highlight w:val="none"/>
              </w:rPr>
            </w:pPr>
            <w:r>
              <w:rPr>
                <w:spacing w:val="-4"/>
                <w:sz w:val="21"/>
                <w:szCs w:val="21"/>
                <w:highlight w:val="none"/>
              </w:rPr>
              <w:t>（</w:t>
            </w:r>
            <w:r>
              <w:rPr>
                <w:rFonts w:ascii="Times New Roman" w:hAnsi="Times New Roman" w:eastAsia="Times New Roman" w:cs="Times New Roman"/>
                <w:spacing w:val="-4"/>
                <w:sz w:val="21"/>
                <w:szCs w:val="21"/>
                <w:highlight w:val="none"/>
              </w:rPr>
              <w:t>2</w:t>
            </w:r>
            <w:r>
              <w:rPr>
                <w:spacing w:val="-4"/>
                <w:sz w:val="21"/>
                <w:szCs w:val="21"/>
                <w:highlight w:val="none"/>
              </w:rPr>
              <w:t>）然后，将其余评标价由低到高排列，对排列</w:t>
            </w:r>
            <w:r>
              <w:rPr>
                <w:spacing w:val="-7"/>
                <w:sz w:val="21"/>
                <w:szCs w:val="21"/>
                <w:highlight w:val="none"/>
              </w:rPr>
              <w:t>第（</w:t>
            </w:r>
            <w:r>
              <w:rPr>
                <w:rFonts w:ascii="Times New Roman" w:hAnsi="Times New Roman" w:eastAsia="Times New Roman" w:cs="Times New Roman"/>
                <w:spacing w:val="-7"/>
                <w:sz w:val="21"/>
                <w:szCs w:val="21"/>
                <w:highlight w:val="none"/>
              </w:rPr>
              <w:t>1</w:t>
            </w:r>
            <w:r>
              <w:rPr>
                <w:rFonts w:ascii="Times New Roman" w:hAnsi="Times New Roman" w:eastAsia="Times New Roman" w:cs="Times New Roman"/>
                <w:spacing w:val="-15"/>
                <w:sz w:val="21"/>
                <w:szCs w:val="21"/>
                <w:highlight w:val="none"/>
              </w:rPr>
              <w:t xml:space="preserve"> </w:t>
            </w:r>
            <w:r>
              <w:rPr>
                <w:spacing w:val="-7"/>
                <w:sz w:val="21"/>
                <w:szCs w:val="21"/>
                <w:highlight w:val="none"/>
              </w:rPr>
              <w:t>、</w:t>
            </w:r>
            <w:r>
              <w:rPr>
                <w:rFonts w:ascii="Times New Roman" w:hAnsi="Times New Roman" w:eastAsia="Times New Roman" w:cs="Times New Roman"/>
                <w:spacing w:val="-7"/>
                <w:sz w:val="21"/>
                <w:szCs w:val="21"/>
                <w:highlight w:val="none"/>
              </w:rPr>
              <w:t>1+R</w:t>
            </w:r>
            <w:r>
              <w:rPr>
                <w:rFonts w:ascii="Times New Roman" w:hAnsi="Times New Roman" w:eastAsia="Times New Roman" w:cs="Times New Roman"/>
                <w:spacing w:val="-31"/>
                <w:sz w:val="21"/>
                <w:szCs w:val="21"/>
                <w:highlight w:val="none"/>
              </w:rPr>
              <w:t xml:space="preserve"> </w:t>
            </w:r>
            <w:r>
              <w:rPr>
                <w:spacing w:val="-7"/>
                <w:sz w:val="21"/>
                <w:szCs w:val="21"/>
                <w:highlight w:val="none"/>
              </w:rPr>
              <w:t>、</w:t>
            </w:r>
            <w:r>
              <w:rPr>
                <w:rFonts w:ascii="Times New Roman" w:hAnsi="Times New Roman" w:eastAsia="Times New Roman" w:cs="Times New Roman"/>
                <w:spacing w:val="-7"/>
                <w:sz w:val="21"/>
                <w:szCs w:val="21"/>
                <w:highlight w:val="none"/>
              </w:rPr>
              <w:t>1+2R</w:t>
            </w:r>
            <w:r>
              <w:rPr>
                <w:rFonts w:ascii="Times New Roman" w:hAnsi="Times New Roman" w:eastAsia="Times New Roman" w:cs="Times New Roman"/>
                <w:spacing w:val="-32"/>
                <w:sz w:val="21"/>
                <w:szCs w:val="21"/>
                <w:highlight w:val="none"/>
              </w:rPr>
              <w:t xml:space="preserve"> </w:t>
            </w:r>
            <w:r>
              <w:rPr>
                <w:spacing w:val="-7"/>
                <w:sz w:val="21"/>
                <w:szCs w:val="21"/>
                <w:highlight w:val="none"/>
              </w:rPr>
              <w:t>、……、</w:t>
            </w:r>
            <w:r>
              <w:rPr>
                <w:rFonts w:ascii="Times New Roman" w:hAnsi="Times New Roman" w:eastAsia="Times New Roman" w:cs="Times New Roman"/>
                <w:spacing w:val="-7"/>
                <w:sz w:val="21"/>
                <w:szCs w:val="21"/>
                <w:highlight w:val="none"/>
              </w:rPr>
              <w:t>1+SR</w:t>
            </w:r>
            <w:r>
              <w:rPr>
                <w:spacing w:val="-7"/>
                <w:sz w:val="21"/>
                <w:szCs w:val="21"/>
                <w:highlight w:val="none"/>
              </w:rPr>
              <w:t>）的评标价进行算术</w:t>
            </w:r>
            <w:r>
              <w:rPr>
                <w:spacing w:val="-2"/>
                <w:sz w:val="21"/>
                <w:szCs w:val="21"/>
                <w:highlight w:val="none"/>
              </w:rPr>
              <w:t>平均，该算术平均值为评标价平均值（</w:t>
            </w:r>
            <w:r>
              <w:rPr>
                <w:rFonts w:ascii="Times New Roman" w:hAnsi="Times New Roman" w:eastAsia="Times New Roman" w:cs="Times New Roman"/>
                <w:spacing w:val="-2"/>
                <w:sz w:val="21"/>
                <w:szCs w:val="21"/>
                <w:highlight w:val="none"/>
              </w:rPr>
              <w:t>B</w:t>
            </w:r>
            <w:r>
              <w:rPr>
                <w:spacing w:val="-2"/>
                <w:sz w:val="21"/>
                <w:szCs w:val="21"/>
                <w:highlight w:val="none"/>
              </w:rPr>
              <w:t>）。</w:t>
            </w:r>
          </w:p>
          <w:p w14:paraId="18B62A95">
            <w:pPr>
              <w:keepNext w:val="0"/>
              <w:keepLines w:val="0"/>
              <w:pageBreakBefore w:val="0"/>
              <w:widowControl/>
              <w:kinsoku/>
              <w:wordWrap/>
              <w:overflowPunct/>
              <w:topLinePunct w:val="0"/>
              <w:autoSpaceDE/>
              <w:autoSpaceDN/>
              <w:bidi w:val="0"/>
              <w:adjustRightInd/>
              <w:snapToGrid/>
              <w:spacing w:line="360" w:lineRule="exact"/>
              <w:ind w:firstLine="416" w:firstLineChars="200"/>
              <w:jc w:val="left"/>
              <w:textAlignment w:val="auto"/>
              <w:rPr>
                <w:spacing w:val="-10"/>
                <w:sz w:val="21"/>
                <w:szCs w:val="21"/>
                <w:highlight w:val="none"/>
              </w:rPr>
            </w:pPr>
            <w:r>
              <w:rPr>
                <w:rFonts w:ascii="Times New Roman" w:hAnsi="Times New Roman" w:eastAsia="Times New Roman" w:cs="Times New Roman"/>
                <w:spacing w:val="-1"/>
                <w:sz w:val="21"/>
                <w:szCs w:val="21"/>
                <w:highlight w:val="none"/>
              </w:rPr>
              <w:t xml:space="preserve">R </w:t>
            </w:r>
            <w:r>
              <w:rPr>
                <w:spacing w:val="-1"/>
                <w:sz w:val="21"/>
                <w:szCs w:val="21"/>
                <w:highlight w:val="none"/>
              </w:rPr>
              <w:t>为随机步距，在开标现场随机抽取，取值范围</w:t>
            </w:r>
            <w:r>
              <w:rPr>
                <w:spacing w:val="-10"/>
                <w:sz w:val="21"/>
                <w:szCs w:val="21"/>
                <w:highlight w:val="none"/>
              </w:rPr>
              <w:t>为</w:t>
            </w:r>
            <w:r>
              <w:rPr>
                <w:spacing w:val="-40"/>
                <w:sz w:val="21"/>
                <w:szCs w:val="21"/>
                <w:highlight w:val="none"/>
              </w:rPr>
              <w:t xml:space="preserve"> </w:t>
            </w:r>
            <w:r>
              <w:rPr>
                <w:rFonts w:ascii="Times New Roman" w:hAnsi="Times New Roman" w:eastAsia="Times New Roman" w:cs="Times New Roman"/>
                <w:spacing w:val="-10"/>
                <w:sz w:val="21"/>
                <w:szCs w:val="21"/>
                <w:highlight w:val="none"/>
              </w:rPr>
              <w:t>3</w:t>
            </w:r>
            <w:r>
              <w:rPr>
                <w:rFonts w:ascii="Times New Roman" w:hAnsi="Times New Roman" w:eastAsia="Times New Roman" w:cs="Times New Roman"/>
                <w:spacing w:val="-30"/>
                <w:sz w:val="21"/>
                <w:szCs w:val="21"/>
                <w:highlight w:val="none"/>
              </w:rPr>
              <w:t xml:space="preserve"> </w:t>
            </w:r>
            <w:r>
              <w:rPr>
                <w:spacing w:val="-10"/>
                <w:sz w:val="21"/>
                <w:szCs w:val="21"/>
                <w:highlight w:val="none"/>
              </w:rPr>
              <w:t>、</w:t>
            </w:r>
            <w:r>
              <w:rPr>
                <w:rFonts w:ascii="Times New Roman" w:hAnsi="Times New Roman" w:eastAsia="Times New Roman" w:cs="Times New Roman"/>
                <w:spacing w:val="-10"/>
                <w:sz w:val="21"/>
                <w:szCs w:val="21"/>
                <w:highlight w:val="none"/>
              </w:rPr>
              <w:t>4</w:t>
            </w:r>
            <w:r>
              <w:rPr>
                <w:rFonts w:ascii="Times New Roman" w:hAnsi="Times New Roman" w:eastAsia="Times New Roman" w:cs="Times New Roman"/>
                <w:spacing w:val="-30"/>
                <w:sz w:val="21"/>
                <w:szCs w:val="21"/>
                <w:highlight w:val="none"/>
              </w:rPr>
              <w:t xml:space="preserve"> </w:t>
            </w:r>
            <w:r>
              <w:rPr>
                <w:spacing w:val="-10"/>
                <w:sz w:val="21"/>
                <w:szCs w:val="21"/>
                <w:highlight w:val="none"/>
              </w:rPr>
              <w:t>、</w:t>
            </w:r>
            <w:r>
              <w:rPr>
                <w:rFonts w:ascii="Times New Roman" w:hAnsi="Times New Roman" w:eastAsia="Times New Roman" w:cs="Times New Roman"/>
                <w:spacing w:val="-10"/>
                <w:sz w:val="21"/>
                <w:szCs w:val="21"/>
                <w:highlight w:val="none"/>
              </w:rPr>
              <w:t>5</w:t>
            </w:r>
            <w:r>
              <w:rPr>
                <w:spacing w:val="-10"/>
                <w:sz w:val="21"/>
                <w:szCs w:val="21"/>
                <w:highlight w:val="none"/>
              </w:rPr>
              <w:t>。</w:t>
            </w:r>
          </w:p>
          <w:p w14:paraId="624685BF">
            <w:pPr>
              <w:pStyle w:val="102"/>
              <w:spacing w:before="106" w:line="309" w:lineRule="auto"/>
              <w:ind w:left="120" w:right="102" w:firstLine="416"/>
              <w:rPr>
                <w:sz w:val="21"/>
                <w:szCs w:val="21"/>
                <w:highlight w:val="none"/>
              </w:rPr>
            </w:pPr>
            <w:r>
              <w:rPr>
                <w:rFonts w:ascii="Times New Roman" w:hAnsi="Times New Roman" w:eastAsia="Times New Roman" w:cs="Times New Roman"/>
                <w:spacing w:val="-2"/>
                <w:sz w:val="21"/>
                <w:szCs w:val="21"/>
                <w:highlight w:val="none"/>
              </w:rPr>
              <w:t xml:space="preserve">S </w:t>
            </w:r>
            <w:r>
              <w:rPr>
                <w:spacing w:val="-2"/>
                <w:sz w:val="21"/>
                <w:szCs w:val="21"/>
                <w:highlight w:val="none"/>
              </w:rPr>
              <w:t>为步距个数，</w:t>
            </w:r>
            <w:r>
              <w:rPr>
                <w:rFonts w:ascii="Times New Roman" w:hAnsi="Times New Roman" w:eastAsia="Times New Roman" w:cs="Times New Roman"/>
                <w:spacing w:val="-2"/>
                <w:sz w:val="21"/>
                <w:szCs w:val="21"/>
                <w:highlight w:val="none"/>
              </w:rPr>
              <w:t>S=INT[</w:t>
            </w:r>
            <w:r>
              <w:rPr>
                <w:spacing w:val="-2"/>
                <w:sz w:val="21"/>
                <w:szCs w:val="21"/>
                <w:highlight w:val="none"/>
              </w:rPr>
              <w:t>（</w:t>
            </w:r>
            <w:r>
              <w:rPr>
                <w:rFonts w:ascii="Times New Roman" w:hAnsi="Times New Roman" w:eastAsia="Times New Roman" w:cs="Times New Roman"/>
                <w:spacing w:val="-2"/>
                <w:sz w:val="21"/>
                <w:szCs w:val="21"/>
                <w:highlight w:val="none"/>
              </w:rPr>
              <w:t>P-P1-P2-1</w:t>
            </w:r>
            <w:r>
              <w:rPr>
                <w:spacing w:val="-2"/>
                <w:sz w:val="21"/>
                <w:szCs w:val="21"/>
                <w:highlight w:val="none"/>
              </w:rPr>
              <w:t>）</w:t>
            </w:r>
            <w:r>
              <w:rPr>
                <w:rFonts w:ascii="Times New Roman" w:hAnsi="Times New Roman" w:eastAsia="Times New Roman" w:cs="Times New Roman"/>
                <w:spacing w:val="-2"/>
                <w:sz w:val="21"/>
                <w:szCs w:val="21"/>
                <w:highlight w:val="none"/>
              </w:rPr>
              <w:t>/R]</w:t>
            </w:r>
            <w:r>
              <w:rPr>
                <w:spacing w:val="-2"/>
                <w:sz w:val="21"/>
                <w:szCs w:val="21"/>
                <w:highlight w:val="none"/>
              </w:rPr>
              <w:t>，即</w:t>
            </w:r>
            <w:r>
              <w:rPr>
                <w:spacing w:val="-38"/>
                <w:sz w:val="21"/>
                <w:szCs w:val="21"/>
                <w:highlight w:val="none"/>
              </w:rPr>
              <w:t xml:space="preserve"> </w:t>
            </w:r>
            <w:r>
              <w:rPr>
                <w:rFonts w:ascii="Times New Roman" w:hAnsi="Times New Roman" w:eastAsia="Times New Roman" w:cs="Times New Roman"/>
                <w:spacing w:val="-2"/>
                <w:sz w:val="21"/>
                <w:szCs w:val="21"/>
                <w:highlight w:val="none"/>
              </w:rPr>
              <w:t xml:space="preserve">S </w:t>
            </w:r>
            <w:r>
              <w:rPr>
                <w:spacing w:val="-2"/>
                <w:sz w:val="21"/>
                <w:szCs w:val="21"/>
                <w:highlight w:val="none"/>
              </w:rPr>
              <w:t>为</w:t>
            </w:r>
            <w:r>
              <w:rPr>
                <w:rFonts w:ascii="Times New Roman" w:hAnsi="Times New Roman" w:eastAsia="Times New Roman" w:cs="Times New Roman"/>
                <w:spacing w:val="-3"/>
                <w:sz w:val="21"/>
                <w:szCs w:val="21"/>
                <w:highlight w:val="none"/>
              </w:rPr>
              <w:t>[</w:t>
            </w:r>
            <w:r>
              <w:rPr>
                <w:spacing w:val="-3"/>
                <w:sz w:val="21"/>
                <w:szCs w:val="21"/>
                <w:highlight w:val="none"/>
              </w:rPr>
              <w:t>（</w:t>
            </w:r>
            <w:r>
              <w:rPr>
                <w:rFonts w:ascii="Times New Roman" w:hAnsi="Times New Roman" w:eastAsia="Times New Roman" w:cs="Times New Roman"/>
                <w:spacing w:val="-3"/>
                <w:sz w:val="21"/>
                <w:szCs w:val="21"/>
                <w:highlight w:val="none"/>
              </w:rPr>
              <w:t>P-P1-P2-1</w:t>
            </w:r>
            <w:r>
              <w:rPr>
                <w:spacing w:val="-3"/>
                <w:sz w:val="21"/>
                <w:szCs w:val="21"/>
                <w:highlight w:val="none"/>
              </w:rPr>
              <w:t>）</w:t>
            </w:r>
            <w:r>
              <w:rPr>
                <w:rFonts w:ascii="Times New Roman" w:hAnsi="Times New Roman" w:eastAsia="Times New Roman" w:cs="Times New Roman"/>
                <w:spacing w:val="-3"/>
                <w:sz w:val="21"/>
                <w:szCs w:val="21"/>
                <w:highlight w:val="none"/>
              </w:rPr>
              <w:t>/R]</w:t>
            </w:r>
            <w:r>
              <w:rPr>
                <w:spacing w:val="-3"/>
                <w:sz w:val="21"/>
                <w:szCs w:val="21"/>
                <w:highlight w:val="none"/>
              </w:rPr>
              <w:t>向下取整。</w:t>
            </w:r>
          </w:p>
          <w:p w14:paraId="1968F470">
            <w:pPr>
              <w:pStyle w:val="102"/>
              <w:spacing w:before="177" w:line="219" w:lineRule="auto"/>
              <w:ind w:left="534"/>
              <w:rPr>
                <w:sz w:val="21"/>
                <w:szCs w:val="21"/>
                <w:highlight w:val="none"/>
              </w:rPr>
            </w:pPr>
            <w:r>
              <w:rPr>
                <w:b/>
                <w:bCs/>
                <w:spacing w:val="-3"/>
                <w:sz w:val="21"/>
                <w:szCs w:val="21"/>
                <w:highlight w:val="none"/>
              </w:rPr>
              <w:t>五、评标基准价（</w:t>
            </w:r>
            <w:r>
              <w:rPr>
                <w:rFonts w:ascii="Times New Roman" w:hAnsi="Times New Roman" w:eastAsia="Times New Roman" w:cs="Times New Roman"/>
                <w:b/>
                <w:bCs/>
                <w:spacing w:val="-3"/>
                <w:sz w:val="21"/>
                <w:szCs w:val="21"/>
                <w:highlight w:val="none"/>
              </w:rPr>
              <w:t>D</w:t>
            </w:r>
            <w:r>
              <w:rPr>
                <w:b/>
                <w:bCs/>
                <w:spacing w:val="-3"/>
                <w:sz w:val="21"/>
                <w:szCs w:val="21"/>
                <w:highlight w:val="none"/>
              </w:rPr>
              <w:t>）</w:t>
            </w:r>
          </w:p>
          <w:p w14:paraId="77449C6D">
            <w:pPr>
              <w:pStyle w:val="102"/>
              <w:spacing w:before="79" w:line="314" w:lineRule="auto"/>
              <w:ind w:left="116" w:right="42" w:firstLine="409"/>
              <w:rPr>
                <w:sz w:val="21"/>
                <w:szCs w:val="21"/>
                <w:highlight w:val="none"/>
              </w:rPr>
            </w:pPr>
            <w:r>
              <w:rPr>
                <w:rFonts w:ascii="Times New Roman" w:hAnsi="Times New Roman" w:eastAsia="Times New Roman" w:cs="Times New Roman"/>
                <w:spacing w:val="-3"/>
                <w:sz w:val="21"/>
                <w:szCs w:val="21"/>
                <w:highlight w:val="none"/>
              </w:rPr>
              <w:t>D=D=[C*K+B*</w:t>
            </w:r>
            <w:r>
              <w:rPr>
                <w:spacing w:val="-3"/>
                <w:sz w:val="21"/>
                <w:szCs w:val="21"/>
                <w:highlight w:val="none"/>
              </w:rPr>
              <w:t>（</w:t>
            </w:r>
            <w:r>
              <w:rPr>
                <w:rFonts w:ascii="Times New Roman" w:hAnsi="Times New Roman" w:eastAsia="Times New Roman" w:cs="Times New Roman"/>
                <w:spacing w:val="-3"/>
                <w:sz w:val="21"/>
                <w:szCs w:val="21"/>
                <w:highlight w:val="none"/>
              </w:rPr>
              <w:t>1-K</w:t>
            </w:r>
            <w:r>
              <w:rPr>
                <w:spacing w:val="-3"/>
                <w:sz w:val="21"/>
                <w:szCs w:val="21"/>
                <w:highlight w:val="none"/>
              </w:rPr>
              <w:t>）</w:t>
            </w:r>
            <w:r>
              <w:rPr>
                <w:rFonts w:ascii="Times New Roman" w:hAnsi="Times New Roman" w:eastAsia="Times New Roman" w:cs="Times New Roman"/>
                <w:spacing w:val="-3"/>
                <w:sz w:val="21"/>
                <w:szCs w:val="21"/>
                <w:highlight w:val="none"/>
              </w:rPr>
              <w:t>]*</w:t>
            </w:r>
            <w:r>
              <w:rPr>
                <w:spacing w:val="-3"/>
                <w:sz w:val="21"/>
                <w:szCs w:val="21"/>
                <w:highlight w:val="none"/>
              </w:rPr>
              <w:t>（</w:t>
            </w:r>
            <w:r>
              <w:rPr>
                <w:rFonts w:ascii="Times New Roman" w:hAnsi="Times New Roman" w:eastAsia="Times New Roman" w:cs="Times New Roman"/>
                <w:spacing w:val="-4"/>
                <w:sz w:val="21"/>
                <w:szCs w:val="21"/>
                <w:highlight w:val="none"/>
              </w:rPr>
              <w:t>1-Z</w:t>
            </w:r>
            <w:r>
              <w:rPr>
                <w:spacing w:val="-40"/>
                <w:sz w:val="21"/>
                <w:szCs w:val="21"/>
                <w:highlight w:val="none"/>
              </w:rPr>
              <w:t>），</w:t>
            </w:r>
            <w:r>
              <w:rPr>
                <w:spacing w:val="-4"/>
                <w:sz w:val="21"/>
                <w:szCs w:val="21"/>
                <w:highlight w:val="none"/>
              </w:rPr>
              <w:t>保留七位小数，</w:t>
            </w:r>
            <w:r>
              <w:rPr>
                <w:spacing w:val="-3"/>
                <w:sz w:val="21"/>
                <w:szCs w:val="21"/>
                <w:highlight w:val="none"/>
              </w:rPr>
              <w:t>小数点后第八位“四舍五入”。</w:t>
            </w:r>
          </w:p>
          <w:p w14:paraId="34F036DE">
            <w:pPr>
              <w:pStyle w:val="102"/>
              <w:spacing w:before="197" w:line="221" w:lineRule="auto"/>
              <w:ind w:left="535"/>
              <w:rPr>
                <w:sz w:val="21"/>
                <w:szCs w:val="21"/>
                <w:highlight w:val="none"/>
              </w:rPr>
            </w:pPr>
            <w:r>
              <w:rPr>
                <w:spacing w:val="-14"/>
                <w:sz w:val="21"/>
                <w:szCs w:val="21"/>
                <w:highlight w:val="none"/>
              </w:rPr>
              <w:t>式中：</w:t>
            </w:r>
          </w:p>
          <w:p w14:paraId="401127F3">
            <w:pPr>
              <w:pStyle w:val="102"/>
              <w:spacing w:before="269" w:line="268" w:lineRule="auto"/>
              <w:ind w:left="110" w:right="102" w:firstLine="437"/>
              <w:rPr>
                <w:sz w:val="21"/>
                <w:szCs w:val="21"/>
                <w:highlight w:val="none"/>
              </w:rPr>
            </w:pPr>
            <w:r>
              <w:rPr>
                <w:rFonts w:ascii="Times New Roman" w:hAnsi="Times New Roman" w:eastAsia="Times New Roman" w:cs="Times New Roman"/>
                <w:spacing w:val="-3"/>
                <w:sz w:val="21"/>
                <w:szCs w:val="21"/>
                <w:highlight w:val="none"/>
              </w:rPr>
              <w:t>1</w:t>
            </w:r>
            <w:r>
              <w:rPr>
                <w:rFonts w:ascii="Times New Roman" w:hAnsi="Times New Roman" w:eastAsia="Times New Roman" w:cs="Times New Roman"/>
                <w:spacing w:val="-24"/>
                <w:sz w:val="21"/>
                <w:szCs w:val="21"/>
                <w:highlight w:val="none"/>
              </w:rPr>
              <w:t xml:space="preserve"> </w:t>
            </w:r>
            <w:r>
              <w:rPr>
                <w:spacing w:val="-3"/>
                <w:sz w:val="21"/>
                <w:szCs w:val="21"/>
                <w:highlight w:val="none"/>
              </w:rPr>
              <w:t>、</w:t>
            </w:r>
            <w:r>
              <w:rPr>
                <w:rFonts w:ascii="Times New Roman" w:hAnsi="Times New Roman" w:eastAsia="Times New Roman" w:cs="Times New Roman"/>
                <w:spacing w:val="-3"/>
                <w:sz w:val="21"/>
                <w:szCs w:val="21"/>
                <w:highlight w:val="none"/>
              </w:rPr>
              <w:t xml:space="preserve">C </w:t>
            </w:r>
            <w:r>
              <w:rPr>
                <w:spacing w:val="-3"/>
                <w:sz w:val="21"/>
                <w:szCs w:val="21"/>
                <w:highlight w:val="none"/>
              </w:rPr>
              <w:t>为招标人设定的最高投标限价，</w:t>
            </w:r>
            <w:r>
              <w:rPr>
                <w:rFonts w:ascii="Times New Roman" w:hAnsi="Times New Roman" w:eastAsia="Times New Roman" w:cs="Times New Roman"/>
                <w:spacing w:val="-3"/>
                <w:sz w:val="21"/>
                <w:szCs w:val="21"/>
                <w:highlight w:val="none"/>
              </w:rPr>
              <w:t xml:space="preserve">B </w:t>
            </w:r>
            <w:r>
              <w:rPr>
                <w:spacing w:val="-3"/>
                <w:sz w:val="21"/>
                <w:szCs w:val="21"/>
                <w:highlight w:val="none"/>
              </w:rPr>
              <w:t>为评标价</w:t>
            </w:r>
            <w:r>
              <w:rPr>
                <w:spacing w:val="-7"/>
                <w:sz w:val="21"/>
                <w:szCs w:val="21"/>
                <w:highlight w:val="none"/>
              </w:rPr>
              <w:t>平均值。</w:t>
            </w:r>
          </w:p>
          <w:p w14:paraId="7063A607">
            <w:pPr>
              <w:pStyle w:val="102"/>
              <w:spacing w:before="271" w:line="292" w:lineRule="auto"/>
              <w:ind w:left="110" w:right="154" w:firstLine="416"/>
              <w:rPr>
                <w:sz w:val="21"/>
                <w:szCs w:val="21"/>
                <w:highlight w:val="none"/>
              </w:rPr>
            </w:pPr>
            <w:r>
              <w:rPr>
                <w:rFonts w:ascii="Times New Roman" w:hAnsi="Times New Roman" w:eastAsia="Times New Roman" w:cs="Times New Roman"/>
                <w:spacing w:val="-1"/>
                <w:sz w:val="21"/>
                <w:szCs w:val="21"/>
                <w:highlight w:val="none"/>
              </w:rPr>
              <w:t>2</w:t>
            </w:r>
            <w:r>
              <w:rPr>
                <w:rFonts w:ascii="Times New Roman" w:hAnsi="Times New Roman" w:eastAsia="Times New Roman" w:cs="Times New Roman"/>
                <w:spacing w:val="-30"/>
                <w:sz w:val="21"/>
                <w:szCs w:val="21"/>
                <w:highlight w:val="none"/>
              </w:rPr>
              <w:t xml:space="preserve"> </w:t>
            </w:r>
            <w:r>
              <w:rPr>
                <w:spacing w:val="-1"/>
                <w:sz w:val="21"/>
                <w:szCs w:val="21"/>
                <w:highlight w:val="none"/>
              </w:rPr>
              <w:t>、</w:t>
            </w:r>
            <w:r>
              <w:rPr>
                <w:rFonts w:ascii="Times New Roman" w:hAnsi="Times New Roman" w:eastAsia="Times New Roman" w:cs="Times New Roman"/>
                <w:spacing w:val="-1"/>
                <w:sz w:val="21"/>
                <w:szCs w:val="21"/>
                <w:highlight w:val="none"/>
              </w:rPr>
              <w:t xml:space="preserve">K </w:t>
            </w:r>
            <w:r>
              <w:rPr>
                <w:spacing w:val="-1"/>
                <w:sz w:val="21"/>
                <w:szCs w:val="21"/>
                <w:highlight w:val="none"/>
              </w:rPr>
              <w:t>为权重系数，</w:t>
            </w:r>
            <w:r>
              <w:rPr>
                <w:rFonts w:ascii="Times New Roman" w:hAnsi="Times New Roman" w:eastAsia="Times New Roman" w:cs="Times New Roman"/>
                <w:spacing w:val="-1"/>
                <w:sz w:val="21"/>
                <w:szCs w:val="21"/>
                <w:highlight w:val="none"/>
              </w:rPr>
              <w:t>K=[</w:t>
            </w:r>
            <w:r>
              <w:rPr>
                <w:spacing w:val="-1"/>
                <w:sz w:val="21"/>
                <w:szCs w:val="21"/>
                <w:highlight w:val="none"/>
              </w:rPr>
              <w:t>（</w:t>
            </w:r>
            <w:r>
              <w:rPr>
                <w:rFonts w:ascii="Times New Roman" w:hAnsi="Times New Roman" w:eastAsia="Times New Roman" w:cs="Times New Roman"/>
                <w:spacing w:val="-1"/>
                <w:sz w:val="21"/>
                <w:szCs w:val="21"/>
                <w:highlight w:val="none"/>
              </w:rPr>
              <w:t>K1/10</w:t>
            </w:r>
            <w:r>
              <w:rPr>
                <w:spacing w:val="-1"/>
                <w:sz w:val="21"/>
                <w:szCs w:val="21"/>
                <w:highlight w:val="none"/>
              </w:rPr>
              <w:t>）</w:t>
            </w:r>
            <w:r>
              <w:rPr>
                <w:rFonts w:ascii="Times New Roman" w:hAnsi="Times New Roman" w:eastAsia="Times New Roman" w:cs="Times New Roman"/>
                <w:spacing w:val="-1"/>
                <w:sz w:val="21"/>
                <w:szCs w:val="21"/>
                <w:highlight w:val="none"/>
              </w:rPr>
              <w:t>+K2</w:t>
            </w:r>
            <w:r>
              <w:rPr>
                <w:rFonts w:ascii="Times New Roman" w:hAnsi="Times New Roman" w:eastAsia="Times New Roman" w:cs="Times New Roman"/>
                <w:spacing w:val="-2"/>
                <w:sz w:val="21"/>
                <w:szCs w:val="21"/>
                <w:highlight w:val="none"/>
              </w:rPr>
              <w:t>]/10</w:t>
            </w:r>
            <w:r>
              <w:rPr>
                <w:spacing w:val="-2"/>
                <w:sz w:val="21"/>
                <w:szCs w:val="21"/>
                <w:highlight w:val="none"/>
              </w:rPr>
              <w:t>。各标</w:t>
            </w:r>
            <w:r>
              <w:rPr>
                <w:spacing w:val="-10"/>
                <w:sz w:val="21"/>
                <w:szCs w:val="21"/>
                <w:highlight w:val="none"/>
              </w:rPr>
              <w:t>段的</w:t>
            </w:r>
            <w:r>
              <w:rPr>
                <w:spacing w:val="-42"/>
                <w:sz w:val="21"/>
                <w:szCs w:val="21"/>
                <w:highlight w:val="none"/>
              </w:rPr>
              <w:t xml:space="preserve"> </w:t>
            </w:r>
            <w:r>
              <w:rPr>
                <w:rFonts w:ascii="Times New Roman" w:hAnsi="Times New Roman" w:eastAsia="Times New Roman" w:cs="Times New Roman"/>
                <w:spacing w:val="-10"/>
                <w:sz w:val="21"/>
                <w:szCs w:val="21"/>
                <w:highlight w:val="none"/>
              </w:rPr>
              <w:t xml:space="preserve">K1 </w:t>
            </w:r>
            <w:r>
              <w:rPr>
                <w:spacing w:val="-10"/>
                <w:sz w:val="21"/>
                <w:szCs w:val="21"/>
                <w:highlight w:val="none"/>
              </w:rPr>
              <w:t>在开标现场从</w:t>
            </w:r>
            <w:r>
              <w:rPr>
                <w:spacing w:val="-44"/>
                <w:sz w:val="21"/>
                <w:szCs w:val="21"/>
                <w:highlight w:val="none"/>
              </w:rPr>
              <w:t xml:space="preserve"> </w:t>
            </w:r>
            <w:r>
              <w:rPr>
                <w:rFonts w:ascii="Times New Roman" w:hAnsi="Times New Roman" w:eastAsia="Times New Roman" w:cs="Times New Roman"/>
                <w:spacing w:val="-10"/>
                <w:sz w:val="21"/>
                <w:szCs w:val="21"/>
                <w:highlight w:val="none"/>
              </w:rPr>
              <w:t>0</w:t>
            </w:r>
            <w:r>
              <w:rPr>
                <w:rFonts w:ascii="Times New Roman" w:hAnsi="Times New Roman" w:eastAsia="Times New Roman" w:cs="Times New Roman"/>
                <w:spacing w:val="-30"/>
                <w:sz w:val="21"/>
                <w:szCs w:val="21"/>
                <w:highlight w:val="none"/>
              </w:rPr>
              <w:t xml:space="preserve"> </w:t>
            </w:r>
            <w:r>
              <w:rPr>
                <w:spacing w:val="-10"/>
                <w:sz w:val="21"/>
                <w:szCs w:val="21"/>
                <w:highlight w:val="none"/>
              </w:rPr>
              <w:t>、</w:t>
            </w:r>
            <w:r>
              <w:rPr>
                <w:rFonts w:ascii="Times New Roman" w:hAnsi="Times New Roman" w:eastAsia="Times New Roman" w:cs="Times New Roman"/>
                <w:spacing w:val="-10"/>
                <w:sz w:val="21"/>
                <w:szCs w:val="21"/>
                <w:highlight w:val="none"/>
              </w:rPr>
              <w:t>1</w:t>
            </w:r>
            <w:r>
              <w:rPr>
                <w:spacing w:val="-10"/>
                <w:sz w:val="21"/>
                <w:szCs w:val="21"/>
                <w:highlight w:val="none"/>
              </w:rPr>
              <w:t>、</w:t>
            </w:r>
            <w:r>
              <w:rPr>
                <w:rFonts w:ascii="Times New Roman" w:hAnsi="Times New Roman" w:eastAsia="Times New Roman" w:cs="Times New Roman"/>
                <w:spacing w:val="-10"/>
                <w:sz w:val="21"/>
                <w:szCs w:val="21"/>
                <w:highlight w:val="none"/>
              </w:rPr>
              <w:t>2</w:t>
            </w:r>
            <w:r>
              <w:rPr>
                <w:spacing w:val="-10"/>
                <w:sz w:val="21"/>
                <w:szCs w:val="21"/>
                <w:highlight w:val="none"/>
              </w:rPr>
              <w:t>、</w:t>
            </w:r>
            <w:r>
              <w:rPr>
                <w:rFonts w:ascii="Times New Roman" w:hAnsi="Times New Roman" w:eastAsia="Times New Roman" w:cs="Times New Roman"/>
                <w:spacing w:val="-10"/>
                <w:sz w:val="21"/>
                <w:szCs w:val="21"/>
                <w:highlight w:val="none"/>
              </w:rPr>
              <w:t>3</w:t>
            </w:r>
            <w:r>
              <w:rPr>
                <w:spacing w:val="-10"/>
                <w:sz w:val="21"/>
                <w:szCs w:val="21"/>
                <w:highlight w:val="none"/>
              </w:rPr>
              <w:t>、</w:t>
            </w:r>
            <w:r>
              <w:rPr>
                <w:rFonts w:ascii="Times New Roman" w:hAnsi="Times New Roman" w:eastAsia="Times New Roman" w:cs="Times New Roman"/>
                <w:spacing w:val="-10"/>
                <w:sz w:val="21"/>
                <w:szCs w:val="21"/>
                <w:highlight w:val="none"/>
              </w:rPr>
              <w:t>4</w:t>
            </w:r>
            <w:r>
              <w:rPr>
                <w:rFonts w:ascii="Times New Roman" w:hAnsi="Times New Roman" w:eastAsia="Times New Roman" w:cs="Times New Roman"/>
                <w:spacing w:val="-30"/>
                <w:sz w:val="21"/>
                <w:szCs w:val="21"/>
                <w:highlight w:val="none"/>
              </w:rPr>
              <w:t xml:space="preserve"> </w:t>
            </w:r>
            <w:r>
              <w:rPr>
                <w:spacing w:val="-10"/>
                <w:sz w:val="21"/>
                <w:szCs w:val="21"/>
                <w:highlight w:val="none"/>
              </w:rPr>
              <w:t>、</w:t>
            </w:r>
            <w:r>
              <w:rPr>
                <w:rFonts w:ascii="Times New Roman" w:hAnsi="Times New Roman" w:eastAsia="Times New Roman" w:cs="Times New Roman"/>
                <w:spacing w:val="-10"/>
                <w:sz w:val="21"/>
                <w:szCs w:val="21"/>
                <w:highlight w:val="none"/>
              </w:rPr>
              <w:t>5</w:t>
            </w:r>
            <w:r>
              <w:rPr>
                <w:spacing w:val="-10"/>
                <w:sz w:val="21"/>
                <w:szCs w:val="21"/>
                <w:highlight w:val="none"/>
              </w:rPr>
              <w:t>、</w:t>
            </w:r>
            <w:r>
              <w:rPr>
                <w:rFonts w:ascii="Times New Roman" w:hAnsi="Times New Roman" w:eastAsia="Times New Roman" w:cs="Times New Roman"/>
                <w:spacing w:val="-10"/>
                <w:sz w:val="21"/>
                <w:szCs w:val="21"/>
                <w:highlight w:val="none"/>
              </w:rPr>
              <w:t>6</w:t>
            </w:r>
            <w:r>
              <w:rPr>
                <w:spacing w:val="-10"/>
                <w:sz w:val="21"/>
                <w:szCs w:val="21"/>
                <w:highlight w:val="none"/>
              </w:rPr>
              <w:t>、</w:t>
            </w:r>
            <w:r>
              <w:rPr>
                <w:rFonts w:ascii="Times New Roman" w:hAnsi="Times New Roman" w:eastAsia="Times New Roman" w:cs="Times New Roman"/>
                <w:spacing w:val="-10"/>
                <w:sz w:val="21"/>
                <w:szCs w:val="21"/>
                <w:highlight w:val="none"/>
              </w:rPr>
              <w:t>7</w:t>
            </w:r>
            <w:r>
              <w:rPr>
                <w:rFonts w:ascii="Times New Roman" w:hAnsi="Times New Roman" w:eastAsia="Times New Roman" w:cs="Times New Roman"/>
                <w:spacing w:val="-29"/>
                <w:sz w:val="21"/>
                <w:szCs w:val="21"/>
                <w:highlight w:val="none"/>
              </w:rPr>
              <w:t xml:space="preserve"> </w:t>
            </w:r>
            <w:r>
              <w:rPr>
                <w:spacing w:val="-10"/>
                <w:sz w:val="21"/>
                <w:szCs w:val="21"/>
                <w:highlight w:val="none"/>
              </w:rPr>
              <w:t>、</w:t>
            </w:r>
            <w:r>
              <w:rPr>
                <w:rFonts w:ascii="Times New Roman" w:hAnsi="Times New Roman" w:eastAsia="Times New Roman" w:cs="Times New Roman"/>
                <w:spacing w:val="-10"/>
                <w:sz w:val="21"/>
                <w:szCs w:val="21"/>
                <w:highlight w:val="none"/>
              </w:rPr>
              <w:t>8</w:t>
            </w:r>
            <w:r>
              <w:rPr>
                <w:spacing w:val="-10"/>
                <w:sz w:val="21"/>
                <w:szCs w:val="21"/>
                <w:highlight w:val="none"/>
              </w:rPr>
              <w:t>、</w:t>
            </w:r>
            <w:r>
              <w:rPr>
                <w:rFonts w:ascii="Times New Roman" w:hAnsi="Times New Roman" w:eastAsia="Times New Roman" w:cs="Times New Roman"/>
                <w:spacing w:val="-10"/>
                <w:sz w:val="21"/>
                <w:szCs w:val="21"/>
                <w:highlight w:val="none"/>
              </w:rPr>
              <w:t>9</w:t>
            </w:r>
            <w:r>
              <w:rPr>
                <w:spacing w:val="-3"/>
                <w:sz w:val="21"/>
                <w:szCs w:val="21"/>
                <w:highlight w:val="none"/>
              </w:rPr>
              <w:t>等</w:t>
            </w:r>
            <w:r>
              <w:rPr>
                <w:spacing w:val="-22"/>
                <w:sz w:val="21"/>
                <w:szCs w:val="21"/>
                <w:highlight w:val="none"/>
              </w:rPr>
              <w:t xml:space="preserve"> </w:t>
            </w:r>
            <w:r>
              <w:rPr>
                <w:rFonts w:ascii="Times New Roman" w:hAnsi="Times New Roman" w:eastAsia="Times New Roman" w:cs="Times New Roman"/>
                <w:spacing w:val="-3"/>
                <w:sz w:val="21"/>
                <w:szCs w:val="21"/>
                <w:highlight w:val="none"/>
              </w:rPr>
              <w:t xml:space="preserve">10 </w:t>
            </w:r>
            <w:r>
              <w:rPr>
                <w:spacing w:val="-3"/>
                <w:sz w:val="21"/>
                <w:szCs w:val="21"/>
                <w:highlight w:val="none"/>
              </w:rPr>
              <w:t>个系数中随机抽取。各标段的</w:t>
            </w:r>
            <w:r>
              <w:rPr>
                <w:spacing w:val="-60"/>
                <w:sz w:val="21"/>
                <w:szCs w:val="21"/>
                <w:highlight w:val="none"/>
              </w:rPr>
              <w:t xml:space="preserve"> </w:t>
            </w:r>
            <w:r>
              <w:rPr>
                <w:rFonts w:ascii="Times New Roman" w:hAnsi="Times New Roman" w:eastAsia="Times New Roman" w:cs="Times New Roman"/>
                <w:spacing w:val="-3"/>
                <w:sz w:val="21"/>
                <w:szCs w:val="21"/>
                <w:highlight w:val="none"/>
              </w:rPr>
              <w:t xml:space="preserve">K2 </w:t>
            </w:r>
            <w:r>
              <w:rPr>
                <w:spacing w:val="-3"/>
                <w:sz w:val="21"/>
                <w:szCs w:val="21"/>
                <w:highlight w:val="none"/>
              </w:rPr>
              <w:t>在开标现场从</w:t>
            </w:r>
            <w:r>
              <w:rPr>
                <w:rFonts w:ascii="Times New Roman" w:hAnsi="Times New Roman" w:eastAsia="Times New Roman" w:cs="Times New Roman"/>
                <w:spacing w:val="-5"/>
                <w:sz w:val="21"/>
                <w:szCs w:val="21"/>
                <w:highlight w:val="none"/>
              </w:rPr>
              <w:t>0</w:t>
            </w:r>
            <w:r>
              <w:rPr>
                <w:rFonts w:ascii="Times New Roman" w:hAnsi="Times New Roman" w:eastAsia="Times New Roman" w:cs="Times New Roman"/>
                <w:spacing w:val="-18"/>
                <w:sz w:val="21"/>
                <w:szCs w:val="21"/>
                <w:highlight w:val="none"/>
              </w:rPr>
              <w:t xml:space="preserve"> </w:t>
            </w:r>
            <w:r>
              <w:rPr>
                <w:spacing w:val="-5"/>
                <w:sz w:val="21"/>
                <w:szCs w:val="21"/>
                <w:highlight w:val="none"/>
              </w:rPr>
              <w:t>、</w:t>
            </w:r>
            <w:r>
              <w:rPr>
                <w:rFonts w:ascii="Times New Roman" w:hAnsi="Times New Roman" w:eastAsia="Times New Roman" w:cs="Times New Roman"/>
                <w:spacing w:val="-5"/>
                <w:sz w:val="21"/>
                <w:szCs w:val="21"/>
                <w:highlight w:val="none"/>
              </w:rPr>
              <w:t>0.5</w:t>
            </w:r>
            <w:r>
              <w:rPr>
                <w:rFonts w:ascii="Times New Roman" w:hAnsi="Times New Roman" w:eastAsia="Times New Roman" w:cs="Times New Roman"/>
                <w:spacing w:val="-30"/>
                <w:sz w:val="21"/>
                <w:szCs w:val="21"/>
                <w:highlight w:val="none"/>
              </w:rPr>
              <w:t xml:space="preserve"> </w:t>
            </w:r>
            <w:r>
              <w:rPr>
                <w:spacing w:val="-5"/>
                <w:sz w:val="21"/>
                <w:szCs w:val="21"/>
                <w:highlight w:val="none"/>
              </w:rPr>
              <w:t>、</w:t>
            </w:r>
            <w:r>
              <w:rPr>
                <w:rFonts w:ascii="Times New Roman" w:hAnsi="Times New Roman" w:eastAsia="Times New Roman" w:cs="Times New Roman"/>
                <w:spacing w:val="-5"/>
                <w:sz w:val="21"/>
                <w:szCs w:val="21"/>
                <w:highlight w:val="none"/>
              </w:rPr>
              <w:t xml:space="preserve">1 </w:t>
            </w:r>
            <w:r>
              <w:rPr>
                <w:spacing w:val="-5"/>
                <w:sz w:val="21"/>
                <w:szCs w:val="21"/>
                <w:highlight w:val="none"/>
              </w:rPr>
              <w:t>等</w:t>
            </w:r>
            <w:r>
              <w:rPr>
                <w:spacing w:val="-44"/>
                <w:sz w:val="21"/>
                <w:szCs w:val="21"/>
                <w:highlight w:val="none"/>
              </w:rPr>
              <w:t xml:space="preserve"> </w:t>
            </w:r>
            <w:r>
              <w:rPr>
                <w:rFonts w:ascii="Times New Roman" w:hAnsi="Times New Roman" w:eastAsia="Times New Roman" w:cs="Times New Roman"/>
                <w:spacing w:val="-5"/>
                <w:sz w:val="21"/>
                <w:szCs w:val="21"/>
                <w:highlight w:val="none"/>
              </w:rPr>
              <w:t xml:space="preserve">3 </w:t>
            </w:r>
            <w:r>
              <w:rPr>
                <w:spacing w:val="-5"/>
                <w:sz w:val="21"/>
                <w:szCs w:val="21"/>
                <w:highlight w:val="none"/>
              </w:rPr>
              <w:t>个系数中随机抽取。</w:t>
            </w:r>
          </w:p>
          <w:p w14:paraId="35A43C4C">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cs="Times New Roman"/>
                <w:szCs w:val="21"/>
                <w:highlight w:val="none"/>
              </w:rPr>
            </w:pPr>
            <w:r>
              <w:rPr>
                <w:sz w:val="21"/>
                <w:szCs w:val="21"/>
                <w:highlight w:val="none"/>
              </w:rPr>
              <w:drawing>
                <wp:inline distT="0" distB="0" distL="0" distR="0">
                  <wp:extent cx="79375" cy="91440"/>
                  <wp:effectExtent l="0" t="0" r="12065"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46"/>
                          <a:stretch>
                            <a:fillRect/>
                          </a:stretch>
                        </pic:blipFill>
                        <pic:spPr>
                          <a:xfrm>
                            <a:off x="0" y="0"/>
                            <a:ext cx="79743" cy="91611"/>
                          </a:xfrm>
                          <a:prstGeom prst="rect">
                            <a:avLst/>
                          </a:prstGeom>
                        </pic:spPr>
                      </pic:pic>
                    </a:graphicData>
                  </a:graphic>
                </wp:inline>
              </w:drawing>
            </w:r>
            <w:r>
              <w:rPr>
                <w:spacing w:val="-23"/>
                <w:sz w:val="21"/>
                <w:szCs w:val="21"/>
                <w:highlight w:val="none"/>
              </w:rPr>
              <w:t>、为下浮系数，各标段的</w:t>
            </w:r>
            <w:r>
              <w:rPr>
                <w:rFonts w:ascii="Times New Roman" w:hAnsi="Times New Roman" w:eastAsia="Times New Roman" w:cs="Times New Roman"/>
                <w:spacing w:val="-23"/>
                <w:sz w:val="21"/>
                <w:szCs w:val="21"/>
                <w:highlight w:val="none"/>
              </w:rPr>
              <w:t>Z</w:t>
            </w:r>
            <w:r>
              <w:rPr>
                <w:spacing w:val="-23"/>
                <w:sz w:val="21"/>
                <w:szCs w:val="21"/>
                <w:highlight w:val="none"/>
              </w:rPr>
              <w:t>在开标现场均从</w:t>
            </w:r>
            <w:r>
              <w:rPr>
                <w:rFonts w:ascii="Times New Roman" w:hAnsi="Times New Roman" w:eastAsia="Times New Roman" w:cs="Times New Roman"/>
                <w:spacing w:val="-23"/>
                <w:sz w:val="21"/>
                <w:szCs w:val="21"/>
                <w:highlight w:val="none"/>
              </w:rPr>
              <w:t>0%</w:t>
            </w:r>
            <w:r>
              <w:rPr>
                <w:spacing w:val="-23"/>
                <w:sz w:val="21"/>
                <w:szCs w:val="21"/>
                <w:highlight w:val="none"/>
              </w:rPr>
              <w:t>、</w:t>
            </w:r>
            <w:r>
              <w:rPr>
                <w:rFonts w:ascii="Times New Roman" w:hAnsi="Times New Roman" w:eastAsia="Times New Roman" w:cs="Times New Roman"/>
                <w:spacing w:val="-23"/>
                <w:sz w:val="21"/>
                <w:szCs w:val="21"/>
                <w:highlight w:val="none"/>
              </w:rPr>
              <w:t>0.1%</w:t>
            </w:r>
            <w:r>
              <w:rPr>
                <w:spacing w:val="-23"/>
                <w:sz w:val="21"/>
                <w:szCs w:val="21"/>
                <w:highlight w:val="none"/>
              </w:rPr>
              <w:t>、</w:t>
            </w:r>
            <w:r>
              <w:rPr>
                <w:spacing w:val="5"/>
                <w:sz w:val="21"/>
                <w:szCs w:val="21"/>
                <w:highlight w:val="none"/>
              </w:rPr>
              <w:t xml:space="preserve"> </w:t>
            </w:r>
            <w:r>
              <w:rPr>
                <w:rFonts w:ascii="Times New Roman" w:hAnsi="Times New Roman" w:eastAsia="Times New Roman" w:cs="Times New Roman"/>
                <w:spacing w:val="-7"/>
                <w:sz w:val="21"/>
                <w:szCs w:val="21"/>
                <w:highlight w:val="none"/>
              </w:rPr>
              <w:t>0.2%</w:t>
            </w:r>
            <w:r>
              <w:rPr>
                <w:spacing w:val="-7"/>
                <w:sz w:val="21"/>
                <w:szCs w:val="21"/>
                <w:highlight w:val="none"/>
              </w:rPr>
              <w:t>、</w:t>
            </w:r>
            <w:r>
              <w:rPr>
                <w:rFonts w:ascii="Times New Roman" w:hAnsi="Times New Roman" w:eastAsia="Times New Roman" w:cs="Times New Roman"/>
                <w:spacing w:val="-7"/>
                <w:sz w:val="21"/>
                <w:szCs w:val="21"/>
                <w:highlight w:val="none"/>
              </w:rPr>
              <w:t>0.3%</w:t>
            </w:r>
            <w:r>
              <w:rPr>
                <w:spacing w:val="-7"/>
                <w:sz w:val="21"/>
                <w:szCs w:val="21"/>
                <w:highlight w:val="none"/>
              </w:rPr>
              <w:t>、</w:t>
            </w:r>
            <w:r>
              <w:rPr>
                <w:rFonts w:ascii="Times New Roman" w:hAnsi="Times New Roman" w:eastAsia="Times New Roman" w:cs="Times New Roman"/>
                <w:spacing w:val="-7"/>
                <w:sz w:val="21"/>
                <w:szCs w:val="21"/>
                <w:highlight w:val="none"/>
              </w:rPr>
              <w:t>0.4%</w:t>
            </w:r>
            <w:r>
              <w:rPr>
                <w:spacing w:val="-7"/>
                <w:sz w:val="21"/>
                <w:szCs w:val="21"/>
                <w:highlight w:val="none"/>
              </w:rPr>
              <w:t>、</w:t>
            </w:r>
            <w:r>
              <w:rPr>
                <w:rFonts w:ascii="Times New Roman" w:hAnsi="Times New Roman" w:eastAsia="Times New Roman" w:cs="Times New Roman"/>
                <w:spacing w:val="-7"/>
                <w:sz w:val="21"/>
                <w:szCs w:val="21"/>
                <w:highlight w:val="none"/>
              </w:rPr>
              <w:t>0.5%</w:t>
            </w:r>
            <w:r>
              <w:rPr>
                <w:spacing w:val="-7"/>
                <w:sz w:val="21"/>
                <w:szCs w:val="21"/>
                <w:highlight w:val="none"/>
              </w:rPr>
              <w:t>、</w:t>
            </w:r>
            <w:r>
              <w:rPr>
                <w:rFonts w:ascii="Times New Roman" w:hAnsi="Times New Roman" w:eastAsia="Times New Roman" w:cs="Times New Roman"/>
                <w:spacing w:val="-7"/>
                <w:sz w:val="21"/>
                <w:szCs w:val="21"/>
                <w:highlight w:val="none"/>
              </w:rPr>
              <w:t>0.6%</w:t>
            </w:r>
            <w:r>
              <w:rPr>
                <w:spacing w:val="-7"/>
                <w:sz w:val="21"/>
                <w:szCs w:val="21"/>
                <w:highlight w:val="none"/>
              </w:rPr>
              <w:t>、</w:t>
            </w:r>
            <w:r>
              <w:rPr>
                <w:rFonts w:ascii="Times New Roman" w:hAnsi="Times New Roman" w:eastAsia="Times New Roman" w:cs="Times New Roman"/>
                <w:spacing w:val="-7"/>
                <w:sz w:val="21"/>
                <w:szCs w:val="21"/>
                <w:highlight w:val="none"/>
              </w:rPr>
              <w:t>0.7%</w:t>
            </w:r>
            <w:r>
              <w:rPr>
                <w:spacing w:val="-7"/>
                <w:sz w:val="21"/>
                <w:szCs w:val="21"/>
                <w:highlight w:val="none"/>
              </w:rPr>
              <w:t>、</w:t>
            </w:r>
            <w:r>
              <w:rPr>
                <w:rFonts w:ascii="Times New Roman" w:hAnsi="Times New Roman" w:eastAsia="Times New Roman" w:cs="Times New Roman"/>
                <w:spacing w:val="-7"/>
                <w:sz w:val="21"/>
                <w:szCs w:val="21"/>
                <w:highlight w:val="none"/>
              </w:rPr>
              <w:t xml:space="preserve">0.8% </w:t>
            </w:r>
            <w:r>
              <w:rPr>
                <w:spacing w:val="-7"/>
                <w:sz w:val="21"/>
                <w:szCs w:val="21"/>
                <w:highlight w:val="none"/>
              </w:rPr>
              <w:t>、</w:t>
            </w:r>
            <w:r>
              <w:rPr>
                <w:rFonts w:ascii="Times New Roman" w:hAnsi="Times New Roman" w:eastAsia="Times New Roman" w:cs="Times New Roman"/>
                <w:spacing w:val="-7"/>
                <w:sz w:val="21"/>
                <w:szCs w:val="21"/>
                <w:highlight w:val="none"/>
              </w:rPr>
              <w:t>0.9%</w:t>
            </w:r>
            <w:r>
              <w:rPr>
                <w:rFonts w:ascii="Times New Roman" w:hAnsi="Times New Roman" w:eastAsia="Times New Roman" w:cs="Times New Roman"/>
                <w:spacing w:val="-22"/>
                <w:sz w:val="21"/>
                <w:szCs w:val="21"/>
                <w:highlight w:val="none"/>
              </w:rPr>
              <w:t xml:space="preserve"> </w:t>
            </w:r>
            <w:r>
              <w:rPr>
                <w:spacing w:val="-7"/>
                <w:sz w:val="21"/>
                <w:szCs w:val="21"/>
                <w:highlight w:val="none"/>
              </w:rPr>
              <w:t>、</w:t>
            </w:r>
            <w:r>
              <w:rPr>
                <w:sz w:val="21"/>
                <w:szCs w:val="21"/>
                <w:highlight w:val="none"/>
              </w:rPr>
              <w:t xml:space="preserve"> </w:t>
            </w:r>
            <w:r>
              <w:rPr>
                <w:rFonts w:ascii="Times New Roman" w:hAnsi="Times New Roman" w:eastAsia="Times New Roman" w:cs="Times New Roman"/>
                <w:spacing w:val="-1"/>
                <w:sz w:val="21"/>
                <w:szCs w:val="21"/>
                <w:highlight w:val="none"/>
              </w:rPr>
              <w:t>1.0%</w:t>
            </w:r>
            <w:r>
              <w:rPr>
                <w:rFonts w:ascii="Times New Roman" w:hAnsi="Times New Roman" w:eastAsia="Times New Roman" w:cs="Times New Roman"/>
                <w:spacing w:val="14"/>
                <w:w w:val="101"/>
                <w:sz w:val="21"/>
                <w:szCs w:val="21"/>
                <w:highlight w:val="none"/>
              </w:rPr>
              <w:t xml:space="preserve"> </w:t>
            </w:r>
            <w:r>
              <w:rPr>
                <w:spacing w:val="-1"/>
                <w:sz w:val="21"/>
                <w:szCs w:val="21"/>
                <w:highlight w:val="none"/>
              </w:rPr>
              <w:t>、</w:t>
            </w:r>
            <w:r>
              <w:rPr>
                <w:rFonts w:ascii="Times New Roman" w:hAnsi="Times New Roman" w:eastAsia="Times New Roman" w:cs="Times New Roman"/>
                <w:spacing w:val="-1"/>
                <w:sz w:val="21"/>
                <w:szCs w:val="21"/>
                <w:highlight w:val="none"/>
              </w:rPr>
              <w:t>1.1%</w:t>
            </w:r>
            <w:r>
              <w:rPr>
                <w:rFonts w:ascii="Times New Roman" w:hAnsi="Times New Roman" w:eastAsia="Times New Roman" w:cs="Times New Roman"/>
                <w:spacing w:val="14"/>
                <w:sz w:val="21"/>
                <w:szCs w:val="21"/>
                <w:highlight w:val="none"/>
              </w:rPr>
              <w:t xml:space="preserve"> </w:t>
            </w:r>
            <w:r>
              <w:rPr>
                <w:spacing w:val="-1"/>
                <w:sz w:val="21"/>
                <w:szCs w:val="21"/>
                <w:highlight w:val="none"/>
              </w:rPr>
              <w:t>、</w:t>
            </w:r>
            <w:r>
              <w:rPr>
                <w:rFonts w:ascii="Times New Roman" w:hAnsi="Times New Roman" w:eastAsia="Times New Roman" w:cs="Times New Roman"/>
                <w:spacing w:val="-1"/>
                <w:sz w:val="21"/>
                <w:szCs w:val="21"/>
                <w:highlight w:val="none"/>
              </w:rPr>
              <w:t>1.2%</w:t>
            </w:r>
            <w:r>
              <w:rPr>
                <w:rFonts w:ascii="Times New Roman" w:hAnsi="Times New Roman" w:eastAsia="Times New Roman" w:cs="Times New Roman"/>
                <w:spacing w:val="14"/>
                <w:sz w:val="21"/>
                <w:szCs w:val="21"/>
                <w:highlight w:val="none"/>
              </w:rPr>
              <w:t xml:space="preserve"> </w:t>
            </w:r>
            <w:r>
              <w:rPr>
                <w:spacing w:val="-1"/>
                <w:sz w:val="21"/>
                <w:szCs w:val="21"/>
                <w:highlight w:val="none"/>
              </w:rPr>
              <w:t>、</w:t>
            </w:r>
            <w:r>
              <w:rPr>
                <w:rFonts w:ascii="Times New Roman" w:hAnsi="Times New Roman" w:eastAsia="Times New Roman" w:cs="Times New Roman"/>
                <w:spacing w:val="-1"/>
                <w:sz w:val="21"/>
                <w:szCs w:val="21"/>
                <w:highlight w:val="none"/>
              </w:rPr>
              <w:t>1.3%</w:t>
            </w:r>
            <w:r>
              <w:rPr>
                <w:rFonts w:ascii="Times New Roman" w:hAnsi="Times New Roman" w:eastAsia="Times New Roman" w:cs="Times New Roman"/>
                <w:spacing w:val="13"/>
                <w:w w:val="101"/>
                <w:sz w:val="21"/>
                <w:szCs w:val="21"/>
                <w:highlight w:val="none"/>
              </w:rPr>
              <w:t xml:space="preserve"> </w:t>
            </w:r>
            <w:r>
              <w:rPr>
                <w:spacing w:val="-1"/>
                <w:sz w:val="21"/>
                <w:szCs w:val="21"/>
                <w:highlight w:val="none"/>
              </w:rPr>
              <w:t>、</w:t>
            </w:r>
            <w:r>
              <w:rPr>
                <w:rFonts w:ascii="Times New Roman" w:hAnsi="Times New Roman" w:eastAsia="Times New Roman" w:cs="Times New Roman"/>
                <w:spacing w:val="-1"/>
                <w:sz w:val="21"/>
                <w:szCs w:val="21"/>
                <w:highlight w:val="none"/>
              </w:rPr>
              <w:t>1.4</w:t>
            </w:r>
            <w:r>
              <w:rPr>
                <w:rFonts w:ascii="Times New Roman" w:hAnsi="Times New Roman" w:eastAsia="Times New Roman" w:cs="Times New Roman"/>
                <w:spacing w:val="-2"/>
                <w:sz w:val="21"/>
                <w:szCs w:val="21"/>
                <w:highlight w:val="none"/>
              </w:rPr>
              <w:t>%</w:t>
            </w:r>
            <w:r>
              <w:rPr>
                <w:rFonts w:ascii="Times New Roman" w:hAnsi="Times New Roman" w:eastAsia="Times New Roman" w:cs="Times New Roman"/>
                <w:spacing w:val="14"/>
                <w:sz w:val="21"/>
                <w:szCs w:val="21"/>
                <w:highlight w:val="none"/>
              </w:rPr>
              <w:t xml:space="preserve"> </w:t>
            </w:r>
            <w:r>
              <w:rPr>
                <w:spacing w:val="-2"/>
                <w:sz w:val="21"/>
                <w:szCs w:val="21"/>
                <w:highlight w:val="none"/>
              </w:rPr>
              <w:t>、</w:t>
            </w:r>
            <w:r>
              <w:rPr>
                <w:rFonts w:ascii="Times New Roman" w:hAnsi="Times New Roman" w:eastAsia="Times New Roman" w:cs="Times New Roman"/>
                <w:spacing w:val="-2"/>
                <w:sz w:val="21"/>
                <w:szCs w:val="21"/>
                <w:highlight w:val="none"/>
              </w:rPr>
              <w:t>1.5%</w:t>
            </w:r>
            <w:r>
              <w:rPr>
                <w:rFonts w:ascii="Times New Roman" w:hAnsi="Times New Roman" w:eastAsia="Times New Roman" w:cs="Times New Roman"/>
                <w:spacing w:val="-13"/>
                <w:sz w:val="21"/>
                <w:szCs w:val="21"/>
                <w:highlight w:val="none"/>
              </w:rPr>
              <w:t xml:space="preserve"> </w:t>
            </w:r>
            <w:r>
              <w:rPr>
                <w:spacing w:val="-2"/>
                <w:sz w:val="21"/>
                <w:szCs w:val="21"/>
                <w:highlight w:val="none"/>
              </w:rPr>
              <w:t>、</w:t>
            </w:r>
            <w:r>
              <w:rPr>
                <w:rFonts w:ascii="Times New Roman" w:hAnsi="Times New Roman" w:eastAsia="Times New Roman" w:cs="Times New Roman"/>
                <w:spacing w:val="-2"/>
                <w:sz w:val="21"/>
                <w:szCs w:val="21"/>
                <w:highlight w:val="none"/>
              </w:rPr>
              <w:t>1.6%</w:t>
            </w:r>
            <w:r>
              <w:rPr>
                <w:rFonts w:ascii="Times New Roman" w:hAnsi="Times New Roman" w:eastAsia="Times New Roman" w:cs="Times New Roman"/>
                <w:spacing w:val="-13"/>
                <w:sz w:val="21"/>
                <w:szCs w:val="21"/>
                <w:highlight w:val="none"/>
              </w:rPr>
              <w:t xml:space="preserve"> </w:t>
            </w:r>
            <w:r>
              <w:rPr>
                <w:spacing w:val="-2"/>
                <w:sz w:val="21"/>
                <w:szCs w:val="21"/>
                <w:highlight w:val="none"/>
              </w:rPr>
              <w:t>、</w:t>
            </w:r>
            <w:r>
              <w:rPr>
                <w:sz w:val="21"/>
                <w:szCs w:val="21"/>
                <w:highlight w:val="none"/>
              </w:rPr>
              <w:t xml:space="preserve"> </w:t>
            </w:r>
            <w:r>
              <w:rPr>
                <w:rFonts w:ascii="Times New Roman" w:hAnsi="Times New Roman" w:eastAsia="Times New Roman" w:cs="Times New Roman"/>
                <w:spacing w:val="-4"/>
                <w:sz w:val="21"/>
                <w:szCs w:val="21"/>
                <w:highlight w:val="none"/>
              </w:rPr>
              <w:t>1.7%</w:t>
            </w:r>
            <w:r>
              <w:rPr>
                <w:rFonts w:ascii="Times New Roman" w:hAnsi="Times New Roman" w:eastAsia="Times New Roman" w:cs="Times New Roman"/>
                <w:spacing w:val="-17"/>
                <w:sz w:val="21"/>
                <w:szCs w:val="21"/>
                <w:highlight w:val="none"/>
              </w:rPr>
              <w:t xml:space="preserve"> </w:t>
            </w:r>
            <w:r>
              <w:rPr>
                <w:spacing w:val="-4"/>
                <w:sz w:val="21"/>
                <w:szCs w:val="21"/>
                <w:highlight w:val="none"/>
              </w:rPr>
              <w:t>、</w:t>
            </w:r>
            <w:r>
              <w:rPr>
                <w:rFonts w:ascii="Times New Roman" w:hAnsi="Times New Roman" w:eastAsia="Times New Roman" w:cs="Times New Roman"/>
                <w:spacing w:val="-4"/>
                <w:sz w:val="21"/>
                <w:szCs w:val="21"/>
                <w:highlight w:val="none"/>
              </w:rPr>
              <w:t>1.8%</w:t>
            </w:r>
            <w:r>
              <w:rPr>
                <w:rFonts w:ascii="Times New Roman" w:hAnsi="Times New Roman" w:eastAsia="Times New Roman" w:cs="Times New Roman"/>
                <w:spacing w:val="-30"/>
                <w:sz w:val="21"/>
                <w:szCs w:val="21"/>
                <w:highlight w:val="none"/>
              </w:rPr>
              <w:t xml:space="preserve"> </w:t>
            </w:r>
            <w:r>
              <w:rPr>
                <w:spacing w:val="-4"/>
                <w:sz w:val="21"/>
                <w:szCs w:val="21"/>
                <w:highlight w:val="none"/>
              </w:rPr>
              <w:t>、</w:t>
            </w:r>
            <w:r>
              <w:rPr>
                <w:rFonts w:ascii="Times New Roman" w:hAnsi="Times New Roman" w:eastAsia="Times New Roman" w:cs="Times New Roman"/>
                <w:spacing w:val="-4"/>
                <w:sz w:val="21"/>
                <w:szCs w:val="21"/>
                <w:highlight w:val="none"/>
              </w:rPr>
              <w:t>1.9%</w:t>
            </w:r>
            <w:r>
              <w:rPr>
                <w:rFonts w:ascii="Times New Roman" w:hAnsi="Times New Roman" w:eastAsia="Times New Roman" w:cs="Times New Roman"/>
                <w:spacing w:val="-29"/>
                <w:sz w:val="21"/>
                <w:szCs w:val="21"/>
                <w:highlight w:val="none"/>
              </w:rPr>
              <w:t xml:space="preserve"> </w:t>
            </w:r>
            <w:r>
              <w:rPr>
                <w:spacing w:val="-4"/>
                <w:sz w:val="21"/>
                <w:szCs w:val="21"/>
                <w:highlight w:val="none"/>
              </w:rPr>
              <w:t>、</w:t>
            </w:r>
            <w:r>
              <w:rPr>
                <w:rFonts w:ascii="Times New Roman" w:hAnsi="Times New Roman" w:eastAsia="Times New Roman" w:cs="Times New Roman"/>
                <w:spacing w:val="-4"/>
                <w:sz w:val="21"/>
                <w:szCs w:val="21"/>
                <w:highlight w:val="none"/>
              </w:rPr>
              <w:t>2%</w:t>
            </w:r>
            <w:r>
              <w:rPr>
                <w:spacing w:val="-4"/>
                <w:sz w:val="21"/>
                <w:szCs w:val="21"/>
                <w:highlight w:val="none"/>
              </w:rPr>
              <w:t>等</w:t>
            </w:r>
            <w:r>
              <w:rPr>
                <w:spacing w:val="-48"/>
                <w:sz w:val="21"/>
                <w:szCs w:val="21"/>
                <w:highlight w:val="none"/>
              </w:rPr>
              <w:t xml:space="preserve"> </w:t>
            </w:r>
            <w:r>
              <w:rPr>
                <w:rFonts w:ascii="Times New Roman" w:hAnsi="Times New Roman" w:eastAsia="Times New Roman" w:cs="Times New Roman"/>
                <w:spacing w:val="-4"/>
                <w:sz w:val="21"/>
                <w:szCs w:val="21"/>
                <w:highlight w:val="none"/>
              </w:rPr>
              <w:t xml:space="preserve">21 </w:t>
            </w:r>
            <w:r>
              <w:rPr>
                <w:spacing w:val="-4"/>
                <w:sz w:val="21"/>
                <w:szCs w:val="21"/>
                <w:highlight w:val="none"/>
              </w:rPr>
              <w:t>个系数中随机抽取。</w:t>
            </w:r>
          </w:p>
        </w:tc>
      </w:tr>
      <w:tr w14:paraId="59B027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036" w:type="dxa"/>
            <w:gridSpan w:val="3"/>
            <w:tcBorders>
              <w:top w:val="single" w:color="auto" w:sz="4" w:space="0"/>
              <w:bottom w:val="single" w:color="auto" w:sz="4" w:space="0"/>
              <w:right w:val="single" w:color="auto" w:sz="4" w:space="0"/>
            </w:tcBorders>
            <w:noWrap w:val="0"/>
            <w:vAlign w:val="center"/>
          </w:tcPr>
          <w:p w14:paraId="2EE3946E">
            <w:pPr>
              <w:pageBreakBefore w:val="0"/>
              <w:kinsoku/>
              <w:wordWrap w:val="0"/>
              <w:bidi w:val="0"/>
              <w:spacing w:line="36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2.2.3</w:t>
            </w:r>
          </w:p>
        </w:tc>
        <w:tc>
          <w:tcPr>
            <w:tcW w:w="1505" w:type="dxa"/>
            <w:tcBorders>
              <w:top w:val="single" w:color="auto" w:sz="4" w:space="0"/>
              <w:left w:val="single" w:color="auto" w:sz="4" w:space="0"/>
              <w:right w:val="single" w:color="auto" w:sz="4" w:space="0"/>
            </w:tcBorders>
            <w:noWrap w:val="0"/>
            <w:vAlign w:val="center"/>
          </w:tcPr>
          <w:p w14:paraId="20A0B628">
            <w:pPr>
              <w:pageBreakBefore w:val="0"/>
              <w:kinsoku/>
              <w:wordWrap w:val="0"/>
              <w:bidi w:val="0"/>
              <w:spacing w:line="36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评标价的偏差率计算公式</w:t>
            </w:r>
          </w:p>
        </w:tc>
        <w:tc>
          <w:tcPr>
            <w:tcW w:w="5099" w:type="dxa"/>
            <w:tcBorders>
              <w:top w:val="single" w:color="auto" w:sz="4" w:space="0"/>
              <w:left w:val="single" w:color="auto" w:sz="4" w:space="0"/>
              <w:right w:val="single" w:color="auto" w:sz="4" w:space="0"/>
            </w:tcBorders>
            <w:noWrap w:val="0"/>
            <w:vAlign w:val="center"/>
          </w:tcPr>
          <w:p w14:paraId="24DBF9DA">
            <w:pPr>
              <w:pageBreakBefore w:val="0"/>
              <w:kinsoku/>
              <w:wordWrap w:val="0"/>
              <w:bidi w:val="0"/>
              <w:spacing w:line="360" w:lineRule="atLeast"/>
              <w:rPr>
                <w:rFonts w:hint="default" w:ascii="Times New Roman" w:hAnsi="Times New Roman" w:cs="Times New Roman"/>
                <w:szCs w:val="21"/>
                <w:highlight w:val="none"/>
              </w:rPr>
            </w:pPr>
            <w:r>
              <w:rPr>
                <w:rFonts w:hint="default" w:ascii="Times New Roman" w:hAnsi="Times New Roman" w:cs="Times New Roman"/>
                <w:szCs w:val="21"/>
                <w:highlight w:val="none"/>
              </w:rPr>
              <w:t>偏差率=100% ×（投标人评标价－评标基准价）/评标基准价</w:t>
            </w:r>
          </w:p>
          <w:p w14:paraId="6ED1018E">
            <w:pPr>
              <w:pageBreakBefore w:val="0"/>
              <w:kinsoku/>
              <w:wordWrap w:val="0"/>
              <w:bidi w:val="0"/>
              <w:spacing w:line="360" w:lineRule="atLeast"/>
              <w:rPr>
                <w:rFonts w:hint="default" w:ascii="Times New Roman" w:hAnsi="Times New Roman" w:cs="Times New Roman"/>
                <w:szCs w:val="21"/>
                <w:highlight w:val="none"/>
              </w:rPr>
            </w:pPr>
            <w:r>
              <w:rPr>
                <w:rFonts w:hint="default" w:ascii="Times New Roman" w:hAnsi="Times New Roman" w:cs="Times New Roman"/>
                <w:szCs w:val="21"/>
                <w:highlight w:val="none"/>
              </w:rPr>
              <w:t>偏差率保留</w:t>
            </w:r>
            <w:r>
              <w:rPr>
                <w:rFonts w:hint="default" w:ascii="Times New Roman" w:hAnsi="Times New Roman" w:cs="Times New Roman"/>
                <w:szCs w:val="21"/>
                <w:highlight w:val="none"/>
                <w:u w:val="single"/>
              </w:rPr>
              <w:t xml:space="preserve">  </w:t>
            </w:r>
            <w:r>
              <w:rPr>
                <w:rFonts w:hint="eastAsia" w:cs="Times New Roman"/>
                <w:szCs w:val="21"/>
                <w:highlight w:val="none"/>
                <w:u w:val="single"/>
                <w:lang w:val="en-US" w:eastAsia="zh-CN"/>
              </w:rPr>
              <w:t>7</w:t>
            </w: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位小数</w:t>
            </w:r>
          </w:p>
        </w:tc>
      </w:tr>
      <w:tr w14:paraId="688830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036" w:type="dxa"/>
            <w:gridSpan w:val="3"/>
            <w:tcBorders>
              <w:top w:val="single" w:color="auto" w:sz="4" w:space="0"/>
              <w:bottom w:val="single" w:color="auto" w:sz="4" w:space="0"/>
              <w:right w:val="single" w:color="auto" w:sz="4" w:space="0"/>
            </w:tcBorders>
            <w:noWrap w:val="0"/>
            <w:vAlign w:val="center"/>
          </w:tcPr>
          <w:p w14:paraId="6C651134">
            <w:pPr>
              <w:pageBreakBefore w:val="0"/>
              <w:kinsoku/>
              <w:wordWrap w:val="0"/>
              <w:bidi w:val="0"/>
              <w:spacing w:line="360" w:lineRule="atLeast"/>
              <w:jc w:val="center"/>
              <w:rPr>
                <w:rFonts w:hint="default" w:ascii="Times New Roman" w:hAnsi="Times New Roman" w:cs="Times New Roman"/>
                <w:szCs w:val="21"/>
                <w:highlight w:val="none"/>
              </w:rPr>
            </w:pPr>
            <w:r>
              <w:rPr>
                <w:rFonts w:hint="default" w:ascii="Times New Roman" w:hAnsi="Times New Roman" w:cs="Times New Roman"/>
                <w:b/>
                <w:szCs w:val="21"/>
                <w:highlight w:val="none"/>
              </w:rPr>
              <w:t>条款号</w:t>
            </w:r>
          </w:p>
        </w:tc>
        <w:tc>
          <w:tcPr>
            <w:tcW w:w="1505" w:type="dxa"/>
            <w:tcBorders>
              <w:top w:val="single" w:color="auto" w:sz="4" w:space="0"/>
              <w:left w:val="single" w:color="auto" w:sz="4" w:space="0"/>
              <w:right w:val="single" w:color="auto" w:sz="4" w:space="0"/>
            </w:tcBorders>
            <w:noWrap w:val="0"/>
            <w:vAlign w:val="center"/>
          </w:tcPr>
          <w:p w14:paraId="7E4C73A4">
            <w:pPr>
              <w:pageBreakBefore w:val="0"/>
              <w:kinsoku/>
              <w:wordWrap w:val="0"/>
              <w:bidi w:val="0"/>
              <w:spacing w:line="360" w:lineRule="atLeast"/>
              <w:jc w:val="center"/>
              <w:rPr>
                <w:rFonts w:hint="default" w:ascii="Times New Roman" w:hAnsi="Times New Roman" w:cs="Times New Roman"/>
                <w:szCs w:val="21"/>
                <w:highlight w:val="none"/>
              </w:rPr>
            </w:pPr>
            <w:r>
              <w:rPr>
                <w:rFonts w:hint="default" w:ascii="Times New Roman" w:hAnsi="Times New Roman" w:cs="Times New Roman"/>
                <w:b/>
                <w:szCs w:val="21"/>
                <w:highlight w:val="none"/>
              </w:rPr>
              <w:t>评分因素</w:t>
            </w:r>
          </w:p>
        </w:tc>
        <w:tc>
          <w:tcPr>
            <w:tcW w:w="5099" w:type="dxa"/>
            <w:tcBorders>
              <w:top w:val="single" w:color="auto" w:sz="4" w:space="0"/>
              <w:left w:val="single" w:color="auto" w:sz="4" w:space="0"/>
              <w:right w:val="single" w:color="auto" w:sz="4" w:space="0"/>
            </w:tcBorders>
            <w:noWrap w:val="0"/>
            <w:vAlign w:val="center"/>
          </w:tcPr>
          <w:p w14:paraId="3A32D010">
            <w:pPr>
              <w:pageBreakBefore w:val="0"/>
              <w:kinsoku/>
              <w:wordWrap w:val="0"/>
              <w:bidi w:val="0"/>
              <w:spacing w:line="360" w:lineRule="atLeast"/>
              <w:jc w:val="center"/>
              <w:rPr>
                <w:rFonts w:hint="default" w:ascii="Times New Roman" w:hAnsi="Times New Roman" w:cs="Times New Roman"/>
                <w:szCs w:val="21"/>
                <w:highlight w:val="none"/>
              </w:rPr>
            </w:pPr>
            <w:r>
              <w:rPr>
                <w:rFonts w:hint="default" w:ascii="Times New Roman" w:hAnsi="Times New Roman" w:cs="Times New Roman"/>
                <w:b/>
                <w:szCs w:val="21"/>
                <w:highlight w:val="none"/>
              </w:rPr>
              <w:t>评分标准</w:t>
            </w:r>
          </w:p>
        </w:tc>
      </w:tr>
      <w:tr w14:paraId="4EB35D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036" w:type="dxa"/>
            <w:gridSpan w:val="3"/>
            <w:tcBorders>
              <w:top w:val="single" w:color="auto" w:sz="4" w:space="0"/>
              <w:bottom w:val="single" w:color="auto" w:sz="4" w:space="0"/>
              <w:right w:val="single" w:color="auto" w:sz="4" w:space="0"/>
            </w:tcBorders>
            <w:noWrap w:val="0"/>
            <w:vAlign w:val="center"/>
          </w:tcPr>
          <w:p w14:paraId="6BC628FC">
            <w:pPr>
              <w:pageBreakBefore w:val="0"/>
              <w:kinsoku/>
              <w:wordWrap w:val="0"/>
              <w:bidi w:val="0"/>
              <w:spacing w:line="36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2.2.4</w:t>
            </w:r>
          </w:p>
        </w:tc>
        <w:tc>
          <w:tcPr>
            <w:tcW w:w="1505" w:type="dxa"/>
            <w:tcBorders>
              <w:top w:val="single" w:color="auto" w:sz="4" w:space="0"/>
              <w:left w:val="single" w:color="auto" w:sz="4" w:space="0"/>
              <w:right w:val="single" w:color="auto" w:sz="4" w:space="0"/>
            </w:tcBorders>
            <w:noWrap w:val="0"/>
            <w:vAlign w:val="center"/>
          </w:tcPr>
          <w:p w14:paraId="2A06B490">
            <w:pPr>
              <w:pageBreakBefore w:val="0"/>
              <w:kinsoku/>
              <w:wordWrap w:val="0"/>
              <w:bidi w:val="0"/>
              <w:spacing w:line="36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评标价</w:t>
            </w:r>
          </w:p>
        </w:tc>
        <w:tc>
          <w:tcPr>
            <w:tcW w:w="5099" w:type="dxa"/>
            <w:tcBorders>
              <w:top w:val="single" w:color="auto" w:sz="4" w:space="0"/>
              <w:left w:val="single" w:color="auto" w:sz="4" w:space="0"/>
              <w:right w:val="single" w:color="auto" w:sz="4" w:space="0"/>
            </w:tcBorders>
            <w:noWrap w:val="0"/>
            <w:vAlign w:val="top"/>
          </w:tcPr>
          <w:p w14:paraId="6D8C8C62">
            <w:pPr>
              <w:pageBreakBefore w:val="0"/>
              <w:kinsoku/>
              <w:wordWrap w:val="0"/>
              <w:bidi w:val="0"/>
              <w:spacing w:line="360" w:lineRule="atLeast"/>
              <w:rPr>
                <w:rFonts w:hint="default" w:ascii="Times New Roman" w:hAnsi="Times New Roman" w:cs="Times New Roman"/>
                <w:szCs w:val="21"/>
                <w:highlight w:val="none"/>
              </w:rPr>
            </w:pPr>
            <w:r>
              <w:rPr>
                <w:rFonts w:hint="default" w:ascii="Times New Roman" w:hAnsi="Times New Roman" w:cs="Times New Roman"/>
                <w:szCs w:val="21"/>
                <w:highlight w:val="none"/>
              </w:rPr>
              <w:t>100分</w:t>
            </w:r>
          </w:p>
          <w:p w14:paraId="5CE3E38C">
            <w:pPr>
              <w:pageBreakBefore w:val="0"/>
              <w:kinsoku/>
              <w:wordWrap w:val="0"/>
              <w:bidi w:val="0"/>
              <w:spacing w:line="360" w:lineRule="atLeast"/>
              <w:rPr>
                <w:rFonts w:hint="default" w:ascii="Times New Roman" w:hAnsi="Times New Roman" w:cs="Times New Roman"/>
                <w:szCs w:val="21"/>
                <w:highlight w:val="none"/>
              </w:rPr>
            </w:pPr>
            <w:r>
              <w:rPr>
                <w:rFonts w:hint="default" w:ascii="Times New Roman" w:hAnsi="Times New Roman" w:cs="Times New Roman"/>
                <w:szCs w:val="21"/>
                <w:highlight w:val="none"/>
              </w:rPr>
              <w:t>评标价得分计算公式示例：</w:t>
            </w:r>
          </w:p>
          <w:p w14:paraId="17E70B87">
            <w:pPr>
              <w:pageBreakBefore w:val="0"/>
              <w:kinsoku/>
              <w:wordWrap w:val="0"/>
              <w:bidi w:val="0"/>
              <w:spacing w:line="360" w:lineRule="atLeast"/>
              <w:rPr>
                <w:rFonts w:hint="default" w:ascii="Times New Roman" w:hAnsi="Times New Roman" w:cs="Times New Roman"/>
                <w:szCs w:val="21"/>
                <w:highlight w:val="none"/>
              </w:rPr>
            </w:pPr>
            <w:r>
              <w:rPr>
                <w:rFonts w:hint="default" w:ascii="Times New Roman" w:hAnsi="Times New Roman" w:cs="Times New Roman"/>
                <w:szCs w:val="21"/>
                <w:highlight w:val="none"/>
              </w:rPr>
              <w:t>（1）如果投标人的评标价&gt;评标基准价，则评标价得分＝100－偏差率×100×</w:t>
            </w:r>
            <w:r>
              <w:rPr>
                <w:rFonts w:hint="eastAsia" w:cs="Times New Roman"/>
                <w:szCs w:val="21"/>
                <w:highlight w:val="none"/>
                <w:lang w:val="en-US" w:eastAsia="zh-CN"/>
              </w:rPr>
              <w:t>2</w:t>
            </w:r>
            <w:r>
              <w:rPr>
                <w:rFonts w:hint="default" w:ascii="Times New Roman" w:hAnsi="Times New Roman" w:cs="Times New Roman"/>
                <w:szCs w:val="21"/>
                <w:highlight w:val="none"/>
              </w:rPr>
              <w:t>；</w:t>
            </w:r>
          </w:p>
          <w:p w14:paraId="6BBC0055">
            <w:pPr>
              <w:pageBreakBefore w:val="0"/>
              <w:kinsoku/>
              <w:wordWrap w:val="0"/>
              <w:bidi w:val="0"/>
              <w:spacing w:line="360" w:lineRule="atLeast"/>
              <w:rPr>
                <w:rFonts w:hint="default" w:ascii="Times New Roman" w:hAnsi="Times New Roman" w:cs="Times New Roman"/>
                <w:szCs w:val="21"/>
                <w:highlight w:val="none"/>
              </w:rPr>
            </w:pPr>
            <w:r>
              <w:rPr>
                <w:rFonts w:hint="default" w:ascii="Times New Roman" w:hAnsi="Times New Roman" w:cs="Times New Roman"/>
                <w:szCs w:val="21"/>
                <w:highlight w:val="none"/>
              </w:rPr>
              <w:t>（2）如果投标人的评标价≤评标基准价，则评标价得分＝100＋偏差率×100×</w:t>
            </w:r>
            <w:r>
              <w:rPr>
                <w:rFonts w:hint="eastAsia" w:cs="Times New Roman"/>
                <w:szCs w:val="21"/>
                <w:highlight w:val="none"/>
                <w:lang w:val="en-US" w:eastAsia="zh-CN"/>
              </w:rPr>
              <w:t>1</w:t>
            </w:r>
            <w:r>
              <w:rPr>
                <w:rFonts w:hint="default" w:ascii="Times New Roman" w:hAnsi="Times New Roman" w:cs="Times New Roman"/>
                <w:szCs w:val="21"/>
                <w:highlight w:val="none"/>
              </w:rPr>
              <w:t>。</w:t>
            </w:r>
          </w:p>
        </w:tc>
      </w:tr>
      <w:tr w14:paraId="373307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640" w:type="dxa"/>
            <w:gridSpan w:val="5"/>
            <w:tcBorders>
              <w:top w:val="single" w:color="auto" w:sz="4" w:space="0"/>
              <w:bottom w:val="single" w:color="auto" w:sz="4" w:space="0"/>
              <w:right w:val="single" w:color="auto" w:sz="4" w:space="0"/>
            </w:tcBorders>
            <w:noWrap w:val="0"/>
            <w:vAlign w:val="center"/>
          </w:tcPr>
          <w:p w14:paraId="30057A57">
            <w:pPr>
              <w:pageBreakBefore w:val="0"/>
              <w:kinsoku/>
              <w:wordWrap w:val="0"/>
              <w:bidi w:val="0"/>
              <w:spacing w:line="360" w:lineRule="atLeast"/>
              <w:rPr>
                <w:rFonts w:hint="default" w:ascii="Times New Roman" w:hAnsi="Times New Roman" w:cs="Times New Roman"/>
                <w:szCs w:val="21"/>
                <w:highlight w:val="none"/>
              </w:rPr>
            </w:pPr>
            <w:r>
              <w:rPr>
                <w:rFonts w:hint="default" w:ascii="Times New Roman" w:hAnsi="Times New Roman" w:cs="Times New Roman"/>
                <w:szCs w:val="21"/>
                <w:highlight w:val="none"/>
              </w:rPr>
              <w:t>需要补充的其他内容：</w:t>
            </w:r>
          </w:p>
          <w:p w14:paraId="11328F82">
            <w:pPr>
              <w:keepNext w:val="0"/>
              <w:keepLines w:val="0"/>
              <w:widowControl/>
              <w:suppressLineNumbers w:val="0"/>
              <w:jc w:val="left"/>
              <w:rPr>
                <w:highlight w:val="none"/>
              </w:rPr>
            </w:pPr>
            <w:r>
              <w:rPr>
                <w:rFonts w:ascii="Calibri" w:hAnsi="Calibri" w:eastAsia="宋体" w:cs="Calibri"/>
                <w:color w:val="0000FF"/>
                <w:kern w:val="0"/>
                <w:sz w:val="21"/>
                <w:szCs w:val="21"/>
                <w:highlight w:val="none"/>
                <w:lang w:val="en-US" w:eastAsia="zh-CN" w:bidi="ar"/>
              </w:rPr>
              <w:t>1.</w:t>
            </w:r>
            <w:r>
              <w:rPr>
                <w:rFonts w:hint="eastAsia" w:ascii="宋体" w:hAnsi="宋体" w:eastAsia="宋体" w:cs="宋体"/>
                <w:color w:val="0000FF"/>
                <w:kern w:val="0"/>
                <w:sz w:val="21"/>
                <w:szCs w:val="21"/>
                <w:highlight w:val="none"/>
                <w:lang w:val="en-US" w:eastAsia="zh-CN" w:bidi="ar"/>
              </w:rPr>
              <w:t xml:space="preserve">评标办法 </w:t>
            </w:r>
          </w:p>
          <w:p w14:paraId="23A23B0F">
            <w:pPr>
              <w:keepNext w:val="0"/>
              <w:keepLines w:val="0"/>
              <w:widowControl/>
              <w:suppressLineNumbers w:val="0"/>
              <w:jc w:val="left"/>
              <w:rPr>
                <w:highlight w:val="none"/>
              </w:rPr>
            </w:pPr>
            <w:r>
              <w:rPr>
                <w:rFonts w:hint="eastAsia" w:ascii="宋体" w:hAnsi="宋体" w:eastAsia="宋体" w:cs="宋体"/>
                <w:color w:val="0000FF"/>
                <w:kern w:val="0"/>
                <w:sz w:val="21"/>
                <w:szCs w:val="21"/>
                <w:highlight w:val="none"/>
                <w:lang w:val="en-US" w:eastAsia="zh-CN" w:bidi="ar"/>
              </w:rPr>
              <w:t xml:space="preserve">本条细化为： </w:t>
            </w:r>
          </w:p>
          <w:p w14:paraId="518E8531">
            <w:pPr>
              <w:keepNext w:val="0"/>
              <w:keepLines w:val="0"/>
              <w:widowControl/>
              <w:suppressLineNumbers w:val="0"/>
              <w:jc w:val="left"/>
              <w:rPr>
                <w:highlight w:val="none"/>
              </w:rPr>
            </w:pPr>
            <w:r>
              <w:rPr>
                <w:rFonts w:hint="default" w:ascii="Calibri" w:hAnsi="Calibri" w:eastAsia="宋体" w:cs="Calibri"/>
                <w:color w:val="0000FF"/>
                <w:kern w:val="0"/>
                <w:sz w:val="21"/>
                <w:szCs w:val="21"/>
                <w:highlight w:val="none"/>
                <w:lang w:val="en-US" w:eastAsia="zh-CN" w:bidi="ar"/>
              </w:rPr>
              <w:t xml:space="preserve">1.1 </w:t>
            </w:r>
            <w:r>
              <w:rPr>
                <w:rFonts w:hint="eastAsia" w:ascii="宋体" w:hAnsi="宋体" w:eastAsia="宋体" w:cs="宋体"/>
                <w:color w:val="0000FF"/>
                <w:kern w:val="0"/>
                <w:sz w:val="21"/>
                <w:szCs w:val="21"/>
                <w:highlight w:val="none"/>
                <w:lang w:val="en-US" w:eastAsia="zh-CN" w:bidi="ar"/>
              </w:rPr>
              <w:t xml:space="preserve">采用双信封形式合理低价法。 </w:t>
            </w:r>
          </w:p>
          <w:p w14:paraId="40962906">
            <w:pPr>
              <w:keepNext w:val="0"/>
              <w:keepLines w:val="0"/>
              <w:widowControl/>
              <w:suppressLineNumbers w:val="0"/>
              <w:jc w:val="left"/>
              <w:rPr>
                <w:highlight w:val="none"/>
              </w:rPr>
            </w:pPr>
            <w:r>
              <w:rPr>
                <w:rFonts w:hint="default" w:ascii="Calibri" w:hAnsi="Calibri" w:eastAsia="宋体" w:cs="Calibri"/>
                <w:color w:val="0000FF"/>
                <w:kern w:val="0"/>
                <w:sz w:val="21"/>
                <w:szCs w:val="21"/>
                <w:highlight w:val="none"/>
                <w:lang w:val="en-US" w:eastAsia="zh-CN" w:bidi="ar"/>
              </w:rPr>
              <w:t xml:space="preserve">1.1.1 </w:t>
            </w:r>
            <w:r>
              <w:rPr>
                <w:rFonts w:hint="eastAsia" w:ascii="宋体" w:hAnsi="宋体" w:eastAsia="宋体" w:cs="宋体"/>
                <w:color w:val="0000FF"/>
                <w:kern w:val="0"/>
                <w:sz w:val="21"/>
                <w:szCs w:val="21"/>
                <w:highlight w:val="none"/>
                <w:lang w:val="en-US" w:eastAsia="zh-CN" w:bidi="ar"/>
              </w:rPr>
              <w:t xml:space="preserve">评标委员会首先对第一个信封（商务及技术文件）进行初步评审（形式评审与响应 </w:t>
            </w:r>
          </w:p>
          <w:p w14:paraId="7A3E1EFA">
            <w:pPr>
              <w:keepNext w:val="0"/>
              <w:keepLines w:val="0"/>
              <w:widowControl/>
              <w:suppressLineNumbers w:val="0"/>
              <w:jc w:val="left"/>
              <w:rPr>
                <w:highlight w:val="none"/>
              </w:rPr>
            </w:pPr>
            <w:r>
              <w:rPr>
                <w:rFonts w:hint="eastAsia" w:ascii="宋体" w:hAnsi="宋体" w:eastAsia="宋体" w:cs="宋体"/>
                <w:color w:val="0000FF"/>
                <w:kern w:val="0"/>
                <w:sz w:val="21"/>
                <w:szCs w:val="21"/>
                <w:highlight w:val="none"/>
                <w:lang w:val="en-US" w:eastAsia="zh-CN" w:bidi="ar"/>
              </w:rPr>
              <w:t xml:space="preserve">性评审、资格评审），通过第一个信封初步评审的投标人，进入第二个信封（报价文件） </w:t>
            </w:r>
          </w:p>
          <w:p w14:paraId="1E23CEEA">
            <w:pPr>
              <w:keepNext w:val="0"/>
              <w:keepLines w:val="0"/>
              <w:widowControl/>
              <w:suppressLineNumbers w:val="0"/>
              <w:jc w:val="left"/>
              <w:rPr>
                <w:highlight w:val="none"/>
              </w:rPr>
            </w:pPr>
            <w:r>
              <w:rPr>
                <w:rFonts w:hint="eastAsia" w:ascii="宋体" w:hAnsi="宋体" w:eastAsia="宋体" w:cs="宋体"/>
                <w:color w:val="0000FF"/>
                <w:kern w:val="0"/>
                <w:sz w:val="21"/>
                <w:szCs w:val="21"/>
                <w:highlight w:val="none"/>
                <w:lang w:val="en-US" w:eastAsia="zh-CN" w:bidi="ar"/>
              </w:rPr>
              <w:t xml:space="preserve">开标。第二个信封在监督机关的监督下进行开标，未通过第一个信封初步评审的投标人的 </w:t>
            </w:r>
          </w:p>
          <w:p w14:paraId="0D2FF0C7">
            <w:pPr>
              <w:keepNext w:val="0"/>
              <w:keepLines w:val="0"/>
              <w:widowControl/>
              <w:suppressLineNumbers w:val="0"/>
              <w:jc w:val="left"/>
              <w:rPr>
                <w:highlight w:val="none"/>
              </w:rPr>
            </w:pPr>
            <w:r>
              <w:rPr>
                <w:rFonts w:hint="eastAsia" w:ascii="宋体" w:hAnsi="宋体" w:eastAsia="宋体" w:cs="宋体"/>
                <w:color w:val="0000FF"/>
                <w:kern w:val="0"/>
                <w:sz w:val="21"/>
                <w:szCs w:val="21"/>
                <w:highlight w:val="none"/>
                <w:lang w:val="en-US" w:eastAsia="zh-CN" w:bidi="ar"/>
              </w:rPr>
              <w:t xml:space="preserve">投标文件将被否决投标，其第二个信封原封退回，不参与第二个信封的开标。 </w:t>
            </w:r>
          </w:p>
          <w:p w14:paraId="76C110DB">
            <w:pPr>
              <w:keepNext w:val="0"/>
              <w:keepLines w:val="0"/>
              <w:widowControl/>
              <w:suppressLineNumbers w:val="0"/>
              <w:jc w:val="left"/>
              <w:rPr>
                <w:highlight w:val="none"/>
              </w:rPr>
            </w:pPr>
            <w:r>
              <w:rPr>
                <w:rFonts w:hint="default" w:ascii="Calibri" w:hAnsi="Calibri" w:eastAsia="宋体" w:cs="Calibri"/>
                <w:color w:val="0000FF"/>
                <w:kern w:val="0"/>
                <w:sz w:val="21"/>
                <w:szCs w:val="21"/>
                <w:highlight w:val="none"/>
                <w:lang w:val="en-US" w:eastAsia="zh-CN" w:bidi="ar"/>
              </w:rPr>
              <w:t xml:space="preserve">1.1.2 </w:t>
            </w:r>
            <w:r>
              <w:rPr>
                <w:rFonts w:hint="eastAsia" w:ascii="宋体" w:hAnsi="宋体" w:eastAsia="宋体" w:cs="宋体"/>
                <w:color w:val="0000FF"/>
                <w:kern w:val="0"/>
                <w:sz w:val="21"/>
                <w:szCs w:val="21"/>
                <w:highlight w:val="none"/>
                <w:lang w:val="en-US" w:eastAsia="zh-CN" w:bidi="ar"/>
              </w:rPr>
              <w:t xml:space="preserve">评标委员会对投标文件第二个信封进行形式和响应性评审，未通过第二个信封形式 </w:t>
            </w:r>
          </w:p>
          <w:p w14:paraId="55FBEC43">
            <w:pPr>
              <w:keepNext w:val="0"/>
              <w:keepLines w:val="0"/>
              <w:widowControl/>
              <w:suppressLineNumbers w:val="0"/>
              <w:jc w:val="left"/>
              <w:rPr>
                <w:highlight w:val="none"/>
              </w:rPr>
            </w:pPr>
            <w:r>
              <w:rPr>
                <w:rFonts w:hint="eastAsia" w:ascii="宋体" w:hAnsi="宋体" w:eastAsia="宋体" w:cs="宋体"/>
                <w:color w:val="0000FF"/>
                <w:kern w:val="0"/>
                <w:sz w:val="21"/>
                <w:szCs w:val="21"/>
                <w:highlight w:val="none"/>
                <w:lang w:val="en-US" w:eastAsia="zh-CN" w:bidi="ar"/>
              </w:rPr>
              <w:t xml:space="preserve">和响应性评审的投标文件将被否决投标：若所有投标文件均未通过第二个信封的形式和响 </w:t>
            </w:r>
          </w:p>
          <w:p w14:paraId="41EEADBA">
            <w:pPr>
              <w:keepNext w:val="0"/>
              <w:keepLines w:val="0"/>
              <w:widowControl/>
              <w:suppressLineNumbers w:val="0"/>
              <w:jc w:val="left"/>
              <w:rPr>
                <w:highlight w:val="none"/>
              </w:rPr>
            </w:pPr>
            <w:r>
              <w:rPr>
                <w:rFonts w:hint="eastAsia" w:ascii="宋体" w:hAnsi="宋体" w:eastAsia="宋体" w:cs="宋体"/>
                <w:color w:val="0000FF"/>
                <w:kern w:val="0"/>
                <w:sz w:val="21"/>
                <w:szCs w:val="21"/>
                <w:highlight w:val="none"/>
                <w:lang w:val="en-US" w:eastAsia="zh-CN" w:bidi="ar"/>
              </w:rPr>
              <w:t xml:space="preserve">应性评审，招标人将重新招标。评标委员会对通过第二个信封形式和响应性评审的投标文 </w:t>
            </w:r>
          </w:p>
          <w:p w14:paraId="7B470F2D">
            <w:pPr>
              <w:keepNext w:val="0"/>
              <w:keepLines w:val="0"/>
              <w:widowControl/>
              <w:suppressLineNumbers w:val="0"/>
              <w:jc w:val="left"/>
              <w:rPr>
                <w:highlight w:val="none"/>
              </w:rPr>
            </w:pPr>
            <w:r>
              <w:rPr>
                <w:rFonts w:hint="eastAsia" w:ascii="宋体" w:hAnsi="宋体" w:eastAsia="宋体" w:cs="宋体"/>
                <w:color w:val="0000FF"/>
                <w:kern w:val="0"/>
                <w:sz w:val="21"/>
                <w:szCs w:val="21"/>
                <w:highlight w:val="none"/>
                <w:lang w:val="en-US" w:eastAsia="zh-CN" w:bidi="ar"/>
              </w:rPr>
              <w:t xml:space="preserve">件，按照本章第 </w:t>
            </w:r>
            <w:r>
              <w:rPr>
                <w:rFonts w:hint="default" w:ascii="Calibri" w:hAnsi="Calibri" w:eastAsia="宋体" w:cs="Calibri"/>
                <w:color w:val="0000FF"/>
                <w:kern w:val="0"/>
                <w:sz w:val="21"/>
                <w:szCs w:val="21"/>
                <w:highlight w:val="none"/>
                <w:lang w:val="en-US" w:eastAsia="zh-CN" w:bidi="ar"/>
              </w:rPr>
              <w:t xml:space="preserve">2.2 </w:t>
            </w:r>
            <w:r>
              <w:rPr>
                <w:rFonts w:hint="eastAsia" w:ascii="宋体" w:hAnsi="宋体" w:eastAsia="宋体" w:cs="宋体"/>
                <w:color w:val="0000FF"/>
                <w:kern w:val="0"/>
                <w:sz w:val="21"/>
                <w:szCs w:val="21"/>
                <w:highlight w:val="none"/>
                <w:lang w:val="en-US" w:eastAsia="zh-CN" w:bidi="ar"/>
              </w:rPr>
              <w:t xml:space="preserve">款规定的评分标准进行评分，然后按评标价得分由高到低顺序推荐 </w:t>
            </w:r>
          </w:p>
          <w:p w14:paraId="1FD99580">
            <w:pPr>
              <w:keepNext w:val="0"/>
              <w:keepLines w:val="0"/>
              <w:widowControl/>
              <w:suppressLineNumbers w:val="0"/>
              <w:jc w:val="left"/>
              <w:rPr>
                <w:highlight w:val="none"/>
              </w:rPr>
            </w:pPr>
            <w:r>
              <w:rPr>
                <w:rFonts w:hint="eastAsia" w:ascii="宋体" w:hAnsi="宋体" w:eastAsia="宋体" w:cs="宋体"/>
                <w:color w:val="0000FF"/>
                <w:kern w:val="0"/>
                <w:sz w:val="21"/>
                <w:szCs w:val="21"/>
                <w:highlight w:val="none"/>
                <w:lang w:val="en-US" w:eastAsia="zh-CN" w:bidi="ar"/>
              </w:rPr>
              <w:t xml:space="preserve">中标候选人，但投标报价低于其成本的除外。 </w:t>
            </w:r>
          </w:p>
          <w:p w14:paraId="0D99CCB9">
            <w:pPr>
              <w:keepNext w:val="0"/>
              <w:keepLines w:val="0"/>
              <w:widowControl/>
              <w:suppressLineNumbers w:val="0"/>
              <w:jc w:val="left"/>
              <w:rPr>
                <w:highlight w:val="none"/>
              </w:rPr>
            </w:pPr>
            <w:r>
              <w:rPr>
                <w:rFonts w:hint="default" w:ascii="Calibri" w:hAnsi="Calibri" w:eastAsia="宋体" w:cs="Calibri"/>
                <w:color w:val="0000FF"/>
                <w:kern w:val="0"/>
                <w:sz w:val="21"/>
                <w:szCs w:val="21"/>
                <w:highlight w:val="none"/>
                <w:lang w:val="en-US" w:eastAsia="zh-CN" w:bidi="ar"/>
              </w:rPr>
              <w:t xml:space="preserve">1.1.3 </w:t>
            </w:r>
            <w:r>
              <w:rPr>
                <w:rFonts w:hint="eastAsia" w:ascii="宋体" w:hAnsi="宋体" w:eastAsia="宋体" w:cs="宋体"/>
                <w:color w:val="0000FF"/>
                <w:kern w:val="0"/>
                <w:sz w:val="21"/>
                <w:szCs w:val="21"/>
                <w:highlight w:val="none"/>
                <w:lang w:val="en-US" w:eastAsia="zh-CN" w:bidi="ar"/>
              </w:rPr>
              <w:t xml:space="preserve">综合评分相等时，评标委员会依次按照以下优先顺序推荐中标候选人或确定中标 </w:t>
            </w:r>
          </w:p>
          <w:p w14:paraId="31F15352">
            <w:pPr>
              <w:keepNext w:val="0"/>
              <w:keepLines w:val="0"/>
              <w:widowControl/>
              <w:suppressLineNumbers w:val="0"/>
              <w:jc w:val="left"/>
              <w:rPr>
                <w:highlight w:val="none"/>
              </w:rPr>
            </w:pPr>
            <w:r>
              <w:rPr>
                <w:rFonts w:hint="eastAsia" w:ascii="宋体" w:hAnsi="宋体" w:eastAsia="宋体" w:cs="宋体"/>
                <w:color w:val="0000FF"/>
                <w:kern w:val="0"/>
                <w:sz w:val="21"/>
                <w:szCs w:val="21"/>
                <w:highlight w:val="none"/>
                <w:lang w:val="en-US" w:eastAsia="zh-CN" w:bidi="ar"/>
              </w:rPr>
              <w:t xml:space="preserve">人： </w:t>
            </w:r>
          </w:p>
          <w:p w14:paraId="5906750E">
            <w:pPr>
              <w:keepNext w:val="0"/>
              <w:keepLines w:val="0"/>
              <w:widowControl/>
              <w:suppressLineNumbers w:val="0"/>
              <w:jc w:val="left"/>
              <w:rPr>
                <w:highlight w:val="none"/>
              </w:rPr>
            </w:pPr>
            <w:r>
              <w:rPr>
                <w:rFonts w:hint="eastAsia" w:ascii="宋体" w:hAnsi="宋体" w:eastAsia="宋体" w:cs="宋体"/>
                <w:color w:val="0000FF"/>
                <w:kern w:val="0"/>
                <w:sz w:val="21"/>
                <w:szCs w:val="21"/>
                <w:highlight w:val="none"/>
                <w:lang w:val="en-US" w:eastAsia="zh-CN" w:bidi="ar"/>
              </w:rPr>
              <w:t>（</w:t>
            </w:r>
            <w:r>
              <w:rPr>
                <w:rFonts w:hint="default" w:ascii="Calibri" w:hAnsi="Calibri" w:eastAsia="宋体" w:cs="Calibri"/>
                <w:color w:val="0000FF"/>
                <w:kern w:val="0"/>
                <w:sz w:val="21"/>
                <w:szCs w:val="21"/>
                <w:highlight w:val="none"/>
                <w:lang w:val="en-US" w:eastAsia="zh-CN" w:bidi="ar"/>
              </w:rPr>
              <w:t>1</w:t>
            </w:r>
            <w:r>
              <w:rPr>
                <w:rFonts w:hint="eastAsia" w:ascii="宋体" w:hAnsi="宋体" w:eastAsia="宋体" w:cs="宋体"/>
                <w:color w:val="0000FF"/>
                <w:kern w:val="0"/>
                <w:sz w:val="21"/>
                <w:szCs w:val="21"/>
                <w:highlight w:val="none"/>
                <w:lang w:val="en-US" w:eastAsia="zh-CN" w:bidi="ar"/>
              </w:rPr>
              <w:t xml:space="preserve">）以评标价较低者优先； </w:t>
            </w:r>
          </w:p>
          <w:p w14:paraId="63158235">
            <w:pPr>
              <w:keepNext w:val="0"/>
              <w:keepLines w:val="0"/>
              <w:widowControl/>
              <w:suppressLineNumbers w:val="0"/>
              <w:jc w:val="left"/>
              <w:rPr>
                <w:highlight w:val="none"/>
              </w:rPr>
            </w:pPr>
            <w:r>
              <w:rPr>
                <w:rFonts w:hint="eastAsia" w:ascii="宋体" w:hAnsi="宋体" w:eastAsia="宋体" w:cs="宋体"/>
                <w:color w:val="0000FF"/>
                <w:kern w:val="0"/>
                <w:sz w:val="21"/>
                <w:szCs w:val="21"/>
                <w:highlight w:val="none"/>
                <w:lang w:val="en-US" w:eastAsia="zh-CN" w:bidi="ar"/>
              </w:rPr>
              <w:t>（</w:t>
            </w:r>
            <w:r>
              <w:rPr>
                <w:rFonts w:hint="default" w:ascii="Calibri" w:hAnsi="Calibri" w:eastAsia="宋体" w:cs="Calibri"/>
                <w:color w:val="0000FF"/>
                <w:kern w:val="0"/>
                <w:sz w:val="21"/>
                <w:szCs w:val="21"/>
                <w:highlight w:val="none"/>
                <w:lang w:val="en-US" w:eastAsia="zh-CN" w:bidi="ar"/>
              </w:rPr>
              <w:t>2</w:t>
            </w:r>
            <w:r>
              <w:rPr>
                <w:rFonts w:hint="eastAsia" w:ascii="宋体" w:hAnsi="宋体" w:eastAsia="宋体" w:cs="宋体"/>
                <w:color w:val="0000FF"/>
                <w:kern w:val="0"/>
                <w:sz w:val="21"/>
                <w:szCs w:val="21"/>
                <w:highlight w:val="none"/>
                <w:lang w:val="en-US" w:eastAsia="zh-CN" w:bidi="ar"/>
              </w:rPr>
              <w:t xml:space="preserve">）被招标项目所在地省级交通运输主管部门评为较高信用等级的投标人优先； </w:t>
            </w:r>
          </w:p>
          <w:p w14:paraId="44013CF7">
            <w:pPr>
              <w:keepNext w:val="0"/>
              <w:keepLines w:val="0"/>
              <w:widowControl/>
              <w:suppressLineNumbers w:val="0"/>
              <w:jc w:val="left"/>
              <w:rPr>
                <w:highlight w:val="none"/>
              </w:rPr>
            </w:pPr>
            <w:r>
              <w:rPr>
                <w:rFonts w:hint="eastAsia" w:ascii="宋体" w:hAnsi="宋体" w:eastAsia="宋体" w:cs="宋体"/>
                <w:color w:val="0000FF"/>
                <w:kern w:val="0"/>
                <w:sz w:val="21"/>
                <w:szCs w:val="21"/>
                <w:highlight w:val="none"/>
                <w:lang w:val="en-US" w:eastAsia="zh-CN" w:bidi="ar"/>
              </w:rPr>
              <w:t xml:space="preserve">当两家及以上投标人的最终得分相等且投标价也相等时，则先对各投标人的工程量清单进 </w:t>
            </w:r>
          </w:p>
          <w:p w14:paraId="5466FCDA">
            <w:pPr>
              <w:keepNext w:val="0"/>
              <w:keepLines w:val="0"/>
              <w:widowControl/>
              <w:suppressLineNumbers w:val="0"/>
              <w:jc w:val="left"/>
              <w:rPr>
                <w:highlight w:val="none"/>
              </w:rPr>
            </w:pPr>
            <w:r>
              <w:rPr>
                <w:rFonts w:hint="eastAsia" w:ascii="宋体" w:hAnsi="宋体" w:eastAsia="宋体" w:cs="宋体"/>
                <w:color w:val="0000FF"/>
                <w:kern w:val="0"/>
                <w:sz w:val="21"/>
                <w:szCs w:val="21"/>
                <w:highlight w:val="none"/>
                <w:lang w:val="en-US" w:eastAsia="zh-CN" w:bidi="ar"/>
              </w:rPr>
              <w:t>行复核，若各投标人工程量清单子目单价也相同时，视为串标，均以废标处理。若各投标</w:t>
            </w:r>
          </w:p>
          <w:p w14:paraId="3627162B">
            <w:pPr>
              <w:keepNext w:val="0"/>
              <w:keepLines w:val="0"/>
              <w:widowControl/>
              <w:suppressLineNumbers w:val="0"/>
              <w:jc w:val="left"/>
              <w:rPr>
                <w:highlight w:val="none"/>
              </w:rPr>
            </w:pPr>
            <w:r>
              <w:rPr>
                <w:rFonts w:hint="eastAsia" w:ascii="宋体" w:hAnsi="宋体" w:eastAsia="宋体" w:cs="宋体"/>
                <w:color w:val="0000FF"/>
                <w:kern w:val="0"/>
                <w:sz w:val="21"/>
                <w:szCs w:val="21"/>
                <w:highlight w:val="none"/>
                <w:lang w:val="en-US" w:eastAsia="zh-CN" w:bidi="ar"/>
              </w:rPr>
              <w:t xml:space="preserve">人工程量清单子目单价不同时，由评标委员会根据施工组织设计的编制情况投票确定其推 </w:t>
            </w:r>
          </w:p>
          <w:p w14:paraId="5741226E">
            <w:pPr>
              <w:keepNext w:val="0"/>
              <w:keepLines w:val="0"/>
              <w:widowControl/>
              <w:suppressLineNumbers w:val="0"/>
              <w:jc w:val="left"/>
              <w:rPr>
                <w:highlight w:val="none"/>
              </w:rPr>
            </w:pPr>
            <w:r>
              <w:rPr>
                <w:rFonts w:hint="eastAsia" w:ascii="宋体" w:hAnsi="宋体" w:eastAsia="宋体" w:cs="宋体"/>
                <w:color w:val="0000FF"/>
                <w:kern w:val="0"/>
                <w:sz w:val="21"/>
                <w:szCs w:val="21"/>
                <w:highlight w:val="none"/>
                <w:lang w:val="en-US" w:eastAsia="zh-CN" w:bidi="ar"/>
              </w:rPr>
              <w:t xml:space="preserve">荐顺序。 </w:t>
            </w:r>
          </w:p>
          <w:p w14:paraId="7EAE5F73">
            <w:pPr>
              <w:keepNext w:val="0"/>
              <w:keepLines w:val="0"/>
              <w:widowControl/>
              <w:suppressLineNumbers w:val="0"/>
              <w:jc w:val="left"/>
              <w:rPr>
                <w:highlight w:val="none"/>
              </w:rPr>
            </w:pPr>
            <w:r>
              <w:rPr>
                <w:rFonts w:ascii="Calibri" w:hAnsi="Calibri" w:eastAsia="宋体" w:cs="Calibri"/>
                <w:color w:val="0000FF"/>
                <w:kern w:val="0"/>
                <w:sz w:val="21"/>
                <w:szCs w:val="21"/>
                <w:highlight w:val="none"/>
                <w:lang w:val="en-US" w:eastAsia="zh-CN" w:bidi="ar"/>
              </w:rPr>
              <w:t xml:space="preserve">1.1.4 </w:t>
            </w:r>
            <w:r>
              <w:rPr>
                <w:rFonts w:hint="eastAsia" w:ascii="宋体" w:hAnsi="宋体" w:eastAsia="宋体" w:cs="宋体"/>
                <w:color w:val="0000FF"/>
                <w:kern w:val="0"/>
                <w:sz w:val="21"/>
                <w:szCs w:val="21"/>
                <w:highlight w:val="none"/>
                <w:lang w:val="en-US" w:eastAsia="zh-CN" w:bidi="ar"/>
              </w:rPr>
              <w:t xml:space="preserve">通过第一个信封评审且参与第二个信封开标的投标人在 </w:t>
            </w:r>
            <w:r>
              <w:rPr>
                <w:rFonts w:hint="default" w:ascii="Calibri" w:hAnsi="Calibri" w:eastAsia="宋体" w:cs="Calibri"/>
                <w:color w:val="0000FF"/>
                <w:kern w:val="0"/>
                <w:sz w:val="21"/>
                <w:szCs w:val="21"/>
                <w:highlight w:val="none"/>
                <w:lang w:val="en-US" w:eastAsia="zh-CN" w:bidi="ar"/>
              </w:rPr>
              <w:t xml:space="preserve">3 </w:t>
            </w:r>
            <w:r>
              <w:rPr>
                <w:rFonts w:hint="eastAsia" w:ascii="宋体" w:hAnsi="宋体" w:eastAsia="宋体" w:cs="宋体"/>
                <w:color w:val="0000FF"/>
                <w:kern w:val="0"/>
                <w:sz w:val="21"/>
                <w:szCs w:val="21"/>
                <w:highlight w:val="none"/>
                <w:lang w:val="en-US" w:eastAsia="zh-CN" w:bidi="ar"/>
              </w:rPr>
              <w:t xml:space="preserve">个及以上的，招标人将按 </w:t>
            </w:r>
          </w:p>
          <w:p w14:paraId="239B1EAA">
            <w:pPr>
              <w:keepNext w:val="0"/>
              <w:keepLines w:val="0"/>
              <w:widowControl/>
              <w:suppressLineNumbers w:val="0"/>
              <w:jc w:val="left"/>
              <w:rPr>
                <w:highlight w:val="none"/>
              </w:rPr>
            </w:pPr>
            <w:r>
              <w:rPr>
                <w:rFonts w:hint="eastAsia" w:ascii="宋体" w:hAnsi="宋体" w:eastAsia="宋体" w:cs="宋体"/>
                <w:color w:val="0000FF"/>
                <w:kern w:val="0"/>
                <w:sz w:val="21"/>
                <w:szCs w:val="21"/>
                <w:highlight w:val="none"/>
                <w:lang w:val="en-US" w:eastAsia="zh-CN" w:bidi="ar"/>
              </w:rPr>
              <w:t xml:space="preserve">规定的程序进行第二个信封开标：在对第二个信封进行评审后，有效投标不足 </w:t>
            </w:r>
            <w:r>
              <w:rPr>
                <w:rFonts w:hint="default" w:ascii="Calibri" w:hAnsi="Calibri" w:eastAsia="宋体" w:cs="Calibri"/>
                <w:color w:val="0000FF"/>
                <w:kern w:val="0"/>
                <w:sz w:val="21"/>
                <w:szCs w:val="21"/>
                <w:highlight w:val="none"/>
                <w:lang w:val="en-US" w:eastAsia="zh-CN" w:bidi="ar"/>
              </w:rPr>
              <w:t xml:space="preserve">3 </w:t>
            </w:r>
            <w:r>
              <w:rPr>
                <w:rFonts w:hint="eastAsia" w:ascii="宋体" w:hAnsi="宋体" w:eastAsia="宋体" w:cs="宋体"/>
                <w:color w:val="0000FF"/>
                <w:kern w:val="0"/>
                <w:sz w:val="21"/>
                <w:szCs w:val="21"/>
                <w:highlight w:val="none"/>
                <w:lang w:val="en-US" w:eastAsia="zh-CN" w:bidi="ar"/>
              </w:rPr>
              <w:t xml:space="preserve">个使得投 </w:t>
            </w:r>
          </w:p>
          <w:p w14:paraId="2E509647">
            <w:pPr>
              <w:keepNext w:val="0"/>
              <w:keepLines w:val="0"/>
              <w:widowControl/>
              <w:suppressLineNumbers w:val="0"/>
              <w:jc w:val="left"/>
              <w:rPr>
                <w:highlight w:val="none"/>
              </w:rPr>
            </w:pPr>
            <w:r>
              <w:rPr>
                <w:rFonts w:hint="eastAsia" w:ascii="宋体" w:hAnsi="宋体" w:eastAsia="宋体" w:cs="宋体"/>
                <w:color w:val="0000FF"/>
                <w:kern w:val="0"/>
                <w:sz w:val="21"/>
                <w:szCs w:val="21"/>
                <w:highlight w:val="none"/>
                <w:lang w:val="en-US" w:eastAsia="zh-CN" w:bidi="ar"/>
              </w:rPr>
              <w:t xml:space="preserve">标明显缺乏竞争的，评标委员会可以否决全部投标。评标委员会未否决全部投标的，应当 </w:t>
            </w:r>
          </w:p>
          <w:p w14:paraId="6FF2A5A0">
            <w:pPr>
              <w:keepNext w:val="0"/>
              <w:keepLines w:val="0"/>
              <w:widowControl/>
              <w:suppressLineNumbers w:val="0"/>
              <w:jc w:val="left"/>
              <w:rPr>
                <w:highlight w:val="none"/>
              </w:rPr>
            </w:pPr>
            <w:r>
              <w:rPr>
                <w:rFonts w:hint="eastAsia" w:ascii="宋体" w:hAnsi="宋体" w:eastAsia="宋体" w:cs="宋体"/>
                <w:color w:val="0000FF"/>
                <w:kern w:val="0"/>
                <w:sz w:val="21"/>
                <w:szCs w:val="21"/>
                <w:highlight w:val="none"/>
                <w:lang w:val="en-US" w:eastAsia="zh-CN" w:bidi="ar"/>
              </w:rPr>
              <w:t xml:space="preserve">在评标报告中阐明理由并推荐中标候选人。 </w:t>
            </w:r>
          </w:p>
          <w:p w14:paraId="72650DDD">
            <w:pPr>
              <w:keepNext w:val="0"/>
              <w:keepLines w:val="0"/>
              <w:widowControl/>
              <w:suppressLineNumbers w:val="0"/>
              <w:jc w:val="left"/>
              <w:rPr>
                <w:highlight w:val="none"/>
              </w:rPr>
            </w:pPr>
            <w:r>
              <w:rPr>
                <w:rFonts w:hint="default" w:ascii="Calibri" w:hAnsi="Calibri" w:eastAsia="宋体" w:cs="Calibri"/>
                <w:color w:val="0000FF"/>
                <w:kern w:val="0"/>
                <w:sz w:val="21"/>
                <w:szCs w:val="21"/>
                <w:highlight w:val="none"/>
                <w:lang w:val="en-US" w:eastAsia="zh-CN" w:bidi="ar"/>
              </w:rPr>
              <w:t xml:space="preserve">1.1.5 </w:t>
            </w:r>
            <w:r>
              <w:rPr>
                <w:rFonts w:hint="eastAsia" w:ascii="宋体" w:hAnsi="宋体" w:eastAsia="宋体" w:cs="宋体"/>
                <w:color w:val="0000FF"/>
                <w:kern w:val="0"/>
                <w:sz w:val="21"/>
                <w:szCs w:val="21"/>
                <w:highlight w:val="none"/>
                <w:lang w:val="en-US" w:eastAsia="zh-CN" w:bidi="ar"/>
              </w:rPr>
              <w:t xml:space="preserve">通过第一个信封评审且参与第二个信封开标的投标人少于 </w:t>
            </w:r>
            <w:r>
              <w:rPr>
                <w:rFonts w:hint="default" w:ascii="Calibri" w:hAnsi="Calibri" w:eastAsia="宋体" w:cs="Calibri"/>
                <w:color w:val="0000FF"/>
                <w:kern w:val="0"/>
                <w:sz w:val="21"/>
                <w:szCs w:val="21"/>
                <w:highlight w:val="none"/>
                <w:lang w:val="en-US" w:eastAsia="zh-CN" w:bidi="ar"/>
              </w:rPr>
              <w:t xml:space="preserve">3 </w:t>
            </w:r>
            <w:r>
              <w:rPr>
                <w:rFonts w:hint="eastAsia" w:ascii="宋体" w:hAnsi="宋体" w:eastAsia="宋体" w:cs="宋体"/>
                <w:color w:val="0000FF"/>
                <w:kern w:val="0"/>
                <w:sz w:val="21"/>
                <w:szCs w:val="21"/>
                <w:highlight w:val="none"/>
                <w:lang w:val="en-US" w:eastAsia="zh-CN" w:bidi="ar"/>
              </w:rPr>
              <w:t xml:space="preserve">个的，评标委员会可以 </w:t>
            </w:r>
          </w:p>
          <w:p w14:paraId="3A92A28E">
            <w:pPr>
              <w:keepNext w:val="0"/>
              <w:keepLines w:val="0"/>
              <w:widowControl/>
              <w:suppressLineNumbers w:val="0"/>
              <w:jc w:val="left"/>
              <w:rPr>
                <w:highlight w:val="none"/>
              </w:rPr>
            </w:pPr>
            <w:r>
              <w:rPr>
                <w:rFonts w:hint="eastAsia" w:ascii="宋体" w:hAnsi="宋体" w:eastAsia="宋体" w:cs="宋体"/>
                <w:color w:val="0000FF"/>
                <w:kern w:val="0"/>
                <w:sz w:val="21"/>
                <w:szCs w:val="21"/>
                <w:highlight w:val="none"/>
                <w:lang w:val="en-US" w:eastAsia="zh-CN" w:bidi="ar"/>
              </w:rPr>
              <w:t xml:space="preserve">否决全部投标：未否决全部投标的，评标委员会应当在评标报告中阐明理由，招标人将按 </w:t>
            </w:r>
          </w:p>
          <w:p w14:paraId="2D1EB4E8">
            <w:pPr>
              <w:keepNext w:val="0"/>
              <w:keepLines w:val="0"/>
              <w:widowControl/>
              <w:suppressLineNumbers w:val="0"/>
              <w:jc w:val="left"/>
              <w:rPr>
                <w:highlight w:val="none"/>
              </w:rPr>
            </w:pPr>
            <w:r>
              <w:rPr>
                <w:rFonts w:hint="eastAsia" w:ascii="宋体" w:hAnsi="宋体" w:eastAsia="宋体" w:cs="宋体"/>
                <w:color w:val="0000FF"/>
                <w:kern w:val="0"/>
                <w:sz w:val="21"/>
                <w:szCs w:val="21"/>
                <w:highlight w:val="none"/>
                <w:lang w:val="en-US" w:eastAsia="zh-CN" w:bidi="ar"/>
              </w:rPr>
              <w:t xml:space="preserve">规定的程序进行第二个信封开标，但评标委员会在进行第二个信封评审时仍有权否决全部 </w:t>
            </w:r>
          </w:p>
          <w:p w14:paraId="705DA0F0">
            <w:pPr>
              <w:keepNext w:val="0"/>
              <w:keepLines w:val="0"/>
              <w:widowControl/>
              <w:suppressLineNumbers w:val="0"/>
              <w:jc w:val="left"/>
              <w:rPr>
                <w:highlight w:val="none"/>
              </w:rPr>
            </w:pPr>
            <w:r>
              <w:rPr>
                <w:rFonts w:hint="eastAsia" w:ascii="宋体" w:hAnsi="宋体" w:eastAsia="宋体" w:cs="宋体"/>
                <w:color w:val="0000FF"/>
                <w:kern w:val="0"/>
                <w:sz w:val="21"/>
                <w:szCs w:val="21"/>
                <w:highlight w:val="none"/>
                <w:lang w:val="en-US" w:eastAsia="zh-CN" w:bidi="ar"/>
              </w:rPr>
              <w:t xml:space="preserve">投标：评标委员会未在第二个信封评审时否决全部投标的，应当在评标报告中阐明理由并 </w:t>
            </w:r>
          </w:p>
          <w:p w14:paraId="75A7E738">
            <w:pPr>
              <w:keepNext w:val="0"/>
              <w:keepLines w:val="0"/>
              <w:widowControl/>
              <w:suppressLineNumbers w:val="0"/>
              <w:jc w:val="left"/>
              <w:rPr>
                <w:highlight w:val="none"/>
              </w:rPr>
            </w:pPr>
            <w:r>
              <w:rPr>
                <w:rFonts w:hint="eastAsia" w:ascii="宋体" w:hAnsi="宋体" w:eastAsia="宋体" w:cs="宋体"/>
                <w:color w:val="0000FF"/>
                <w:kern w:val="0"/>
                <w:sz w:val="21"/>
                <w:szCs w:val="21"/>
                <w:highlight w:val="none"/>
                <w:lang w:val="en-US" w:eastAsia="zh-CN" w:bidi="ar"/>
              </w:rPr>
              <w:t xml:space="preserve">推荐中标候选人。 </w:t>
            </w:r>
          </w:p>
          <w:p w14:paraId="2030B1B4">
            <w:pPr>
              <w:keepNext w:val="0"/>
              <w:keepLines w:val="0"/>
              <w:widowControl/>
              <w:suppressLineNumbers w:val="0"/>
              <w:jc w:val="left"/>
              <w:rPr>
                <w:highlight w:val="none"/>
              </w:rPr>
            </w:pPr>
            <w:r>
              <w:rPr>
                <w:rFonts w:hint="default" w:ascii="Calibri" w:hAnsi="Calibri" w:eastAsia="宋体" w:cs="Calibri"/>
                <w:color w:val="0000FF"/>
                <w:kern w:val="0"/>
                <w:sz w:val="21"/>
                <w:szCs w:val="21"/>
                <w:highlight w:val="none"/>
                <w:lang w:val="en-US" w:eastAsia="zh-CN" w:bidi="ar"/>
              </w:rPr>
              <w:t>2.</w:t>
            </w:r>
            <w:r>
              <w:rPr>
                <w:rFonts w:hint="eastAsia" w:ascii="宋体" w:hAnsi="宋体" w:eastAsia="宋体" w:cs="宋体"/>
                <w:color w:val="0000FF"/>
                <w:kern w:val="0"/>
                <w:sz w:val="21"/>
                <w:szCs w:val="21"/>
                <w:highlight w:val="none"/>
                <w:lang w:val="en-US" w:eastAsia="zh-CN" w:bidi="ar"/>
              </w:rPr>
              <w:t xml:space="preserve">评标结果 </w:t>
            </w:r>
          </w:p>
          <w:p w14:paraId="0E44F353">
            <w:pPr>
              <w:keepNext w:val="0"/>
              <w:keepLines w:val="0"/>
              <w:widowControl/>
              <w:suppressLineNumbers w:val="0"/>
              <w:jc w:val="left"/>
              <w:rPr>
                <w:highlight w:val="none"/>
              </w:rPr>
            </w:pPr>
            <w:r>
              <w:rPr>
                <w:rFonts w:hint="default" w:ascii="Calibri" w:hAnsi="Calibri" w:eastAsia="宋体" w:cs="Calibri"/>
                <w:color w:val="0000FF"/>
                <w:kern w:val="0"/>
                <w:sz w:val="21"/>
                <w:szCs w:val="21"/>
                <w:highlight w:val="none"/>
                <w:lang w:val="en-US" w:eastAsia="zh-CN" w:bidi="ar"/>
              </w:rPr>
              <w:t xml:space="preserve">2.1 </w:t>
            </w:r>
            <w:r>
              <w:rPr>
                <w:rFonts w:hint="eastAsia" w:ascii="宋体" w:hAnsi="宋体" w:eastAsia="宋体" w:cs="宋体"/>
                <w:color w:val="0000FF"/>
                <w:kern w:val="0"/>
                <w:sz w:val="21"/>
                <w:szCs w:val="21"/>
                <w:highlight w:val="none"/>
                <w:lang w:val="en-US" w:eastAsia="zh-CN" w:bidi="ar"/>
              </w:rPr>
              <w:t xml:space="preserve">评标委员会按照评标方法的规定推荐中标候选人。 </w:t>
            </w:r>
          </w:p>
          <w:p w14:paraId="0B2A4AF1">
            <w:pPr>
              <w:keepNext w:val="0"/>
              <w:keepLines w:val="0"/>
              <w:widowControl/>
              <w:suppressLineNumbers w:val="0"/>
              <w:jc w:val="left"/>
              <w:rPr>
                <w:highlight w:val="none"/>
              </w:rPr>
            </w:pPr>
            <w:r>
              <w:rPr>
                <w:rFonts w:hint="default" w:ascii="Calibri" w:hAnsi="Calibri" w:eastAsia="宋体" w:cs="Calibri"/>
                <w:color w:val="0000FF"/>
                <w:kern w:val="0"/>
                <w:sz w:val="21"/>
                <w:szCs w:val="21"/>
                <w:highlight w:val="none"/>
                <w:lang w:val="en-US" w:eastAsia="zh-CN" w:bidi="ar"/>
              </w:rPr>
              <w:t xml:space="preserve">2.2 </w:t>
            </w:r>
            <w:r>
              <w:rPr>
                <w:rFonts w:hint="eastAsia" w:ascii="宋体" w:hAnsi="宋体" w:eastAsia="宋体" w:cs="宋体"/>
                <w:color w:val="0000FF"/>
                <w:kern w:val="0"/>
                <w:sz w:val="21"/>
                <w:szCs w:val="21"/>
                <w:highlight w:val="none"/>
                <w:lang w:val="en-US" w:eastAsia="zh-CN" w:bidi="ar"/>
              </w:rPr>
              <w:t xml:space="preserve">评标委员会完成评标后，应当向招标人提交书面评标报告。评标报告由评标委员会全 </w:t>
            </w:r>
          </w:p>
          <w:p w14:paraId="73F55F2C">
            <w:pPr>
              <w:keepNext w:val="0"/>
              <w:keepLines w:val="0"/>
              <w:widowControl/>
              <w:suppressLineNumbers w:val="0"/>
              <w:jc w:val="left"/>
              <w:rPr>
                <w:highlight w:val="none"/>
              </w:rPr>
            </w:pPr>
            <w:r>
              <w:rPr>
                <w:rFonts w:hint="eastAsia" w:ascii="宋体" w:hAnsi="宋体" w:eastAsia="宋体" w:cs="宋体"/>
                <w:color w:val="0000FF"/>
                <w:kern w:val="0"/>
                <w:sz w:val="21"/>
                <w:szCs w:val="21"/>
                <w:highlight w:val="none"/>
                <w:lang w:val="en-US" w:eastAsia="zh-CN" w:bidi="ar"/>
              </w:rPr>
              <w:t xml:space="preserve">体成员签字。对评标结论持有异议的评标委员会成员可以书面方式阐述其不同意见和理 </w:t>
            </w:r>
          </w:p>
          <w:p w14:paraId="3B9FBA2E">
            <w:pPr>
              <w:keepNext w:val="0"/>
              <w:keepLines w:val="0"/>
              <w:widowControl/>
              <w:suppressLineNumbers w:val="0"/>
              <w:jc w:val="left"/>
              <w:rPr>
                <w:highlight w:val="none"/>
              </w:rPr>
            </w:pPr>
            <w:r>
              <w:rPr>
                <w:rFonts w:hint="eastAsia" w:ascii="宋体" w:hAnsi="宋体" w:eastAsia="宋体" w:cs="宋体"/>
                <w:color w:val="0000FF"/>
                <w:kern w:val="0"/>
                <w:sz w:val="21"/>
                <w:szCs w:val="21"/>
                <w:highlight w:val="none"/>
                <w:lang w:val="en-US" w:eastAsia="zh-CN" w:bidi="ar"/>
              </w:rPr>
              <w:t xml:space="preserve">由。评标委员会成员拒绝在评标报告上签字且不陈述其不同意见和理由的，视为同意评标 </w:t>
            </w:r>
          </w:p>
          <w:p w14:paraId="4E13903B">
            <w:pPr>
              <w:pageBreakBefore w:val="0"/>
              <w:widowControl/>
              <w:kinsoku/>
              <w:wordWrap/>
              <w:bidi w:val="0"/>
              <w:spacing w:line="240" w:lineRule="auto"/>
              <w:jc w:val="left"/>
              <w:rPr>
                <w:rFonts w:hint="eastAsia" w:ascii="宋体" w:hAnsi="宋体" w:eastAsia="宋体" w:cs="宋体"/>
                <w:color w:val="0000FF"/>
                <w:kern w:val="0"/>
                <w:sz w:val="21"/>
                <w:szCs w:val="21"/>
                <w:highlight w:val="none"/>
                <w:lang w:val="en-US" w:eastAsia="zh-CN" w:bidi="ar"/>
              </w:rPr>
            </w:pPr>
            <w:r>
              <w:rPr>
                <w:rFonts w:hint="eastAsia" w:ascii="宋体" w:hAnsi="宋体" w:eastAsia="宋体" w:cs="宋体"/>
                <w:color w:val="0000FF"/>
                <w:kern w:val="0"/>
                <w:sz w:val="21"/>
                <w:szCs w:val="21"/>
                <w:highlight w:val="none"/>
                <w:lang w:val="en-US" w:eastAsia="zh-CN" w:bidi="ar"/>
              </w:rPr>
              <w:t>结论。</w:t>
            </w:r>
          </w:p>
          <w:p w14:paraId="76D86B99">
            <w:pPr>
              <w:widowControl/>
              <w:jc w:val="left"/>
              <w:rPr>
                <w:rFonts w:hint="eastAsia" w:ascii="宋体" w:hAnsi="宋体" w:cs="宋体"/>
                <w:color w:val="0000FF"/>
                <w:kern w:val="0"/>
                <w:szCs w:val="21"/>
                <w:highlight w:val="none"/>
                <w:lang w:val="en-US" w:eastAsia="zh-CN" w:bidi="ar"/>
              </w:rPr>
            </w:pPr>
            <w:r>
              <w:rPr>
                <w:rFonts w:hint="eastAsia" w:ascii="宋体" w:hAnsi="宋体" w:cs="宋体"/>
                <w:color w:val="0000FF"/>
                <w:kern w:val="0"/>
                <w:szCs w:val="21"/>
                <w:highlight w:val="none"/>
                <w:lang w:val="en-US" w:eastAsia="zh-CN" w:bidi="ar"/>
              </w:rPr>
              <w:t>3、偏差率保留小数点后七位，小数点后第八位“四舍五入”。</w:t>
            </w:r>
          </w:p>
          <w:p w14:paraId="419F2922">
            <w:pPr>
              <w:widowControl/>
              <w:jc w:val="left"/>
              <w:rPr>
                <w:rFonts w:hint="default" w:ascii="宋体" w:hAnsi="宋体" w:cs="宋体"/>
                <w:color w:val="0000FF"/>
                <w:kern w:val="0"/>
                <w:szCs w:val="21"/>
                <w:highlight w:val="none"/>
                <w:lang w:val="en-US" w:eastAsia="zh-CN" w:bidi="ar"/>
              </w:rPr>
            </w:pPr>
            <w:r>
              <w:rPr>
                <w:rFonts w:hint="default" w:ascii="宋体" w:hAnsi="宋体" w:cs="宋体"/>
                <w:color w:val="0000FF"/>
                <w:kern w:val="0"/>
                <w:szCs w:val="21"/>
                <w:highlight w:val="none"/>
                <w:lang w:val="en-US" w:eastAsia="zh-CN" w:bidi="ar"/>
              </w:rPr>
              <w:t>4、废标条款:</w:t>
            </w:r>
          </w:p>
          <w:p w14:paraId="3CE82936">
            <w:pPr>
              <w:widowControl/>
              <w:jc w:val="left"/>
              <w:rPr>
                <w:rFonts w:hint="default" w:ascii="宋体" w:hAnsi="宋体" w:cs="宋体"/>
                <w:color w:val="0000FF"/>
                <w:kern w:val="0"/>
                <w:szCs w:val="21"/>
                <w:highlight w:val="none"/>
                <w:lang w:val="en-US" w:eastAsia="zh-CN" w:bidi="ar"/>
              </w:rPr>
            </w:pPr>
            <w:r>
              <w:rPr>
                <w:rFonts w:hint="default" w:ascii="宋体" w:hAnsi="宋体" w:cs="宋体"/>
                <w:color w:val="0000FF"/>
                <w:kern w:val="0"/>
                <w:szCs w:val="21"/>
                <w:highlight w:val="none"/>
                <w:lang w:val="en-US" w:eastAsia="zh-CN" w:bidi="ar"/>
              </w:rPr>
              <w:t>(1)在形式评审与响应性评审、资格评审中，评标委员会认定投标人的投标不符合评标办法前附表中规定的任何一项评审标准的</w:t>
            </w:r>
            <w:r>
              <w:rPr>
                <w:rFonts w:hint="eastAsia" w:ascii="宋体" w:hAnsi="宋体" w:cs="宋体"/>
                <w:color w:val="0000FF"/>
                <w:kern w:val="0"/>
                <w:szCs w:val="21"/>
                <w:highlight w:val="none"/>
                <w:lang w:val="en-US" w:eastAsia="zh-CN" w:bidi="ar"/>
              </w:rPr>
              <w:t>；</w:t>
            </w:r>
          </w:p>
          <w:p w14:paraId="5B745AE3">
            <w:pPr>
              <w:widowControl/>
              <w:jc w:val="left"/>
              <w:rPr>
                <w:rFonts w:hint="default" w:ascii="宋体" w:hAnsi="宋体" w:cs="宋体"/>
                <w:color w:val="0000FF"/>
                <w:kern w:val="0"/>
                <w:szCs w:val="21"/>
                <w:highlight w:val="none"/>
                <w:lang w:val="en-US" w:eastAsia="zh-CN" w:bidi="ar"/>
              </w:rPr>
            </w:pPr>
            <w:r>
              <w:rPr>
                <w:rFonts w:hint="default" w:ascii="宋体" w:hAnsi="宋体" w:cs="宋体"/>
                <w:color w:val="0000FF"/>
                <w:kern w:val="0"/>
                <w:szCs w:val="21"/>
                <w:highlight w:val="none"/>
                <w:lang w:val="en-US" w:eastAsia="zh-CN" w:bidi="ar"/>
              </w:rPr>
              <w:t>(2)评标委员会认定投标人以低于成本报价竞标的</w:t>
            </w:r>
            <w:r>
              <w:rPr>
                <w:rFonts w:hint="eastAsia" w:ascii="宋体" w:hAnsi="宋体" w:cs="宋体"/>
                <w:color w:val="0000FF"/>
                <w:kern w:val="0"/>
                <w:szCs w:val="21"/>
                <w:highlight w:val="none"/>
                <w:lang w:val="en-US" w:eastAsia="zh-CN" w:bidi="ar"/>
              </w:rPr>
              <w:t>；</w:t>
            </w:r>
          </w:p>
          <w:p w14:paraId="60E4990D">
            <w:pPr>
              <w:widowControl/>
              <w:jc w:val="left"/>
              <w:rPr>
                <w:rFonts w:hint="default" w:ascii="宋体" w:hAnsi="宋体" w:cs="宋体"/>
                <w:color w:val="0000FF"/>
                <w:kern w:val="0"/>
                <w:szCs w:val="21"/>
                <w:highlight w:val="none"/>
                <w:lang w:val="en-US" w:eastAsia="zh-CN" w:bidi="ar"/>
              </w:rPr>
            </w:pPr>
            <w:r>
              <w:rPr>
                <w:rFonts w:hint="default" w:ascii="宋体" w:hAnsi="宋体" w:cs="宋体"/>
                <w:color w:val="0000FF"/>
                <w:kern w:val="0"/>
                <w:szCs w:val="21"/>
                <w:highlight w:val="none"/>
                <w:lang w:val="en-US" w:eastAsia="zh-CN" w:bidi="ar"/>
              </w:rPr>
              <w:t>(3)与其他投标人的投标文件分部、分项报价错漏一致，且没有合理解释的</w:t>
            </w:r>
            <w:r>
              <w:rPr>
                <w:rFonts w:hint="eastAsia" w:ascii="宋体" w:hAnsi="宋体" w:cs="宋体"/>
                <w:color w:val="0000FF"/>
                <w:kern w:val="0"/>
                <w:szCs w:val="21"/>
                <w:highlight w:val="none"/>
                <w:lang w:val="en-US" w:eastAsia="zh-CN" w:bidi="ar"/>
              </w:rPr>
              <w:t>；</w:t>
            </w:r>
          </w:p>
          <w:p w14:paraId="196B2135">
            <w:pPr>
              <w:widowControl/>
              <w:jc w:val="left"/>
              <w:rPr>
                <w:rFonts w:hint="default" w:ascii="宋体" w:hAnsi="宋体" w:cs="宋体"/>
                <w:color w:val="0000FF"/>
                <w:kern w:val="0"/>
                <w:szCs w:val="21"/>
                <w:highlight w:val="none"/>
                <w:lang w:val="en-US" w:eastAsia="zh-CN" w:bidi="ar"/>
              </w:rPr>
            </w:pPr>
            <w:r>
              <w:rPr>
                <w:rFonts w:hint="default" w:ascii="宋体" w:hAnsi="宋体" w:cs="宋体"/>
                <w:color w:val="0000FF"/>
                <w:kern w:val="0"/>
                <w:szCs w:val="21"/>
                <w:highlight w:val="none"/>
                <w:lang w:val="en-US" w:eastAsia="zh-CN" w:bidi="ar"/>
              </w:rPr>
              <w:t>(4)与其他投标人的投标文件载明的项目管理班子成员出现重复的</w:t>
            </w:r>
            <w:r>
              <w:rPr>
                <w:rFonts w:hint="eastAsia" w:ascii="宋体" w:hAnsi="宋体" w:cs="宋体"/>
                <w:color w:val="0000FF"/>
                <w:kern w:val="0"/>
                <w:szCs w:val="21"/>
                <w:highlight w:val="none"/>
                <w:lang w:val="en-US" w:eastAsia="zh-CN" w:bidi="ar"/>
              </w:rPr>
              <w:t>；</w:t>
            </w:r>
          </w:p>
          <w:p w14:paraId="39712F7B">
            <w:pPr>
              <w:widowControl/>
              <w:jc w:val="left"/>
              <w:rPr>
                <w:rFonts w:hint="default" w:ascii="宋体" w:hAnsi="宋体" w:cs="宋体"/>
                <w:color w:val="0000FF"/>
                <w:kern w:val="0"/>
                <w:szCs w:val="21"/>
                <w:highlight w:val="none"/>
                <w:lang w:val="en-US" w:eastAsia="zh-CN" w:bidi="ar"/>
              </w:rPr>
            </w:pPr>
            <w:r>
              <w:rPr>
                <w:rFonts w:hint="default" w:ascii="宋体" w:hAnsi="宋体" w:cs="宋体"/>
                <w:color w:val="0000FF"/>
                <w:kern w:val="0"/>
                <w:szCs w:val="21"/>
                <w:highlight w:val="none"/>
                <w:lang w:val="en-US" w:eastAsia="zh-CN" w:bidi="ar"/>
              </w:rPr>
              <w:t>(5)不同投标人使用同一个人或者同一企业资金交纳投标保证金的</w:t>
            </w:r>
            <w:r>
              <w:rPr>
                <w:rFonts w:hint="eastAsia" w:ascii="宋体" w:hAnsi="宋体" w:cs="宋体"/>
                <w:color w:val="0000FF"/>
                <w:kern w:val="0"/>
                <w:szCs w:val="21"/>
                <w:highlight w:val="none"/>
                <w:lang w:val="en-US" w:eastAsia="zh-CN" w:bidi="ar"/>
              </w:rPr>
              <w:t>；</w:t>
            </w:r>
          </w:p>
          <w:p w14:paraId="6852348F">
            <w:pPr>
              <w:widowControl/>
              <w:jc w:val="left"/>
              <w:rPr>
                <w:rFonts w:hint="default" w:ascii="宋体" w:hAnsi="宋体" w:cs="宋体"/>
                <w:color w:val="0000FF"/>
                <w:kern w:val="0"/>
                <w:szCs w:val="21"/>
                <w:highlight w:val="none"/>
                <w:lang w:val="en-US" w:eastAsia="zh-CN" w:bidi="ar"/>
              </w:rPr>
            </w:pPr>
            <w:r>
              <w:rPr>
                <w:rFonts w:hint="default" w:ascii="宋体" w:hAnsi="宋体" w:cs="宋体"/>
                <w:color w:val="0000FF"/>
                <w:kern w:val="0"/>
                <w:szCs w:val="21"/>
                <w:highlight w:val="none"/>
                <w:lang w:val="en-US" w:eastAsia="zh-CN" w:bidi="ar"/>
              </w:rPr>
              <w:t>(6)不同投标人聘请同一人为其投标提供技术或者经济咨询服务的</w:t>
            </w:r>
            <w:r>
              <w:rPr>
                <w:rFonts w:hint="eastAsia" w:ascii="宋体" w:hAnsi="宋体" w:cs="宋体"/>
                <w:color w:val="0000FF"/>
                <w:kern w:val="0"/>
                <w:szCs w:val="21"/>
                <w:highlight w:val="none"/>
                <w:lang w:val="en-US" w:eastAsia="zh-CN" w:bidi="ar"/>
              </w:rPr>
              <w:t>；</w:t>
            </w:r>
          </w:p>
          <w:p w14:paraId="72E4FE7B">
            <w:pPr>
              <w:widowControl/>
              <w:jc w:val="left"/>
              <w:rPr>
                <w:rFonts w:hint="eastAsia" w:ascii="宋体" w:hAnsi="宋体" w:cs="宋体"/>
                <w:color w:val="0000FF"/>
                <w:kern w:val="0"/>
                <w:szCs w:val="21"/>
                <w:highlight w:val="none"/>
                <w:lang w:val="en-US" w:eastAsia="zh-CN" w:bidi="ar"/>
              </w:rPr>
            </w:pPr>
            <w:r>
              <w:rPr>
                <w:rFonts w:hint="default" w:ascii="宋体" w:hAnsi="宋体" w:cs="宋体"/>
                <w:color w:val="0000FF"/>
                <w:kern w:val="0"/>
                <w:szCs w:val="21"/>
                <w:highlight w:val="none"/>
                <w:lang w:val="en-US" w:eastAsia="zh-CN" w:bidi="ar"/>
              </w:rPr>
              <w:t>(7)与其他投标人的投标文件存在不应有的雷同</w:t>
            </w:r>
            <w:r>
              <w:rPr>
                <w:rFonts w:hint="eastAsia" w:ascii="宋体" w:hAnsi="宋体" w:cs="宋体"/>
                <w:color w:val="0000FF"/>
                <w:kern w:val="0"/>
                <w:szCs w:val="21"/>
                <w:highlight w:val="none"/>
                <w:lang w:val="en-US" w:eastAsia="zh-CN" w:bidi="ar"/>
              </w:rPr>
              <w:t>；</w:t>
            </w:r>
          </w:p>
          <w:p w14:paraId="002C02D9">
            <w:pPr>
              <w:widowControl/>
              <w:jc w:val="left"/>
              <w:rPr>
                <w:rFonts w:hint="default" w:ascii="宋体" w:hAnsi="宋体" w:cs="宋体"/>
                <w:color w:val="0000FF"/>
                <w:kern w:val="0"/>
                <w:szCs w:val="21"/>
                <w:highlight w:val="none"/>
                <w:lang w:val="en-US" w:eastAsia="zh-CN" w:bidi="ar"/>
              </w:rPr>
            </w:pPr>
            <w:r>
              <w:rPr>
                <w:rFonts w:hint="default" w:ascii="宋体" w:hAnsi="宋体" w:cs="宋体"/>
                <w:color w:val="0000FF"/>
                <w:kern w:val="0"/>
                <w:szCs w:val="21"/>
                <w:highlight w:val="none"/>
                <w:lang w:val="en-US" w:eastAsia="zh-CN" w:bidi="ar"/>
              </w:rPr>
              <w:t>(8)其他情况能够证明有陪标行为的</w:t>
            </w:r>
            <w:r>
              <w:rPr>
                <w:rFonts w:hint="eastAsia" w:ascii="宋体" w:hAnsi="宋体" w:cs="宋体"/>
                <w:color w:val="0000FF"/>
                <w:kern w:val="0"/>
                <w:szCs w:val="21"/>
                <w:highlight w:val="none"/>
                <w:lang w:val="en-US" w:eastAsia="zh-CN" w:bidi="ar"/>
              </w:rPr>
              <w:t>；</w:t>
            </w:r>
          </w:p>
          <w:p w14:paraId="7E1994BC">
            <w:pPr>
              <w:widowControl/>
              <w:jc w:val="left"/>
              <w:rPr>
                <w:rFonts w:hint="default" w:ascii="宋体" w:hAnsi="宋体" w:cs="宋体"/>
                <w:color w:val="0000FF"/>
                <w:kern w:val="0"/>
                <w:szCs w:val="21"/>
                <w:highlight w:val="none"/>
                <w:lang w:val="en-US" w:eastAsia="zh-CN" w:bidi="ar"/>
              </w:rPr>
            </w:pPr>
            <w:r>
              <w:rPr>
                <w:rFonts w:hint="default" w:ascii="宋体" w:hAnsi="宋体" w:cs="宋体"/>
                <w:color w:val="0000FF"/>
                <w:kern w:val="0"/>
                <w:szCs w:val="21"/>
                <w:highlight w:val="none"/>
                <w:lang w:val="en-US" w:eastAsia="zh-CN" w:bidi="ar"/>
              </w:rPr>
              <w:t>(9)有串通投标或弄虚作假或有其他违法行为的</w:t>
            </w:r>
            <w:r>
              <w:rPr>
                <w:rFonts w:hint="eastAsia" w:ascii="宋体" w:hAnsi="宋体" w:cs="宋体"/>
                <w:color w:val="0000FF"/>
                <w:kern w:val="0"/>
                <w:szCs w:val="21"/>
                <w:highlight w:val="none"/>
                <w:lang w:val="en-US" w:eastAsia="zh-CN" w:bidi="ar"/>
              </w:rPr>
              <w:t>；</w:t>
            </w:r>
          </w:p>
          <w:p w14:paraId="0BFB862D">
            <w:pPr>
              <w:widowControl/>
              <w:jc w:val="left"/>
              <w:rPr>
                <w:rFonts w:hint="default" w:ascii="宋体" w:hAnsi="宋体" w:cs="宋体"/>
                <w:color w:val="0000FF"/>
                <w:kern w:val="0"/>
                <w:szCs w:val="21"/>
                <w:highlight w:val="none"/>
                <w:lang w:val="en-US" w:eastAsia="zh-CN" w:bidi="ar"/>
              </w:rPr>
            </w:pPr>
            <w:r>
              <w:rPr>
                <w:rFonts w:hint="default" w:ascii="宋体" w:hAnsi="宋体" w:cs="宋体"/>
                <w:color w:val="0000FF"/>
                <w:kern w:val="0"/>
                <w:szCs w:val="21"/>
                <w:highlight w:val="none"/>
                <w:lang w:val="en-US" w:eastAsia="zh-CN" w:bidi="ar"/>
              </w:rPr>
              <w:t>(10)投标人不按评标委员会要求澄清、说明或补正的</w:t>
            </w:r>
            <w:r>
              <w:rPr>
                <w:rFonts w:hint="eastAsia" w:ascii="宋体" w:hAnsi="宋体" w:cs="宋体"/>
                <w:color w:val="0000FF"/>
                <w:kern w:val="0"/>
                <w:szCs w:val="21"/>
                <w:highlight w:val="none"/>
                <w:lang w:val="en-US" w:eastAsia="zh-CN" w:bidi="ar"/>
              </w:rPr>
              <w:t>；</w:t>
            </w:r>
          </w:p>
          <w:p w14:paraId="081944A4">
            <w:pPr>
              <w:widowControl/>
              <w:jc w:val="left"/>
              <w:rPr>
                <w:rFonts w:hint="default" w:ascii="宋体" w:hAnsi="宋体" w:cs="宋体"/>
                <w:color w:val="0000FF"/>
                <w:kern w:val="0"/>
                <w:szCs w:val="21"/>
                <w:highlight w:val="none"/>
                <w:lang w:val="en-US" w:eastAsia="zh-CN" w:bidi="ar"/>
              </w:rPr>
            </w:pPr>
            <w:r>
              <w:rPr>
                <w:rFonts w:hint="default" w:ascii="宋体" w:hAnsi="宋体" w:cs="宋体"/>
                <w:color w:val="0000FF"/>
                <w:kern w:val="0"/>
                <w:szCs w:val="21"/>
                <w:highlight w:val="none"/>
                <w:lang w:val="en-US" w:eastAsia="zh-CN" w:bidi="ar"/>
              </w:rPr>
              <w:t>(11)不同投标人的投标报价或者报价组成异常一致或者呈规律性变化的</w:t>
            </w:r>
            <w:r>
              <w:rPr>
                <w:rFonts w:hint="eastAsia" w:ascii="宋体" w:hAnsi="宋体" w:cs="宋体"/>
                <w:color w:val="0000FF"/>
                <w:kern w:val="0"/>
                <w:szCs w:val="21"/>
                <w:highlight w:val="none"/>
                <w:lang w:val="en-US" w:eastAsia="zh-CN" w:bidi="ar"/>
              </w:rPr>
              <w:t>；</w:t>
            </w:r>
          </w:p>
          <w:p w14:paraId="16C6F4B0">
            <w:pPr>
              <w:widowControl/>
              <w:jc w:val="left"/>
              <w:rPr>
                <w:rFonts w:hint="default" w:ascii="宋体" w:hAnsi="宋体" w:cs="宋体"/>
                <w:color w:val="0000FF"/>
                <w:kern w:val="0"/>
                <w:szCs w:val="21"/>
                <w:highlight w:val="none"/>
                <w:lang w:val="en-US" w:eastAsia="zh-CN" w:bidi="ar"/>
              </w:rPr>
            </w:pPr>
            <w:r>
              <w:rPr>
                <w:rFonts w:hint="default" w:ascii="宋体" w:hAnsi="宋体" w:cs="宋体"/>
                <w:color w:val="0000FF"/>
                <w:kern w:val="0"/>
                <w:szCs w:val="21"/>
                <w:highlight w:val="none"/>
                <w:lang w:val="en-US" w:eastAsia="zh-CN" w:bidi="ar"/>
              </w:rPr>
              <w:t>(12)投标文件附有招标人不能接受的条件</w:t>
            </w:r>
            <w:r>
              <w:rPr>
                <w:rFonts w:hint="eastAsia" w:ascii="宋体" w:hAnsi="宋体" w:cs="宋体"/>
                <w:color w:val="0000FF"/>
                <w:kern w:val="0"/>
                <w:szCs w:val="21"/>
                <w:highlight w:val="none"/>
                <w:lang w:val="en-US" w:eastAsia="zh-CN" w:bidi="ar"/>
              </w:rPr>
              <w:t>；</w:t>
            </w:r>
          </w:p>
          <w:p w14:paraId="005EE5C9">
            <w:pPr>
              <w:widowControl/>
              <w:jc w:val="left"/>
              <w:rPr>
                <w:rFonts w:hint="default" w:ascii="宋体" w:hAnsi="宋体" w:cs="宋体"/>
                <w:color w:val="0000FF"/>
                <w:kern w:val="0"/>
                <w:szCs w:val="21"/>
                <w:highlight w:val="none"/>
                <w:lang w:val="en-US" w:eastAsia="zh-CN" w:bidi="ar"/>
              </w:rPr>
            </w:pPr>
            <w:r>
              <w:rPr>
                <w:rFonts w:hint="default" w:ascii="宋体" w:hAnsi="宋体" w:cs="宋体"/>
                <w:color w:val="0000FF"/>
                <w:kern w:val="0"/>
                <w:szCs w:val="21"/>
                <w:highlight w:val="none"/>
                <w:lang w:val="en-US" w:eastAsia="zh-CN" w:bidi="ar"/>
              </w:rPr>
              <w:t>(13)不符合招标文件中规定的其他实质性要求的</w:t>
            </w:r>
            <w:r>
              <w:rPr>
                <w:rFonts w:hint="eastAsia" w:ascii="宋体" w:hAnsi="宋体" w:cs="宋体"/>
                <w:color w:val="0000FF"/>
                <w:kern w:val="0"/>
                <w:szCs w:val="21"/>
                <w:highlight w:val="none"/>
                <w:lang w:val="en-US" w:eastAsia="zh-CN" w:bidi="ar"/>
              </w:rPr>
              <w:t>；</w:t>
            </w:r>
          </w:p>
          <w:p w14:paraId="0D479065">
            <w:pPr>
              <w:pageBreakBefore w:val="0"/>
              <w:widowControl/>
              <w:kinsoku/>
              <w:wordWrap/>
              <w:bidi w:val="0"/>
              <w:spacing w:line="240" w:lineRule="auto"/>
              <w:jc w:val="left"/>
              <w:rPr>
                <w:rFonts w:hint="default" w:ascii="宋体" w:hAnsi="宋体" w:eastAsia="宋体" w:cs="宋体"/>
                <w:color w:val="0000FF"/>
                <w:kern w:val="0"/>
                <w:sz w:val="21"/>
                <w:szCs w:val="21"/>
                <w:highlight w:val="none"/>
                <w:lang w:val="en-US" w:eastAsia="zh-CN" w:bidi="ar"/>
              </w:rPr>
            </w:pPr>
            <w:r>
              <w:rPr>
                <w:rFonts w:hint="default" w:ascii="宋体" w:hAnsi="宋体" w:cs="宋体"/>
                <w:color w:val="0000FF"/>
                <w:kern w:val="0"/>
                <w:szCs w:val="21"/>
                <w:highlight w:val="none"/>
                <w:lang w:val="en-US" w:eastAsia="zh-CN" w:bidi="ar"/>
              </w:rPr>
              <w:t>(14)不同投标人的投标文件存在“MAC 地址”、“文件创建标识码”</w:t>
            </w:r>
            <w:r>
              <w:rPr>
                <w:rFonts w:hint="eastAsia" w:ascii="宋体" w:hAnsi="宋体" w:cs="宋体"/>
                <w:color w:val="0000FF"/>
                <w:kern w:val="0"/>
                <w:szCs w:val="21"/>
                <w:highlight w:val="none"/>
                <w:lang w:val="en-US" w:eastAsia="zh-CN" w:bidi="ar"/>
              </w:rPr>
              <w:t>、</w:t>
            </w:r>
            <w:r>
              <w:rPr>
                <w:rFonts w:hint="default" w:ascii="宋体" w:hAnsi="宋体" w:cs="宋体"/>
                <w:color w:val="0000FF"/>
                <w:kern w:val="0"/>
                <w:szCs w:val="21"/>
                <w:highlight w:val="none"/>
                <w:lang w:val="en-US" w:eastAsia="zh-CN" w:bidi="ar"/>
              </w:rPr>
              <w:t>“文件制作机器码”等唯一性标识一致等情形</w:t>
            </w:r>
            <w:r>
              <w:rPr>
                <w:rFonts w:hint="eastAsia" w:ascii="宋体" w:hAnsi="宋体" w:cs="宋体"/>
                <w:color w:val="0000FF"/>
                <w:kern w:val="0"/>
                <w:szCs w:val="21"/>
                <w:highlight w:val="none"/>
                <w:lang w:val="en-US" w:eastAsia="zh-CN" w:bidi="ar"/>
              </w:rPr>
              <w:t>。</w:t>
            </w:r>
          </w:p>
          <w:p w14:paraId="3A3A6A40">
            <w:pPr>
              <w:rPr>
                <w:rFonts w:hint="default"/>
                <w:highlight w:val="none"/>
              </w:rPr>
            </w:pPr>
          </w:p>
        </w:tc>
      </w:tr>
    </w:tbl>
    <w:p w14:paraId="776DA3CB">
      <w:pPr>
        <w:pStyle w:val="2"/>
        <w:pageBreakBefore w:val="0"/>
        <w:kinsoku/>
        <w:wordWrap w:val="0"/>
        <w:bidi w:val="0"/>
        <w:spacing w:before="240" w:after="240" w:line="240" w:lineRule="atLeast"/>
        <w:rPr>
          <w:rFonts w:hint="default" w:ascii="Times New Roman" w:hAnsi="Times New Roman" w:eastAsia="黑体" w:cs="Times New Roman"/>
          <w:b w:val="0"/>
          <w:sz w:val="28"/>
          <w:szCs w:val="28"/>
          <w:highlight w:val="none"/>
        </w:rPr>
        <w:sectPr>
          <w:headerReference r:id="rId28" w:type="default"/>
          <w:footerReference r:id="rId29" w:type="default"/>
          <w:footnotePr>
            <w:numFmt w:val="decimalEnclosedCircleChinese"/>
            <w:numRestart w:val="eachPage"/>
          </w:footnotePr>
          <w:pgSz w:w="11907" w:h="16840"/>
          <w:pgMar w:top="1588" w:right="1588" w:bottom="1474" w:left="1644" w:header="851" w:footer="851" w:gutter="0"/>
          <w:pgNumType w:fmt="decimal"/>
          <w:cols w:space="720" w:num="1"/>
          <w:docGrid w:linePitch="312" w:charSpace="0"/>
        </w:sectPr>
      </w:pPr>
      <w:bookmarkStart w:id="276" w:name="_Toc12557"/>
      <w:bookmarkStart w:id="277" w:name="_Toc31370"/>
      <w:bookmarkStart w:id="278" w:name="_Toc234832933"/>
    </w:p>
    <w:p w14:paraId="776AB918">
      <w:pPr>
        <w:pStyle w:val="2"/>
        <w:pageBreakBefore w:val="0"/>
        <w:kinsoku/>
        <w:wordWrap w:val="0"/>
        <w:bidi w:val="0"/>
        <w:spacing w:before="240" w:after="240" w:line="240" w:lineRule="atLeast"/>
        <w:rPr>
          <w:rFonts w:hint="default" w:ascii="Times New Roman" w:hAnsi="Times New Roman" w:eastAsia="黑体" w:cs="Times New Roman"/>
          <w:b w:val="0"/>
          <w:sz w:val="28"/>
          <w:szCs w:val="28"/>
          <w:highlight w:val="none"/>
        </w:rPr>
      </w:pPr>
      <w:r>
        <w:rPr>
          <w:rFonts w:hint="default" w:ascii="Times New Roman" w:hAnsi="Times New Roman" w:eastAsia="黑体" w:cs="Times New Roman"/>
          <w:b w:val="0"/>
          <w:sz w:val="28"/>
          <w:szCs w:val="28"/>
          <w:highlight w:val="none"/>
        </w:rPr>
        <w:t>1. 评标方法</w:t>
      </w:r>
      <w:bookmarkEnd w:id="276"/>
      <w:bookmarkEnd w:id="277"/>
      <w:bookmarkEnd w:id="278"/>
    </w:p>
    <w:p w14:paraId="75CF1809">
      <w:pPr>
        <w:pageBreakBefore w:val="0"/>
        <w:kinsoku/>
        <w:wordWrap w:val="0"/>
        <w:bidi w:val="0"/>
        <w:spacing w:line="400" w:lineRule="atLeast"/>
        <w:ind w:firstLine="480" w:firstLineChars="200"/>
        <w:rPr>
          <w:rFonts w:hint="default" w:ascii="Times New Roman" w:hAnsi="Times New Roman" w:eastAsia="华文隶书" w:cs="Times New Roman"/>
          <w:sz w:val="24"/>
          <w:highlight w:val="none"/>
        </w:rPr>
      </w:pPr>
      <w:r>
        <w:rPr>
          <w:rFonts w:hint="default" w:ascii="Times New Roman" w:hAnsi="Times New Roman" w:eastAsia="宋体" w:cs="Times New Roman"/>
          <w:sz w:val="24"/>
          <w:highlight w:val="none"/>
        </w:rPr>
        <w:t>本次评标采用合理低价法。评标委员会对满足招标文件实质性要求的投标文件，按照本章第2.2款规定的评分标准进行打分，并按得分由高到低顺序推荐中标候选人，或根据招标人授权直接确定中标人，但投标报价低于其成本的除外。综合评分相等时，评标委员会应按照评标办法前附表规定的优先次序推荐中标候选人或确定中标人。</w:t>
      </w:r>
    </w:p>
    <w:p w14:paraId="120C8B6B">
      <w:pPr>
        <w:pStyle w:val="2"/>
        <w:pageBreakBefore w:val="0"/>
        <w:kinsoku/>
        <w:wordWrap w:val="0"/>
        <w:bidi w:val="0"/>
        <w:spacing w:before="360" w:after="240" w:line="240" w:lineRule="atLeast"/>
        <w:rPr>
          <w:rFonts w:hint="default" w:ascii="Times New Roman" w:hAnsi="Times New Roman" w:eastAsia="黑体" w:cs="Times New Roman"/>
          <w:b w:val="0"/>
          <w:sz w:val="28"/>
          <w:szCs w:val="28"/>
          <w:highlight w:val="none"/>
        </w:rPr>
      </w:pPr>
      <w:bookmarkStart w:id="279" w:name="_Toc18962"/>
      <w:bookmarkStart w:id="280" w:name="_Toc8070"/>
      <w:bookmarkStart w:id="281" w:name="_Toc234832934"/>
      <w:r>
        <w:rPr>
          <w:rFonts w:hint="default" w:ascii="Times New Roman" w:hAnsi="Times New Roman" w:eastAsia="黑体" w:cs="Times New Roman"/>
          <w:b w:val="0"/>
          <w:sz w:val="28"/>
          <w:szCs w:val="28"/>
          <w:highlight w:val="none"/>
        </w:rPr>
        <w:t>2. 评审标准</w:t>
      </w:r>
      <w:bookmarkEnd w:id="279"/>
      <w:bookmarkEnd w:id="280"/>
      <w:bookmarkEnd w:id="281"/>
    </w:p>
    <w:p w14:paraId="4308DBD2">
      <w:pPr>
        <w:pStyle w:val="2"/>
        <w:pageBreakBefore w:val="0"/>
        <w:kinsoku/>
        <w:wordWrap w:val="0"/>
        <w:bidi w:val="0"/>
        <w:spacing w:before="240" w:after="240" w:line="240" w:lineRule="atLeast"/>
        <w:rPr>
          <w:rFonts w:hint="default" w:ascii="Times New Roman" w:hAnsi="Times New Roman" w:eastAsia="黑体" w:cs="Times New Roman"/>
          <w:b w:val="0"/>
          <w:sz w:val="24"/>
          <w:szCs w:val="24"/>
          <w:highlight w:val="none"/>
        </w:rPr>
      </w:pPr>
      <w:bookmarkStart w:id="282" w:name="_Toc16015"/>
      <w:bookmarkStart w:id="283" w:name="_Toc234832935"/>
      <w:bookmarkStart w:id="284" w:name="_Toc23903"/>
      <w:r>
        <w:rPr>
          <w:rFonts w:hint="default" w:ascii="Times New Roman" w:hAnsi="Times New Roman" w:eastAsia="黑体" w:cs="Times New Roman"/>
          <w:b w:val="0"/>
          <w:sz w:val="24"/>
          <w:szCs w:val="24"/>
          <w:highlight w:val="none"/>
        </w:rPr>
        <w:t>2.1 初步评审标准</w:t>
      </w:r>
      <w:bookmarkEnd w:id="282"/>
      <w:bookmarkEnd w:id="283"/>
      <w:bookmarkEnd w:id="284"/>
    </w:p>
    <w:p w14:paraId="270831B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2.1.1 形式评审标准：见评标办法前附表。</w:t>
      </w:r>
    </w:p>
    <w:p w14:paraId="280D6DE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2.1.2 资格评审标准：见评标办法前附表。</w:t>
      </w:r>
    </w:p>
    <w:p w14:paraId="257A2AA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2.1.3 响应性评审标准：见评标办法前附表。</w:t>
      </w:r>
    </w:p>
    <w:p w14:paraId="354CAED8">
      <w:pPr>
        <w:pStyle w:val="2"/>
        <w:pageBreakBefore w:val="0"/>
        <w:kinsoku/>
        <w:wordWrap w:val="0"/>
        <w:bidi w:val="0"/>
        <w:spacing w:before="240" w:after="240" w:line="240" w:lineRule="atLeast"/>
        <w:rPr>
          <w:rFonts w:hint="default" w:ascii="Times New Roman" w:hAnsi="Times New Roman" w:eastAsia="黑体" w:cs="Times New Roman"/>
          <w:b w:val="0"/>
          <w:sz w:val="24"/>
          <w:szCs w:val="24"/>
          <w:highlight w:val="none"/>
        </w:rPr>
      </w:pPr>
      <w:bookmarkStart w:id="285" w:name="_Toc14031"/>
      <w:bookmarkStart w:id="286" w:name="_Toc24185"/>
      <w:bookmarkStart w:id="287" w:name="_Toc234832936"/>
      <w:r>
        <w:rPr>
          <w:rFonts w:hint="default" w:ascii="Times New Roman" w:hAnsi="Times New Roman" w:eastAsia="黑体" w:cs="Times New Roman"/>
          <w:b w:val="0"/>
          <w:sz w:val="24"/>
          <w:szCs w:val="24"/>
          <w:highlight w:val="none"/>
        </w:rPr>
        <w:t>2.2 分值构成与评分标准</w:t>
      </w:r>
      <w:bookmarkEnd w:id="285"/>
      <w:bookmarkEnd w:id="286"/>
      <w:bookmarkEnd w:id="287"/>
    </w:p>
    <w:p w14:paraId="17300B81">
      <w:pPr>
        <w:pageBreakBefore w:val="0"/>
        <w:tabs>
          <w:tab w:val="left" w:pos="360"/>
        </w:tabs>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2.2.1 分值构成</w:t>
      </w:r>
    </w:p>
    <w:p w14:paraId="3B36A08D">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评标价：见评标办法前附表。</w:t>
      </w:r>
    </w:p>
    <w:p w14:paraId="161E3E3B">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2.2.2 评标基准价计算</w:t>
      </w:r>
    </w:p>
    <w:p w14:paraId="0D6D4163">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评标基准价计算方法：见评标办法前附表。</w:t>
      </w:r>
    </w:p>
    <w:p w14:paraId="1ADA99AB">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2.2.3 评标价的偏差率计算</w:t>
      </w:r>
    </w:p>
    <w:p w14:paraId="6DC8F222">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评标价的偏差率计算公式：见评标办法前附表。</w:t>
      </w:r>
    </w:p>
    <w:p w14:paraId="21221499">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2.2.4 评分标准</w:t>
      </w:r>
    </w:p>
    <w:p w14:paraId="186F9945">
      <w:pPr>
        <w:pageBreakBefore w:val="0"/>
        <w:kinsoku/>
        <w:wordWrap w:val="0"/>
        <w:bidi w:val="0"/>
        <w:spacing w:line="400" w:lineRule="atLeast"/>
        <w:ind w:firstLine="480" w:firstLineChars="200"/>
        <w:rPr>
          <w:rFonts w:hint="default" w:ascii="Times New Roman" w:hAnsi="Times New Roman" w:eastAsia="隶书" w:cs="Times New Roman"/>
          <w:sz w:val="24"/>
          <w:highlight w:val="none"/>
        </w:rPr>
      </w:pPr>
      <w:r>
        <w:rPr>
          <w:rFonts w:hint="default" w:ascii="Times New Roman" w:hAnsi="Times New Roman" w:eastAsia="宋体" w:cs="Times New Roman"/>
          <w:sz w:val="24"/>
          <w:highlight w:val="none"/>
        </w:rPr>
        <w:t>评标价评分标准：见评标办法前附表。</w:t>
      </w:r>
    </w:p>
    <w:p w14:paraId="0E12EA3E">
      <w:pPr>
        <w:pStyle w:val="2"/>
        <w:pageBreakBefore w:val="0"/>
        <w:kinsoku/>
        <w:wordWrap w:val="0"/>
        <w:bidi w:val="0"/>
        <w:spacing w:before="360" w:after="240" w:line="240" w:lineRule="atLeast"/>
        <w:rPr>
          <w:rFonts w:hint="default" w:ascii="Times New Roman" w:hAnsi="Times New Roman" w:eastAsia="黑体" w:cs="Times New Roman"/>
          <w:b w:val="0"/>
          <w:sz w:val="28"/>
          <w:szCs w:val="28"/>
          <w:highlight w:val="none"/>
        </w:rPr>
      </w:pPr>
      <w:bookmarkStart w:id="288" w:name="_Toc26597"/>
      <w:bookmarkStart w:id="289" w:name="_Toc4122"/>
      <w:bookmarkStart w:id="290" w:name="_Toc234832937"/>
      <w:r>
        <w:rPr>
          <w:rFonts w:hint="default" w:ascii="Times New Roman" w:hAnsi="Times New Roman" w:eastAsia="黑体" w:cs="Times New Roman"/>
          <w:b w:val="0"/>
          <w:sz w:val="28"/>
          <w:szCs w:val="28"/>
          <w:highlight w:val="none"/>
        </w:rPr>
        <w:t>3. 评标程序</w:t>
      </w:r>
      <w:bookmarkEnd w:id="288"/>
      <w:bookmarkEnd w:id="289"/>
      <w:bookmarkEnd w:id="290"/>
    </w:p>
    <w:p w14:paraId="20F0EEFB">
      <w:pPr>
        <w:pStyle w:val="2"/>
        <w:pageBreakBefore w:val="0"/>
        <w:kinsoku/>
        <w:wordWrap w:val="0"/>
        <w:bidi w:val="0"/>
        <w:spacing w:before="240" w:after="240" w:line="240" w:lineRule="atLeast"/>
        <w:rPr>
          <w:rFonts w:hint="default" w:ascii="Times New Roman" w:hAnsi="Times New Roman" w:eastAsia="黑体" w:cs="Times New Roman"/>
          <w:b w:val="0"/>
          <w:sz w:val="24"/>
          <w:szCs w:val="24"/>
          <w:highlight w:val="none"/>
        </w:rPr>
      </w:pPr>
      <w:bookmarkStart w:id="291" w:name="_Toc234832938"/>
      <w:bookmarkStart w:id="292" w:name="_Toc13448"/>
      <w:bookmarkStart w:id="293" w:name="_Toc12133"/>
      <w:r>
        <w:rPr>
          <w:rFonts w:hint="default" w:ascii="Times New Roman" w:hAnsi="Times New Roman" w:eastAsia="黑体" w:cs="Times New Roman"/>
          <w:b w:val="0"/>
          <w:sz w:val="24"/>
          <w:szCs w:val="24"/>
          <w:highlight w:val="none"/>
        </w:rPr>
        <w:t>3.1</w:t>
      </w:r>
      <w:r>
        <w:rPr>
          <w:rFonts w:hint="default" w:ascii="Times New Roman" w:hAnsi="Times New Roman" w:eastAsia="黑体" w:cs="Times New Roman"/>
          <w:b w:val="0"/>
          <w:sz w:val="24"/>
          <w:szCs w:val="24"/>
          <w:highlight w:val="none"/>
          <w:lang w:eastAsia="zh-CN"/>
        </w:rPr>
        <w:t xml:space="preserve"> </w:t>
      </w:r>
      <w:r>
        <w:rPr>
          <w:rFonts w:hint="default" w:ascii="Times New Roman" w:hAnsi="Times New Roman" w:eastAsia="黑体" w:cs="Times New Roman"/>
          <w:b w:val="0"/>
          <w:sz w:val="24"/>
          <w:szCs w:val="24"/>
          <w:highlight w:val="none"/>
        </w:rPr>
        <w:t>第一个信封初步评审</w:t>
      </w:r>
      <w:bookmarkEnd w:id="291"/>
      <w:bookmarkEnd w:id="292"/>
      <w:bookmarkEnd w:id="293"/>
    </w:p>
    <w:p w14:paraId="68DDAA68">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3.1.1 评标委员会依据本章第 2.1 款规定的评审标准对投标文件第一个信封（商务及技术文件）进行初步评审。有一项不符合评审标准的，评标委员会应否决其投标。</w:t>
      </w:r>
    </w:p>
    <w:p w14:paraId="45359009">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3.1.2  投标文件的标的、质量标准、工期等实质性要求和条件不得出现（存在）不利于招标人的偏差，否则，评标委员会应否决其投标。</w:t>
      </w:r>
    </w:p>
    <w:p w14:paraId="70521155">
      <w:pPr>
        <w:pageBreakBefore w:val="0"/>
        <w:kinsoku/>
        <w:wordWrap w:val="0"/>
        <w:bidi w:val="0"/>
        <w:spacing w:line="400" w:lineRule="atLeast"/>
        <w:ind w:firstLine="480" w:firstLineChars="200"/>
        <w:rPr>
          <w:rFonts w:hint="eastAsia" w:ascii="Times New Roman" w:hAnsi="Times New Roman" w:eastAsia="宋体" w:cs="Times New Roman"/>
          <w:sz w:val="24"/>
          <w:highlight w:val="none"/>
          <w:lang w:eastAsia="zh-CN"/>
        </w:rPr>
      </w:pPr>
      <w:r>
        <w:rPr>
          <w:rFonts w:hint="default" w:ascii="Times New Roman" w:hAnsi="Times New Roman" w:eastAsia="宋体" w:cs="Times New Roman"/>
          <w:sz w:val="24"/>
          <w:highlight w:val="none"/>
        </w:rPr>
        <w:t>3.1.3  如果通过第一信封评审的有效投标不足 3 个，评标委员会应当对有效投标是否仍具有竞争性进行评审。评标委员会一致认为有效投标仍具有竞争性的，应当按规定的程序进行第二信封报价文件的评审，并在报告中予以说明。评标委员会对有效投标是否仍具备竞争性无法达成一致意见的，应当否决全部投标</w:t>
      </w:r>
      <w:r>
        <w:rPr>
          <w:rFonts w:hint="eastAsia" w:cs="Times New Roman"/>
          <w:sz w:val="24"/>
          <w:highlight w:val="none"/>
          <w:lang w:eastAsia="zh-CN"/>
        </w:rPr>
        <w:t>。</w:t>
      </w:r>
    </w:p>
    <w:p w14:paraId="4481DD7E">
      <w:pPr>
        <w:pStyle w:val="2"/>
        <w:pageBreakBefore w:val="0"/>
        <w:kinsoku/>
        <w:wordWrap w:val="0"/>
        <w:bidi w:val="0"/>
        <w:spacing w:before="240" w:after="240" w:line="240" w:lineRule="atLeast"/>
        <w:rPr>
          <w:rFonts w:hint="default" w:ascii="Times New Roman" w:hAnsi="Times New Roman" w:eastAsia="黑体" w:cs="Times New Roman"/>
          <w:b w:val="0"/>
          <w:sz w:val="24"/>
          <w:szCs w:val="24"/>
          <w:highlight w:val="none"/>
        </w:rPr>
      </w:pPr>
      <w:bookmarkStart w:id="294" w:name="_Toc15940"/>
      <w:bookmarkStart w:id="295" w:name="_Toc20429"/>
      <w:r>
        <w:rPr>
          <w:rFonts w:hint="default" w:ascii="Times New Roman" w:hAnsi="Times New Roman" w:eastAsia="黑体" w:cs="Times New Roman"/>
          <w:b w:val="0"/>
          <w:sz w:val="24"/>
          <w:szCs w:val="24"/>
          <w:highlight w:val="none"/>
        </w:rPr>
        <w:t>3.2</w:t>
      </w:r>
      <w:r>
        <w:rPr>
          <w:rFonts w:hint="default" w:ascii="Times New Roman" w:hAnsi="Times New Roman" w:eastAsia="黑体" w:cs="Times New Roman"/>
          <w:b w:val="0"/>
          <w:sz w:val="24"/>
          <w:szCs w:val="24"/>
          <w:highlight w:val="none"/>
          <w:lang w:eastAsia="zh-CN"/>
        </w:rPr>
        <w:t xml:space="preserve"> </w:t>
      </w:r>
      <w:r>
        <w:rPr>
          <w:rFonts w:hint="default" w:ascii="Times New Roman" w:hAnsi="Times New Roman" w:eastAsia="黑体" w:cs="Times New Roman"/>
          <w:b w:val="0"/>
          <w:sz w:val="24"/>
          <w:szCs w:val="24"/>
          <w:highlight w:val="none"/>
        </w:rPr>
        <w:t>第二个信封开标</w:t>
      </w:r>
      <w:bookmarkEnd w:id="294"/>
      <w:bookmarkEnd w:id="295"/>
    </w:p>
    <w:p w14:paraId="3D82D751">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第一个信封（商务及技术文件）评审结束后，招标人将按照第二章</w:t>
      </w:r>
      <w:r>
        <w:rPr>
          <w:rFonts w:hint="eastAsia" w:ascii="宋体" w:hAnsi="宋体" w:eastAsia="宋体" w:cs="宋体"/>
          <w:sz w:val="24"/>
          <w:highlight w:val="none"/>
        </w:rPr>
        <w:t>“</w:t>
      </w:r>
      <w:r>
        <w:rPr>
          <w:rFonts w:hint="default" w:ascii="Times New Roman" w:hAnsi="Times New Roman" w:eastAsia="宋体" w:cs="Times New Roman"/>
          <w:sz w:val="24"/>
          <w:highlight w:val="none"/>
        </w:rPr>
        <w:t>投标人须知</w:t>
      </w:r>
      <w:r>
        <w:rPr>
          <w:rFonts w:hint="eastAsia" w:ascii="宋体" w:hAnsi="宋体" w:eastAsia="宋体" w:cs="宋体"/>
          <w:sz w:val="24"/>
          <w:highlight w:val="none"/>
        </w:rPr>
        <w:t>”</w:t>
      </w:r>
      <w:r>
        <w:rPr>
          <w:rFonts w:hint="default" w:ascii="Times New Roman" w:hAnsi="Times New Roman" w:eastAsia="宋体" w:cs="Times New Roman"/>
          <w:sz w:val="24"/>
          <w:highlight w:val="none"/>
        </w:rPr>
        <w:t>第5.1款规定的时间和地点对通过投标文件第一个信封（商务及技术文件）评审的投标文件第二个信封（报价文件）进行开标。</w:t>
      </w:r>
    </w:p>
    <w:p w14:paraId="035A5DAF">
      <w:pPr>
        <w:pStyle w:val="2"/>
        <w:pageBreakBefore w:val="0"/>
        <w:kinsoku/>
        <w:wordWrap w:val="0"/>
        <w:bidi w:val="0"/>
        <w:spacing w:before="240" w:after="240" w:line="240" w:lineRule="atLeast"/>
        <w:rPr>
          <w:rFonts w:hint="default" w:ascii="Times New Roman" w:hAnsi="Times New Roman" w:eastAsia="黑体" w:cs="Times New Roman"/>
          <w:b w:val="0"/>
          <w:sz w:val="24"/>
          <w:szCs w:val="24"/>
          <w:highlight w:val="none"/>
        </w:rPr>
      </w:pPr>
      <w:bookmarkStart w:id="296" w:name="_Toc10916"/>
      <w:bookmarkStart w:id="297" w:name="_Toc25423"/>
      <w:r>
        <w:rPr>
          <w:rFonts w:hint="default" w:ascii="Times New Roman" w:hAnsi="Times New Roman" w:eastAsia="黑体" w:cs="Times New Roman"/>
          <w:b w:val="0"/>
          <w:sz w:val="24"/>
          <w:szCs w:val="24"/>
          <w:highlight w:val="none"/>
        </w:rPr>
        <w:t>3.3</w:t>
      </w:r>
      <w:r>
        <w:rPr>
          <w:rFonts w:hint="default" w:ascii="Times New Roman" w:hAnsi="Times New Roman" w:eastAsia="黑体" w:cs="Times New Roman"/>
          <w:b w:val="0"/>
          <w:sz w:val="24"/>
          <w:szCs w:val="24"/>
          <w:highlight w:val="none"/>
          <w:lang w:eastAsia="zh-CN"/>
        </w:rPr>
        <w:t xml:space="preserve"> </w:t>
      </w:r>
      <w:r>
        <w:rPr>
          <w:rFonts w:hint="default" w:ascii="Times New Roman" w:hAnsi="Times New Roman" w:eastAsia="黑体" w:cs="Times New Roman"/>
          <w:b w:val="0"/>
          <w:sz w:val="24"/>
          <w:szCs w:val="24"/>
          <w:highlight w:val="none"/>
        </w:rPr>
        <w:t>第二个信封初步评审</w:t>
      </w:r>
      <w:bookmarkEnd w:id="296"/>
      <w:bookmarkEnd w:id="297"/>
    </w:p>
    <w:p w14:paraId="1CB79D05">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3.3.1 评标委员会依据本章第2.1.1项、第2.1.3项规定的评审标准对投标文件第二个信封（报价文件）进行初步评审。有一项不符合评审标准的，评标委员会应否决其投标。</w:t>
      </w:r>
    </w:p>
    <w:p w14:paraId="3CF65D2E">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3.3.2</w:t>
      </w:r>
      <w:r>
        <w:rPr>
          <w:rFonts w:hint="default" w:ascii="Times New Roman" w:hAnsi="Times New Roman" w:eastAsia="宋体" w:cs="Times New Roman"/>
          <w:highlight w:val="none"/>
          <w:vertAlign w:val="superscript"/>
        </w:rPr>
        <w:footnoteReference w:id="26"/>
      </w:r>
      <w:r>
        <w:rPr>
          <w:rFonts w:hint="default" w:ascii="Times New Roman" w:hAnsi="Times New Roman" w:eastAsia="宋体" w:cs="Times New Roman"/>
          <w:sz w:val="24"/>
          <w:highlight w:val="none"/>
        </w:rPr>
        <w:t xml:space="preserve"> 投标报价有算术错误的，评标委员会按以下原则对投标报价进行修正，修正的价格经投标人书面确认后具有约束力。投标人不接受修正价格的，评标委员会应否决其投标。</w:t>
      </w:r>
    </w:p>
    <w:p w14:paraId="1DF5AC6D">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（1）投标文件中的大写金额与小写金额不一致的，以大写金额为准；</w:t>
      </w:r>
    </w:p>
    <w:p w14:paraId="71A6C9B6">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（2）总价金额与依据单价计算出的结果不一致的，以单价金额为准修正总价，但单价金额小数点有明显错误的除外；</w:t>
      </w:r>
    </w:p>
    <w:p w14:paraId="52C4E523">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（3）当单价与数量相乘不等于合价时，以单价计算为准，如果单价有明显的小数点位置差错，应以标出的合价为准，同时对单价予以修正；</w:t>
      </w:r>
    </w:p>
    <w:p w14:paraId="55561BD7">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（4）当各子目的合价累计不等于总价时，应以各子目合价累计数为准，修正总价。</w:t>
      </w:r>
    </w:p>
    <w:p w14:paraId="7A700092">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3.3.3 工程量清单中的投标报价有其他错误的，评标委员会按以下原则对投标报价进行修正，修正的价格经投标人书面确认后具有约束力。投标人不接受修正价格的，评标委员会应否决其投标。</w:t>
      </w:r>
    </w:p>
    <w:p w14:paraId="6FE0948E">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在招标人给定的工程量清单中漏报了某个工程子目的单价、合价或总额价，或所报单价、合价或总额价减少了报价范围，则漏报的工程子目单价、合价和总额价或单价、合价和总额价中减少的报价内容视为已含入其他工程子目的单价、合价和总额价之中。</w:t>
      </w:r>
    </w:p>
    <w:p w14:paraId="075F69FC">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在招标人给定的工程量清单中多报了某个工程子目的单价、合价或总额价，或所报单价、合价或总额价增加了报价范围，则从投标报价中扣除多报的工程子目报价或工程子目报价中增加了报价范围的部分报价。</w:t>
      </w:r>
    </w:p>
    <w:p w14:paraId="21DBD25D">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（3）当单价与数量的乘积与合价（金额）虽然一致，但投标人修改了该子目的工程数量，则其合价按招标人给定的工程数量乘以投标人所报单价予以修正。</w:t>
      </w:r>
    </w:p>
    <w:p w14:paraId="5968ADE7">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3.3.4 修正后的最终投标报价若超过最高投标限价（如有），评标委员会应否决其投标。</w:t>
      </w:r>
    </w:p>
    <w:p w14:paraId="74060B75">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3.3.5 修正后的最终投标报价仅作为签订合同的一个依据，不参与评标价得分的计算。</w:t>
      </w:r>
    </w:p>
    <w:p w14:paraId="01E86F34">
      <w:pPr>
        <w:pStyle w:val="2"/>
        <w:pageBreakBefore w:val="0"/>
        <w:kinsoku/>
        <w:wordWrap w:val="0"/>
        <w:bidi w:val="0"/>
        <w:spacing w:before="240" w:after="240" w:line="240" w:lineRule="atLeast"/>
        <w:rPr>
          <w:rFonts w:hint="default" w:ascii="Times New Roman" w:hAnsi="Times New Roman" w:eastAsia="黑体" w:cs="Times New Roman"/>
          <w:b w:val="0"/>
          <w:sz w:val="24"/>
          <w:szCs w:val="24"/>
          <w:highlight w:val="none"/>
        </w:rPr>
      </w:pPr>
      <w:bookmarkStart w:id="298" w:name="_Toc32333"/>
      <w:bookmarkStart w:id="299" w:name="_Toc5221"/>
      <w:bookmarkStart w:id="300" w:name="_Toc234832939"/>
      <w:r>
        <w:rPr>
          <w:rFonts w:hint="default" w:ascii="Times New Roman" w:hAnsi="Times New Roman" w:eastAsia="黑体" w:cs="Times New Roman"/>
          <w:b w:val="0"/>
          <w:sz w:val="24"/>
          <w:szCs w:val="24"/>
          <w:highlight w:val="none"/>
        </w:rPr>
        <w:t>3.4</w:t>
      </w:r>
      <w:r>
        <w:rPr>
          <w:rFonts w:hint="default" w:ascii="Times New Roman" w:hAnsi="Times New Roman" w:eastAsia="黑体" w:cs="Times New Roman"/>
          <w:b w:val="0"/>
          <w:sz w:val="24"/>
          <w:szCs w:val="24"/>
          <w:highlight w:val="none"/>
          <w:lang w:eastAsia="zh-CN"/>
        </w:rPr>
        <w:t xml:space="preserve"> </w:t>
      </w:r>
      <w:r>
        <w:rPr>
          <w:rFonts w:hint="default" w:ascii="Times New Roman" w:hAnsi="Times New Roman" w:eastAsia="黑体" w:cs="Times New Roman"/>
          <w:b w:val="0"/>
          <w:sz w:val="24"/>
          <w:szCs w:val="24"/>
          <w:highlight w:val="none"/>
        </w:rPr>
        <w:t>第二个信封详细评审</w:t>
      </w:r>
      <w:bookmarkEnd w:id="298"/>
      <w:bookmarkEnd w:id="299"/>
      <w:bookmarkEnd w:id="300"/>
    </w:p>
    <w:p w14:paraId="6A5D9518">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3.4.1 评标委员会按本章第2.2款规定的量化因素和分值进行打分，并计算出综合评估得分（即评标价得分）。</w:t>
      </w:r>
    </w:p>
    <w:p w14:paraId="6A087FC3">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3.4.2 投标人得分分值计算保留小数点后两位，小数点后第三位</w:t>
      </w:r>
      <w:r>
        <w:rPr>
          <w:rFonts w:hint="eastAsia" w:ascii="宋体" w:hAnsi="宋体" w:eastAsia="宋体" w:cs="宋体"/>
          <w:sz w:val="24"/>
          <w:highlight w:val="none"/>
        </w:rPr>
        <w:t>“</w:t>
      </w:r>
      <w:r>
        <w:rPr>
          <w:rFonts w:hint="default" w:ascii="Times New Roman" w:hAnsi="Times New Roman" w:eastAsia="宋体" w:cs="Times New Roman"/>
          <w:sz w:val="24"/>
          <w:highlight w:val="none"/>
        </w:rPr>
        <w:t>四舍五入</w:t>
      </w:r>
      <w:r>
        <w:rPr>
          <w:rFonts w:hint="eastAsia" w:ascii="宋体" w:hAnsi="宋体" w:eastAsia="宋体" w:cs="宋体"/>
          <w:sz w:val="24"/>
          <w:highlight w:val="none"/>
        </w:rPr>
        <w:t>”</w:t>
      </w:r>
      <w:r>
        <w:rPr>
          <w:rFonts w:hint="default" w:ascii="Times New Roman" w:hAnsi="Times New Roman" w:eastAsia="宋体" w:cs="Times New Roman"/>
          <w:sz w:val="24"/>
          <w:highlight w:val="none"/>
        </w:rPr>
        <w:t>。</w:t>
      </w:r>
    </w:p>
    <w:p w14:paraId="1D1A212C">
      <w:pPr>
        <w:pageBreakBefore w:val="0"/>
        <w:kinsoku/>
        <w:wordWrap w:val="0"/>
        <w:bidi w:val="0"/>
        <w:spacing w:line="400" w:lineRule="atLeast"/>
        <w:ind w:firstLine="480" w:firstLineChars="200"/>
        <w:rPr>
          <w:rFonts w:hint="default" w:ascii="Times New Roman" w:hAnsi="Times New Roman" w:eastAsia="隶书" w:cs="Times New Roman"/>
          <w:sz w:val="24"/>
          <w:highlight w:val="none"/>
        </w:rPr>
      </w:pPr>
      <w:r>
        <w:rPr>
          <w:rFonts w:hint="default" w:ascii="Times New Roman" w:hAnsi="Times New Roman" w:eastAsia="宋体" w:cs="Times New Roman"/>
          <w:sz w:val="24"/>
          <w:highlight w:val="none"/>
        </w:rPr>
        <w:t>3.4.3  评标委员会发现投标人的报价明显低于其他投标报价，是有可能影响履约的异常低价，应按本章 3.6 款的规定向投标人发出澄清，要求该投标人作出书面说明该报价的合理性并提供相应证明材料。当投标人不能合理说明并证明其报价的合理性的，评标委员会应以少数服从多数的原则否决其投标。</w:t>
      </w:r>
    </w:p>
    <w:p w14:paraId="0F4124E8">
      <w:pPr>
        <w:pStyle w:val="2"/>
        <w:pageBreakBefore w:val="0"/>
        <w:kinsoku/>
        <w:wordWrap w:val="0"/>
        <w:bidi w:val="0"/>
        <w:spacing w:before="240" w:after="240" w:line="240" w:lineRule="atLeast"/>
        <w:rPr>
          <w:rFonts w:hint="default" w:ascii="Times New Roman" w:hAnsi="Times New Roman" w:eastAsia="黑体" w:cs="Times New Roman"/>
          <w:b w:val="0"/>
          <w:sz w:val="24"/>
          <w:szCs w:val="24"/>
          <w:highlight w:val="none"/>
        </w:rPr>
      </w:pPr>
      <w:bookmarkStart w:id="301" w:name="_Toc7727"/>
      <w:bookmarkStart w:id="302" w:name="_Toc20918"/>
      <w:r>
        <w:rPr>
          <w:rFonts w:hint="default" w:ascii="Times New Roman" w:hAnsi="Times New Roman" w:eastAsia="黑体" w:cs="Times New Roman"/>
          <w:b w:val="0"/>
          <w:sz w:val="24"/>
          <w:szCs w:val="24"/>
          <w:highlight w:val="none"/>
        </w:rPr>
        <w:t>3.5</w:t>
      </w:r>
      <w:r>
        <w:rPr>
          <w:rFonts w:hint="default" w:ascii="Times New Roman" w:hAnsi="Times New Roman" w:eastAsia="黑体" w:cs="Times New Roman"/>
          <w:b w:val="0"/>
          <w:sz w:val="24"/>
          <w:szCs w:val="24"/>
          <w:highlight w:val="none"/>
          <w:lang w:eastAsia="zh-CN"/>
        </w:rPr>
        <w:t xml:space="preserve"> </w:t>
      </w:r>
      <w:r>
        <w:rPr>
          <w:rFonts w:hint="default" w:ascii="Times New Roman" w:hAnsi="Times New Roman" w:eastAsia="黑体" w:cs="Times New Roman"/>
          <w:b w:val="0"/>
          <w:sz w:val="24"/>
          <w:szCs w:val="24"/>
          <w:highlight w:val="none"/>
        </w:rPr>
        <w:t>投标文件相关信息的核查</w:t>
      </w:r>
      <w:bookmarkEnd w:id="301"/>
      <w:bookmarkEnd w:id="302"/>
    </w:p>
    <w:p w14:paraId="467A8725">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3.5.1 在评标过程中，评标委员会应查询交通运输主管部门“全国公路建设市场监督管理系统 ”，对投标人的资质、业绩、主要人员资历和目前在岗情况、信用等级等信息进行核实。若投标文件载明的信息与交通运输主管部门“全国公路建设市场监督管理系统 ”发布的信息不符，使得投标人的资格条件不符合招标文件规定的，评标委员会应否决其投标。</w:t>
      </w:r>
    </w:p>
    <w:p w14:paraId="5ED93901">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3.5.2 评标委员会应对在评标过程中发现的投标人与投标人之间、投标人与招标人之间存在的串通投标的情形进行评审和认定。投标人存在串通投标、弄虚作假、行贿等违法行为的，评标委员会应否决其投标。</w:t>
      </w:r>
    </w:p>
    <w:p w14:paraId="6F3C3D27">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（1）有下列情形之一的，属于投标人相互串通投标：</w:t>
      </w:r>
    </w:p>
    <w:p w14:paraId="5B76E547">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a.投标人之间协商投标报价等投标文件的实质性内容；</w:t>
      </w:r>
    </w:p>
    <w:p w14:paraId="36F1006F">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b.投标人之间约定中标人；</w:t>
      </w:r>
    </w:p>
    <w:p w14:paraId="2D33F9B3">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c.投标人之间约定部分投标人放弃投标或中标；</w:t>
      </w:r>
    </w:p>
    <w:p w14:paraId="51D5C354">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d.属于同一集团、协会、商会等组织成员的投标人按照该组织要求协同投标；</w:t>
      </w:r>
    </w:p>
    <w:p w14:paraId="46DDB6E6">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e.投标人之间为谋取中标或排斥特定投标人而采取的其他联合行动。</w:t>
      </w:r>
    </w:p>
    <w:p w14:paraId="7B185E6E">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（2）有下列情形之一的，视为投标人相互串通投标：</w:t>
      </w:r>
    </w:p>
    <w:p w14:paraId="2EBAB53C">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a.不同投标人的投标文件由同一单位或个人编制；</w:t>
      </w:r>
    </w:p>
    <w:p w14:paraId="6BBEB70C">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b.不同投标人委托同一单位或个人办理投标事宜；</w:t>
      </w:r>
    </w:p>
    <w:p w14:paraId="59EAF9C2">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c.不同投标人的投标文件载明的项目管理成员为同一人；</w:t>
      </w:r>
    </w:p>
    <w:p w14:paraId="2B23FDCC">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d.不同投标人的投标文件异常一致或投标报价呈规律性差异；</w:t>
      </w:r>
    </w:p>
    <w:p w14:paraId="6FFDA53A">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e.不同投标人的投标文件相互混装；</w:t>
      </w:r>
    </w:p>
    <w:p w14:paraId="111D807D">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f.不同投标人的投标保证金从同一单位或个人的账户转出。</w:t>
      </w:r>
    </w:p>
    <w:p w14:paraId="387813B9">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（3）有下列情形之一的，属于招标人与投标人串通投标：</w:t>
      </w:r>
    </w:p>
    <w:p w14:paraId="7A4BA0C3">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a.招标人在开标前开启投标文件并将有关信息泄露给其他投标人;</w:t>
      </w:r>
    </w:p>
    <w:p w14:paraId="6FC86E72">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b.招标人直接或间接向投标人泄露标底、评标委员会成员等信息；</w:t>
      </w:r>
    </w:p>
    <w:p w14:paraId="2472C6A5">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c.招标人明示或暗示投标人压低或抬高投标报价；</w:t>
      </w:r>
    </w:p>
    <w:p w14:paraId="4C04A062">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d.招标人授意投标人撤换、修改投标文件；</w:t>
      </w:r>
    </w:p>
    <w:p w14:paraId="6BC25668">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e.招标人明示或暗示投标人为特定投标人中标提供方便；</w:t>
      </w:r>
    </w:p>
    <w:p w14:paraId="65936F1C">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f.招标人与投标人为谋求特定投标人中标而采取的其他串通行为。</w:t>
      </w:r>
    </w:p>
    <w:p w14:paraId="75CA8DF0">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（4）投标人有下列情形之一的，属于弄虚作假的行为：</w:t>
      </w:r>
    </w:p>
    <w:p w14:paraId="2109E0E9">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a.使用通过受让或租借等方式获取的资格、资质证书投标；</w:t>
      </w:r>
    </w:p>
    <w:p w14:paraId="7E91AE95">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b.使用伪造、变造的许可证件；</w:t>
      </w:r>
    </w:p>
    <w:p w14:paraId="2E5B3734">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c.提供虚假的财务状况或业绩；</w:t>
      </w:r>
    </w:p>
    <w:p w14:paraId="3B0615DE">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d.提供虚假的项目负责人或主要技术人员简历、劳动关系证明；</w:t>
      </w:r>
    </w:p>
    <w:p w14:paraId="33457833">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e.提供虚假的信用状况；</w:t>
      </w:r>
    </w:p>
    <w:p w14:paraId="5E5562CF">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f.其他弄虚作假的行为。</w:t>
      </w:r>
    </w:p>
    <w:p w14:paraId="7FBC20A1">
      <w:pPr>
        <w:pStyle w:val="2"/>
        <w:pageBreakBefore w:val="0"/>
        <w:kinsoku/>
        <w:wordWrap w:val="0"/>
        <w:bidi w:val="0"/>
        <w:spacing w:before="240" w:after="240" w:line="400" w:lineRule="atLeast"/>
        <w:rPr>
          <w:rFonts w:hint="default" w:ascii="Times New Roman" w:hAnsi="Times New Roman" w:eastAsia="黑体" w:cs="Times New Roman"/>
          <w:b w:val="0"/>
          <w:sz w:val="24"/>
          <w:szCs w:val="24"/>
          <w:highlight w:val="none"/>
        </w:rPr>
      </w:pPr>
      <w:bookmarkStart w:id="303" w:name="_Toc15234"/>
      <w:bookmarkStart w:id="304" w:name="_Toc28829"/>
      <w:bookmarkStart w:id="305" w:name="_Toc234832940"/>
      <w:r>
        <w:rPr>
          <w:rFonts w:hint="default" w:ascii="Times New Roman" w:hAnsi="Times New Roman" w:eastAsia="黑体" w:cs="Times New Roman"/>
          <w:b w:val="0"/>
          <w:sz w:val="24"/>
          <w:szCs w:val="24"/>
          <w:highlight w:val="none"/>
        </w:rPr>
        <w:t>3.6 投标文件的澄清和说明</w:t>
      </w:r>
      <w:bookmarkEnd w:id="303"/>
      <w:bookmarkEnd w:id="304"/>
    </w:p>
    <w:p w14:paraId="6F37B634">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3.6.1 在评标过程中，评标委员会可以书面形式要求投标人对投标文件中含义不明确的内容、明显文字或计算错误进行书面澄清或说明。评标委员会不接受投标人主动提出的澄清、说明。投标人不按评标委员会要求澄清或说明的，评标委员会应否决其投标。</w:t>
      </w:r>
    </w:p>
    <w:p w14:paraId="0A445185">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3.6.2 澄清和说明不得超出投标文件的范围或改变投标文件的实质性内容（算术性错误的修正除外）。投标人的书面澄清、说明属于投标文件的组成部分。</w:t>
      </w:r>
    </w:p>
    <w:p w14:paraId="67862EA4">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3.6.3 评标委员会不得暗示或诱导投标人作出澄清、说明，对投标人提交的澄清、说明有疑问的，可以要求投标人进一步澄清或说明，直至满足评标委员会的要求。</w:t>
      </w:r>
      <w:bookmarkEnd w:id="305"/>
    </w:p>
    <w:p w14:paraId="497F1618">
      <w:pPr>
        <w:pageBreakBefore w:val="0"/>
        <w:kinsoku/>
        <w:wordWrap w:val="0"/>
        <w:bidi w:val="0"/>
        <w:spacing w:line="400" w:lineRule="atLeast"/>
        <w:ind w:firstLine="480" w:firstLineChars="200"/>
        <w:rPr>
          <w:rFonts w:hint="default" w:ascii="Times New Roman" w:hAnsi="Times New Roman" w:eastAsia="隶书" w:cs="Times New Roman"/>
          <w:sz w:val="24"/>
          <w:highlight w:val="none"/>
        </w:rPr>
      </w:pPr>
      <w:r>
        <w:rPr>
          <w:rFonts w:hint="default" w:ascii="Times New Roman" w:hAnsi="Times New Roman" w:eastAsia="宋体" w:cs="Times New Roman"/>
          <w:sz w:val="24"/>
          <w:highlight w:val="none"/>
        </w:rPr>
        <w:t>3.6.4 凡超出招标文件规定的或给发包人带来未曾要求的利益的变化、偏差或其他因素在评标时不予考虑。</w:t>
      </w:r>
    </w:p>
    <w:p w14:paraId="5B1E0667">
      <w:pPr>
        <w:pStyle w:val="2"/>
        <w:pageBreakBefore w:val="0"/>
        <w:kinsoku/>
        <w:wordWrap w:val="0"/>
        <w:bidi w:val="0"/>
        <w:spacing w:before="240" w:after="240" w:line="400" w:lineRule="atLeast"/>
        <w:rPr>
          <w:rFonts w:hint="default" w:ascii="Times New Roman" w:hAnsi="Times New Roman" w:eastAsia="黑体" w:cs="Times New Roman"/>
          <w:b w:val="0"/>
          <w:sz w:val="24"/>
          <w:szCs w:val="24"/>
          <w:highlight w:val="none"/>
        </w:rPr>
      </w:pPr>
      <w:bookmarkStart w:id="306" w:name="_Toc7796"/>
      <w:bookmarkStart w:id="307" w:name="_Toc6947"/>
      <w:r>
        <w:rPr>
          <w:rFonts w:hint="default" w:ascii="Times New Roman" w:hAnsi="Times New Roman" w:eastAsia="黑体" w:cs="Times New Roman"/>
          <w:b w:val="0"/>
          <w:sz w:val="24"/>
          <w:szCs w:val="24"/>
          <w:highlight w:val="none"/>
        </w:rPr>
        <w:t>3</w:t>
      </w:r>
      <w:r>
        <w:rPr>
          <w:rFonts w:hint="default" w:ascii="Times New Roman" w:hAnsi="Times New Roman" w:eastAsia="黑体" w:cs="Times New Roman"/>
          <w:b w:val="0"/>
          <w:sz w:val="24"/>
          <w:szCs w:val="24"/>
          <w:highlight w:val="none"/>
          <w:lang w:eastAsia="zh-CN"/>
        </w:rPr>
        <w:t>.</w:t>
      </w:r>
      <w:r>
        <w:rPr>
          <w:rFonts w:hint="default" w:ascii="Times New Roman" w:hAnsi="Times New Roman" w:eastAsia="黑体" w:cs="Times New Roman"/>
          <w:b w:val="0"/>
          <w:sz w:val="24"/>
          <w:szCs w:val="24"/>
          <w:highlight w:val="none"/>
        </w:rPr>
        <w:t>7 不得否决投标的情形</w:t>
      </w:r>
      <w:bookmarkEnd w:id="306"/>
      <w:bookmarkEnd w:id="307"/>
    </w:p>
    <w:p w14:paraId="735C9AB7">
      <w:pPr>
        <w:pageBreakBefore w:val="0"/>
        <w:kinsoku/>
        <w:wordWrap w:val="0"/>
        <w:bidi w:val="0"/>
        <w:spacing w:line="400" w:lineRule="atLeast"/>
        <w:ind w:firstLine="480" w:firstLineChars="200"/>
        <w:rPr>
          <w:rFonts w:hint="default" w:ascii="Times New Roman" w:hAnsi="Times New Roman" w:eastAsia="隶书" w:cs="Times New Roman"/>
          <w:sz w:val="24"/>
          <w:highlight w:val="none"/>
        </w:rPr>
      </w:pPr>
      <w:r>
        <w:rPr>
          <w:rFonts w:hint="default" w:ascii="Times New Roman" w:hAnsi="Times New Roman" w:eastAsia="宋体" w:cs="Times New Roman"/>
          <w:sz w:val="24"/>
          <w:highlight w:val="none"/>
        </w:rPr>
        <w:t>投标文件存在第二章</w:t>
      </w:r>
      <w:r>
        <w:rPr>
          <w:rFonts w:hint="eastAsia" w:ascii="宋体" w:hAnsi="宋体" w:eastAsia="宋体" w:cs="宋体"/>
          <w:sz w:val="24"/>
          <w:highlight w:val="none"/>
        </w:rPr>
        <w:t>“</w:t>
      </w:r>
      <w:r>
        <w:rPr>
          <w:rFonts w:hint="default" w:ascii="Times New Roman" w:hAnsi="Times New Roman" w:eastAsia="宋体" w:cs="Times New Roman"/>
          <w:sz w:val="24"/>
          <w:highlight w:val="none"/>
        </w:rPr>
        <w:t>投标人须知</w:t>
      </w:r>
      <w:r>
        <w:rPr>
          <w:rFonts w:hint="eastAsia" w:ascii="宋体" w:hAnsi="宋体" w:eastAsia="宋体" w:cs="宋体"/>
          <w:sz w:val="24"/>
          <w:highlight w:val="none"/>
        </w:rPr>
        <w:t>”</w:t>
      </w:r>
      <w:r>
        <w:rPr>
          <w:rFonts w:hint="default" w:ascii="Times New Roman" w:hAnsi="Times New Roman" w:eastAsia="宋体" w:cs="Times New Roman"/>
          <w:sz w:val="24"/>
          <w:highlight w:val="none"/>
        </w:rPr>
        <w:t>第1.12.3项所列情形的，均视为细微偏差，评标委员会不得否决投标人的投标，应按照第二章</w:t>
      </w:r>
      <w:r>
        <w:rPr>
          <w:rFonts w:hint="eastAsia" w:ascii="宋体" w:hAnsi="宋体" w:eastAsia="宋体" w:cs="宋体"/>
          <w:sz w:val="24"/>
          <w:highlight w:val="none"/>
        </w:rPr>
        <w:t>“</w:t>
      </w:r>
      <w:r>
        <w:rPr>
          <w:rFonts w:hint="default" w:ascii="Times New Roman" w:hAnsi="Times New Roman" w:eastAsia="宋体" w:cs="Times New Roman"/>
          <w:sz w:val="24"/>
          <w:highlight w:val="none"/>
        </w:rPr>
        <w:t>投标人须知</w:t>
      </w:r>
      <w:r>
        <w:rPr>
          <w:rFonts w:hint="eastAsia" w:ascii="宋体" w:hAnsi="宋体" w:eastAsia="宋体" w:cs="宋体"/>
          <w:sz w:val="24"/>
          <w:highlight w:val="none"/>
        </w:rPr>
        <w:t>”</w:t>
      </w:r>
      <w:r>
        <w:rPr>
          <w:rFonts w:hint="default" w:ascii="Times New Roman" w:hAnsi="Times New Roman" w:eastAsia="宋体" w:cs="Times New Roman"/>
          <w:sz w:val="24"/>
          <w:highlight w:val="none"/>
        </w:rPr>
        <w:t>第1.12.4项规定的原则处理。</w:t>
      </w:r>
    </w:p>
    <w:p w14:paraId="54793285">
      <w:pPr>
        <w:pStyle w:val="2"/>
        <w:pageBreakBefore w:val="0"/>
        <w:kinsoku/>
        <w:wordWrap w:val="0"/>
        <w:bidi w:val="0"/>
        <w:spacing w:before="240" w:after="240" w:line="240" w:lineRule="atLeast"/>
        <w:rPr>
          <w:rFonts w:hint="default" w:ascii="Times New Roman" w:hAnsi="Times New Roman" w:eastAsia="黑体" w:cs="Times New Roman"/>
          <w:b w:val="0"/>
          <w:sz w:val="24"/>
          <w:szCs w:val="24"/>
          <w:highlight w:val="none"/>
        </w:rPr>
      </w:pPr>
      <w:bookmarkStart w:id="308" w:name="_Toc8848"/>
      <w:bookmarkStart w:id="309" w:name="_Toc234832941"/>
      <w:bookmarkStart w:id="310" w:name="_Toc28490"/>
      <w:r>
        <w:rPr>
          <w:rFonts w:hint="default" w:ascii="Times New Roman" w:hAnsi="Times New Roman" w:eastAsia="黑体" w:cs="Times New Roman"/>
          <w:b w:val="0"/>
          <w:sz w:val="24"/>
          <w:szCs w:val="24"/>
          <w:highlight w:val="none"/>
        </w:rPr>
        <w:t>3.</w:t>
      </w:r>
      <w:r>
        <w:rPr>
          <w:rFonts w:hint="default" w:ascii="Times New Roman" w:hAnsi="Times New Roman" w:eastAsia="黑体" w:cs="Times New Roman"/>
          <w:b w:val="0"/>
          <w:sz w:val="24"/>
          <w:szCs w:val="24"/>
          <w:highlight w:val="none"/>
          <w:lang w:eastAsia="zh-CN"/>
        </w:rPr>
        <w:t>8</w:t>
      </w:r>
      <w:r>
        <w:rPr>
          <w:rFonts w:hint="default" w:ascii="Times New Roman" w:hAnsi="Times New Roman" w:eastAsia="黑体" w:cs="Times New Roman"/>
          <w:b w:val="0"/>
          <w:sz w:val="24"/>
          <w:szCs w:val="24"/>
          <w:highlight w:val="none"/>
        </w:rPr>
        <w:t xml:space="preserve"> 评标结果</w:t>
      </w:r>
      <w:bookmarkEnd w:id="308"/>
      <w:bookmarkEnd w:id="309"/>
      <w:bookmarkEnd w:id="310"/>
    </w:p>
    <w:p w14:paraId="12259FA4">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3.8.1 除第二章</w:t>
      </w:r>
      <w:r>
        <w:rPr>
          <w:rFonts w:hint="eastAsia" w:ascii="宋体" w:hAnsi="宋体" w:eastAsia="宋体" w:cs="宋体"/>
          <w:sz w:val="24"/>
          <w:highlight w:val="none"/>
        </w:rPr>
        <w:t>“</w:t>
      </w:r>
      <w:r>
        <w:rPr>
          <w:rFonts w:hint="default" w:ascii="Times New Roman" w:hAnsi="Times New Roman" w:eastAsia="宋体" w:cs="Times New Roman"/>
          <w:sz w:val="24"/>
          <w:highlight w:val="none"/>
        </w:rPr>
        <w:t>投标人须知</w:t>
      </w:r>
      <w:r>
        <w:rPr>
          <w:rFonts w:hint="eastAsia" w:ascii="宋体" w:hAnsi="宋体" w:eastAsia="宋体" w:cs="宋体"/>
          <w:sz w:val="24"/>
          <w:highlight w:val="none"/>
        </w:rPr>
        <w:t>”</w:t>
      </w:r>
      <w:r>
        <w:rPr>
          <w:rFonts w:hint="default" w:ascii="Times New Roman" w:hAnsi="Times New Roman" w:eastAsia="宋体" w:cs="Times New Roman"/>
          <w:sz w:val="24"/>
          <w:highlight w:val="none"/>
        </w:rPr>
        <w:t>前附表授权直接确定中标人外，评标委员会按照得分由高到低的顺序推荐中标候选人，并标明排序。</w:t>
      </w:r>
    </w:p>
    <w:p w14:paraId="7A694EF1">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3.8.2 评标委员会完成评标后，应向招标人提交评标报告。</w:t>
      </w:r>
    </w:p>
    <w:p w14:paraId="503DF083">
      <w:pPr>
        <w:pStyle w:val="23"/>
        <w:pageBreakBefore w:val="0"/>
        <w:kinsoku/>
        <w:wordWrap w:val="0"/>
        <w:bidi w:val="0"/>
        <w:spacing w:line="360" w:lineRule="atLeast"/>
        <w:ind w:firstLine="480"/>
        <w:rPr>
          <w:rFonts w:hint="default" w:ascii="Times New Roman" w:hAnsi="Times New Roman" w:eastAsia="隶书" w:cs="Times New Roman"/>
          <w:sz w:val="24"/>
          <w:szCs w:val="24"/>
          <w:highlight w:val="none"/>
        </w:rPr>
        <w:sectPr>
          <w:footnotePr>
            <w:numFmt w:val="decimalEnclosedCircleChinese"/>
            <w:numRestart w:val="eachPage"/>
          </w:footnotePr>
          <w:pgSz w:w="11907" w:h="16840"/>
          <w:pgMar w:top="1588" w:right="1588" w:bottom="1474" w:left="1644" w:header="851" w:footer="851" w:gutter="0"/>
          <w:pgNumType w:fmt="decimal"/>
          <w:cols w:space="720" w:num="1"/>
          <w:docGrid w:linePitch="312" w:charSpace="0"/>
        </w:sectPr>
      </w:pPr>
    </w:p>
    <w:p w14:paraId="1DA807B9">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6572E78E">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5EAD7617">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3D11482F">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18E261C9">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58CA3FAD">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363D4794">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430E40C3">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68F9436C">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33AC84BD">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5A993241">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3718B2DE">
      <w:pPr>
        <w:pStyle w:val="2"/>
        <w:pageBreakBefore w:val="0"/>
        <w:kinsoku/>
        <w:wordWrap w:val="0"/>
        <w:bidi w:val="0"/>
        <w:spacing w:before="240" w:after="240" w:line="380" w:lineRule="atLeast"/>
        <w:jc w:val="center"/>
        <w:rPr>
          <w:rFonts w:hint="default" w:ascii="Times New Roman" w:hAnsi="Times New Roman" w:eastAsia="黑体" w:cs="Times New Roman"/>
          <w:b w:val="0"/>
          <w:sz w:val="56"/>
          <w:szCs w:val="56"/>
          <w:highlight w:val="none"/>
        </w:rPr>
      </w:pPr>
      <w:bookmarkStart w:id="311" w:name="_Toc27019"/>
      <w:bookmarkStart w:id="312" w:name="_Toc234832964"/>
      <w:bookmarkStart w:id="313" w:name="_Toc29180"/>
      <w:r>
        <w:rPr>
          <w:rFonts w:hint="default" w:ascii="Times New Roman" w:hAnsi="Times New Roman" w:eastAsia="黑体" w:cs="Times New Roman"/>
          <w:b w:val="0"/>
          <w:sz w:val="56"/>
          <w:szCs w:val="56"/>
          <w:highlight w:val="none"/>
        </w:rPr>
        <w:t>第四章  合同条款及格式</w:t>
      </w:r>
      <w:bookmarkEnd w:id="311"/>
      <w:bookmarkEnd w:id="312"/>
      <w:bookmarkEnd w:id="313"/>
    </w:p>
    <w:p w14:paraId="04F79596">
      <w:pPr>
        <w:pageBreakBefore w:val="0"/>
        <w:kinsoku/>
        <w:wordWrap w:val="0"/>
        <w:bidi w:val="0"/>
        <w:spacing w:line="440" w:lineRule="exact"/>
        <w:rPr>
          <w:rFonts w:hint="default" w:ascii="Times New Roman" w:hAnsi="Times New Roman" w:eastAsia="黑体" w:cs="Times New Roman"/>
          <w:sz w:val="20"/>
          <w:szCs w:val="20"/>
          <w:highlight w:val="none"/>
        </w:rPr>
      </w:pPr>
    </w:p>
    <w:p w14:paraId="017200C7">
      <w:pPr>
        <w:pageBreakBefore w:val="0"/>
        <w:kinsoku/>
        <w:wordWrap w:val="0"/>
        <w:bidi w:val="0"/>
        <w:spacing w:line="440" w:lineRule="exact"/>
        <w:rPr>
          <w:rFonts w:hint="default" w:ascii="Times New Roman" w:hAnsi="Times New Roman" w:eastAsia="黑体" w:cs="Times New Roman"/>
          <w:sz w:val="20"/>
          <w:szCs w:val="20"/>
          <w:highlight w:val="none"/>
        </w:rPr>
      </w:pPr>
    </w:p>
    <w:p w14:paraId="04A351C6">
      <w:pPr>
        <w:pageBreakBefore w:val="0"/>
        <w:kinsoku/>
        <w:wordWrap w:val="0"/>
        <w:bidi w:val="0"/>
        <w:spacing w:line="440" w:lineRule="exact"/>
        <w:rPr>
          <w:rFonts w:hint="default" w:ascii="Times New Roman" w:hAnsi="Times New Roman" w:eastAsia="黑体" w:cs="Times New Roman"/>
          <w:sz w:val="20"/>
          <w:szCs w:val="20"/>
          <w:highlight w:val="none"/>
        </w:rPr>
      </w:pPr>
    </w:p>
    <w:p w14:paraId="03CB6981">
      <w:pPr>
        <w:pageBreakBefore w:val="0"/>
        <w:kinsoku/>
        <w:wordWrap w:val="0"/>
        <w:bidi w:val="0"/>
        <w:spacing w:line="440" w:lineRule="exact"/>
        <w:jc w:val="center"/>
        <w:rPr>
          <w:rFonts w:hint="default" w:ascii="Times New Roman" w:hAnsi="Times New Roman" w:eastAsia="黑体" w:cs="Times New Roman"/>
          <w:sz w:val="29"/>
          <w:szCs w:val="29"/>
          <w:highlight w:val="none"/>
        </w:rPr>
      </w:pPr>
      <w:r>
        <w:rPr>
          <w:rFonts w:hint="default" w:ascii="Times New Roman" w:hAnsi="Times New Roman" w:cs="Times New Roman"/>
          <w:sz w:val="20"/>
          <w:szCs w:val="20"/>
          <w:highlight w:val="none"/>
        </w:rPr>
        <w:br w:type="page"/>
      </w:r>
      <w:bookmarkStart w:id="314" w:name="_Toc234832965"/>
    </w:p>
    <w:p w14:paraId="229130D6">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5A963E1E">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282FAE6F">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50FABF5E">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1F2096B7">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73776AAA">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0E643574">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7EEADFE5">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79CB25CC">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7659663E">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64BB4CAD">
      <w:pPr>
        <w:pStyle w:val="2"/>
        <w:pageBreakBefore w:val="0"/>
        <w:kinsoku/>
        <w:wordWrap w:val="0"/>
        <w:bidi w:val="0"/>
        <w:spacing w:before="240" w:after="240" w:line="380" w:lineRule="atLeast"/>
        <w:jc w:val="center"/>
        <w:rPr>
          <w:rFonts w:hint="default" w:ascii="Times New Roman" w:hAnsi="Times New Roman" w:eastAsia="黑体" w:cs="Times New Roman"/>
          <w:b w:val="0"/>
          <w:sz w:val="42"/>
          <w:szCs w:val="42"/>
          <w:highlight w:val="none"/>
        </w:rPr>
      </w:pPr>
      <w:bookmarkStart w:id="315" w:name="_Toc8846"/>
      <w:bookmarkStart w:id="316" w:name="_Toc18651"/>
      <w:r>
        <w:rPr>
          <w:rFonts w:hint="default" w:ascii="Times New Roman" w:hAnsi="Times New Roman" w:eastAsia="黑体" w:cs="Times New Roman"/>
          <w:b w:val="0"/>
          <w:sz w:val="42"/>
          <w:szCs w:val="42"/>
          <w:highlight w:val="none"/>
        </w:rPr>
        <w:t>第一节  通用合同条款</w:t>
      </w:r>
      <w:bookmarkEnd w:id="314"/>
      <w:r>
        <w:rPr>
          <w:rStyle w:val="56"/>
          <w:rFonts w:hint="default" w:ascii="Times New Roman" w:hAnsi="Times New Roman" w:eastAsia="黑体" w:cs="Times New Roman"/>
          <w:b w:val="0"/>
          <w:sz w:val="32"/>
          <w:szCs w:val="32"/>
          <w:highlight w:val="none"/>
        </w:rPr>
        <w:footnoteReference w:id="27"/>
      </w:r>
      <w:bookmarkEnd w:id="315"/>
      <w:bookmarkEnd w:id="316"/>
    </w:p>
    <w:p w14:paraId="3D5C9E58">
      <w:pPr>
        <w:pStyle w:val="2"/>
        <w:pageBreakBefore w:val="0"/>
        <w:kinsoku/>
        <w:wordWrap w:val="0"/>
        <w:bidi w:val="0"/>
        <w:spacing w:before="240" w:after="240" w:line="380" w:lineRule="atLeast"/>
        <w:jc w:val="center"/>
        <w:rPr>
          <w:rFonts w:hint="default" w:ascii="Times New Roman" w:hAnsi="Times New Roman" w:eastAsia="黑体" w:cs="Times New Roman"/>
          <w:b w:val="0"/>
          <w:sz w:val="32"/>
          <w:szCs w:val="32"/>
          <w:highlight w:val="none"/>
        </w:rPr>
      </w:pPr>
      <w:r>
        <w:rPr>
          <w:rFonts w:hint="default" w:ascii="Times New Roman" w:hAnsi="Times New Roman" w:eastAsia="黑体" w:cs="Times New Roman"/>
          <w:b w:val="0"/>
          <w:sz w:val="32"/>
          <w:szCs w:val="32"/>
          <w:highlight w:val="none"/>
        </w:rPr>
        <w:br w:type="page"/>
      </w:r>
      <w:bookmarkStart w:id="317" w:name="_Toc1065"/>
      <w:bookmarkStart w:id="318" w:name="_Toc234832966"/>
      <w:bookmarkStart w:id="319" w:name="_Toc1159"/>
      <w:bookmarkStart w:id="320" w:name="_Toc14452"/>
      <w:r>
        <w:rPr>
          <w:rFonts w:hint="default" w:ascii="Times New Roman" w:hAnsi="Times New Roman" w:eastAsia="黑体" w:cs="Times New Roman"/>
          <w:b w:val="0"/>
          <w:sz w:val="32"/>
          <w:szCs w:val="32"/>
          <w:highlight w:val="none"/>
        </w:rPr>
        <w:t>通用合同条款</w:t>
      </w:r>
      <w:bookmarkEnd w:id="317"/>
      <w:bookmarkEnd w:id="318"/>
      <w:bookmarkEnd w:id="319"/>
      <w:bookmarkEnd w:id="320"/>
    </w:p>
    <w:p w14:paraId="4958CA01">
      <w:pPr>
        <w:pStyle w:val="2"/>
        <w:pageBreakBefore w:val="0"/>
        <w:kinsoku/>
        <w:wordWrap w:val="0"/>
        <w:bidi w:val="0"/>
        <w:spacing w:before="360" w:after="240" w:line="380" w:lineRule="atLeast"/>
        <w:rPr>
          <w:rFonts w:hint="default" w:ascii="Times New Roman" w:hAnsi="Times New Roman" w:eastAsia="黑体" w:cs="Times New Roman"/>
          <w:b w:val="0"/>
          <w:sz w:val="28"/>
          <w:szCs w:val="28"/>
          <w:highlight w:val="none"/>
        </w:rPr>
      </w:pPr>
      <w:bookmarkStart w:id="321" w:name="_Toc28721"/>
      <w:bookmarkStart w:id="322" w:name="_Toc234832967"/>
      <w:bookmarkStart w:id="323" w:name="_Toc21253"/>
      <w:bookmarkStart w:id="324" w:name="_Toc30881"/>
      <w:r>
        <w:rPr>
          <w:rFonts w:hint="default" w:ascii="Times New Roman" w:hAnsi="Times New Roman" w:eastAsia="黑体" w:cs="Times New Roman"/>
          <w:b w:val="0"/>
          <w:sz w:val="28"/>
          <w:szCs w:val="28"/>
          <w:highlight w:val="none"/>
        </w:rPr>
        <w:t>1. 一般约定</w:t>
      </w:r>
      <w:bookmarkEnd w:id="321"/>
      <w:bookmarkEnd w:id="322"/>
      <w:bookmarkEnd w:id="323"/>
      <w:bookmarkEnd w:id="324"/>
      <w:r>
        <w:rPr>
          <w:rFonts w:hint="default" w:ascii="Times New Roman" w:hAnsi="Times New Roman" w:eastAsia="黑体" w:cs="Times New Roman"/>
          <w:b w:val="0"/>
          <w:sz w:val="28"/>
          <w:szCs w:val="28"/>
          <w:highlight w:val="none"/>
        </w:rPr>
        <w:tab/>
      </w:r>
    </w:p>
    <w:p w14:paraId="6AF693A2">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325" w:name="_Toc5421"/>
      <w:bookmarkStart w:id="326" w:name="_Toc234832968"/>
      <w:bookmarkStart w:id="327" w:name="_Toc10064"/>
      <w:bookmarkStart w:id="328" w:name="_Toc23552"/>
      <w:r>
        <w:rPr>
          <w:rFonts w:hint="default" w:ascii="Times New Roman" w:hAnsi="Times New Roman" w:eastAsia="黑体" w:cs="Times New Roman"/>
          <w:b w:val="0"/>
          <w:sz w:val="24"/>
          <w:szCs w:val="24"/>
          <w:highlight w:val="none"/>
        </w:rPr>
        <w:t>1.1</w:t>
      </w:r>
      <w:r>
        <w:rPr>
          <w:rFonts w:hint="default" w:ascii="Times New Roman" w:hAnsi="Times New Roman" w:eastAsia="黑体" w:cs="Times New Roman"/>
          <w:b w:val="0"/>
          <w:sz w:val="24"/>
          <w:szCs w:val="24"/>
          <w:highlight w:val="none"/>
        </w:rPr>
        <w:tab/>
      </w:r>
      <w:r>
        <w:rPr>
          <w:rFonts w:hint="default" w:ascii="Times New Roman" w:hAnsi="Times New Roman" w:eastAsia="黑体" w:cs="Times New Roman"/>
          <w:b w:val="0"/>
          <w:sz w:val="24"/>
          <w:szCs w:val="24"/>
          <w:highlight w:val="none"/>
        </w:rPr>
        <w:t>词语定义</w:t>
      </w:r>
      <w:bookmarkEnd w:id="325"/>
      <w:bookmarkEnd w:id="326"/>
      <w:bookmarkEnd w:id="327"/>
      <w:bookmarkEnd w:id="328"/>
    </w:p>
    <w:p w14:paraId="57CAC993">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通用合同条款、专用合同条款中的下列词语应具有本款所赋予的含义。</w:t>
      </w:r>
    </w:p>
    <w:p w14:paraId="13423BA9">
      <w:pPr>
        <w:pageBreakBefore w:val="0"/>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 xml:space="preserve">1.1.1 </w:t>
      </w:r>
      <w:r>
        <w:rPr>
          <w:rFonts w:hint="default" w:ascii="Times New Roman" w:hAnsi="Times New Roman" w:eastAsia="黑体" w:cs="Times New Roman"/>
          <w:sz w:val="24"/>
          <w:highlight w:val="none"/>
        </w:rPr>
        <w:t>合同</w:t>
      </w:r>
    </w:p>
    <w:p w14:paraId="0D83E145">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1.1.1.1 合同文件（或称合同）：指合同协议书、中标通知书、投标函及投标函附录、专用合同条款、通用合同条款、技术标准和要求、图纸、已标价工程量清单，以及其他合同文件。</w:t>
      </w:r>
    </w:p>
    <w:p w14:paraId="293FD67B">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1.1.1.2 合同协议书：指第1.5款所指的合同协议书。</w:t>
      </w:r>
    </w:p>
    <w:p w14:paraId="3F9A16C9">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1.1.1.3 中标通知书：指发包人通知承包人中标的函件。</w:t>
      </w:r>
    </w:p>
    <w:p w14:paraId="530E3232">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1.1.1.4 投标函：指构成合同文件组成部分的由承包人填写并签署的投标函。</w:t>
      </w:r>
    </w:p>
    <w:p w14:paraId="4039302F">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1.1.1.5 投标函附录：指附在投标函后构成合同文件的投标函附录。</w:t>
      </w:r>
    </w:p>
    <w:p w14:paraId="192DD836">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1.1.1.6 技术标准和要求：指构成合同文件组成部分的名为技术标准和要求的文件，包括合同双方当事人约定对其所作的修改或补充。</w:t>
      </w:r>
    </w:p>
    <w:p w14:paraId="6AEC1958">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1.1.1.7 图纸：指包含在合同中的工程图纸，以及由发包人按合同约定提供的任何补充和修改的图纸，包括配套的说明。</w:t>
      </w:r>
    </w:p>
    <w:p w14:paraId="382561FE">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1.1.1.8 已标价工程量清单：指构成合同文件组成部分的由承包人按照规定的格式和要求填写并标明价格的工程量清单。</w:t>
      </w:r>
    </w:p>
    <w:p w14:paraId="4353EB65">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1.1.1.9 其他合同文件：指经合同双方当事人确认构成合同文件的其他文件。</w:t>
      </w:r>
    </w:p>
    <w:p w14:paraId="499C10E5">
      <w:pPr>
        <w:pageBreakBefore w:val="0"/>
        <w:kinsoku/>
        <w:wordWrap w:val="0"/>
        <w:bidi w:val="0"/>
        <w:spacing w:line="400" w:lineRule="atLeast"/>
        <w:ind w:firstLine="480" w:firstLineChars="200"/>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1.1.2 </w:t>
      </w:r>
      <w:r>
        <w:rPr>
          <w:rFonts w:hint="default" w:ascii="Times New Roman" w:hAnsi="Times New Roman" w:eastAsia="黑体" w:cs="Times New Roman"/>
          <w:sz w:val="24"/>
          <w:highlight w:val="none"/>
        </w:rPr>
        <w:t>合同当事人和人员</w:t>
      </w:r>
    </w:p>
    <w:p w14:paraId="598EBFC1">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1.1.2.1 合同当事人：指发包人和（或）承包人。</w:t>
      </w:r>
    </w:p>
    <w:p w14:paraId="52FADABA">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1.1.2.2 发包人：指专用合同条款中指明并与承包人在合同协议书中签字的当事人。</w:t>
      </w:r>
    </w:p>
    <w:p w14:paraId="1A5E24AC">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1.1.2.3承包人：指与发包人签订合同协议书的当事人。</w:t>
      </w:r>
    </w:p>
    <w:p w14:paraId="798B3559">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1.1.2.4承包人项目经理：指承包人派驻施工场地的全权负责人。</w:t>
      </w:r>
    </w:p>
    <w:p w14:paraId="7F25A012">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1.1.2.5分包人：指从承包人处分包合同中某一部分工程，并与其签订分包合同的分包人。</w:t>
      </w:r>
    </w:p>
    <w:p w14:paraId="48399434">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1.1.2.6监理人：指在专用合同条款中指明的，受发包人委托对合同履行实施管理的法人或其他组织。</w:t>
      </w:r>
    </w:p>
    <w:p w14:paraId="6065ACAF">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1.1.2.7总监理工程师（总监）：指由监理人委派常驻施工场地对合同履行实施管理的全权负责人。</w:t>
      </w:r>
    </w:p>
    <w:p w14:paraId="766C941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1.1.3 </w:t>
      </w:r>
      <w:r>
        <w:rPr>
          <w:rFonts w:hint="default" w:ascii="Times New Roman" w:hAnsi="Times New Roman" w:eastAsia="黑体" w:cs="Times New Roman"/>
          <w:sz w:val="24"/>
          <w:highlight w:val="none"/>
        </w:rPr>
        <w:t>工程和设备</w:t>
      </w:r>
    </w:p>
    <w:p w14:paraId="65EED010">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1.1.3.1 工程：指永久工程和（或）临时工程。</w:t>
      </w:r>
    </w:p>
    <w:p w14:paraId="53F99033">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1.1.3.2 永久工程：指按合同约定建造并移交给发包人的工程，包括工程设备。</w:t>
      </w:r>
    </w:p>
    <w:p w14:paraId="127C6672">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1.1.3.3 临时工程：指为完成合同约定的永久工程所修建的各类临时性工程，不包括施工设备。</w:t>
      </w:r>
    </w:p>
    <w:p w14:paraId="5706163C">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1.1.3.4 单位工程：指专用合同条款中指明特定范围的永久工程。</w:t>
      </w:r>
    </w:p>
    <w:p w14:paraId="3ABEE732">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1.1.3.5 工程设备：指构成或计划构成永久工程一部分的机电设备、金属结构设备、仪器装置及其他类似的设备和装置。</w:t>
      </w:r>
    </w:p>
    <w:p w14:paraId="7F830268">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1.1.3.6 施工设备：指为完成合同约定的各项工作所需的设备、器具和其他物品，不包括临时工程和材料。</w:t>
      </w:r>
    </w:p>
    <w:p w14:paraId="10829DBC">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1.1.3.7临时设施：指为完成合同约定的各项工作所服务的临时性生产和生活设施。</w:t>
      </w:r>
    </w:p>
    <w:p w14:paraId="10EBCB5A">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1.1.3.8 承包人设备：指承包人自带的施工设备。</w:t>
      </w:r>
    </w:p>
    <w:p w14:paraId="2D6AC61E">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1.1.3.9 施工场地（或称工地、现场）：指用于合同工程施工的场所，以及在合同中指定作为施工场地组成部分的其他场所，包括永久占地和临时占地。</w:t>
      </w:r>
    </w:p>
    <w:p w14:paraId="5E4C3C7B">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1.1.3.10 永久占地：指专用合同条款中指明为实施合同工程需永久占用的土地。</w:t>
      </w:r>
    </w:p>
    <w:p w14:paraId="3F05D18D">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1.1.3.11 临时占地：指专用合同条款中指明为实施合同工程需临时占用的土地。</w:t>
      </w:r>
    </w:p>
    <w:p w14:paraId="18290FC6">
      <w:pPr>
        <w:pageBreakBefore w:val="0"/>
        <w:kinsoku/>
        <w:wordWrap w:val="0"/>
        <w:bidi w:val="0"/>
        <w:spacing w:line="400" w:lineRule="atLeast"/>
        <w:ind w:firstLine="480" w:firstLineChars="200"/>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1.1.4 </w:t>
      </w:r>
      <w:r>
        <w:rPr>
          <w:rFonts w:hint="default" w:ascii="Times New Roman" w:hAnsi="Times New Roman" w:eastAsia="黑体" w:cs="Times New Roman"/>
          <w:sz w:val="24"/>
          <w:highlight w:val="none"/>
        </w:rPr>
        <w:t>日期</w:t>
      </w:r>
    </w:p>
    <w:p w14:paraId="77E101E4">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1.1.4.1 开工通知：指监理人按第11.1款通知承包人开工的函件。</w:t>
      </w:r>
    </w:p>
    <w:p w14:paraId="66A3F094">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1.1.4.2 开工日期：指监理人按第11.1款发出的开工通知中写明的开工日期。</w:t>
      </w:r>
    </w:p>
    <w:p w14:paraId="133E76A7">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1.1.4.3 工期：指承包人在投标函中承诺的完成合同工程所需的期限，包括按第11.3款、第11.4款和第11.6款约定所作的变更。</w:t>
      </w:r>
    </w:p>
    <w:p w14:paraId="42AB16E2">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1.1.4.4 竣工日期：指第1.1.4.3目约定工期届满时的日期。实际竣工日期以工程接收证书中写明的日期为准。</w:t>
      </w:r>
    </w:p>
    <w:p w14:paraId="4E4ED4C8">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1.1.4.5 缺陷责任期：指履行第19.2款约定的缺陷责任的期限，具体期限由专用合同条款约定，包括根据第19.3款约定所作的延长。</w:t>
      </w:r>
    </w:p>
    <w:p w14:paraId="5BB8E846">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1.1.4.6 基准日期：指投标截止时间前28天的日期。</w:t>
      </w:r>
    </w:p>
    <w:p w14:paraId="3210BD85">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1.1.4.7 天：除特别指明外，指日历天。合同中按天计算时间的，开始当天不计入，从次日开始计算。期限最后一天的截止时间为当天24:00。</w:t>
      </w:r>
    </w:p>
    <w:p w14:paraId="330F18F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1.1.5 </w:t>
      </w:r>
      <w:r>
        <w:rPr>
          <w:rFonts w:hint="default" w:ascii="Times New Roman" w:hAnsi="Times New Roman" w:eastAsia="黑体" w:cs="Times New Roman"/>
          <w:sz w:val="24"/>
          <w:highlight w:val="none"/>
        </w:rPr>
        <w:t>合同价格和费用</w:t>
      </w:r>
    </w:p>
    <w:p w14:paraId="3C25F7AC">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1.1.5.1 签约合同价：指签订合同时合同协议书中写明的，包括了暂列金额、暂估价的合同总金额。</w:t>
      </w:r>
    </w:p>
    <w:p w14:paraId="674EEF9F">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1.1.5.2 合同价格：指承包人按合同约定完成了包括缺陷责任期内的全部承包工作后，发包人应付给承包人的金额，包括在履行合同过程中按合同约定进行的变更和调整。</w:t>
      </w:r>
    </w:p>
    <w:p w14:paraId="73A67FE3">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1.1.5.3 费用：指为履行合同所发生的或将要发生的所有合理开支，包括管理费和应分摊的其他费用，但不包括利润。</w:t>
      </w:r>
    </w:p>
    <w:p w14:paraId="14B017ED">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1.1.5.4 暂列金额：指已标价工程量清单中所列的暂列金额，用于在签订协议书时尚未确定或不可预见变更的施工及其所需材料、工程设备、服务等的金额，包括以计日工方式支付的金额。</w:t>
      </w:r>
    </w:p>
    <w:p w14:paraId="21E43F70">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1.1.5.5暂估价：指发包人在工程量清单中给定的用于支付必然发生但暂时不能确定价格的材料、工程设备以及专业工程的金额。</w:t>
      </w:r>
    </w:p>
    <w:p w14:paraId="0D238140">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1.1.5.6 计日工：指对零星工作采取的一种计价方式，按合同中的计日工子目及其单价计价付款。</w:t>
      </w:r>
    </w:p>
    <w:p w14:paraId="77A66D89">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1.1.5.7 质量保证金（或称保留金）：指按第17.4.1项约定用于保证在缺陷责任期内履行缺陷修复义务的金额。</w:t>
      </w:r>
    </w:p>
    <w:p w14:paraId="4C20C33A">
      <w:pPr>
        <w:pageBreakBefore w:val="0"/>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 xml:space="preserve">1.1.6 </w:t>
      </w:r>
      <w:r>
        <w:rPr>
          <w:rFonts w:hint="default" w:ascii="Times New Roman" w:hAnsi="Times New Roman" w:eastAsia="黑体" w:cs="Times New Roman"/>
          <w:sz w:val="24"/>
          <w:highlight w:val="none"/>
        </w:rPr>
        <w:t>其他</w:t>
      </w:r>
    </w:p>
    <w:p w14:paraId="42AD880E">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1.1.6.1 书面形式：指合同文件、信函、电报、传真等可以有形地表现所载内容的形式。</w:t>
      </w:r>
    </w:p>
    <w:p w14:paraId="7CC3FE73">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329" w:name="_Toc234832969"/>
      <w:bookmarkStart w:id="330" w:name="_Toc22350"/>
      <w:bookmarkStart w:id="331" w:name="_Toc11933"/>
      <w:bookmarkStart w:id="332" w:name="_Toc25135"/>
      <w:r>
        <w:rPr>
          <w:rFonts w:hint="default" w:ascii="Times New Roman" w:hAnsi="Times New Roman" w:eastAsia="黑体" w:cs="Times New Roman"/>
          <w:b w:val="0"/>
          <w:sz w:val="24"/>
          <w:szCs w:val="24"/>
          <w:highlight w:val="none"/>
        </w:rPr>
        <w:t>1.2 语言文字</w:t>
      </w:r>
      <w:bookmarkEnd w:id="329"/>
      <w:bookmarkEnd w:id="330"/>
      <w:bookmarkEnd w:id="331"/>
      <w:bookmarkEnd w:id="332"/>
    </w:p>
    <w:p w14:paraId="2288458B">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除专用术语外，合同使用的语言文字为中文。必要时专用术语应附有中文注释。</w:t>
      </w:r>
    </w:p>
    <w:p w14:paraId="7FB5F16B">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333" w:name="_Toc8637"/>
      <w:bookmarkStart w:id="334" w:name="_Toc13856"/>
      <w:bookmarkStart w:id="335" w:name="_Toc234832970"/>
      <w:bookmarkStart w:id="336" w:name="_Toc19788"/>
      <w:r>
        <w:rPr>
          <w:rFonts w:hint="default" w:ascii="Times New Roman" w:hAnsi="Times New Roman" w:eastAsia="黑体" w:cs="Times New Roman"/>
          <w:b w:val="0"/>
          <w:sz w:val="24"/>
          <w:szCs w:val="24"/>
          <w:highlight w:val="none"/>
        </w:rPr>
        <w:t>1.3 法律</w:t>
      </w:r>
      <w:bookmarkEnd w:id="333"/>
      <w:bookmarkEnd w:id="334"/>
      <w:bookmarkEnd w:id="335"/>
      <w:bookmarkEnd w:id="336"/>
    </w:p>
    <w:p w14:paraId="03654CE5">
      <w:pPr>
        <w:pageBreakBefore w:val="0"/>
        <w:tabs>
          <w:tab w:val="left" w:pos="7020"/>
        </w:tabs>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适用于合同的法律包括中华人民共和国法律、行政法规、部门规章，以及工程所在地的地方法规、自治条例、单行条例和地方政府规章。</w:t>
      </w:r>
    </w:p>
    <w:p w14:paraId="09B24CE7">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337" w:name="_Toc234832971"/>
      <w:bookmarkStart w:id="338" w:name="_Toc9336"/>
      <w:bookmarkStart w:id="339" w:name="_Toc20508"/>
      <w:bookmarkStart w:id="340" w:name="_Toc8196"/>
      <w:r>
        <w:rPr>
          <w:rFonts w:hint="default" w:ascii="Times New Roman" w:hAnsi="Times New Roman" w:eastAsia="黑体" w:cs="Times New Roman"/>
          <w:b w:val="0"/>
          <w:sz w:val="24"/>
          <w:szCs w:val="24"/>
          <w:highlight w:val="none"/>
        </w:rPr>
        <w:t>1.4 合同文件的优先顺序</w:t>
      </w:r>
      <w:bookmarkEnd w:id="337"/>
      <w:bookmarkEnd w:id="338"/>
      <w:bookmarkEnd w:id="339"/>
      <w:bookmarkEnd w:id="340"/>
    </w:p>
    <w:p w14:paraId="6C5FEF37">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组成合同的各项文件应互相解释，互为说明。除专用合同条款另有约定外，解释合同文件的优先顺序如下：</w:t>
      </w:r>
    </w:p>
    <w:p w14:paraId="1FD888A7">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（1）合同协议书；</w:t>
      </w:r>
    </w:p>
    <w:p w14:paraId="44EE341F">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（2）中标通知书；</w:t>
      </w:r>
    </w:p>
    <w:p w14:paraId="5D12A73F">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（3）投标函及投标函附录；</w:t>
      </w:r>
    </w:p>
    <w:p w14:paraId="2DF97A49">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（4）专用合同条款；</w:t>
      </w:r>
    </w:p>
    <w:p w14:paraId="50FC8C87">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（5）通用合同条款；</w:t>
      </w:r>
    </w:p>
    <w:p w14:paraId="7913BCB7">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（6）技术标准和要求；</w:t>
      </w:r>
    </w:p>
    <w:p w14:paraId="62D4D354">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（7）图纸；</w:t>
      </w:r>
    </w:p>
    <w:p w14:paraId="6B9A7A0E">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（8）已标价工程量清单；</w:t>
      </w:r>
    </w:p>
    <w:p w14:paraId="1B6726CB">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（9）其他合同文件。     </w:t>
      </w:r>
    </w:p>
    <w:p w14:paraId="2C7D6664">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341" w:name="_Toc234832972"/>
      <w:bookmarkStart w:id="342" w:name="_Toc961"/>
      <w:bookmarkStart w:id="343" w:name="_Toc29563"/>
      <w:bookmarkStart w:id="344" w:name="_Toc7240"/>
      <w:r>
        <w:rPr>
          <w:rFonts w:hint="default" w:ascii="Times New Roman" w:hAnsi="Times New Roman" w:eastAsia="黑体" w:cs="Times New Roman"/>
          <w:b w:val="0"/>
          <w:sz w:val="24"/>
          <w:szCs w:val="24"/>
          <w:highlight w:val="none"/>
        </w:rPr>
        <w:t>1.5 合同协议书</w:t>
      </w:r>
      <w:bookmarkEnd w:id="341"/>
      <w:bookmarkEnd w:id="342"/>
      <w:bookmarkEnd w:id="343"/>
      <w:bookmarkEnd w:id="344"/>
    </w:p>
    <w:p w14:paraId="456F6C69">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承包人按中标通知书规定的时间与发包人签订合同协议书。除法律另有规定或合同另有约定外，发包人和承包人的法定代表人或其委托代理人在合同协议书上签字并盖单位章后，合同生效。</w:t>
      </w:r>
    </w:p>
    <w:p w14:paraId="796FFC80">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345" w:name="_Toc18684"/>
      <w:bookmarkStart w:id="346" w:name="_Toc27269"/>
      <w:bookmarkStart w:id="347" w:name="_Toc30819"/>
      <w:bookmarkStart w:id="348" w:name="_Toc234832973"/>
      <w:r>
        <w:rPr>
          <w:rFonts w:hint="default" w:ascii="Times New Roman" w:hAnsi="Times New Roman" w:eastAsia="黑体" w:cs="Times New Roman"/>
          <w:b w:val="0"/>
          <w:sz w:val="24"/>
          <w:szCs w:val="24"/>
          <w:highlight w:val="none"/>
        </w:rPr>
        <w:t>1.6 图纸和承包人文件</w:t>
      </w:r>
      <w:bookmarkEnd w:id="345"/>
      <w:bookmarkEnd w:id="346"/>
      <w:bookmarkEnd w:id="347"/>
      <w:bookmarkEnd w:id="348"/>
    </w:p>
    <w:p w14:paraId="728D5CB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1.6.1 </w:t>
      </w:r>
      <w:r>
        <w:rPr>
          <w:rFonts w:hint="default" w:ascii="Times New Roman" w:hAnsi="Times New Roman" w:eastAsia="黑体" w:cs="Times New Roman"/>
          <w:sz w:val="24"/>
          <w:highlight w:val="none"/>
        </w:rPr>
        <w:t>图纸的提供</w:t>
      </w:r>
    </w:p>
    <w:p w14:paraId="733042AA">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除专用合同条款另有约定外，图纸应在合理的期限内按照合同约定的数量提供给承包人。由于发包人未按时提供图纸造成工期延误的，按第11.3款的约定办理。</w:t>
      </w:r>
    </w:p>
    <w:p w14:paraId="5097B450">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1.6.2</w:t>
      </w:r>
      <w:r>
        <w:rPr>
          <w:rFonts w:hint="default" w:ascii="Times New Roman" w:hAnsi="Times New Roman" w:eastAsia="黑体" w:cs="Times New Roman"/>
          <w:sz w:val="24"/>
          <w:highlight w:val="none"/>
        </w:rPr>
        <w:t xml:space="preserve"> 承包人提供的文件</w:t>
      </w:r>
    </w:p>
    <w:p w14:paraId="3D8CAF94">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按专用合同条款约定由承包人提供的文件，包括部分工程的大样图、加工图等，承包人应按约定的数量和期限报送监理人。监理人应在专用合同条款约定的期限内批复。</w:t>
      </w:r>
    </w:p>
    <w:p w14:paraId="000BB5E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1.6.3 </w:t>
      </w:r>
      <w:r>
        <w:rPr>
          <w:rFonts w:hint="default" w:ascii="Times New Roman" w:hAnsi="Times New Roman" w:eastAsia="黑体" w:cs="Times New Roman"/>
          <w:sz w:val="24"/>
          <w:highlight w:val="none"/>
        </w:rPr>
        <w:t>图纸的修改</w:t>
      </w:r>
    </w:p>
    <w:p w14:paraId="027EC514">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图纸需要修改和补充的，应由监理人取得发包人同意后，在该工程或工程相应部位施工前的合理期限内签发图纸修改图给承包人，具体签发期限在专用合同条款中约定。承包人应按修改后的图纸施工。</w:t>
      </w:r>
    </w:p>
    <w:p w14:paraId="5EDDD6CB">
      <w:pPr>
        <w:pageBreakBefore w:val="0"/>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 xml:space="preserve">1.6.4 </w:t>
      </w:r>
      <w:r>
        <w:rPr>
          <w:rFonts w:hint="default" w:ascii="Times New Roman" w:hAnsi="Times New Roman" w:eastAsia="黑体" w:cs="Times New Roman"/>
          <w:sz w:val="24"/>
          <w:highlight w:val="none"/>
        </w:rPr>
        <w:t>图纸的错误</w:t>
      </w:r>
    </w:p>
    <w:p w14:paraId="60C8FB77">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承包人发现发包人提供的图纸存在明显错误或疏忽，应及时通知监理人。</w:t>
      </w:r>
    </w:p>
    <w:p w14:paraId="6BEAE782">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1.6.5</w:t>
      </w:r>
      <w:r>
        <w:rPr>
          <w:rFonts w:hint="default" w:ascii="Times New Roman" w:hAnsi="Times New Roman" w:eastAsia="黑体" w:cs="Times New Roman"/>
          <w:sz w:val="24"/>
          <w:highlight w:val="none"/>
        </w:rPr>
        <w:t xml:space="preserve"> 图纸和承包人文件的保管</w:t>
      </w:r>
    </w:p>
    <w:p w14:paraId="070952BF">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监理人和承包人均应在施工场地各保存一套完整的包含第1.6.1项、第1.6.2项、第1.6.3项约定内容的图纸和承包人文件。</w:t>
      </w:r>
    </w:p>
    <w:p w14:paraId="1DD51110">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349" w:name="_Toc3784"/>
      <w:bookmarkStart w:id="350" w:name="_Toc234832974"/>
      <w:bookmarkStart w:id="351" w:name="_Toc3785"/>
      <w:bookmarkStart w:id="352" w:name="_Toc20305"/>
      <w:r>
        <w:rPr>
          <w:rFonts w:hint="default" w:ascii="Times New Roman" w:hAnsi="Times New Roman" w:eastAsia="黑体" w:cs="Times New Roman"/>
          <w:b w:val="0"/>
          <w:sz w:val="24"/>
          <w:szCs w:val="24"/>
          <w:highlight w:val="none"/>
        </w:rPr>
        <w:t>1.7 联络</w:t>
      </w:r>
      <w:bookmarkEnd w:id="349"/>
      <w:bookmarkEnd w:id="350"/>
      <w:bookmarkEnd w:id="351"/>
      <w:bookmarkEnd w:id="352"/>
    </w:p>
    <w:p w14:paraId="34E2335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1.7.1 与合同有关的通知、批准、证明、证书、指示、要求、请求、同意、意见、确定和决定等，均应采用书面形式。</w:t>
      </w:r>
    </w:p>
    <w:p w14:paraId="4DAAAAD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1.7.2 第1.7.1项中的通知、批准、证明、证书、指示、要求、请求、同意、意见、确定和决定等来往函件，均应在合同约定的期限内送达指定地点和接收人，并办理签收手续。</w:t>
      </w:r>
    </w:p>
    <w:p w14:paraId="3C819FC9">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353" w:name="_Toc162"/>
      <w:bookmarkStart w:id="354" w:name="_Toc13094"/>
      <w:bookmarkStart w:id="355" w:name="_Toc15118"/>
      <w:bookmarkStart w:id="356" w:name="_Toc234832975"/>
      <w:r>
        <w:rPr>
          <w:rFonts w:hint="default" w:ascii="Times New Roman" w:hAnsi="Times New Roman" w:eastAsia="黑体" w:cs="Times New Roman"/>
          <w:b w:val="0"/>
          <w:sz w:val="24"/>
          <w:szCs w:val="24"/>
          <w:highlight w:val="none"/>
        </w:rPr>
        <w:t>1.8 转让</w:t>
      </w:r>
      <w:bookmarkEnd w:id="353"/>
      <w:bookmarkEnd w:id="354"/>
      <w:bookmarkEnd w:id="355"/>
      <w:bookmarkEnd w:id="356"/>
    </w:p>
    <w:p w14:paraId="432246AC">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除合同另有约定外，未经对方当事人同意，一方当事人不得将合同权利全部或部分转让给第三人，也不得全部或部分转移合同义务。</w:t>
      </w:r>
    </w:p>
    <w:p w14:paraId="74813D14">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357" w:name="_Toc24262"/>
      <w:bookmarkStart w:id="358" w:name="_Toc6228"/>
      <w:bookmarkStart w:id="359" w:name="_Toc14631"/>
      <w:bookmarkStart w:id="360" w:name="_Toc234832976"/>
      <w:r>
        <w:rPr>
          <w:rFonts w:hint="default" w:ascii="Times New Roman" w:hAnsi="Times New Roman" w:eastAsia="黑体" w:cs="Times New Roman"/>
          <w:b w:val="0"/>
          <w:sz w:val="24"/>
          <w:szCs w:val="24"/>
          <w:highlight w:val="none"/>
        </w:rPr>
        <w:t>1.9 严禁贿赂</w:t>
      </w:r>
      <w:bookmarkEnd w:id="357"/>
      <w:bookmarkEnd w:id="358"/>
      <w:bookmarkEnd w:id="359"/>
      <w:bookmarkEnd w:id="360"/>
    </w:p>
    <w:p w14:paraId="73F8C563">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合同双方当事人不得以贿赂或变相贿赂的方式，谋取不当利益或损害对方权益。因贿赂造成对方损失的，行为人应赔偿损失，并承担相应的法律责任。</w:t>
      </w:r>
    </w:p>
    <w:p w14:paraId="158311ED">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361" w:name="_Toc5924"/>
      <w:bookmarkStart w:id="362" w:name="_Toc234832977"/>
      <w:bookmarkStart w:id="363" w:name="_Toc28929"/>
      <w:bookmarkStart w:id="364" w:name="_Toc3037"/>
      <w:r>
        <w:rPr>
          <w:rFonts w:hint="default" w:ascii="Times New Roman" w:hAnsi="Times New Roman" w:eastAsia="黑体" w:cs="Times New Roman"/>
          <w:b w:val="0"/>
          <w:sz w:val="24"/>
          <w:szCs w:val="24"/>
          <w:highlight w:val="none"/>
        </w:rPr>
        <w:t>1.10 化石、文物</w:t>
      </w:r>
      <w:bookmarkEnd w:id="361"/>
      <w:bookmarkEnd w:id="362"/>
      <w:bookmarkEnd w:id="363"/>
      <w:bookmarkEnd w:id="364"/>
    </w:p>
    <w:p w14:paraId="2434E005">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1.10.1 在施工场地发掘的所有文物、古迹以及具有地质研究或考古价值的其他遗迹、化石、钱币或物品属于国家所有。一旦发现上述文物，承包人应采取有效合理的保护措施，防止任何人员移动或损坏上述物品，并立即报告当地文物行政部门，同时通知监理人。发包人、监理人和承包人应按文物行政部门要求采取妥善保护措施，由此导致费用增加和（或）工期延误由发包人承担。</w:t>
      </w:r>
    </w:p>
    <w:p w14:paraId="5E803FEE">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1.10.2 承包人发现文物后不及时报告或隐瞒不报，致使文物丢失或损坏的，应赔偿损失，并承担相应的法律责任。</w:t>
      </w:r>
    </w:p>
    <w:p w14:paraId="0DB71975">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365" w:name="_Toc234832978"/>
      <w:bookmarkStart w:id="366" w:name="_Toc24599"/>
      <w:bookmarkStart w:id="367" w:name="_Toc14824"/>
      <w:bookmarkStart w:id="368" w:name="_Toc7504"/>
      <w:r>
        <w:rPr>
          <w:rFonts w:hint="default" w:ascii="Times New Roman" w:hAnsi="Times New Roman" w:eastAsia="黑体" w:cs="Times New Roman"/>
          <w:b w:val="0"/>
          <w:sz w:val="24"/>
          <w:szCs w:val="24"/>
          <w:highlight w:val="none"/>
        </w:rPr>
        <w:t>1.11 专利技术</w:t>
      </w:r>
      <w:bookmarkEnd w:id="365"/>
      <w:bookmarkEnd w:id="366"/>
      <w:bookmarkEnd w:id="367"/>
      <w:bookmarkEnd w:id="368"/>
    </w:p>
    <w:p w14:paraId="7D14BB24">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1.11.1 承包人在使用任何材料、承包人设备、工程设备或采用施工工艺时，因侵犯专利权或其他知识产权所引起的责任，由承包人承担，但由于遵照发包人提供的设计或技术标准和要求引起的除外。</w:t>
      </w:r>
    </w:p>
    <w:p w14:paraId="4422B69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1.11.2 承包人在投标文件中采用专利技术的，专利技术的使用费包含在投标报价内。</w:t>
      </w:r>
    </w:p>
    <w:p w14:paraId="20F0EF8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1.11.3 承包人的技术秘密和声明需要保密的资料和信息，发包人和监理人不得为合同以外的目的泄露给他人。</w:t>
      </w:r>
    </w:p>
    <w:p w14:paraId="6F9C026E">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369" w:name="_Toc963"/>
      <w:bookmarkStart w:id="370" w:name="_Toc234832979"/>
      <w:bookmarkStart w:id="371" w:name="_Toc29843"/>
      <w:bookmarkStart w:id="372" w:name="_Toc21941"/>
      <w:r>
        <w:rPr>
          <w:rFonts w:hint="default" w:ascii="Times New Roman" w:hAnsi="Times New Roman" w:eastAsia="黑体" w:cs="Times New Roman"/>
          <w:b w:val="0"/>
          <w:sz w:val="24"/>
          <w:szCs w:val="24"/>
          <w:highlight w:val="none"/>
        </w:rPr>
        <w:t>1.12 图纸和文件的保密</w:t>
      </w:r>
      <w:bookmarkEnd w:id="369"/>
      <w:bookmarkEnd w:id="370"/>
      <w:bookmarkEnd w:id="371"/>
      <w:bookmarkEnd w:id="372"/>
    </w:p>
    <w:p w14:paraId="5024F531">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1.12.1 发包人提供的图纸和文件，未经发包人同意，承包人不得为合同以外的目的泄露给他人或公开发表与引用。</w:t>
      </w:r>
    </w:p>
    <w:p w14:paraId="2804E65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1.12.2 承包人提供的文件，未经承包人同意，发包人和监理人不得为合同以外的目的泄露给他人或公开发表与引用。</w:t>
      </w:r>
    </w:p>
    <w:p w14:paraId="30C9DCC7">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373" w:name="_Toc28964"/>
      <w:bookmarkStart w:id="374" w:name="_Toc1844"/>
      <w:bookmarkStart w:id="375" w:name="_Toc234832980"/>
      <w:bookmarkStart w:id="376" w:name="_Toc2725"/>
      <w:r>
        <w:rPr>
          <w:rFonts w:hint="default" w:ascii="Times New Roman" w:hAnsi="Times New Roman" w:eastAsia="黑体" w:cs="Times New Roman"/>
          <w:b w:val="0"/>
          <w:sz w:val="28"/>
          <w:szCs w:val="28"/>
          <w:highlight w:val="none"/>
        </w:rPr>
        <w:t>2. 发包人义务</w:t>
      </w:r>
      <w:bookmarkEnd w:id="373"/>
      <w:bookmarkEnd w:id="374"/>
      <w:bookmarkEnd w:id="375"/>
      <w:bookmarkEnd w:id="376"/>
    </w:p>
    <w:p w14:paraId="083ACDD6">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377" w:name="_Toc9101"/>
      <w:bookmarkStart w:id="378" w:name="_Toc234832981"/>
      <w:bookmarkStart w:id="379" w:name="_Toc25606"/>
      <w:bookmarkStart w:id="380" w:name="_Toc16373"/>
      <w:r>
        <w:rPr>
          <w:rFonts w:hint="default" w:ascii="Times New Roman" w:hAnsi="Times New Roman" w:eastAsia="黑体" w:cs="Times New Roman"/>
          <w:b w:val="0"/>
          <w:sz w:val="24"/>
          <w:szCs w:val="24"/>
          <w:highlight w:val="none"/>
        </w:rPr>
        <w:t>2.1 遵守法律</w:t>
      </w:r>
      <w:bookmarkEnd w:id="377"/>
      <w:bookmarkEnd w:id="378"/>
      <w:bookmarkEnd w:id="379"/>
      <w:bookmarkEnd w:id="380"/>
    </w:p>
    <w:p w14:paraId="1D221DE4">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发包人在履行合同过程中应遵守法律，并保证承包人免于承担因发包人违反法律而引起的任何责任。</w:t>
      </w:r>
    </w:p>
    <w:p w14:paraId="212C9889">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381" w:name="_Toc234832982"/>
      <w:bookmarkStart w:id="382" w:name="_Toc31599"/>
      <w:bookmarkStart w:id="383" w:name="_Toc19902"/>
      <w:bookmarkStart w:id="384" w:name="_Toc23081"/>
      <w:r>
        <w:rPr>
          <w:rFonts w:hint="default" w:ascii="Times New Roman" w:hAnsi="Times New Roman" w:eastAsia="黑体" w:cs="Times New Roman"/>
          <w:b w:val="0"/>
          <w:sz w:val="24"/>
          <w:szCs w:val="24"/>
          <w:highlight w:val="none"/>
        </w:rPr>
        <w:t>2.2 发出开工通知</w:t>
      </w:r>
      <w:bookmarkEnd w:id="381"/>
      <w:bookmarkEnd w:id="382"/>
      <w:bookmarkEnd w:id="383"/>
      <w:bookmarkEnd w:id="384"/>
    </w:p>
    <w:p w14:paraId="281C3115">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发包人应委托监理人按第11.1款的约定向承包人发出开工通知。</w:t>
      </w:r>
    </w:p>
    <w:p w14:paraId="6F8E8710">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385" w:name="_Toc12076"/>
      <w:bookmarkStart w:id="386" w:name="_Toc31123"/>
      <w:bookmarkStart w:id="387" w:name="_Toc12327"/>
      <w:bookmarkStart w:id="388" w:name="_Toc234832983"/>
      <w:r>
        <w:rPr>
          <w:rFonts w:hint="default" w:ascii="Times New Roman" w:hAnsi="Times New Roman" w:eastAsia="黑体" w:cs="Times New Roman"/>
          <w:b w:val="0"/>
          <w:sz w:val="24"/>
          <w:szCs w:val="24"/>
          <w:highlight w:val="none"/>
        </w:rPr>
        <w:t>2.3 提供施工场地</w:t>
      </w:r>
      <w:bookmarkEnd w:id="385"/>
      <w:bookmarkEnd w:id="386"/>
      <w:bookmarkEnd w:id="387"/>
      <w:bookmarkEnd w:id="388"/>
    </w:p>
    <w:p w14:paraId="0B771463">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发包人应按专用合同条款约定向承包人提供施工场地，以及施工场地内地下管线和地下设施等有关资料，并保证资料的真实、准确、完整。</w:t>
      </w:r>
    </w:p>
    <w:p w14:paraId="0A1264F9">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389" w:name="_Toc15886"/>
      <w:bookmarkStart w:id="390" w:name="_Toc234832984"/>
      <w:bookmarkStart w:id="391" w:name="_Toc24303"/>
      <w:bookmarkStart w:id="392" w:name="_Toc12372"/>
      <w:r>
        <w:rPr>
          <w:rFonts w:hint="default" w:ascii="Times New Roman" w:hAnsi="Times New Roman" w:eastAsia="黑体" w:cs="Times New Roman"/>
          <w:b w:val="0"/>
          <w:sz w:val="24"/>
          <w:szCs w:val="24"/>
          <w:highlight w:val="none"/>
        </w:rPr>
        <w:t>2.4 协助承包人办理证件和批件</w:t>
      </w:r>
      <w:bookmarkEnd w:id="389"/>
      <w:bookmarkEnd w:id="390"/>
      <w:bookmarkEnd w:id="391"/>
      <w:bookmarkEnd w:id="392"/>
    </w:p>
    <w:p w14:paraId="599B9F61">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发包人应协助承包人办理法律规定的有关施工证件和批件。</w:t>
      </w:r>
    </w:p>
    <w:p w14:paraId="0BE9B2F9">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393" w:name="_Toc31489"/>
      <w:bookmarkStart w:id="394" w:name="_Toc6781"/>
      <w:bookmarkStart w:id="395" w:name="_Toc2840"/>
      <w:bookmarkStart w:id="396" w:name="_Toc234832985"/>
      <w:r>
        <w:rPr>
          <w:rFonts w:hint="default" w:ascii="Times New Roman" w:hAnsi="Times New Roman" w:eastAsia="黑体" w:cs="Times New Roman"/>
          <w:b w:val="0"/>
          <w:sz w:val="24"/>
          <w:szCs w:val="24"/>
          <w:highlight w:val="none"/>
        </w:rPr>
        <w:t>2.5 组织设计交底</w:t>
      </w:r>
      <w:bookmarkEnd w:id="393"/>
      <w:bookmarkEnd w:id="394"/>
      <w:bookmarkEnd w:id="395"/>
      <w:bookmarkEnd w:id="396"/>
    </w:p>
    <w:p w14:paraId="25CC55EC">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发包人应根据合同进度计划，组织设计单位向承包人进行设计交底。</w:t>
      </w:r>
    </w:p>
    <w:p w14:paraId="7ECE6250">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397" w:name="_Toc234832986"/>
      <w:bookmarkStart w:id="398" w:name="_Toc15709"/>
      <w:bookmarkStart w:id="399" w:name="_Toc2788"/>
      <w:bookmarkStart w:id="400" w:name="_Toc15757"/>
      <w:r>
        <w:rPr>
          <w:rFonts w:hint="default" w:ascii="Times New Roman" w:hAnsi="Times New Roman" w:eastAsia="黑体" w:cs="Times New Roman"/>
          <w:b w:val="0"/>
          <w:sz w:val="24"/>
          <w:szCs w:val="24"/>
          <w:highlight w:val="none"/>
        </w:rPr>
        <w:t>2.6 支付合同价款</w:t>
      </w:r>
      <w:bookmarkEnd w:id="397"/>
      <w:bookmarkEnd w:id="398"/>
      <w:bookmarkEnd w:id="399"/>
      <w:bookmarkEnd w:id="400"/>
    </w:p>
    <w:p w14:paraId="200EF5BE">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发包人应按合同约定向承包人及时支付合同价款。</w:t>
      </w:r>
    </w:p>
    <w:p w14:paraId="02B93064">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401" w:name="_Toc8246"/>
      <w:bookmarkStart w:id="402" w:name="_Toc1813"/>
      <w:bookmarkStart w:id="403" w:name="_Toc234832987"/>
      <w:bookmarkStart w:id="404" w:name="_Toc22"/>
      <w:r>
        <w:rPr>
          <w:rFonts w:hint="default" w:ascii="Times New Roman" w:hAnsi="Times New Roman" w:eastAsia="黑体" w:cs="Times New Roman"/>
          <w:b w:val="0"/>
          <w:sz w:val="24"/>
          <w:szCs w:val="24"/>
          <w:highlight w:val="none"/>
        </w:rPr>
        <w:t>2.7 组织竣工验收</w:t>
      </w:r>
      <w:bookmarkEnd w:id="401"/>
      <w:bookmarkEnd w:id="402"/>
      <w:bookmarkEnd w:id="403"/>
      <w:bookmarkEnd w:id="404"/>
    </w:p>
    <w:p w14:paraId="66F90F75">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发包人应按合同约定及时组织竣工验收。</w:t>
      </w:r>
    </w:p>
    <w:p w14:paraId="27D33F61">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405" w:name="_Toc234832988"/>
      <w:bookmarkStart w:id="406" w:name="_Toc28321"/>
      <w:bookmarkStart w:id="407" w:name="_Toc4891"/>
      <w:bookmarkStart w:id="408" w:name="_Toc16971"/>
      <w:r>
        <w:rPr>
          <w:rFonts w:hint="default" w:ascii="Times New Roman" w:hAnsi="Times New Roman" w:eastAsia="黑体" w:cs="Times New Roman"/>
          <w:b w:val="0"/>
          <w:sz w:val="24"/>
          <w:szCs w:val="24"/>
          <w:highlight w:val="none"/>
        </w:rPr>
        <w:t>2.8 其他义务</w:t>
      </w:r>
      <w:bookmarkEnd w:id="405"/>
      <w:bookmarkEnd w:id="406"/>
      <w:bookmarkEnd w:id="407"/>
      <w:bookmarkEnd w:id="408"/>
    </w:p>
    <w:p w14:paraId="56962E9C">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发包人应履行合同约定的其他义务。</w:t>
      </w:r>
    </w:p>
    <w:p w14:paraId="07C1CF9E">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409" w:name="_Toc17017"/>
      <w:bookmarkStart w:id="410" w:name="_Toc234832989"/>
      <w:bookmarkStart w:id="411" w:name="_Toc11915"/>
      <w:bookmarkStart w:id="412" w:name="_Toc22971"/>
      <w:r>
        <w:rPr>
          <w:rFonts w:hint="default" w:ascii="Times New Roman" w:hAnsi="Times New Roman" w:eastAsia="黑体" w:cs="Times New Roman"/>
          <w:b w:val="0"/>
          <w:sz w:val="28"/>
          <w:szCs w:val="28"/>
          <w:highlight w:val="none"/>
        </w:rPr>
        <w:t>3. 监理人</w:t>
      </w:r>
      <w:bookmarkEnd w:id="409"/>
      <w:bookmarkEnd w:id="410"/>
      <w:bookmarkEnd w:id="411"/>
      <w:bookmarkEnd w:id="412"/>
    </w:p>
    <w:p w14:paraId="135030BE">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413" w:name="_Toc234832990"/>
      <w:bookmarkStart w:id="414" w:name="_Toc6610"/>
      <w:bookmarkStart w:id="415" w:name="_Toc16801"/>
      <w:bookmarkStart w:id="416" w:name="_Toc25272"/>
      <w:r>
        <w:rPr>
          <w:rFonts w:hint="default" w:ascii="Times New Roman" w:hAnsi="Times New Roman" w:eastAsia="黑体" w:cs="Times New Roman"/>
          <w:b w:val="0"/>
          <w:sz w:val="24"/>
          <w:szCs w:val="24"/>
          <w:highlight w:val="none"/>
        </w:rPr>
        <w:t>3.1 监理人的职责和权力</w:t>
      </w:r>
      <w:bookmarkEnd w:id="413"/>
      <w:bookmarkEnd w:id="414"/>
      <w:bookmarkEnd w:id="415"/>
      <w:bookmarkEnd w:id="416"/>
      <w:r>
        <w:rPr>
          <w:rFonts w:hint="default" w:ascii="Times New Roman" w:hAnsi="Times New Roman" w:eastAsia="黑体" w:cs="Times New Roman"/>
          <w:b w:val="0"/>
          <w:sz w:val="24"/>
          <w:szCs w:val="24"/>
          <w:highlight w:val="none"/>
        </w:rPr>
        <w:t xml:space="preserve"> </w:t>
      </w:r>
    </w:p>
    <w:p w14:paraId="206BE50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3.1.1 监理人受发包人委托，享有合同约定的权力。监理人在行使某项权力前需要经发包人事先批准而通用合同条款没有指明的，应在专用合同条款中指明。</w:t>
      </w:r>
    </w:p>
    <w:p w14:paraId="29FA6CA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3.1.2 监理人发出的任何指示应视为已得到发包人的批准，但监理人无权免除或变更合同约定的发包人和承包人的权利、义务和责任。</w:t>
      </w:r>
    </w:p>
    <w:p w14:paraId="5ACDF42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3.1.3 合同约定应由承包人承担的义务和责任，不因监理人对承包人提交文件的审查或批准，对工程、材料和设备的检查和检验，以及为实施监理作出的指示等职务行为而减轻或解除。</w:t>
      </w:r>
    </w:p>
    <w:p w14:paraId="4EA5CE26">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417" w:name="_Toc4457"/>
      <w:bookmarkStart w:id="418" w:name="_Toc8960"/>
      <w:bookmarkStart w:id="419" w:name="_Toc234832991"/>
      <w:bookmarkStart w:id="420" w:name="_Toc26"/>
      <w:r>
        <w:rPr>
          <w:rFonts w:hint="default" w:ascii="Times New Roman" w:hAnsi="Times New Roman" w:eastAsia="黑体" w:cs="Times New Roman"/>
          <w:b w:val="0"/>
          <w:sz w:val="24"/>
          <w:szCs w:val="24"/>
          <w:highlight w:val="none"/>
        </w:rPr>
        <w:t>3.2 总监理工程师</w:t>
      </w:r>
      <w:bookmarkEnd w:id="417"/>
      <w:bookmarkEnd w:id="418"/>
      <w:bookmarkEnd w:id="419"/>
      <w:bookmarkEnd w:id="420"/>
    </w:p>
    <w:p w14:paraId="681F60C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发包人应在发出开工通知前将总监理工程师的任命通知承包人。总监理工程师更换时，应在调离14天前通知承包人。总监理工程师短期离开施工场地的，应委派代表代行其职责，并通知承包人。</w:t>
      </w:r>
    </w:p>
    <w:p w14:paraId="5D3208C9">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421" w:name="_Toc26577"/>
      <w:bookmarkStart w:id="422" w:name="_Toc234832992"/>
      <w:bookmarkStart w:id="423" w:name="_Toc31044"/>
      <w:bookmarkStart w:id="424" w:name="_Toc2208"/>
      <w:r>
        <w:rPr>
          <w:rFonts w:hint="default" w:ascii="Times New Roman" w:hAnsi="Times New Roman" w:eastAsia="黑体" w:cs="Times New Roman"/>
          <w:b w:val="0"/>
          <w:sz w:val="24"/>
          <w:szCs w:val="24"/>
          <w:highlight w:val="none"/>
        </w:rPr>
        <w:t>3.3 监理人员</w:t>
      </w:r>
      <w:bookmarkEnd w:id="421"/>
      <w:bookmarkEnd w:id="422"/>
      <w:bookmarkEnd w:id="423"/>
      <w:bookmarkEnd w:id="424"/>
    </w:p>
    <w:p w14:paraId="566EE89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3.3.1 总监理工程师可以授权其他监理人员负责执行其指派的一项或多项监理工作。总监理工程师应将被授权监理人员的姓名及其授权范围通知承包人。被授权的监理人员在授权范围内发出的指示视为已得到总监理工程师的同意，与总监理工程师发出的指示具有同等效力。总监理工程师撤销某项授权时，应将撤销授权的决定及时通知承包人。</w:t>
      </w:r>
    </w:p>
    <w:p w14:paraId="7E9D6FA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3.3.2 监理人员对承包人的任何工作、工程或其采用的材料和工程设备未在约定的或合理的期限内提出否定意见的，视为已获批准，但不影响监理人在以后拒绝该项工作、工程、材料或工程设备的权利。</w:t>
      </w:r>
    </w:p>
    <w:p w14:paraId="6888F9A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3.3.3 承包人对总监理工程师授权的监理人员发出的指示有疑问的，可向总监理工程师提出书面异议，总监理工程师应在48小时内对该指示予以确认、更改或撤销。</w:t>
      </w:r>
    </w:p>
    <w:p w14:paraId="451E2CD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3.3.4 除专用合同条款另有约定外，总监理工程师不应将第3.5款约定应由总监理工程师作出确定的权力授权或委托给其他监理人员。</w:t>
      </w:r>
    </w:p>
    <w:p w14:paraId="7C9FD0D6">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425" w:name="_Toc30399"/>
      <w:bookmarkStart w:id="426" w:name="_Toc31668"/>
      <w:bookmarkStart w:id="427" w:name="_Toc234832993"/>
      <w:bookmarkStart w:id="428" w:name="_Toc12482"/>
      <w:r>
        <w:rPr>
          <w:rFonts w:hint="default" w:ascii="Times New Roman" w:hAnsi="Times New Roman" w:eastAsia="黑体" w:cs="Times New Roman"/>
          <w:b w:val="0"/>
          <w:sz w:val="24"/>
          <w:szCs w:val="24"/>
          <w:highlight w:val="none"/>
        </w:rPr>
        <w:t>3.4 监理人的指示</w:t>
      </w:r>
      <w:bookmarkEnd w:id="425"/>
      <w:bookmarkEnd w:id="426"/>
      <w:bookmarkEnd w:id="427"/>
      <w:bookmarkEnd w:id="428"/>
    </w:p>
    <w:p w14:paraId="71FD4E5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3.4.1 监理人应按第3.1款的约定向承包人发出指示，监理人的指示应盖有监理人授权的施工场地机构章，并由总监理工程师或总监理工程师按第3.3.1项约定授权的监理人员签字。</w:t>
      </w:r>
    </w:p>
    <w:p w14:paraId="688BA81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3.4.2 承包人收到监理人按第3.4.1项作出的指示后应遵照执行。指示构成变更的，应按第15条处理。</w:t>
      </w:r>
    </w:p>
    <w:p w14:paraId="22E33C4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3.4.3 在紧急情况下，总监理工程师或被授权的监理人员可以当场签发临时书面指示，承包人应遵照执行。承包人应在收到上述临时书面指示后24小时内，向监理人发出书面确认函。监理人在收到书面确认函后24小时内未予答复的，该书面确认函应被视为监理人的正式指示。</w:t>
      </w:r>
    </w:p>
    <w:p w14:paraId="78D9CC0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3.4.4 除合同另有约定外，承包人只从总监理工程师或按第3.3.1项被授权的监理人员处取得指示。</w:t>
      </w:r>
    </w:p>
    <w:p w14:paraId="5D144FE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3.4.5 由于监理人未能按合同约定发出指示、指示延误或指示错误而导致承包人费用增加和（或）工期延误的，由发包人承担赔偿责任。 </w:t>
      </w:r>
    </w:p>
    <w:p w14:paraId="07BBEF1D">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429" w:name="_Toc27797"/>
      <w:bookmarkStart w:id="430" w:name="_Toc13069"/>
      <w:bookmarkStart w:id="431" w:name="_Toc9828"/>
      <w:bookmarkStart w:id="432" w:name="_Toc234832994"/>
      <w:r>
        <w:rPr>
          <w:rFonts w:hint="default" w:ascii="Times New Roman" w:hAnsi="Times New Roman" w:eastAsia="黑体" w:cs="Times New Roman"/>
          <w:b w:val="0"/>
          <w:sz w:val="24"/>
          <w:szCs w:val="24"/>
          <w:highlight w:val="none"/>
        </w:rPr>
        <w:t>3.5</w:t>
      </w:r>
      <w:r>
        <w:rPr>
          <w:rFonts w:hint="default" w:ascii="Times New Roman" w:hAnsi="Times New Roman" w:eastAsia="黑体" w:cs="Times New Roman"/>
          <w:b w:val="0"/>
          <w:sz w:val="24"/>
          <w:szCs w:val="24"/>
          <w:highlight w:val="none"/>
        </w:rPr>
        <w:tab/>
      </w:r>
      <w:r>
        <w:rPr>
          <w:rFonts w:hint="default" w:ascii="Times New Roman" w:hAnsi="Times New Roman" w:eastAsia="黑体" w:cs="Times New Roman"/>
          <w:b w:val="0"/>
          <w:sz w:val="24"/>
          <w:szCs w:val="24"/>
          <w:highlight w:val="none"/>
        </w:rPr>
        <w:t>商定或确定</w:t>
      </w:r>
      <w:bookmarkEnd w:id="429"/>
      <w:bookmarkEnd w:id="430"/>
      <w:bookmarkEnd w:id="431"/>
      <w:bookmarkEnd w:id="432"/>
    </w:p>
    <w:p w14:paraId="27E258D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3.5.1合同约定总监理工程师应按照本款对任何事项进行商定或确定时，总监理工程师应与合同当事人协商，尽量达成一致。不能达成一致的，总监理工程师应认真研究后审慎确定。</w:t>
      </w:r>
    </w:p>
    <w:p w14:paraId="31C5FF2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3.5.2 总监理工程师应将商定或确定的事项通知合同当事人，并附详细依据。对总监理工程师的确定有异议的，</w:t>
      </w:r>
      <w:r>
        <w:rPr>
          <w:rFonts w:hint="default" w:ascii="Times New Roman" w:hAnsi="Times New Roman" w:cs="Times New Roman"/>
          <w:iCs/>
          <w:sz w:val="24"/>
          <w:highlight w:val="none"/>
        </w:rPr>
        <w:t>构成争议，</w:t>
      </w:r>
      <w:r>
        <w:rPr>
          <w:rFonts w:hint="default" w:ascii="Times New Roman" w:hAnsi="Times New Roman" w:cs="Times New Roman"/>
          <w:sz w:val="24"/>
          <w:highlight w:val="none"/>
        </w:rPr>
        <w:t>按照第24条的约定处理。在争议解决前，双方应暂按总监理工程师的确定执行，按照第24条的约定对总监理工程师的确定作出修改的，按修改后的结果执行。</w:t>
      </w:r>
    </w:p>
    <w:p w14:paraId="4C3EA628">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433" w:name="_Toc9721"/>
      <w:bookmarkStart w:id="434" w:name="_Toc30028"/>
      <w:bookmarkStart w:id="435" w:name="_Toc234832995"/>
      <w:bookmarkStart w:id="436" w:name="_Toc1200"/>
      <w:r>
        <w:rPr>
          <w:rFonts w:hint="default" w:ascii="Times New Roman" w:hAnsi="Times New Roman" w:eastAsia="黑体" w:cs="Times New Roman"/>
          <w:b w:val="0"/>
          <w:sz w:val="28"/>
          <w:szCs w:val="28"/>
          <w:highlight w:val="none"/>
        </w:rPr>
        <w:t>4. 承包人</w:t>
      </w:r>
      <w:bookmarkEnd w:id="433"/>
      <w:bookmarkEnd w:id="434"/>
      <w:bookmarkEnd w:id="435"/>
      <w:bookmarkEnd w:id="436"/>
    </w:p>
    <w:p w14:paraId="717F2D11">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437" w:name="_Toc16953"/>
      <w:bookmarkStart w:id="438" w:name="_Toc25150"/>
      <w:bookmarkStart w:id="439" w:name="_Toc234832996"/>
      <w:bookmarkStart w:id="440" w:name="_Toc21919"/>
      <w:r>
        <w:rPr>
          <w:rFonts w:hint="default" w:ascii="Times New Roman" w:hAnsi="Times New Roman" w:eastAsia="黑体" w:cs="Times New Roman"/>
          <w:b w:val="0"/>
          <w:sz w:val="24"/>
          <w:szCs w:val="24"/>
          <w:highlight w:val="none"/>
        </w:rPr>
        <w:t>4.1 承包人的一般义务</w:t>
      </w:r>
      <w:bookmarkEnd w:id="437"/>
      <w:bookmarkEnd w:id="438"/>
      <w:bookmarkEnd w:id="439"/>
      <w:bookmarkEnd w:id="440"/>
    </w:p>
    <w:p w14:paraId="0A35F344">
      <w:pPr>
        <w:pageBreakBefore w:val="0"/>
        <w:kinsoku/>
        <w:wordWrap w:val="0"/>
        <w:bidi w:val="0"/>
        <w:spacing w:line="400" w:lineRule="atLeast"/>
        <w:ind w:firstLine="468" w:firstLineChars="195"/>
        <w:rPr>
          <w:rFonts w:hint="default" w:ascii="Times New Roman" w:hAnsi="Times New Roman" w:cs="Times New Roman"/>
          <w:sz w:val="24"/>
          <w:highlight w:val="none"/>
        </w:rPr>
      </w:pPr>
      <w:r>
        <w:rPr>
          <w:rFonts w:hint="default" w:ascii="Times New Roman" w:hAnsi="Times New Roman" w:cs="Times New Roman"/>
          <w:sz w:val="24"/>
          <w:highlight w:val="none"/>
        </w:rPr>
        <w:t xml:space="preserve">4.1.1 </w:t>
      </w:r>
      <w:r>
        <w:rPr>
          <w:rFonts w:hint="default" w:ascii="Times New Roman" w:hAnsi="Times New Roman" w:eastAsia="黑体" w:cs="Times New Roman"/>
          <w:sz w:val="24"/>
          <w:highlight w:val="none"/>
        </w:rPr>
        <w:t>遵守法律</w:t>
      </w:r>
    </w:p>
    <w:p w14:paraId="7055260C">
      <w:pPr>
        <w:pageBreakBefore w:val="0"/>
        <w:kinsoku/>
        <w:wordWrap w:val="0"/>
        <w:bidi w:val="0"/>
        <w:spacing w:line="400" w:lineRule="atLeast"/>
        <w:ind w:firstLine="468" w:firstLineChars="195"/>
        <w:rPr>
          <w:rFonts w:hint="default" w:ascii="Times New Roman" w:hAnsi="Times New Roman" w:cs="Times New Roman"/>
          <w:sz w:val="24"/>
          <w:highlight w:val="none"/>
        </w:rPr>
      </w:pPr>
      <w:r>
        <w:rPr>
          <w:rFonts w:hint="default" w:ascii="Times New Roman" w:hAnsi="Times New Roman" w:cs="Times New Roman"/>
          <w:sz w:val="24"/>
          <w:highlight w:val="none"/>
        </w:rPr>
        <w:t>承包人在履行合同过程中应遵守法律，并保证发包人免于承担因承包人违反法律而引起的任何责任。</w:t>
      </w:r>
    </w:p>
    <w:p w14:paraId="43D24EEF">
      <w:pPr>
        <w:pageBreakBefore w:val="0"/>
        <w:kinsoku/>
        <w:wordWrap w:val="0"/>
        <w:bidi w:val="0"/>
        <w:spacing w:line="400" w:lineRule="atLeast"/>
        <w:ind w:firstLine="468" w:firstLineChars="195"/>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4.1.2 </w:t>
      </w:r>
      <w:r>
        <w:rPr>
          <w:rFonts w:hint="default" w:ascii="Times New Roman" w:hAnsi="Times New Roman" w:eastAsia="黑体" w:cs="Times New Roman"/>
          <w:sz w:val="24"/>
          <w:highlight w:val="none"/>
        </w:rPr>
        <w:t>依法纳税</w:t>
      </w:r>
    </w:p>
    <w:p w14:paraId="7680EA91">
      <w:pPr>
        <w:pageBreakBefore w:val="0"/>
        <w:kinsoku/>
        <w:wordWrap w:val="0"/>
        <w:bidi w:val="0"/>
        <w:spacing w:line="400" w:lineRule="atLeast"/>
        <w:ind w:firstLine="468" w:firstLineChars="195"/>
        <w:rPr>
          <w:rFonts w:hint="default" w:ascii="Times New Roman" w:hAnsi="Times New Roman" w:cs="Times New Roman"/>
          <w:sz w:val="24"/>
          <w:highlight w:val="none"/>
        </w:rPr>
      </w:pPr>
      <w:r>
        <w:rPr>
          <w:rFonts w:hint="default" w:ascii="Times New Roman" w:hAnsi="Times New Roman" w:cs="Times New Roman"/>
          <w:sz w:val="24"/>
          <w:highlight w:val="none"/>
        </w:rPr>
        <w:t>承包人应按有关法律规定纳税，应缴纳的税金包括在合同价格内。</w:t>
      </w:r>
    </w:p>
    <w:p w14:paraId="08EBDD1B">
      <w:pPr>
        <w:pageBreakBefore w:val="0"/>
        <w:kinsoku/>
        <w:wordWrap w:val="0"/>
        <w:bidi w:val="0"/>
        <w:spacing w:line="400" w:lineRule="atLeast"/>
        <w:ind w:firstLine="468" w:firstLineChars="195"/>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4.1.3 </w:t>
      </w:r>
      <w:r>
        <w:rPr>
          <w:rFonts w:hint="default" w:ascii="Times New Roman" w:hAnsi="Times New Roman" w:eastAsia="黑体" w:cs="Times New Roman"/>
          <w:sz w:val="24"/>
          <w:highlight w:val="none"/>
        </w:rPr>
        <w:t>完成各项承包工作</w:t>
      </w:r>
    </w:p>
    <w:p w14:paraId="6F06FC37">
      <w:pPr>
        <w:pageBreakBefore w:val="0"/>
        <w:kinsoku/>
        <w:wordWrap w:val="0"/>
        <w:bidi w:val="0"/>
        <w:spacing w:line="400" w:lineRule="atLeast"/>
        <w:ind w:firstLine="468" w:firstLineChars="195"/>
        <w:rPr>
          <w:rFonts w:hint="default" w:ascii="Times New Roman" w:hAnsi="Times New Roman" w:cs="Times New Roman"/>
          <w:sz w:val="24"/>
          <w:highlight w:val="none"/>
        </w:rPr>
      </w:pPr>
      <w:r>
        <w:rPr>
          <w:rFonts w:hint="default" w:ascii="Times New Roman" w:hAnsi="Times New Roman" w:cs="Times New Roman"/>
          <w:sz w:val="24"/>
          <w:highlight w:val="none"/>
        </w:rPr>
        <w:t>承包人应按合同约定以及监理人根据第3.4款作出的指示，实施、完成全部工程，并修补工程中的任何缺陷。除专用合同条款另有约定外，承包人应提供为完成合同工作所需的劳务、材料、施工设备、工程设备和其他物品，并按合同约定负责临时设施的设计、建造、运行、维护、管理和拆除。</w:t>
      </w:r>
    </w:p>
    <w:p w14:paraId="34442CBB">
      <w:pPr>
        <w:pageBreakBefore w:val="0"/>
        <w:kinsoku/>
        <w:wordWrap w:val="0"/>
        <w:bidi w:val="0"/>
        <w:spacing w:line="400" w:lineRule="atLeast"/>
        <w:ind w:firstLine="468" w:firstLineChars="195"/>
        <w:rPr>
          <w:rFonts w:hint="default" w:ascii="Times New Roman" w:hAnsi="Times New Roman" w:cs="Times New Roman"/>
          <w:sz w:val="24"/>
          <w:highlight w:val="none"/>
        </w:rPr>
      </w:pPr>
      <w:r>
        <w:rPr>
          <w:rFonts w:hint="default" w:ascii="Times New Roman" w:hAnsi="Times New Roman" w:eastAsia="黑体" w:cs="Times New Roman"/>
          <w:sz w:val="24"/>
          <w:highlight w:val="none"/>
        </w:rPr>
        <w:t>4.1.4 对施工作业和施工方法的完备性负责</w:t>
      </w:r>
    </w:p>
    <w:p w14:paraId="04D22DA3">
      <w:pPr>
        <w:pageBreakBefore w:val="0"/>
        <w:kinsoku/>
        <w:wordWrap w:val="0"/>
        <w:bidi w:val="0"/>
        <w:spacing w:line="400" w:lineRule="atLeast"/>
        <w:ind w:firstLine="468" w:firstLineChars="195"/>
        <w:rPr>
          <w:rFonts w:hint="default" w:ascii="Times New Roman" w:hAnsi="Times New Roman" w:cs="Times New Roman"/>
          <w:sz w:val="24"/>
          <w:highlight w:val="none"/>
        </w:rPr>
      </w:pPr>
      <w:r>
        <w:rPr>
          <w:rFonts w:hint="default" w:ascii="Times New Roman" w:hAnsi="Times New Roman" w:cs="Times New Roman"/>
          <w:sz w:val="24"/>
          <w:highlight w:val="none"/>
        </w:rPr>
        <w:t>承包人应按合同约定的工作内容和施工进度要求，编制施工组织设计和施工措施计划，并对所有施工作业和施工方法的完备性和安全可靠性负责。</w:t>
      </w:r>
    </w:p>
    <w:p w14:paraId="5FC40B81">
      <w:pPr>
        <w:pageBreakBefore w:val="0"/>
        <w:kinsoku/>
        <w:wordWrap w:val="0"/>
        <w:bidi w:val="0"/>
        <w:spacing w:line="400" w:lineRule="atLeast"/>
        <w:ind w:firstLine="468" w:firstLineChars="195"/>
        <w:rPr>
          <w:rFonts w:hint="default" w:ascii="Times New Roman" w:hAnsi="Times New Roman" w:cs="Times New Roman"/>
          <w:sz w:val="24"/>
          <w:highlight w:val="none"/>
        </w:rPr>
      </w:pPr>
      <w:r>
        <w:rPr>
          <w:rFonts w:hint="default" w:ascii="Times New Roman" w:hAnsi="Times New Roman" w:cs="Times New Roman"/>
          <w:sz w:val="24"/>
          <w:highlight w:val="none"/>
        </w:rPr>
        <w:t>4.1.5</w:t>
      </w:r>
      <w:r>
        <w:rPr>
          <w:rFonts w:hint="default" w:ascii="Times New Roman" w:hAnsi="Times New Roman" w:eastAsia="黑体" w:cs="Times New Roman"/>
          <w:sz w:val="24"/>
          <w:highlight w:val="none"/>
        </w:rPr>
        <w:t xml:space="preserve"> 保证工程施工和人员的安全</w:t>
      </w:r>
    </w:p>
    <w:p w14:paraId="2A919480">
      <w:pPr>
        <w:pageBreakBefore w:val="0"/>
        <w:kinsoku/>
        <w:wordWrap w:val="0"/>
        <w:bidi w:val="0"/>
        <w:spacing w:line="400" w:lineRule="atLeast"/>
        <w:ind w:firstLine="468" w:firstLineChars="195"/>
        <w:rPr>
          <w:rFonts w:hint="default" w:ascii="Times New Roman" w:hAnsi="Times New Roman" w:cs="Times New Roman"/>
          <w:sz w:val="24"/>
          <w:highlight w:val="none"/>
        </w:rPr>
      </w:pPr>
      <w:r>
        <w:rPr>
          <w:rFonts w:hint="default" w:ascii="Times New Roman" w:hAnsi="Times New Roman" w:cs="Times New Roman"/>
          <w:sz w:val="24"/>
          <w:highlight w:val="none"/>
        </w:rPr>
        <w:t>承包人应按第9.2款约定采取施工安全措施，确保工程及其人员、材料、设备和设施的安全，防止因工程施工造成的人身伤害和财产损失。</w:t>
      </w:r>
    </w:p>
    <w:p w14:paraId="1CE618C4">
      <w:pPr>
        <w:pageBreakBefore w:val="0"/>
        <w:kinsoku/>
        <w:wordWrap w:val="0"/>
        <w:bidi w:val="0"/>
        <w:spacing w:line="400" w:lineRule="atLeast"/>
        <w:ind w:firstLine="468" w:firstLineChars="195"/>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4.1.6 </w:t>
      </w:r>
      <w:r>
        <w:rPr>
          <w:rFonts w:hint="default" w:ascii="Times New Roman" w:hAnsi="Times New Roman" w:eastAsia="黑体" w:cs="Times New Roman"/>
          <w:sz w:val="24"/>
          <w:highlight w:val="none"/>
        </w:rPr>
        <w:t>负责施工场地及其周边环境与生态的保护工作</w:t>
      </w:r>
    </w:p>
    <w:p w14:paraId="17B0BD8B">
      <w:pPr>
        <w:pageBreakBefore w:val="0"/>
        <w:kinsoku/>
        <w:wordWrap w:val="0"/>
        <w:bidi w:val="0"/>
        <w:spacing w:line="400" w:lineRule="atLeast"/>
        <w:ind w:firstLine="468" w:firstLineChars="195"/>
        <w:rPr>
          <w:rFonts w:hint="default" w:ascii="Times New Roman" w:hAnsi="Times New Roman" w:cs="Times New Roman"/>
          <w:sz w:val="24"/>
          <w:highlight w:val="none"/>
        </w:rPr>
      </w:pPr>
      <w:r>
        <w:rPr>
          <w:rFonts w:hint="default" w:ascii="Times New Roman" w:hAnsi="Times New Roman" w:cs="Times New Roman"/>
          <w:sz w:val="24"/>
          <w:highlight w:val="none"/>
        </w:rPr>
        <w:t>承包人应按照第9.4款约定负责施工场地及其周边环境与生态的保护工作。</w:t>
      </w:r>
    </w:p>
    <w:p w14:paraId="01D35F30">
      <w:pPr>
        <w:pageBreakBefore w:val="0"/>
        <w:kinsoku/>
        <w:wordWrap w:val="0"/>
        <w:bidi w:val="0"/>
        <w:spacing w:line="400" w:lineRule="atLeast"/>
        <w:ind w:firstLine="468" w:firstLineChars="195"/>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4.1.7 </w:t>
      </w:r>
      <w:r>
        <w:rPr>
          <w:rFonts w:hint="default" w:ascii="Times New Roman" w:hAnsi="Times New Roman" w:eastAsia="黑体" w:cs="Times New Roman"/>
          <w:sz w:val="24"/>
          <w:highlight w:val="none"/>
        </w:rPr>
        <w:t>避免施工对公众与他人的利益造成损害</w:t>
      </w:r>
    </w:p>
    <w:p w14:paraId="0151DB69">
      <w:pPr>
        <w:pageBreakBefore w:val="0"/>
        <w:kinsoku/>
        <w:wordWrap w:val="0"/>
        <w:bidi w:val="0"/>
        <w:spacing w:line="400" w:lineRule="atLeast"/>
        <w:ind w:firstLine="468" w:firstLineChars="195"/>
        <w:rPr>
          <w:rFonts w:hint="default" w:ascii="Times New Roman" w:hAnsi="Times New Roman" w:cs="Times New Roman"/>
          <w:sz w:val="24"/>
          <w:highlight w:val="none"/>
        </w:rPr>
      </w:pPr>
      <w:r>
        <w:rPr>
          <w:rFonts w:hint="default" w:ascii="Times New Roman" w:hAnsi="Times New Roman" w:cs="Times New Roman"/>
          <w:sz w:val="24"/>
          <w:highlight w:val="none"/>
        </w:rPr>
        <w:t>承包人在进行合同约定的各项工作时，不得侵害发包人与他人使用公用道路、水源、市政管网等公共设施的权利，避免对邻近的公共设施产生干扰。承包人占用或使用他人的施工场地，影响他人作业或生活的，应承担相应责任。</w:t>
      </w:r>
    </w:p>
    <w:p w14:paraId="23384A71">
      <w:pPr>
        <w:pageBreakBefore w:val="0"/>
        <w:kinsoku/>
        <w:wordWrap w:val="0"/>
        <w:bidi w:val="0"/>
        <w:spacing w:line="400" w:lineRule="atLeast"/>
        <w:ind w:firstLine="468" w:firstLineChars="195"/>
        <w:rPr>
          <w:rFonts w:hint="default" w:ascii="Times New Roman" w:hAnsi="Times New Roman" w:cs="Times New Roman"/>
          <w:sz w:val="24"/>
          <w:highlight w:val="none"/>
        </w:rPr>
      </w:pPr>
      <w:r>
        <w:rPr>
          <w:rFonts w:hint="default" w:ascii="Times New Roman" w:hAnsi="Times New Roman" w:cs="Times New Roman"/>
          <w:sz w:val="24"/>
          <w:highlight w:val="none"/>
        </w:rPr>
        <w:t xml:space="preserve">4.1.8 </w:t>
      </w:r>
      <w:r>
        <w:rPr>
          <w:rFonts w:hint="default" w:ascii="Times New Roman" w:hAnsi="Times New Roman" w:eastAsia="黑体" w:cs="Times New Roman"/>
          <w:sz w:val="24"/>
          <w:highlight w:val="none"/>
        </w:rPr>
        <w:t>为他人提供方便</w:t>
      </w:r>
    </w:p>
    <w:p w14:paraId="78C1607B">
      <w:pPr>
        <w:pageBreakBefore w:val="0"/>
        <w:kinsoku/>
        <w:wordWrap w:val="0"/>
        <w:bidi w:val="0"/>
        <w:spacing w:line="400" w:lineRule="atLeast"/>
        <w:ind w:firstLine="468" w:firstLineChars="195"/>
        <w:rPr>
          <w:rFonts w:hint="default" w:ascii="Times New Roman" w:hAnsi="Times New Roman" w:cs="Times New Roman"/>
          <w:sz w:val="24"/>
          <w:highlight w:val="none"/>
        </w:rPr>
      </w:pPr>
      <w:r>
        <w:rPr>
          <w:rFonts w:hint="default" w:ascii="Times New Roman" w:hAnsi="Times New Roman" w:cs="Times New Roman"/>
          <w:sz w:val="24"/>
          <w:highlight w:val="none"/>
        </w:rPr>
        <w:t>承包人应按监理人的指示为他人在施工场地或附近实施与工程有关的其他各项工作提供可能的条件。除合同另有约定外，提供有关条件的内容和可能发生的费用，由监理人按第3.5款商定或确定。</w:t>
      </w:r>
    </w:p>
    <w:p w14:paraId="5F4D9FBF">
      <w:pPr>
        <w:pageBreakBefore w:val="0"/>
        <w:kinsoku/>
        <w:wordWrap w:val="0"/>
        <w:bidi w:val="0"/>
        <w:spacing w:line="400" w:lineRule="atLeast"/>
        <w:ind w:firstLine="468" w:firstLineChars="195"/>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4.1.9 </w:t>
      </w:r>
      <w:r>
        <w:rPr>
          <w:rFonts w:hint="default" w:ascii="Times New Roman" w:hAnsi="Times New Roman" w:eastAsia="黑体" w:cs="Times New Roman"/>
          <w:sz w:val="24"/>
          <w:highlight w:val="none"/>
        </w:rPr>
        <w:t>工程的维护和照管</w:t>
      </w:r>
    </w:p>
    <w:p w14:paraId="59D725F0">
      <w:pPr>
        <w:pageBreakBefore w:val="0"/>
        <w:kinsoku/>
        <w:wordWrap w:val="0"/>
        <w:bidi w:val="0"/>
        <w:spacing w:line="400" w:lineRule="atLeast"/>
        <w:ind w:firstLine="468" w:firstLineChars="195"/>
        <w:rPr>
          <w:rFonts w:hint="default" w:ascii="Times New Roman" w:hAnsi="Times New Roman" w:cs="Times New Roman"/>
          <w:sz w:val="24"/>
          <w:highlight w:val="none"/>
        </w:rPr>
      </w:pPr>
      <w:r>
        <w:rPr>
          <w:rFonts w:hint="default" w:ascii="Times New Roman" w:hAnsi="Times New Roman" w:cs="Times New Roman"/>
          <w:sz w:val="24"/>
          <w:highlight w:val="none"/>
        </w:rPr>
        <w:t>工程接收证书颁发前，承包人应负责照管和维护工程。工程接收证书颁发时尚有部分未竣工工程的，承包人还应负责该未竣工工程的照管和维护工作，直至竣工后移交给发包人为止。</w:t>
      </w:r>
    </w:p>
    <w:p w14:paraId="4DC3BEFC">
      <w:pPr>
        <w:pageBreakBefore w:val="0"/>
        <w:kinsoku/>
        <w:wordWrap w:val="0"/>
        <w:bidi w:val="0"/>
        <w:spacing w:line="400" w:lineRule="atLeast"/>
        <w:ind w:firstLine="468" w:firstLineChars="195"/>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4.1.10 </w:t>
      </w:r>
      <w:r>
        <w:rPr>
          <w:rFonts w:hint="default" w:ascii="Times New Roman" w:hAnsi="Times New Roman" w:eastAsia="黑体" w:cs="Times New Roman"/>
          <w:sz w:val="24"/>
          <w:highlight w:val="none"/>
        </w:rPr>
        <w:t>其他义务</w:t>
      </w:r>
    </w:p>
    <w:p w14:paraId="0F3F839D">
      <w:pPr>
        <w:pageBreakBefore w:val="0"/>
        <w:kinsoku/>
        <w:wordWrap w:val="0"/>
        <w:bidi w:val="0"/>
        <w:spacing w:line="400" w:lineRule="atLeast"/>
        <w:ind w:firstLine="468" w:firstLineChars="195"/>
        <w:rPr>
          <w:rFonts w:hint="default" w:ascii="Times New Roman" w:hAnsi="Times New Roman" w:cs="Times New Roman"/>
          <w:sz w:val="24"/>
          <w:highlight w:val="none"/>
        </w:rPr>
      </w:pPr>
      <w:r>
        <w:rPr>
          <w:rFonts w:hint="default" w:ascii="Times New Roman" w:hAnsi="Times New Roman" w:cs="Times New Roman"/>
          <w:sz w:val="24"/>
          <w:highlight w:val="none"/>
        </w:rPr>
        <w:t>承包人应履行合同约定的其他义务。</w:t>
      </w:r>
    </w:p>
    <w:p w14:paraId="1F98739D">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441" w:name="_Toc234832997"/>
      <w:bookmarkStart w:id="442" w:name="_Toc3711"/>
      <w:bookmarkStart w:id="443" w:name="_Toc2984"/>
      <w:bookmarkStart w:id="444" w:name="_Toc30774"/>
      <w:r>
        <w:rPr>
          <w:rFonts w:hint="default" w:ascii="Times New Roman" w:hAnsi="Times New Roman" w:eastAsia="黑体" w:cs="Times New Roman"/>
          <w:b w:val="0"/>
          <w:sz w:val="24"/>
          <w:szCs w:val="24"/>
          <w:highlight w:val="none"/>
        </w:rPr>
        <w:t>4.2 履约担保</w:t>
      </w:r>
      <w:bookmarkEnd w:id="441"/>
      <w:bookmarkEnd w:id="442"/>
      <w:bookmarkEnd w:id="443"/>
      <w:bookmarkEnd w:id="444"/>
    </w:p>
    <w:p w14:paraId="0F8A7762">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承包人应保证其履约担保在发包人颁发工程接收证书前一直有效。发包人应在工程接收证书颁发后28天内把履约担保退还给承包人。</w:t>
      </w:r>
    </w:p>
    <w:p w14:paraId="518EE73E">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445" w:name="_Toc17914"/>
      <w:bookmarkStart w:id="446" w:name="_Toc1459"/>
      <w:bookmarkStart w:id="447" w:name="_Toc8478"/>
      <w:bookmarkStart w:id="448" w:name="_Toc234832998"/>
      <w:r>
        <w:rPr>
          <w:rFonts w:hint="default" w:ascii="Times New Roman" w:hAnsi="Times New Roman" w:eastAsia="黑体" w:cs="Times New Roman"/>
          <w:b w:val="0"/>
          <w:sz w:val="24"/>
          <w:szCs w:val="24"/>
          <w:highlight w:val="none"/>
        </w:rPr>
        <w:t>4.3 分包</w:t>
      </w:r>
      <w:bookmarkEnd w:id="445"/>
      <w:bookmarkEnd w:id="446"/>
      <w:bookmarkEnd w:id="447"/>
      <w:bookmarkEnd w:id="448"/>
    </w:p>
    <w:p w14:paraId="47F0FAD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4.3.1 承包人不得将其承包的全部工程转包给第三人，或将其承包的全部工程肢解后以分包的名义转包给第三人。</w:t>
      </w:r>
    </w:p>
    <w:p w14:paraId="40F1F82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4.3.2 承包人不得将工程主体、关键性工作分包给第三人。除专用合同条款另有约定外，未经发包人同意，承包人不得将工程的其他部分或工作分包给第三人。</w:t>
      </w:r>
    </w:p>
    <w:p w14:paraId="4D31AA0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4.3.3分包人的资格能力应与其分包工程的标准和规模相适应。</w:t>
      </w:r>
    </w:p>
    <w:p w14:paraId="339E226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4.3.4按投标函附录约定分包工程的，承包人应向发包人和监理人提交分包合同副本。</w:t>
      </w:r>
    </w:p>
    <w:p w14:paraId="35BAEAB2">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4.3.5承包人应与分包人就分包工程向发包人承担连带责任。</w:t>
      </w:r>
    </w:p>
    <w:p w14:paraId="57ECADDB">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449" w:name="_Toc32164"/>
      <w:bookmarkStart w:id="450" w:name="_Toc234832999"/>
      <w:bookmarkStart w:id="451" w:name="_Toc3204"/>
      <w:bookmarkStart w:id="452" w:name="_Toc24889"/>
      <w:r>
        <w:rPr>
          <w:rFonts w:hint="default" w:ascii="Times New Roman" w:hAnsi="Times New Roman" w:eastAsia="黑体" w:cs="Times New Roman"/>
          <w:b w:val="0"/>
          <w:sz w:val="24"/>
          <w:szCs w:val="24"/>
          <w:highlight w:val="none"/>
        </w:rPr>
        <w:t>4.4</w:t>
      </w:r>
      <w:r>
        <w:rPr>
          <w:rFonts w:hint="default" w:ascii="Times New Roman" w:hAnsi="Times New Roman" w:eastAsia="黑体" w:cs="Times New Roman"/>
          <w:b w:val="0"/>
          <w:sz w:val="24"/>
          <w:szCs w:val="24"/>
          <w:highlight w:val="none"/>
        </w:rPr>
        <w:tab/>
      </w:r>
      <w:r>
        <w:rPr>
          <w:rFonts w:hint="default" w:ascii="Times New Roman" w:hAnsi="Times New Roman" w:eastAsia="黑体" w:cs="Times New Roman"/>
          <w:b w:val="0"/>
          <w:sz w:val="24"/>
          <w:szCs w:val="24"/>
          <w:highlight w:val="none"/>
        </w:rPr>
        <w:t>联合体</w:t>
      </w:r>
      <w:bookmarkEnd w:id="449"/>
      <w:bookmarkEnd w:id="450"/>
      <w:bookmarkEnd w:id="451"/>
      <w:bookmarkEnd w:id="452"/>
    </w:p>
    <w:p w14:paraId="67654541">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4.4.1 联合体各方应共同与发包人签订合同协议书。联合体各方应为履行合同承担连带责任。</w:t>
      </w:r>
    </w:p>
    <w:p w14:paraId="07B3D4C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4.4.2 </w:t>
      </w:r>
      <w:r>
        <w:rPr>
          <w:rFonts w:hint="default" w:ascii="Times New Roman" w:hAnsi="Times New Roman" w:cs="Times New Roman"/>
          <w:iCs/>
          <w:sz w:val="24"/>
          <w:highlight w:val="none"/>
        </w:rPr>
        <w:t>联合体协议经发包人确认后作为合同附件。</w:t>
      </w:r>
      <w:r>
        <w:rPr>
          <w:rFonts w:hint="default" w:ascii="Times New Roman" w:hAnsi="Times New Roman" w:cs="Times New Roman"/>
          <w:sz w:val="24"/>
          <w:highlight w:val="none"/>
        </w:rPr>
        <w:t>在履行合同过程中，未经发包人同意，不得修改联合体协议。</w:t>
      </w:r>
    </w:p>
    <w:p w14:paraId="6712F973">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4.4.3 联合体牵头人负责与发包人和监理人联系，并接受指示，负责组织联合体各成员全面履行合同。</w:t>
      </w:r>
    </w:p>
    <w:p w14:paraId="794FB3F6">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453" w:name="_Toc29702"/>
      <w:bookmarkStart w:id="454" w:name="_Toc19688"/>
      <w:bookmarkStart w:id="455" w:name="_Toc234833000"/>
      <w:bookmarkStart w:id="456" w:name="_Toc612"/>
      <w:r>
        <w:rPr>
          <w:rFonts w:hint="default" w:ascii="Times New Roman" w:hAnsi="Times New Roman" w:eastAsia="黑体" w:cs="Times New Roman"/>
          <w:b w:val="0"/>
          <w:sz w:val="24"/>
          <w:szCs w:val="24"/>
          <w:highlight w:val="none"/>
        </w:rPr>
        <w:t>4.5 承包人项目经理</w:t>
      </w:r>
      <w:bookmarkEnd w:id="453"/>
      <w:bookmarkEnd w:id="454"/>
      <w:bookmarkEnd w:id="455"/>
      <w:bookmarkEnd w:id="456"/>
    </w:p>
    <w:p w14:paraId="0EE6499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4.5.1承包人应按合同约定指派项目经理，并在约定的期限内到职。承包人更换项目经理应事先征得发包人同意，并应在更换14天前通知发包人和监理人。承包人项目经理短期离开施工场地，应事先征得监理人同意，并委派代表代行其职责。</w:t>
      </w:r>
    </w:p>
    <w:p w14:paraId="635C598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4.5.2 承包人项目经理应按合同约定以及监理人按第3.4款作出的指示，负责组织合同工程的实施。在情况紧急且无法与监理人取得联系时，可采取保证工程和人员生命财产安全的紧急措施，并在采取措施后24小时内向监理人提交书面报告。</w:t>
      </w:r>
    </w:p>
    <w:p w14:paraId="49B4D5B2">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4.5.3承包人为履行合同发出的一切函件均应盖有承包人授权的施工场地管理机构章，并由承包人项目经理或其授权代表签字。</w:t>
      </w:r>
    </w:p>
    <w:p w14:paraId="5F09C25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4.5.4 承包人项目经理可以授权其下属人员履行其某项职责，但事先应将这些人员的姓名和授权范围通知监理人。</w:t>
      </w:r>
    </w:p>
    <w:p w14:paraId="3B767C82">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457" w:name="_Toc4512"/>
      <w:bookmarkStart w:id="458" w:name="_Toc32486"/>
      <w:bookmarkStart w:id="459" w:name="_Toc234833001"/>
      <w:bookmarkStart w:id="460" w:name="_Toc30705"/>
      <w:r>
        <w:rPr>
          <w:rFonts w:hint="default" w:ascii="Times New Roman" w:hAnsi="Times New Roman" w:eastAsia="黑体" w:cs="Times New Roman"/>
          <w:b w:val="0"/>
          <w:sz w:val="24"/>
          <w:szCs w:val="24"/>
          <w:highlight w:val="none"/>
        </w:rPr>
        <w:t>4.6 承包人人员的管理</w:t>
      </w:r>
      <w:bookmarkEnd w:id="457"/>
      <w:bookmarkEnd w:id="458"/>
      <w:bookmarkEnd w:id="459"/>
      <w:bookmarkEnd w:id="460"/>
    </w:p>
    <w:p w14:paraId="7A04BCE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4.6.1 承包人应在接到开工通知后28天内，向监理人提交承包人在施工场地的管理机构以及人员安排的报告，其内容应包括管理机构的设置、各主要岗位的技术和管理人员名单及其资格，以及各工种技术工人的安排状况。承包人应向监理人提交施工场地人员变动情况的报告。</w:t>
      </w:r>
    </w:p>
    <w:p w14:paraId="17267FD2">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4.6.2 为完成合同约定的各项工作，承包人应向施工场地派遣或雇佣足够数量的下列人员：</w:t>
      </w:r>
    </w:p>
    <w:p w14:paraId="7FFB3CD4">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（1）具有相应资格的专业技工和合格的普工；</w:t>
      </w:r>
    </w:p>
    <w:p w14:paraId="55807614">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（2）具有相应施工经验的技术人员；</w:t>
      </w:r>
    </w:p>
    <w:p w14:paraId="100639E9">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（3）具有相应岗位资格的各级管理人员。</w:t>
      </w:r>
    </w:p>
    <w:p w14:paraId="418247A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4.6.3 承包人安排在施工场地的主要管理人员和技术骨干应相对稳定。承包人更换主要管理人员和技术骨干时，应取得监理人的同意。</w:t>
      </w:r>
    </w:p>
    <w:p w14:paraId="120282D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4.6.4 特殊岗位的工作人员均应持有相应的资格证明，监理人有权随时检查。监理人认为有必要时，可进行现场考核。</w:t>
      </w:r>
    </w:p>
    <w:p w14:paraId="7126900B">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461" w:name="_Toc234833002"/>
      <w:bookmarkStart w:id="462" w:name="_Toc4750"/>
      <w:bookmarkStart w:id="463" w:name="_Toc29162"/>
      <w:bookmarkStart w:id="464" w:name="_Toc16860"/>
      <w:r>
        <w:rPr>
          <w:rFonts w:hint="default" w:ascii="Times New Roman" w:hAnsi="Times New Roman" w:eastAsia="黑体" w:cs="Times New Roman"/>
          <w:b w:val="0"/>
          <w:sz w:val="24"/>
          <w:szCs w:val="24"/>
          <w:highlight w:val="none"/>
        </w:rPr>
        <w:t>4.7 撤换承包人项目经理和其他人员</w:t>
      </w:r>
      <w:bookmarkEnd w:id="461"/>
      <w:bookmarkEnd w:id="462"/>
      <w:bookmarkEnd w:id="463"/>
      <w:bookmarkEnd w:id="464"/>
    </w:p>
    <w:p w14:paraId="115D5AFE">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承包人应对其项目经理和其他人员进行有效管理。监理人要求撤换不能胜任本职工作、行为不端或玩忽职守的承包人项目经理和其他人员的，承包人应予以撤换。</w:t>
      </w:r>
    </w:p>
    <w:p w14:paraId="67D81BE0">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465" w:name="_Toc514"/>
      <w:bookmarkStart w:id="466" w:name="_Toc32087"/>
      <w:bookmarkStart w:id="467" w:name="_Toc234833003"/>
      <w:bookmarkStart w:id="468" w:name="_Toc5844"/>
      <w:r>
        <w:rPr>
          <w:rFonts w:hint="default" w:ascii="Times New Roman" w:hAnsi="Times New Roman" w:eastAsia="黑体" w:cs="Times New Roman"/>
          <w:b w:val="0"/>
          <w:sz w:val="24"/>
          <w:szCs w:val="24"/>
          <w:highlight w:val="none"/>
        </w:rPr>
        <w:t>4.8 保障承包人人员的合法权益</w:t>
      </w:r>
      <w:bookmarkEnd w:id="465"/>
      <w:bookmarkEnd w:id="466"/>
      <w:bookmarkEnd w:id="467"/>
      <w:bookmarkEnd w:id="468"/>
    </w:p>
    <w:p w14:paraId="4EE6611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4.8.1 承包人应与其雇佣的人员签订劳动合同，并按时发放工资。</w:t>
      </w:r>
    </w:p>
    <w:p w14:paraId="5DA0BFEE">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4.8.2 承包人应按劳动法的规定安排工作时间，保证其雇佣人员享有休息和休假的权利。因工程施工的特殊需要占用休假日或延长工作时间的，应不超过法律规定的限度，并按法律规定给予补休或付酬。</w:t>
      </w:r>
    </w:p>
    <w:p w14:paraId="44B8B4A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4.8.3 承包人应为其雇佣人员提供必要的食宿条件，以及符合环境保护和卫生要求的生活环境，在远离城镇的施工场地，还应配备必要的伤病防治和急救的医务人员与医疗设施。</w:t>
      </w:r>
    </w:p>
    <w:p w14:paraId="73A4C45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4.8.4 承包人应按国家有关劳动保护的规定，采取有效的防止粉尘、降低噪声、控制有害气体和保障高温、高寒、高空作业安全等劳动保护措施。其雇佣人员在施工中受到伤害的，承包人应立即采取有效措施进行抢救和治疗。</w:t>
      </w:r>
    </w:p>
    <w:p w14:paraId="03B5663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4.8.5 承包人应按有关法律规定和合同约定，为其雇佣人员办理保险。</w:t>
      </w:r>
    </w:p>
    <w:p w14:paraId="1A18095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4.8.6 承包人应负责处理其雇佣人员因工伤亡事故的善后事宜。</w:t>
      </w:r>
    </w:p>
    <w:p w14:paraId="05F607F2">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469" w:name="_Toc234833004"/>
      <w:bookmarkStart w:id="470" w:name="_Toc25388"/>
      <w:bookmarkStart w:id="471" w:name="_Toc1107"/>
      <w:bookmarkStart w:id="472" w:name="_Toc27171"/>
      <w:r>
        <w:rPr>
          <w:rFonts w:hint="default" w:ascii="Times New Roman" w:hAnsi="Times New Roman" w:eastAsia="黑体" w:cs="Times New Roman"/>
          <w:b w:val="0"/>
          <w:sz w:val="24"/>
          <w:szCs w:val="24"/>
          <w:highlight w:val="none"/>
        </w:rPr>
        <w:t>4.9 工程价款应专款专用</w:t>
      </w:r>
      <w:bookmarkEnd w:id="469"/>
      <w:bookmarkEnd w:id="470"/>
      <w:bookmarkEnd w:id="471"/>
      <w:bookmarkEnd w:id="472"/>
    </w:p>
    <w:p w14:paraId="19983FE7">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发包人按合同约定支付给承包人的各项价款应专用于合同工程。</w:t>
      </w:r>
    </w:p>
    <w:p w14:paraId="6DE9C8A3">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473" w:name="_Toc31884"/>
      <w:bookmarkStart w:id="474" w:name="_Toc234833005"/>
      <w:bookmarkStart w:id="475" w:name="_Toc28976"/>
      <w:bookmarkStart w:id="476" w:name="_Toc25811"/>
      <w:r>
        <w:rPr>
          <w:rFonts w:hint="default" w:ascii="Times New Roman" w:hAnsi="Times New Roman" w:eastAsia="黑体" w:cs="Times New Roman"/>
          <w:b w:val="0"/>
          <w:sz w:val="24"/>
          <w:szCs w:val="24"/>
          <w:highlight w:val="none"/>
        </w:rPr>
        <w:t>4.10 承包人现场查勘</w:t>
      </w:r>
      <w:bookmarkEnd w:id="473"/>
      <w:bookmarkEnd w:id="474"/>
      <w:bookmarkEnd w:id="475"/>
      <w:bookmarkEnd w:id="476"/>
      <w:r>
        <w:rPr>
          <w:rFonts w:hint="default" w:ascii="Times New Roman" w:hAnsi="Times New Roman" w:eastAsia="黑体" w:cs="Times New Roman"/>
          <w:b w:val="0"/>
          <w:sz w:val="24"/>
          <w:szCs w:val="24"/>
          <w:highlight w:val="none"/>
        </w:rPr>
        <w:t xml:space="preserve">    </w:t>
      </w:r>
    </w:p>
    <w:p w14:paraId="7926BB1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4.10.1 发包人应将其持有的现场地质勘探资料、水文气象资料提供给承包人，并对其准确性负责。但承包人应对其阅读上述有关资料后所作出的解释和推断负责。</w:t>
      </w:r>
    </w:p>
    <w:p w14:paraId="03016B1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4.10.2 承包人应对施工场地和周围环境进行查勘，并收集有关地质、水文、气象条件、交通条件、风俗习惯以及其他为完成合同工作有关的当地资料。在全部合同工作中，应视为承包人已充分估计了应承担的责任和风险。</w:t>
      </w:r>
    </w:p>
    <w:p w14:paraId="075BCDD6">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477" w:name="_Toc234833006"/>
      <w:bookmarkStart w:id="478" w:name="_Toc17320"/>
      <w:bookmarkStart w:id="479" w:name="_Toc22403"/>
      <w:bookmarkStart w:id="480" w:name="_Toc9021"/>
      <w:r>
        <w:rPr>
          <w:rFonts w:hint="default" w:ascii="Times New Roman" w:hAnsi="Times New Roman" w:eastAsia="黑体" w:cs="Times New Roman"/>
          <w:b w:val="0"/>
          <w:sz w:val="24"/>
          <w:szCs w:val="24"/>
          <w:highlight w:val="none"/>
        </w:rPr>
        <w:t>4.11 不利物质条件</w:t>
      </w:r>
      <w:bookmarkEnd w:id="477"/>
      <w:bookmarkEnd w:id="478"/>
      <w:bookmarkEnd w:id="479"/>
      <w:bookmarkEnd w:id="480"/>
    </w:p>
    <w:p w14:paraId="3F2384F6">
      <w:pPr>
        <w:pageBreakBefore w:val="0"/>
        <w:kinsoku/>
        <w:wordWrap w:val="0"/>
        <w:bidi w:val="0"/>
        <w:spacing w:line="400" w:lineRule="atLeast"/>
        <w:ind w:firstLine="420"/>
        <w:rPr>
          <w:rFonts w:hint="default" w:ascii="Times New Roman" w:hAnsi="Times New Roman" w:cs="Times New Roman"/>
          <w:sz w:val="24"/>
          <w:highlight w:val="none"/>
        </w:rPr>
      </w:pPr>
      <w:r>
        <w:rPr>
          <w:rFonts w:hint="default" w:ascii="Times New Roman" w:hAnsi="Times New Roman" w:cs="Times New Roman"/>
          <w:sz w:val="24"/>
          <w:highlight w:val="none"/>
        </w:rPr>
        <w:t>4.11.1不利物质条件，除专用合同条款另有约定外，是指承包人在施工场地遇到的不可预见的自然物质条件、非自然的物质障碍和污染物，包括地下和水文条件，但不包括气候条件。</w:t>
      </w:r>
    </w:p>
    <w:p w14:paraId="6503CBC8">
      <w:pPr>
        <w:pageBreakBefore w:val="0"/>
        <w:kinsoku/>
        <w:wordWrap w:val="0"/>
        <w:bidi w:val="0"/>
        <w:spacing w:line="400" w:lineRule="atLeast"/>
        <w:ind w:firstLine="420"/>
        <w:rPr>
          <w:rFonts w:hint="default" w:ascii="Times New Roman" w:hAnsi="Times New Roman" w:cs="Times New Roman"/>
          <w:iCs/>
          <w:sz w:val="24"/>
          <w:highlight w:val="none"/>
        </w:rPr>
      </w:pPr>
      <w:r>
        <w:rPr>
          <w:rFonts w:hint="default" w:ascii="Times New Roman" w:hAnsi="Times New Roman" w:cs="Times New Roman"/>
          <w:iCs/>
          <w:sz w:val="24"/>
          <w:highlight w:val="none"/>
        </w:rPr>
        <w:t>4.11.2承包人遇到不利物质条件时，应采取适应不利物质条件的合理措施继续施工，并及时通知监理人。监理人应当及时发出指示，指示构成变更的，按第15条约定办理。监理人没有发出指示的，承包人因采取合理措施而增加的费用和（或）工期延误，由发包人承担。</w:t>
      </w:r>
    </w:p>
    <w:p w14:paraId="306EDA70">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481" w:name="_Toc17106"/>
      <w:bookmarkStart w:id="482" w:name="_Toc234833007"/>
      <w:bookmarkStart w:id="483" w:name="_Toc25496"/>
      <w:bookmarkStart w:id="484" w:name="_Toc31309"/>
      <w:r>
        <w:rPr>
          <w:rFonts w:hint="default" w:ascii="Times New Roman" w:hAnsi="Times New Roman" w:eastAsia="黑体" w:cs="Times New Roman"/>
          <w:b w:val="0"/>
          <w:sz w:val="28"/>
          <w:szCs w:val="28"/>
          <w:highlight w:val="none"/>
        </w:rPr>
        <w:t>5. 材料和工程设备</w:t>
      </w:r>
      <w:bookmarkEnd w:id="481"/>
      <w:bookmarkEnd w:id="482"/>
      <w:bookmarkEnd w:id="483"/>
      <w:bookmarkEnd w:id="484"/>
    </w:p>
    <w:p w14:paraId="77CE7BB3">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485" w:name="_Toc20835"/>
      <w:bookmarkStart w:id="486" w:name="_Toc4914"/>
      <w:bookmarkStart w:id="487" w:name="_Toc15376"/>
      <w:bookmarkStart w:id="488" w:name="_Toc234833008"/>
      <w:r>
        <w:rPr>
          <w:rFonts w:hint="default" w:ascii="Times New Roman" w:hAnsi="Times New Roman" w:eastAsia="黑体" w:cs="Times New Roman"/>
          <w:b w:val="0"/>
          <w:sz w:val="24"/>
          <w:szCs w:val="24"/>
          <w:highlight w:val="none"/>
        </w:rPr>
        <w:t>5.1 承包人提供的材料和工程设备</w:t>
      </w:r>
      <w:bookmarkEnd w:id="485"/>
      <w:bookmarkEnd w:id="486"/>
      <w:bookmarkEnd w:id="487"/>
      <w:bookmarkEnd w:id="488"/>
    </w:p>
    <w:p w14:paraId="016CB33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5.1.1 除专用合同条款另有约定外，承包人提供的材料和工程设备均由承包人负责采购、运输和保管。承包人应对其采购的材料和工程设备负责。</w:t>
      </w:r>
    </w:p>
    <w:p w14:paraId="0307926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5.1.2 承包人应按专用合同条款的约定，将各项材料和工程设备的供货人及品种、规格、数量和供货时间等报送监理人审批。承包人应向监理</w:t>
      </w:r>
      <w:r>
        <w:rPr>
          <w:rFonts w:hint="default" w:ascii="Times New Roman" w:hAnsi="Times New Roman" w:cs="Times New Roman"/>
          <w:iCs/>
          <w:sz w:val="24"/>
          <w:highlight w:val="none"/>
        </w:rPr>
        <w:t>人</w:t>
      </w:r>
      <w:r>
        <w:rPr>
          <w:rFonts w:hint="default" w:ascii="Times New Roman" w:hAnsi="Times New Roman" w:cs="Times New Roman"/>
          <w:sz w:val="24"/>
          <w:highlight w:val="none"/>
        </w:rPr>
        <w:t>提交其负责提供的材料和工程设备的质量证明文件，并满足合同约定的质量标准。</w:t>
      </w:r>
    </w:p>
    <w:p w14:paraId="7DE4A76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5.1.3对承包人提供的材料和工程设备，承包人应会同监理人进行检验和交货验收，查验材料合格证明和产品合格证书，并按合同约定和监理人指示，进行材料的抽样检验和工程设备的检验测试，检验和测试结果应提交监理人，所需费用由承包人承担。</w:t>
      </w:r>
    </w:p>
    <w:p w14:paraId="0493A426">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489" w:name="_Toc234833009"/>
      <w:bookmarkStart w:id="490" w:name="_Toc1587"/>
      <w:bookmarkStart w:id="491" w:name="_Toc26834"/>
      <w:bookmarkStart w:id="492" w:name="_Toc5584"/>
      <w:r>
        <w:rPr>
          <w:rFonts w:hint="default" w:ascii="Times New Roman" w:hAnsi="Times New Roman" w:eastAsia="黑体" w:cs="Times New Roman"/>
          <w:b w:val="0"/>
          <w:sz w:val="24"/>
          <w:szCs w:val="24"/>
          <w:highlight w:val="none"/>
        </w:rPr>
        <w:t>5.2 发包人提供的材料和工程设备</w:t>
      </w:r>
      <w:bookmarkEnd w:id="489"/>
      <w:bookmarkEnd w:id="490"/>
      <w:bookmarkEnd w:id="491"/>
      <w:bookmarkEnd w:id="492"/>
    </w:p>
    <w:p w14:paraId="6110810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5.2.1 发包人提供的材料和工程设备，应在专用合同条款中写明材料和工程设备的名称、规格、数量、价格、交货方式、交货地点和计划交货日期等。</w:t>
      </w:r>
    </w:p>
    <w:p w14:paraId="13BAB34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5.2.2 承包人应根据合同进度计划的安排，向监理人报送要求发包人交货的日期计划。发包人应按照监理人与合同双方当事人</w:t>
      </w:r>
      <w:r>
        <w:rPr>
          <w:rFonts w:hint="default" w:ascii="Times New Roman" w:hAnsi="Times New Roman" w:cs="Times New Roman"/>
          <w:iCs/>
          <w:sz w:val="24"/>
          <w:highlight w:val="none"/>
        </w:rPr>
        <w:t>商定</w:t>
      </w:r>
      <w:r>
        <w:rPr>
          <w:rFonts w:hint="default" w:ascii="Times New Roman" w:hAnsi="Times New Roman" w:cs="Times New Roman"/>
          <w:sz w:val="24"/>
          <w:highlight w:val="none"/>
        </w:rPr>
        <w:t>的交货日期，向承包人提交材料和工程设备。</w:t>
      </w:r>
    </w:p>
    <w:p w14:paraId="57677241">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5.2.3 发包人应在材料和工程设备到货7天前通知承包人，承包人应会同监理人在约定的时间内，赴交货地点共同进行验收。除专用合同条款另有约定外，发包人提供的材料和工程设备验收后，由承包人负责接收、运输和保管。</w:t>
      </w:r>
    </w:p>
    <w:p w14:paraId="50A41FB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5.2.4 发包人要求向承包人提前交货的，承包人不得拒绝，但发包人应承担承包人由此增加的费用。 </w:t>
      </w:r>
    </w:p>
    <w:p w14:paraId="37045E0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5.2.5 承包人要求更改交货日期或地点的，应事先报请监理人批准。由于承包人要求更改交货时间或地点所增加的费用和（或）工期延误由承包人承担。 </w:t>
      </w:r>
    </w:p>
    <w:p w14:paraId="75BDC67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5.2.6 发包人提供的材料和工程设备的规格、数量或质量不符合合同要求，或由于发包人原因发生交货日期延误及交货地点变更等情况的，发包人应承担由此增加的费用和（或）工期延误，并向承包人支付合理利润。</w:t>
      </w:r>
    </w:p>
    <w:p w14:paraId="229BA3CC">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493" w:name="_Toc234833010"/>
      <w:bookmarkStart w:id="494" w:name="_Toc3308"/>
      <w:bookmarkStart w:id="495" w:name="_Toc23205"/>
      <w:bookmarkStart w:id="496" w:name="_Toc31513"/>
      <w:r>
        <w:rPr>
          <w:rFonts w:hint="default" w:ascii="Times New Roman" w:hAnsi="Times New Roman" w:eastAsia="黑体" w:cs="Times New Roman"/>
          <w:b w:val="0"/>
          <w:sz w:val="24"/>
          <w:szCs w:val="24"/>
          <w:highlight w:val="none"/>
        </w:rPr>
        <w:t>5.3 材料和工程设备专用于合同工程</w:t>
      </w:r>
      <w:bookmarkEnd w:id="493"/>
      <w:bookmarkEnd w:id="494"/>
      <w:bookmarkEnd w:id="495"/>
      <w:bookmarkEnd w:id="496"/>
    </w:p>
    <w:p w14:paraId="062E903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5.3.1运入施工场地的材料、工程设备，包括备品备件、安装专用工器具与随机资料，必须专用于合同工程，未经监理人同意，承包人不得运出施工场地或挪作他用。</w:t>
      </w:r>
    </w:p>
    <w:p w14:paraId="78CAC1A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5.3.2 随同工程设备运入施工场地的备品备件、专用工器具与随机资料，应由承包人会同监理人按供货人的装箱单清点后共同封存，未经监理人同意不得启用。承包人因合同工作需要使用上述物品时，应向监理人提出申请。</w:t>
      </w:r>
    </w:p>
    <w:p w14:paraId="37607476">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497" w:name="_Toc30003"/>
      <w:bookmarkStart w:id="498" w:name="_Toc234833011"/>
      <w:bookmarkStart w:id="499" w:name="_Toc28304"/>
      <w:bookmarkStart w:id="500" w:name="_Toc25420"/>
      <w:r>
        <w:rPr>
          <w:rFonts w:hint="default" w:ascii="Times New Roman" w:hAnsi="Times New Roman" w:eastAsia="黑体" w:cs="Times New Roman"/>
          <w:b w:val="0"/>
          <w:sz w:val="24"/>
          <w:szCs w:val="24"/>
          <w:highlight w:val="none"/>
        </w:rPr>
        <w:t>5.4 禁止使用不合格的材料和工程设备</w:t>
      </w:r>
      <w:bookmarkEnd w:id="497"/>
      <w:bookmarkEnd w:id="498"/>
      <w:bookmarkEnd w:id="499"/>
      <w:bookmarkEnd w:id="500"/>
      <w:r>
        <w:rPr>
          <w:rFonts w:hint="default" w:ascii="Times New Roman" w:hAnsi="Times New Roman" w:eastAsia="黑体" w:cs="Times New Roman"/>
          <w:b w:val="0"/>
          <w:sz w:val="24"/>
          <w:szCs w:val="24"/>
          <w:highlight w:val="none"/>
        </w:rPr>
        <w:t xml:space="preserve"> </w:t>
      </w:r>
    </w:p>
    <w:p w14:paraId="7FE585C2">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5.4.1 监理人有权拒绝承包人提供的不合格材料或工程设备，并要求承包人立即进行更换。监理人应在更换后再次进行检查和检验，由此增加的费用和（或）工期延误由承包人承担。</w:t>
      </w:r>
    </w:p>
    <w:p w14:paraId="5F243E2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5.4.2 监理人发现承包人使用了不合格的材料和工程设备，应即时发出指示要求承包人立即改正，并禁止在工程中继续使用不合格的材料和工程设备。</w:t>
      </w:r>
    </w:p>
    <w:p w14:paraId="3D4B1DF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5.4.3 发包人提供的材料或工程设备不符合合同要求的，承包人有权拒绝，并可要求发包人更换，由此增加的费用和（或）工期延误由发包人承担。</w:t>
      </w:r>
    </w:p>
    <w:p w14:paraId="58B5DB93">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501" w:name="_Toc17211"/>
      <w:bookmarkStart w:id="502" w:name="_Toc234833012"/>
      <w:bookmarkStart w:id="503" w:name="_Toc31096"/>
      <w:bookmarkStart w:id="504" w:name="_Toc19538"/>
      <w:r>
        <w:rPr>
          <w:rFonts w:hint="default" w:ascii="Times New Roman" w:hAnsi="Times New Roman" w:eastAsia="黑体" w:cs="Times New Roman"/>
          <w:b w:val="0"/>
          <w:sz w:val="28"/>
          <w:szCs w:val="28"/>
          <w:highlight w:val="none"/>
        </w:rPr>
        <w:t>6. 施工设备和临时设施</w:t>
      </w:r>
      <w:bookmarkEnd w:id="501"/>
      <w:bookmarkEnd w:id="502"/>
      <w:bookmarkEnd w:id="503"/>
      <w:bookmarkEnd w:id="504"/>
      <w:r>
        <w:rPr>
          <w:rFonts w:hint="default" w:ascii="Times New Roman" w:hAnsi="Times New Roman" w:eastAsia="黑体" w:cs="Times New Roman"/>
          <w:b w:val="0"/>
          <w:sz w:val="28"/>
          <w:szCs w:val="28"/>
          <w:highlight w:val="none"/>
        </w:rPr>
        <w:t xml:space="preserve"> </w:t>
      </w:r>
    </w:p>
    <w:p w14:paraId="535443CD">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505" w:name="_Toc234833013"/>
      <w:bookmarkStart w:id="506" w:name="_Toc4093"/>
      <w:bookmarkStart w:id="507" w:name="_Toc12035"/>
      <w:bookmarkStart w:id="508" w:name="_Toc15430"/>
      <w:r>
        <w:rPr>
          <w:rFonts w:hint="default" w:ascii="Times New Roman" w:hAnsi="Times New Roman" w:eastAsia="黑体" w:cs="Times New Roman"/>
          <w:b w:val="0"/>
          <w:sz w:val="24"/>
          <w:szCs w:val="24"/>
          <w:highlight w:val="none"/>
        </w:rPr>
        <w:t>6.1 承包人提供的施工设备和临时设施</w:t>
      </w:r>
      <w:bookmarkEnd w:id="505"/>
      <w:bookmarkEnd w:id="506"/>
      <w:bookmarkEnd w:id="507"/>
      <w:bookmarkEnd w:id="508"/>
    </w:p>
    <w:p w14:paraId="5033268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6.1.1 承包人应按合同进度计划的要求，及时配置施工设备和修建临时设施。进入施工场地的承包人设备需经监理人核查后才能投入使用。承包人更换合同约定的承包人设备的，应报监理人批准。</w:t>
      </w:r>
    </w:p>
    <w:p w14:paraId="02ACBC0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6.1.2 除专用合同条款另有约定外，承包人应自行承担修建临时设施的费用，需要临时占地的，应由发包人办理申请手续并承担相应费用。</w:t>
      </w:r>
    </w:p>
    <w:p w14:paraId="507A2281">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509" w:name="_Toc20219"/>
      <w:bookmarkStart w:id="510" w:name="_Toc31129"/>
      <w:bookmarkStart w:id="511" w:name="_Toc234833014"/>
      <w:bookmarkStart w:id="512" w:name="_Toc25302"/>
      <w:r>
        <w:rPr>
          <w:rFonts w:hint="default" w:ascii="Times New Roman" w:hAnsi="Times New Roman" w:eastAsia="黑体" w:cs="Times New Roman"/>
          <w:b w:val="0"/>
          <w:sz w:val="24"/>
          <w:szCs w:val="24"/>
          <w:highlight w:val="none"/>
        </w:rPr>
        <w:t>6.2 发包人提供的施工设备和临时设施</w:t>
      </w:r>
      <w:bookmarkEnd w:id="509"/>
      <w:bookmarkEnd w:id="510"/>
      <w:bookmarkEnd w:id="511"/>
      <w:bookmarkEnd w:id="512"/>
    </w:p>
    <w:p w14:paraId="7BDCD8E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发包人提供的施工设备或临时设施在专用合同条款中约定。</w:t>
      </w:r>
    </w:p>
    <w:p w14:paraId="6B6CF7DF">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513" w:name="_Toc234833015"/>
      <w:bookmarkStart w:id="514" w:name="_Toc26083"/>
      <w:bookmarkStart w:id="515" w:name="_Toc13422"/>
      <w:bookmarkStart w:id="516" w:name="_Toc7691"/>
      <w:r>
        <w:rPr>
          <w:rFonts w:hint="default" w:ascii="Times New Roman" w:hAnsi="Times New Roman" w:eastAsia="黑体" w:cs="Times New Roman"/>
          <w:b w:val="0"/>
          <w:sz w:val="24"/>
          <w:szCs w:val="24"/>
          <w:highlight w:val="none"/>
        </w:rPr>
        <w:t>6.3 要求承包人增加或更换施工设备</w:t>
      </w:r>
      <w:bookmarkEnd w:id="513"/>
      <w:bookmarkEnd w:id="514"/>
      <w:bookmarkEnd w:id="515"/>
      <w:bookmarkEnd w:id="516"/>
    </w:p>
    <w:p w14:paraId="0688F1B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承包人使用的施工设备不能满足合同进度计划和（或）质量要求时，监理人有权要求承包人增加或更换施工设备，承包人应及时增加或更换，由此增加的费用和（或）工期延误由承包人承担。</w:t>
      </w:r>
    </w:p>
    <w:p w14:paraId="3DAA9906">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517" w:name="_Toc13599"/>
      <w:bookmarkStart w:id="518" w:name="_Toc234833016"/>
      <w:bookmarkStart w:id="519" w:name="_Toc24204"/>
      <w:bookmarkStart w:id="520" w:name="_Toc20359"/>
      <w:r>
        <w:rPr>
          <w:rFonts w:hint="default" w:ascii="Times New Roman" w:hAnsi="Times New Roman" w:eastAsia="黑体" w:cs="Times New Roman"/>
          <w:b w:val="0"/>
          <w:sz w:val="24"/>
          <w:szCs w:val="24"/>
          <w:highlight w:val="none"/>
        </w:rPr>
        <w:t>6.4 施工设备和临时设施专用于合同工程</w:t>
      </w:r>
      <w:bookmarkEnd w:id="517"/>
      <w:bookmarkEnd w:id="518"/>
      <w:bookmarkEnd w:id="519"/>
      <w:bookmarkEnd w:id="520"/>
    </w:p>
    <w:p w14:paraId="72F605D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6.4.1除合同另有约定外，运入施工场地的所有施工设备以及在施工场地建设的临时设施应专用于合同工程。未经监理人同意，不得将上述施工设备和临时设施中的任何部分运出施工场地或挪作他用。</w:t>
      </w:r>
    </w:p>
    <w:p w14:paraId="23749A66">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6.4.2 经监理人同意，承包人可根据合同进度计划撤走闲置的施工设备。</w:t>
      </w:r>
    </w:p>
    <w:p w14:paraId="2A5BBF12">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521" w:name="_Toc7342"/>
      <w:bookmarkStart w:id="522" w:name="_Toc7239"/>
      <w:bookmarkStart w:id="523" w:name="_Toc234833017"/>
      <w:bookmarkStart w:id="524" w:name="_Toc30527"/>
      <w:r>
        <w:rPr>
          <w:rFonts w:hint="default" w:ascii="Times New Roman" w:hAnsi="Times New Roman" w:eastAsia="黑体" w:cs="Times New Roman"/>
          <w:b w:val="0"/>
          <w:sz w:val="28"/>
          <w:szCs w:val="28"/>
          <w:highlight w:val="none"/>
        </w:rPr>
        <w:t>7. 交通运输</w:t>
      </w:r>
      <w:bookmarkEnd w:id="521"/>
      <w:bookmarkEnd w:id="522"/>
      <w:bookmarkEnd w:id="523"/>
      <w:bookmarkEnd w:id="524"/>
      <w:r>
        <w:rPr>
          <w:rFonts w:hint="default" w:ascii="Times New Roman" w:hAnsi="Times New Roman" w:eastAsia="黑体" w:cs="Times New Roman"/>
          <w:b w:val="0"/>
          <w:sz w:val="28"/>
          <w:szCs w:val="28"/>
          <w:highlight w:val="none"/>
        </w:rPr>
        <w:t xml:space="preserve"> </w:t>
      </w:r>
    </w:p>
    <w:p w14:paraId="6BD9BDFC">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525" w:name="_Toc2798"/>
      <w:bookmarkStart w:id="526" w:name="_Toc6489"/>
      <w:bookmarkStart w:id="527" w:name="_Toc13492"/>
      <w:bookmarkStart w:id="528" w:name="_Toc234833018"/>
      <w:r>
        <w:rPr>
          <w:rFonts w:hint="default" w:ascii="Times New Roman" w:hAnsi="Times New Roman" w:eastAsia="黑体" w:cs="Times New Roman"/>
          <w:b w:val="0"/>
          <w:sz w:val="24"/>
          <w:szCs w:val="24"/>
          <w:highlight w:val="none"/>
        </w:rPr>
        <w:t>7.1 道路通行权和场外设施</w:t>
      </w:r>
      <w:bookmarkEnd w:id="525"/>
      <w:bookmarkEnd w:id="526"/>
      <w:bookmarkEnd w:id="527"/>
      <w:bookmarkEnd w:id="528"/>
    </w:p>
    <w:p w14:paraId="06DFE3CC">
      <w:pPr>
        <w:pageBreakBefore w:val="0"/>
        <w:kinsoku/>
        <w:wordWrap w:val="0"/>
        <w:bidi w:val="0"/>
        <w:spacing w:line="400" w:lineRule="atLeast"/>
        <w:ind w:firstLine="420"/>
        <w:rPr>
          <w:rFonts w:hint="default" w:ascii="Times New Roman" w:hAnsi="Times New Roman" w:cs="Times New Roman"/>
          <w:i/>
          <w:sz w:val="24"/>
          <w:highlight w:val="none"/>
        </w:rPr>
      </w:pPr>
      <w:r>
        <w:rPr>
          <w:rFonts w:hint="default" w:ascii="Times New Roman" w:hAnsi="Times New Roman" w:cs="Times New Roman"/>
          <w:sz w:val="24"/>
          <w:highlight w:val="none"/>
        </w:rPr>
        <w:t>除专用合同条款另有约定外，发包人应根据合同工程的施工需要，负责办理取得出入施工场地的专用和临时道路的通行权，以及取得为工程建设所需修建场外设施的权利，并承担有关费用。承包人应协助发包人办理上述手续。</w:t>
      </w:r>
    </w:p>
    <w:p w14:paraId="5E70DE37">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529" w:name="_Toc16282"/>
      <w:bookmarkStart w:id="530" w:name="_Toc9056"/>
      <w:bookmarkStart w:id="531" w:name="_Toc234833019"/>
      <w:bookmarkStart w:id="532" w:name="_Toc9049"/>
      <w:r>
        <w:rPr>
          <w:rFonts w:hint="default" w:ascii="Times New Roman" w:hAnsi="Times New Roman" w:eastAsia="黑体" w:cs="Times New Roman"/>
          <w:b w:val="0"/>
          <w:sz w:val="24"/>
          <w:szCs w:val="24"/>
          <w:highlight w:val="none"/>
        </w:rPr>
        <w:t>7.2 场内施工道路</w:t>
      </w:r>
      <w:bookmarkEnd w:id="529"/>
      <w:bookmarkEnd w:id="530"/>
      <w:bookmarkEnd w:id="531"/>
      <w:bookmarkEnd w:id="532"/>
    </w:p>
    <w:p w14:paraId="0632AE9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7.2.1 除专用合同条款另有约定外，承包人应负责修建、维修、养护和管理施工所需的临时道路和交通设施，包括维修、养护和管理发包人提供的道路和交通设施，并承担相应费用。</w:t>
      </w:r>
    </w:p>
    <w:p w14:paraId="716F24D6">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7.2.2 除专用合同条款另有约定外，承包人修建的临时道路和交通设施应免费提供发包人和监理人使用。</w:t>
      </w:r>
    </w:p>
    <w:p w14:paraId="30BD5915">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533" w:name="_Toc1860"/>
      <w:bookmarkStart w:id="534" w:name="_Toc234833020"/>
      <w:bookmarkStart w:id="535" w:name="_Toc16389"/>
      <w:bookmarkStart w:id="536" w:name="_Toc31425"/>
      <w:r>
        <w:rPr>
          <w:rFonts w:hint="default" w:ascii="Times New Roman" w:hAnsi="Times New Roman" w:eastAsia="黑体" w:cs="Times New Roman"/>
          <w:b w:val="0"/>
          <w:sz w:val="24"/>
          <w:szCs w:val="24"/>
          <w:highlight w:val="none"/>
        </w:rPr>
        <w:t>7.3 场外交通</w:t>
      </w:r>
      <w:bookmarkEnd w:id="533"/>
      <w:bookmarkEnd w:id="534"/>
      <w:bookmarkEnd w:id="535"/>
      <w:bookmarkEnd w:id="536"/>
    </w:p>
    <w:p w14:paraId="4A63AFC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7.3.1 承包人车辆外出行驶所需的场外公共道路的通行费、养路费和税款等由承包人承担。</w:t>
      </w:r>
    </w:p>
    <w:p w14:paraId="2C6BA752">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7.3.2 承包人应遵守有关交通法规，严格按照道路和桥梁的限制荷重安全行驶，并服从交通管理部门的检查和监督。</w:t>
      </w:r>
    </w:p>
    <w:p w14:paraId="1DD1D89A">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537" w:name="_Toc8355"/>
      <w:bookmarkStart w:id="538" w:name="_Toc29695"/>
      <w:bookmarkStart w:id="539" w:name="_Toc16025"/>
      <w:bookmarkStart w:id="540" w:name="_Toc234833021"/>
      <w:r>
        <w:rPr>
          <w:rFonts w:hint="default" w:ascii="Times New Roman" w:hAnsi="Times New Roman" w:eastAsia="黑体" w:cs="Times New Roman"/>
          <w:b w:val="0"/>
          <w:sz w:val="24"/>
          <w:szCs w:val="24"/>
          <w:highlight w:val="none"/>
        </w:rPr>
        <w:t>7.4 超大件和超重件的运输</w:t>
      </w:r>
      <w:bookmarkEnd w:id="537"/>
      <w:bookmarkEnd w:id="538"/>
      <w:bookmarkEnd w:id="539"/>
      <w:bookmarkEnd w:id="540"/>
    </w:p>
    <w:p w14:paraId="4CE4ABC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由承包人负责运输的超大件或超重件，应由承包人负责向交通管理部门办理申请手续，发包人给予协助。运输超大件或超重件所需的道路和桥梁临时加固改造费用和其他有关费用，由承包人承担，但专用合同条款另有约定除外。</w:t>
      </w:r>
    </w:p>
    <w:p w14:paraId="18E296FA">
      <w:pPr>
        <w:pageBreakBefore w:val="0"/>
        <w:kinsoku/>
        <w:wordWrap w:val="0"/>
        <w:bidi w:val="0"/>
        <w:spacing w:line="400" w:lineRule="atLeast"/>
        <w:rPr>
          <w:rFonts w:hint="default" w:ascii="Times New Roman" w:hAnsi="Times New Roman" w:cs="Times New Roman"/>
          <w:sz w:val="24"/>
          <w:highlight w:val="none"/>
        </w:rPr>
      </w:pPr>
    </w:p>
    <w:p w14:paraId="403F9C68">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541" w:name="_Toc30531"/>
      <w:bookmarkStart w:id="542" w:name="_Toc234833022"/>
      <w:bookmarkStart w:id="543" w:name="_Toc9627"/>
      <w:bookmarkStart w:id="544" w:name="_Toc18208"/>
      <w:r>
        <w:rPr>
          <w:rFonts w:hint="default" w:ascii="Times New Roman" w:hAnsi="Times New Roman" w:eastAsia="黑体" w:cs="Times New Roman"/>
          <w:b w:val="0"/>
          <w:sz w:val="24"/>
          <w:szCs w:val="24"/>
          <w:highlight w:val="none"/>
        </w:rPr>
        <w:t>7.5 道路和桥梁的损坏责任</w:t>
      </w:r>
      <w:bookmarkEnd w:id="541"/>
      <w:bookmarkEnd w:id="542"/>
      <w:bookmarkEnd w:id="543"/>
      <w:bookmarkEnd w:id="544"/>
    </w:p>
    <w:p w14:paraId="080C33BB">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因承包人运输造成施工场地内外公共道路和桥梁损坏的，由承包人承担修复损坏的全部费用和可能引起的赔偿。</w:t>
      </w:r>
    </w:p>
    <w:p w14:paraId="50C5114B">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545" w:name="_Toc23109"/>
      <w:bookmarkStart w:id="546" w:name="_Toc28879"/>
      <w:bookmarkStart w:id="547" w:name="_Toc234833023"/>
      <w:bookmarkStart w:id="548" w:name="_Toc9650"/>
      <w:r>
        <w:rPr>
          <w:rFonts w:hint="default" w:ascii="Times New Roman" w:hAnsi="Times New Roman" w:eastAsia="黑体" w:cs="Times New Roman"/>
          <w:b w:val="0"/>
          <w:sz w:val="24"/>
          <w:szCs w:val="24"/>
          <w:highlight w:val="none"/>
        </w:rPr>
        <w:t>7.6 水路和航空运输</w:t>
      </w:r>
      <w:bookmarkEnd w:id="545"/>
      <w:bookmarkEnd w:id="546"/>
      <w:bookmarkEnd w:id="547"/>
      <w:bookmarkEnd w:id="548"/>
    </w:p>
    <w:p w14:paraId="1D310FDE">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本条上述各款的内容适用于水路运输和航空运输，其中</w:t>
      </w:r>
      <w:r>
        <w:rPr>
          <w:rFonts w:hint="eastAsia" w:ascii="宋体" w:hAnsi="宋体" w:eastAsia="宋体" w:cs="宋体"/>
          <w:sz w:val="24"/>
          <w:highlight w:val="none"/>
        </w:rPr>
        <w:t>“</w:t>
      </w:r>
      <w:r>
        <w:rPr>
          <w:rFonts w:hint="default" w:ascii="Times New Roman" w:hAnsi="Times New Roman" w:cs="Times New Roman"/>
          <w:sz w:val="24"/>
          <w:highlight w:val="none"/>
        </w:rPr>
        <w:t>道路</w:t>
      </w:r>
      <w:r>
        <w:rPr>
          <w:rFonts w:hint="eastAsia" w:ascii="宋体" w:hAnsi="宋体" w:eastAsia="宋体" w:cs="宋体"/>
          <w:sz w:val="24"/>
          <w:highlight w:val="none"/>
        </w:rPr>
        <w:t>”</w:t>
      </w:r>
      <w:r>
        <w:rPr>
          <w:rFonts w:hint="default" w:ascii="Times New Roman" w:hAnsi="Times New Roman" w:cs="Times New Roman"/>
          <w:sz w:val="24"/>
          <w:highlight w:val="none"/>
        </w:rPr>
        <w:t>一词的涵义包括河道、航线、船闸、机场、码头、堤防以及水路或航空运输中其他相似结构物；</w:t>
      </w:r>
      <w:r>
        <w:rPr>
          <w:rFonts w:hint="eastAsia" w:ascii="宋体" w:hAnsi="宋体" w:eastAsia="宋体" w:cs="宋体"/>
          <w:sz w:val="24"/>
          <w:highlight w:val="none"/>
        </w:rPr>
        <w:t>“</w:t>
      </w:r>
      <w:r>
        <w:rPr>
          <w:rFonts w:hint="default" w:ascii="Times New Roman" w:hAnsi="Times New Roman" w:cs="Times New Roman"/>
          <w:sz w:val="24"/>
          <w:highlight w:val="none"/>
        </w:rPr>
        <w:t>车辆</w:t>
      </w:r>
      <w:r>
        <w:rPr>
          <w:rFonts w:hint="eastAsia" w:ascii="宋体" w:hAnsi="宋体" w:eastAsia="宋体" w:cs="宋体"/>
          <w:sz w:val="24"/>
          <w:highlight w:val="none"/>
        </w:rPr>
        <w:t>”</w:t>
      </w:r>
      <w:r>
        <w:rPr>
          <w:rFonts w:hint="default" w:ascii="Times New Roman" w:hAnsi="Times New Roman" w:cs="Times New Roman"/>
          <w:sz w:val="24"/>
          <w:highlight w:val="none"/>
        </w:rPr>
        <w:t xml:space="preserve">一词的涵义包括船舶和飞机等。 </w:t>
      </w:r>
    </w:p>
    <w:p w14:paraId="6260FCE7">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549" w:name="_Toc32126"/>
      <w:bookmarkStart w:id="550" w:name="_Toc234833024"/>
      <w:bookmarkStart w:id="551" w:name="_Toc19372"/>
      <w:bookmarkStart w:id="552" w:name="_Toc24534"/>
      <w:r>
        <w:rPr>
          <w:rFonts w:hint="default" w:ascii="Times New Roman" w:hAnsi="Times New Roman" w:eastAsia="黑体" w:cs="Times New Roman"/>
          <w:b w:val="0"/>
          <w:sz w:val="28"/>
          <w:szCs w:val="28"/>
          <w:highlight w:val="none"/>
        </w:rPr>
        <w:t>8. 测量放线</w:t>
      </w:r>
      <w:bookmarkEnd w:id="549"/>
      <w:bookmarkEnd w:id="550"/>
      <w:bookmarkEnd w:id="551"/>
      <w:bookmarkEnd w:id="552"/>
    </w:p>
    <w:p w14:paraId="64832FAC">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553" w:name="_Toc22188"/>
      <w:bookmarkStart w:id="554" w:name="_Toc9189"/>
      <w:bookmarkStart w:id="555" w:name="_Toc22172"/>
      <w:bookmarkStart w:id="556" w:name="_Toc234833025"/>
      <w:r>
        <w:rPr>
          <w:rFonts w:hint="default" w:ascii="Times New Roman" w:hAnsi="Times New Roman" w:eastAsia="黑体" w:cs="Times New Roman"/>
          <w:b w:val="0"/>
          <w:sz w:val="24"/>
          <w:szCs w:val="24"/>
          <w:highlight w:val="none"/>
        </w:rPr>
        <w:t>8.1 施工控制网</w:t>
      </w:r>
      <w:bookmarkEnd w:id="553"/>
      <w:bookmarkEnd w:id="554"/>
      <w:bookmarkEnd w:id="555"/>
      <w:bookmarkEnd w:id="556"/>
    </w:p>
    <w:p w14:paraId="702AA09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8.1.1发包人应在专用合同条款约定的期限内，通过监理人向承包人提供测量基准点、基准线和水准点及其书面资料。除专用合同条款另有约定外，承包人应根据国家测绘基准、测绘系统和工程测量技术规范，按上述基准点（线）以及合同工程精度要求，测设施工控制网，并在专用合同条款约定的期限内，将施工控制网资料报送监理人审批。</w:t>
      </w:r>
    </w:p>
    <w:p w14:paraId="4D87E6FA">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8.1.2承包人应负责管理施工控制网点。施工控制网点丢失或损坏的，承包人应及时修复。承包人应承担施工控制网点的管理与修复费用，并在工程竣工后将施工控制网点移交发包人。</w:t>
      </w:r>
    </w:p>
    <w:p w14:paraId="181C8E5D">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557" w:name="_Toc25309"/>
      <w:bookmarkStart w:id="558" w:name="_Toc234833026"/>
      <w:bookmarkStart w:id="559" w:name="_Toc17769"/>
      <w:bookmarkStart w:id="560" w:name="_Toc14368"/>
      <w:r>
        <w:rPr>
          <w:rFonts w:hint="default" w:ascii="Times New Roman" w:hAnsi="Times New Roman" w:eastAsia="黑体" w:cs="Times New Roman"/>
          <w:b w:val="0"/>
          <w:sz w:val="24"/>
          <w:szCs w:val="24"/>
          <w:highlight w:val="none"/>
        </w:rPr>
        <w:t>8.2 施工测量</w:t>
      </w:r>
      <w:bookmarkEnd w:id="557"/>
      <w:bookmarkEnd w:id="558"/>
      <w:bookmarkEnd w:id="559"/>
      <w:bookmarkEnd w:id="560"/>
    </w:p>
    <w:p w14:paraId="2AE55505">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8.2.1承包人应负责施工过程中的全部施工测量放线工作，并配置合格的人员、仪器、设备和其他物品。</w:t>
      </w:r>
    </w:p>
    <w:p w14:paraId="09D6F81E">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8.2.2监理人可以指示承包人进行抽样复测，当复测中发现错误或出现超过合同约定的误差时，承包人应按监理人指示进行修正或补测，并承担相应的复测费用。</w:t>
      </w:r>
    </w:p>
    <w:p w14:paraId="400BFE73">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561" w:name="_Toc30617"/>
      <w:bookmarkStart w:id="562" w:name="_Toc234833027"/>
      <w:bookmarkStart w:id="563" w:name="_Toc19638"/>
      <w:bookmarkStart w:id="564" w:name="_Toc10297"/>
      <w:r>
        <w:rPr>
          <w:rFonts w:hint="default" w:ascii="Times New Roman" w:hAnsi="Times New Roman" w:eastAsia="黑体" w:cs="Times New Roman"/>
          <w:b w:val="0"/>
          <w:sz w:val="24"/>
          <w:szCs w:val="24"/>
          <w:highlight w:val="none"/>
        </w:rPr>
        <w:t>8.3 基准资料错误的责任</w:t>
      </w:r>
      <w:bookmarkEnd w:id="561"/>
      <w:bookmarkEnd w:id="562"/>
      <w:bookmarkEnd w:id="563"/>
      <w:bookmarkEnd w:id="564"/>
    </w:p>
    <w:p w14:paraId="57A94813">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发包人应对其提供的测量基准点、基准线和水准点及其书面资料的真实性、准确性和完整性负责。发包人提供上述基准资料错误导致承包人测量放线工作的返工或造成工程损失的，发包人应当承担由此增加的费用和（或）工期延误，并向承包人支付合理利润。承包人发现发包人提供的上述基准资料存在明显错误或疏忽的，应及时通知监理人。</w:t>
      </w:r>
    </w:p>
    <w:p w14:paraId="7B7AF685">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565" w:name="_Toc15727"/>
      <w:bookmarkStart w:id="566" w:name="_Toc1487"/>
      <w:bookmarkStart w:id="567" w:name="_Toc9294"/>
      <w:bookmarkStart w:id="568" w:name="_Toc234833028"/>
      <w:r>
        <w:rPr>
          <w:rFonts w:hint="default" w:ascii="Times New Roman" w:hAnsi="Times New Roman" w:eastAsia="黑体" w:cs="Times New Roman"/>
          <w:b w:val="0"/>
          <w:sz w:val="24"/>
          <w:szCs w:val="24"/>
          <w:highlight w:val="none"/>
        </w:rPr>
        <w:t>8.4 监理人使用施工控制网</w:t>
      </w:r>
      <w:bookmarkEnd w:id="565"/>
      <w:bookmarkEnd w:id="566"/>
      <w:bookmarkEnd w:id="567"/>
      <w:bookmarkEnd w:id="568"/>
    </w:p>
    <w:p w14:paraId="32B2FC1B">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监理人需要使用施工控制网的，承包人应提供必要的协助，发包人不再为此支付费用。</w:t>
      </w:r>
    </w:p>
    <w:p w14:paraId="2648D3EA">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569" w:name="_Toc234833029"/>
      <w:bookmarkStart w:id="570" w:name="_Toc23788"/>
      <w:bookmarkStart w:id="571" w:name="_Toc3624"/>
      <w:bookmarkStart w:id="572" w:name="_Toc1730"/>
      <w:r>
        <w:rPr>
          <w:rFonts w:hint="default" w:ascii="Times New Roman" w:hAnsi="Times New Roman" w:eastAsia="黑体" w:cs="Times New Roman"/>
          <w:b w:val="0"/>
          <w:sz w:val="28"/>
          <w:szCs w:val="28"/>
          <w:highlight w:val="none"/>
        </w:rPr>
        <w:t>9. 施工安全、治安保卫和环境保护</w:t>
      </w:r>
      <w:bookmarkEnd w:id="569"/>
      <w:bookmarkEnd w:id="570"/>
      <w:bookmarkEnd w:id="571"/>
      <w:bookmarkEnd w:id="572"/>
    </w:p>
    <w:p w14:paraId="3F54FABB">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573" w:name="_Toc234833030"/>
      <w:bookmarkStart w:id="574" w:name="_Toc3769"/>
      <w:bookmarkStart w:id="575" w:name="_Toc20223"/>
      <w:bookmarkStart w:id="576" w:name="_Toc13970"/>
      <w:r>
        <w:rPr>
          <w:rFonts w:hint="default" w:ascii="Times New Roman" w:hAnsi="Times New Roman" w:eastAsia="黑体" w:cs="Times New Roman"/>
          <w:b w:val="0"/>
          <w:sz w:val="24"/>
          <w:szCs w:val="24"/>
          <w:highlight w:val="none"/>
        </w:rPr>
        <w:t>9.1 发包人的施工安全责任</w:t>
      </w:r>
      <w:bookmarkEnd w:id="573"/>
      <w:bookmarkEnd w:id="574"/>
      <w:bookmarkEnd w:id="575"/>
      <w:bookmarkEnd w:id="576"/>
    </w:p>
    <w:p w14:paraId="41DCF276">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9.1.1发包人应按合同约定履行安全职责，授权监理人按合同约定的安全工作内容监督、检查承包人安全工作的实施，组织承包人和有关单位进行安全检查。</w:t>
      </w:r>
    </w:p>
    <w:p w14:paraId="54CB22B0">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9.1.2发包人应对其现场机构雇佣的全部人员的工伤事故承担责任，但由于承包人原因造成发包人人员工伤的，应由承包人承担责任。</w:t>
      </w:r>
    </w:p>
    <w:p w14:paraId="0828C5E7">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9.1.3发包人应负责赔偿以下各种情况造成的第三者人身伤亡和财产损失：</w:t>
      </w:r>
    </w:p>
    <w:p w14:paraId="031F64AF">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 xml:space="preserve">    （1）工程或工程的任何部分对土地的占用所造成的第三者财产损失；</w:t>
      </w:r>
    </w:p>
    <w:p w14:paraId="6D7473A7">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 xml:space="preserve">    （2）由于发包人原因在施工场地及其毗邻地带造成的第三者人身伤亡和财产损失。</w:t>
      </w:r>
    </w:p>
    <w:p w14:paraId="324AC261">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577" w:name="_Toc26218"/>
      <w:bookmarkStart w:id="578" w:name="_Toc234833031"/>
      <w:bookmarkStart w:id="579" w:name="_Toc3730"/>
      <w:bookmarkStart w:id="580" w:name="_Toc6666"/>
      <w:r>
        <w:rPr>
          <w:rFonts w:hint="default" w:ascii="Times New Roman" w:hAnsi="Times New Roman" w:eastAsia="黑体" w:cs="Times New Roman"/>
          <w:b w:val="0"/>
          <w:sz w:val="24"/>
          <w:szCs w:val="24"/>
          <w:highlight w:val="none"/>
        </w:rPr>
        <w:t>9.2 承包人的施工安全责任</w:t>
      </w:r>
      <w:bookmarkEnd w:id="577"/>
      <w:bookmarkEnd w:id="578"/>
      <w:bookmarkEnd w:id="579"/>
      <w:bookmarkEnd w:id="580"/>
    </w:p>
    <w:p w14:paraId="6838D26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9.2.1 承包人应按合同约定履行安全职责,执行监理人有关安全工作的指示,并在专用合同条款约定的期限内，按合同约定的安全工作内容，编制施工安全措施计划报送监理人审批。</w:t>
      </w:r>
    </w:p>
    <w:p w14:paraId="3F49B1F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9.2.2 承包人应加强施工作业安全管理，特别应加强易燃、易爆材料、火工器材、有毒与腐蚀性材料和其他危险品的管理，以及对爆破作业和地下工程施工等危险作业的管理。</w:t>
      </w:r>
    </w:p>
    <w:p w14:paraId="0E981AE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9.2.3 承包人应严格按照国家安全标准制定施工安全操作规程，配备必要的安全生产和劳动保护设施，加强对承包人人员的安全教育，并发放安全工作手册和劳动保护用具。</w:t>
      </w:r>
    </w:p>
    <w:p w14:paraId="30EBFDA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9.2.4 承包人应按监理人的指示制定应对灾害的紧急预案，报送监理人审批。承包人还应按预案做好安全检查，配置必要的救助物资和器材，切实保护好有关人员的人身和财产安全。</w:t>
      </w:r>
    </w:p>
    <w:p w14:paraId="6FC8309E">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9.2.5 合同约定的安全作业环境及安全施工措施所需费用应遵守有关规定，并包括在相关工作的合同价格中。因采取合同未约定的安全作业环境及安全施工措施增加的费用，由监理人按第3.5款商定或确定。</w:t>
      </w:r>
    </w:p>
    <w:p w14:paraId="60E93AA3">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9.2.6 承包人应对其履行合同所雇佣的全部人员，包括分包人人员的工伤事故承担责任，但由于发包人原因造成承包人人员工伤事故的，应由发包人承担责任。</w:t>
      </w:r>
    </w:p>
    <w:p w14:paraId="3110955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9.2.7 由于承包人原因在施工场地内及其毗邻地带造成的第三者人员伤亡和财产损失，由承包人负责赔偿。</w:t>
      </w:r>
    </w:p>
    <w:p w14:paraId="5B21E28B">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581" w:name="_Toc234833032"/>
      <w:bookmarkStart w:id="582" w:name="_Toc31111"/>
      <w:bookmarkStart w:id="583" w:name="_Toc28053"/>
      <w:bookmarkStart w:id="584" w:name="_Toc24377"/>
      <w:r>
        <w:rPr>
          <w:rFonts w:hint="default" w:ascii="Times New Roman" w:hAnsi="Times New Roman" w:eastAsia="黑体" w:cs="Times New Roman"/>
          <w:b w:val="0"/>
          <w:sz w:val="24"/>
          <w:szCs w:val="24"/>
          <w:highlight w:val="none"/>
        </w:rPr>
        <w:t>9.3 治安保卫</w:t>
      </w:r>
      <w:bookmarkEnd w:id="581"/>
      <w:bookmarkEnd w:id="582"/>
      <w:bookmarkEnd w:id="583"/>
      <w:bookmarkEnd w:id="584"/>
    </w:p>
    <w:p w14:paraId="6DF5AF3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9.3.1 除合同另有约定外，发包人应与当地公安部门协商，在现场建立治安管理机构或联防组织，统一管理施工场地的治安保卫事项，履行合同工程的治安保卫职责。</w:t>
      </w:r>
    </w:p>
    <w:p w14:paraId="294ED43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9.3.2 发包人和承包人除应协助现场治安管理机构或联防组织维护施工场地的社会治安外，还应做好包括生活区在内的各自管辖区的治安保卫工作。</w:t>
      </w:r>
    </w:p>
    <w:p w14:paraId="5842300E">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9.3.3 除合同另有约定外，发包人和承包人应在工程开工后，共同编制施工场地治安管理计划，并制定应对突发治安事件的紧急预案。在工程施工过程中，发生暴乱、爆炸等恐怖事件，以及群殴、械斗等群体性突发治安事件的，发包人和承包人应立即向当地政府报告。发包人和承包人应积极协助当地有关部门采取措施平息事态，防止事态扩大，尽量减少财产损失和避免人员伤亡。</w:t>
      </w:r>
    </w:p>
    <w:p w14:paraId="35D8150F">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585" w:name="_Toc234833033"/>
      <w:bookmarkStart w:id="586" w:name="_Toc16001"/>
      <w:bookmarkStart w:id="587" w:name="_Toc19343"/>
      <w:bookmarkStart w:id="588" w:name="_Toc30300"/>
      <w:r>
        <w:rPr>
          <w:rFonts w:hint="default" w:ascii="Times New Roman" w:hAnsi="Times New Roman" w:eastAsia="黑体" w:cs="Times New Roman"/>
          <w:b w:val="0"/>
          <w:sz w:val="24"/>
          <w:szCs w:val="24"/>
          <w:highlight w:val="none"/>
        </w:rPr>
        <w:t>9.4 环境保护</w:t>
      </w:r>
      <w:bookmarkEnd w:id="585"/>
      <w:bookmarkEnd w:id="586"/>
      <w:bookmarkEnd w:id="587"/>
      <w:bookmarkEnd w:id="588"/>
    </w:p>
    <w:p w14:paraId="124CE0F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9.4.1 承包人在施工过程中，应遵守有关环境保护的法律，履行合同约定的环境保护义务，并对违反法律和合同约定义务所造成的环境破坏、人身伤害和财产损失负责。</w:t>
      </w:r>
    </w:p>
    <w:p w14:paraId="76C1FA5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9.4.2 承包人应按合同约定的环保工作内容，编制施工环保措施计划，报送监理人审批。</w:t>
      </w:r>
    </w:p>
    <w:p w14:paraId="228D8FD3">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9.4.3 承包人应按照批准的施工环保措施计划有序地堆放和处理施工废弃物，避免对环境造成破坏。因承包人任意堆放或弃置施工废弃物造成妨碍公共交通、影响城镇居民生活、降低河流行洪能力、危及居民安全、破坏周边环境，或者影响其他承包人施工等后果的，承包人应承担责任。</w:t>
      </w:r>
    </w:p>
    <w:p w14:paraId="1B13533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9.4.4 承包人应按合同约定采取有效措施，对施工开挖的边坡及时进行支护,维护排水设施，并进行水土保护，避免因施工造成的地质灾害。</w:t>
      </w:r>
    </w:p>
    <w:p w14:paraId="2502C7D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9.4.5 承包人应按国家饮用水管理标准定期对饮用水源进行监测，防止施工活动污染饮用水源。</w:t>
      </w:r>
    </w:p>
    <w:p w14:paraId="24C06A1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9.4.6 承包人应按合同约定，加强对噪声、粉尘、废气、废水和废油的控制，努力降低噪声，控制粉尘和废气浓度，做好废水和废油的治理和排放。</w:t>
      </w:r>
    </w:p>
    <w:p w14:paraId="437E4A2D">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589" w:name="_Toc26780"/>
      <w:bookmarkStart w:id="590" w:name="_Toc5457"/>
      <w:bookmarkStart w:id="591" w:name="_Toc28801"/>
      <w:bookmarkStart w:id="592" w:name="_Toc234833034"/>
      <w:r>
        <w:rPr>
          <w:rFonts w:hint="default" w:ascii="Times New Roman" w:hAnsi="Times New Roman" w:eastAsia="黑体" w:cs="Times New Roman"/>
          <w:b w:val="0"/>
          <w:sz w:val="24"/>
          <w:szCs w:val="24"/>
          <w:highlight w:val="none"/>
        </w:rPr>
        <w:t>9.5 事故处理</w:t>
      </w:r>
      <w:bookmarkEnd w:id="589"/>
      <w:bookmarkEnd w:id="590"/>
      <w:bookmarkEnd w:id="591"/>
      <w:bookmarkEnd w:id="592"/>
    </w:p>
    <w:p w14:paraId="58C8B3DE">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工程施工过程中发生事故的，承包人应立即通知监理人，监理人应立即通知发包人。发包人和承包人应立即组织人员和设备进行紧急抢救和抢修，减少人员伤亡和财产损失，防止事故扩大，并保护事故现场。需要移动现场物品时，应作出标记和书面记录，妥善保管有关证据。发包人和承包人应按国家有关规定，及时如实地向有关部门报告事故发生的情况，以及正在采取的紧急措施等。</w:t>
      </w:r>
    </w:p>
    <w:p w14:paraId="16A1C20E">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593" w:name="_Toc11002"/>
      <w:bookmarkStart w:id="594" w:name="_Toc12821"/>
      <w:bookmarkStart w:id="595" w:name="_Toc32151"/>
      <w:bookmarkStart w:id="596" w:name="_Toc234833035"/>
      <w:r>
        <w:rPr>
          <w:rFonts w:hint="default" w:ascii="Times New Roman" w:hAnsi="Times New Roman" w:eastAsia="黑体" w:cs="Times New Roman"/>
          <w:b w:val="0"/>
          <w:sz w:val="28"/>
          <w:szCs w:val="28"/>
          <w:highlight w:val="none"/>
        </w:rPr>
        <w:t>10. 进度计划</w:t>
      </w:r>
      <w:bookmarkEnd w:id="593"/>
      <w:bookmarkEnd w:id="594"/>
      <w:bookmarkEnd w:id="595"/>
      <w:bookmarkEnd w:id="596"/>
    </w:p>
    <w:p w14:paraId="0FC6CC24">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597" w:name="_Toc24434"/>
      <w:bookmarkStart w:id="598" w:name="_Toc9432"/>
      <w:bookmarkStart w:id="599" w:name="_Toc234833036"/>
      <w:bookmarkStart w:id="600" w:name="_Toc3541"/>
      <w:r>
        <w:rPr>
          <w:rFonts w:hint="default" w:ascii="Times New Roman" w:hAnsi="Times New Roman" w:eastAsia="黑体" w:cs="Times New Roman"/>
          <w:b w:val="0"/>
          <w:sz w:val="24"/>
          <w:szCs w:val="24"/>
          <w:highlight w:val="none"/>
        </w:rPr>
        <w:t>10.1 合同进度计划</w:t>
      </w:r>
      <w:bookmarkEnd w:id="597"/>
      <w:bookmarkEnd w:id="598"/>
      <w:bookmarkEnd w:id="599"/>
      <w:bookmarkEnd w:id="600"/>
    </w:p>
    <w:p w14:paraId="490F2B46">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应按专用合同条款约定的内容和期限，编制详细的施工进度计划和施工方案说明报送监理人。监理人应在专用合同条款约定的期限内批复或提出修改意见，否则该进度计划视为已得到批准。经监理人批准的施工进度计划称合同进度计划，是控制合同工程进度的依据。承包人还应根据合同进度计划，编制更为详细的分阶段或分项进度计划，报监理人审批。</w:t>
      </w:r>
    </w:p>
    <w:p w14:paraId="5996673D">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601" w:name="_Toc17377"/>
      <w:bookmarkStart w:id="602" w:name="_Toc15025"/>
      <w:bookmarkStart w:id="603" w:name="_Toc23622"/>
      <w:bookmarkStart w:id="604" w:name="_Toc234833037"/>
      <w:r>
        <w:rPr>
          <w:rFonts w:hint="default" w:ascii="Times New Roman" w:hAnsi="Times New Roman" w:eastAsia="黑体" w:cs="Times New Roman"/>
          <w:b w:val="0"/>
          <w:sz w:val="24"/>
          <w:szCs w:val="24"/>
          <w:highlight w:val="none"/>
        </w:rPr>
        <w:t>10.2 合同进度计划的修订</w:t>
      </w:r>
      <w:bookmarkEnd w:id="601"/>
      <w:bookmarkEnd w:id="602"/>
      <w:bookmarkEnd w:id="603"/>
      <w:bookmarkEnd w:id="604"/>
    </w:p>
    <w:p w14:paraId="0BEFC87B">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不论何种原因造成工程的实际进度与第10.1款的合同进度计划不符时，承包人可以在专用合同条款约定的期限内向监理人提交修订合同进度计划的申请报告，并附有关措施和相关资料，报监理人审批；监理人也可以直接向承包人作出修订合同进度计划的指示，承包人应按该指示修订合同进度计划，报监理人审批。监理人应在专用合同条款约定的期限内批复。监理人在批复前应获得发包人同意。</w:t>
      </w:r>
    </w:p>
    <w:p w14:paraId="3E30BA23">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605" w:name="_Toc1432"/>
      <w:bookmarkStart w:id="606" w:name="_Toc1558"/>
      <w:bookmarkStart w:id="607" w:name="_Toc15582"/>
      <w:bookmarkStart w:id="608" w:name="_Toc234833038"/>
      <w:r>
        <w:rPr>
          <w:rFonts w:hint="default" w:ascii="Times New Roman" w:hAnsi="Times New Roman" w:eastAsia="黑体" w:cs="Times New Roman"/>
          <w:b w:val="0"/>
          <w:sz w:val="28"/>
          <w:szCs w:val="28"/>
          <w:highlight w:val="none"/>
        </w:rPr>
        <w:t>11. 开工和竣工</w:t>
      </w:r>
      <w:bookmarkEnd w:id="605"/>
      <w:bookmarkEnd w:id="606"/>
      <w:bookmarkEnd w:id="607"/>
      <w:bookmarkEnd w:id="608"/>
    </w:p>
    <w:p w14:paraId="5837146B">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609" w:name="_Toc234833039"/>
      <w:bookmarkStart w:id="610" w:name="_Toc21967"/>
      <w:bookmarkStart w:id="611" w:name="_Toc196"/>
      <w:bookmarkStart w:id="612" w:name="_Toc20810"/>
      <w:r>
        <w:rPr>
          <w:rFonts w:hint="default" w:ascii="Times New Roman" w:hAnsi="Times New Roman" w:eastAsia="黑体" w:cs="Times New Roman"/>
          <w:b w:val="0"/>
          <w:sz w:val="24"/>
          <w:szCs w:val="24"/>
          <w:highlight w:val="none"/>
        </w:rPr>
        <w:t>11.1 开工</w:t>
      </w:r>
      <w:bookmarkEnd w:id="609"/>
      <w:bookmarkEnd w:id="610"/>
      <w:bookmarkEnd w:id="611"/>
      <w:bookmarkEnd w:id="612"/>
    </w:p>
    <w:p w14:paraId="67961C6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11.1.1 监理人应在开工日期7天前向承包人发出开工通知。监理人在发出开工通知前应获得发包人同意。工期自监理人发出的开工通知中载明的开工日期起计算。承包人应在开工日期后尽快施工。</w:t>
      </w:r>
    </w:p>
    <w:p w14:paraId="7F7C0DA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11.1.2 承包人应按第10.1款约定的合同进度计划，向监理人提交工程开工报审表，经监理人审批后执行。开工报审表应详细说明按合同进度计划正常施工所需的施工道路、临时设施、材料设备、施工人员等施工组织措施的落实情况以及工程的进度安排。</w:t>
      </w:r>
    </w:p>
    <w:p w14:paraId="493E9438">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613" w:name="_Toc830"/>
      <w:bookmarkStart w:id="614" w:name="_Toc234833040"/>
      <w:bookmarkStart w:id="615" w:name="_Toc8771"/>
      <w:bookmarkStart w:id="616" w:name="_Toc10996"/>
      <w:r>
        <w:rPr>
          <w:rFonts w:hint="default" w:ascii="Times New Roman" w:hAnsi="Times New Roman" w:eastAsia="黑体" w:cs="Times New Roman"/>
          <w:b w:val="0"/>
          <w:sz w:val="24"/>
          <w:szCs w:val="24"/>
          <w:highlight w:val="none"/>
        </w:rPr>
        <w:t>11.2</w:t>
      </w:r>
      <w:r>
        <w:rPr>
          <w:rFonts w:hint="default" w:ascii="Times New Roman" w:hAnsi="Times New Roman" w:eastAsia="黑体" w:cs="Times New Roman"/>
          <w:b w:val="0"/>
          <w:sz w:val="24"/>
          <w:szCs w:val="24"/>
          <w:highlight w:val="none"/>
        </w:rPr>
        <w:tab/>
      </w:r>
      <w:r>
        <w:rPr>
          <w:rFonts w:hint="default" w:ascii="Times New Roman" w:hAnsi="Times New Roman" w:eastAsia="黑体" w:cs="Times New Roman"/>
          <w:b w:val="0"/>
          <w:sz w:val="24"/>
          <w:szCs w:val="24"/>
          <w:highlight w:val="none"/>
        </w:rPr>
        <w:t xml:space="preserve"> 竣工</w:t>
      </w:r>
      <w:bookmarkEnd w:id="613"/>
      <w:bookmarkEnd w:id="614"/>
      <w:bookmarkEnd w:id="615"/>
      <w:bookmarkEnd w:id="616"/>
    </w:p>
    <w:p w14:paraId="6B2A023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承包人应在第1.1.4.3目约定的期限内完成合同工程。实际竣工日期在接收证书中写明。</w:t>
      </w:r>
    </w:p>
    <w:p w14:paraId="1BA21831">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617" w:name="_Toc18689"/>
      <w:bookmarkStart w:id="618" w:name="_Toc27799"/>
      <w:bookmarkStart w:id="619" w:name="_Toc234833041"/>
      <w:bookmarkStart w:id="620" w:name="_Toc19984"/>
      <w:r>
        <w:rPr>
          <w:rFonts w:hint="default" w:ascii="Times New Roman" w:hAnsi="Times New Roman" w:eastAsia="黑体" w:cs="Times New Roman"/>
          <w:b w:val="0"/>
          <w:sz w:val="24"/>
          <w:szCs w:val="24"/>
          <w:highlight w:val="none"/>
        </w:rPr>
        <w:t>11.3 发包人的工期延误</w:t>
      </w:r>
      <w:bookmarkEnd w:id="617"/>
      <w:bookmarkEnd w:id="618"/>
      <w:bookmarkEnd w:id="619"/>
      <w:bookmarkEnd w:id="620"/>
    </w:p>
    <w:p w14:paraId="1AD24B32">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在履行合同过程中，由于发包人的下列原因造成工期延误的，承包人有权要求发包人延长工期和（或）增加费用，并支付合理利润。需要修订合同进度计划的，按照第10.2款的约定办理。</w:t>
      </w:r>
    </w:p>
    <w:p w14:paraId="3CD12E5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（1）增加合同工作内容;</w:t>
      </w:r>
    </w:p>
    <w:p w14:paraId="3220BD0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（2）改变合同中任何一项工作的质量要求或其他特性；</w:t>
      </w:r>
    </w:p>
    <w:p w14:paraId="17BE485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（3）发包人迟延提供材料、工程设备或变更交货地点的；</w:t>
      </w:r>
    </w:p>
    <w:p w14:paraId="487738F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（4）因发包人原因导致的暂停施工；</w:t>
      </w:r>
    </w:p>
    <w:p w14:paraId="45D09D7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（5）提供图纸延误；</w:t>
      </w:r>
    </w:p>
    <w:p w14:paraId="328D6066">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（6）未按合同约定及时支付预付款、进度款；</w:t>
      </w:r>
    </w:p>
    <w:p w14:paraId="43753EB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（7）发包人造成工期延误的其他原因。</w:t>
      </w:r>
    </w:p>
    <w:p w14:paraId="500A45CA">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621" w:name="_Toc10516"/>
      <w:bookmarkStart w:id="622" w:name="_Toc32221"/>
      <w:bookmarkStart w:id="623" w:name="_Toc31357"/>
      <w:bookmarkStart w:id="624" w:name="_Toc234833042"/>
      <w:r>
        <w:rPr>
          <w:rFonts w:hint="default" w:ascii="Times New Roman" w:hAnsi="Times New Roman" w:eastAsia="黑体" w:cs="Times New Roman"/>
          <w:b w:val="0"/>
          <w:sz w:val="24"/>
          <w:szCs w:val="24"/>
          <w:highlight w:val="none"/>
        </w:rPr>
        <w:t>11.4异常恶劣的气候条件</w:t>
      </w:r>
      <w:bookmarkEnd w:id="621"/>
      <w:bookmarkEnd w:id="622"/>
      <w:bookmarkEnd w:id="623"/>
      <w:bookmarkEnd w:id="624"/>
    </w:p>
    <w:p w14:paraId="188013CE">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由于出现专用合同条款约定的异常恶劣气候的条件导致工期延误的，承包人有权要求发包人延长工期。</w:t>
      </w:r>
    </w:p>
    <w:p w14:paraId="41E92DBA">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625" w:name="_Toc27127"/>
      <w:bookmarkStart w:id="626" w:name="_Toc23628"/>
      <w:bookmarkStart w:id="627" w:name="_Toc24782"/>
      <w:bookmarkStart w:id="628" w:name="_Toc234833043"/>
      <w:r>
        <w:rPr>
          <w:rFonts w:hint="default" w:ascii="Times New Roman" w:hAnsi="Times New Roman" w:eastAsia="黑体" w:cs="Times New Roman"/>
          <w:b w:val="0"/>
          <w:sz w:val="24"/>
          <w:szCs w:val="24"/>
          <w:highlight w:val="none"/>
        </w:rPr>
        <w:t>11.5 承包人的工期延误</w:t>
      </w:r>
      <w:bookmarkEnd w:id="625"/>
      <w:bookmarkEnd w:id="626"/>
      <w:bookmarkEnd w:id="627"/>
      <w:bookmarkEnd w:id="628"/>
    </w:p>
    <w:p w14:paraId="26594AF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由于承包人原因，未能按合同进度计划完成工作，或监理人认为承包人施工进度不能满足合同工期要求的，承包人应采取措施加快进度，并承担加快进度所增加的费用。由于承包人原因造成工期延误，承包人应支付逾期竣工违约金。逾期竣工违约金的计算方法在专用合同条款中约定。承包人支付逾期竣工违约金，不免除承包人完成工程及修补缺陷的义务。</w:t>
      </w:r>
    </w:p>
    <w:p w14:paraId="4D7DAA54">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629" w:name="_Toc18576"/>
      <w:bookmarkStart w:id="630" w:name="_Toc25703"/>
      <w:bookmarkStart w:id="631" w:name="_Toc32030"/>
      <w:bookmarkStart w:id="632" w:name="_Toc234833044"/>
      <w:r>
        <w:rPr>
          <w:rFonts w:hint="default" w:ascii="Times New Roman" w:hAnsi="Times New Roman" w:eastAsia="黑体" w:cs="Times New Roman"/>
          <w:b w:val="0"/>
          <w:sz w:val="24"/>
          <w:szCs w:val="24"/>
          <w:highlight w:val="none"/>
        </w:rPr>
        <w:t>11.6 工期提前</w:t>
      </w:r>
      <w:bookmarkEnd w:id="629"/>
      <w:bookmarkEnd w:id="630"/>
      <w:bookmarkEnd w:id="631"/>
      <w:bookmarkEnd w:id="632"/>
    </w:p>
    <w:p w14:paraId="7A9BBEDE">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发包人要求承包人提前竣工，或承包人提出提前竣工的建议能够给发包人带来效益的，应由监理人与承包人共同协商采取加快工程进度的措施和修订合同进度计划。发包人应承担承包人由此增加的费用，并向承包人支付专用合同条款约定的相应奖金。 </w:t>
      </w:r>
    </w:p>
    <w:p w14:paraId="38E084F7">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633" w:name="_Toc17458"/>
      <w:bookmarkStart w:id="634" w:name="_Toc234833045"/>
      <w:bookmarkStart w:id="635" w:name="_Toc23679"/>
      <w:bookmarkStart w:id="636" w:name="_Toc29212"/>
      <w:r>
        <w:rPr>
          <w:rFonts w:hint="default" w:ascii="Times New Roman" w:hAnsi="Times New Roman" w:eastAsia="黑体" w:cs="Times New Roman"/>
          <w:b w:val="0"/>
          <w:sz w:val="28"/>
          <w:szCs w:val="28"/>
          <w:highlight w:val="none"/>
        </w:rPr>
        <w:t>12. 暂停施工</w:t>
      </w:r>
      <w:bookmarkEnd w:id="633"/>
      <w:bookmarkEnd w:id="634"/>
      <w:bookmarkEnd w:id="635"/>
      <w:bookmarkEnd w:id="636"/>
    </w:p>
    <w:p w14:paraId="6D2914E0">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637" w:name="_Toc27"/>
      <w:bookmarkStart w:id="638" w:name="_Toc6300"/>
      <w:bookmarkStart w:id="639" w:name="_Toc234833046"/>
      <w:bookmarkStart w:id="640" w:name="_Toc8685"/>
      <w:r>
        <w:rPr>
          <w:rFonts w:hint="default" w:ascii="Times New Roman" w:hAnsi="Times New Roman" w:eastAsia="黑体" w:cs="Times New Roman"/>
          <w:b w:val="0"/>
          <w:sz w:val="24"/>
          <w:szCs w:val="24"/>
          <w:highlight w:val="none"/>
        </w:rPr>
        <w:t>12.1 承包人暂停施工的责任</w:t>
      </w:r>
      <w:bookmarkEnd w:id="637"/>
      <w:bookmarkEnd w:id="638"/>
      <w:bookmarkEnd w:id="639"/>
      <w:bookmarkEnd w:id="640"/>
    </w:p>
    <w:p w14:paraId="2F2C085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因下列暂停施工增加的费用和（或）工期延误由承包人承担：</w:t>
      </w:r>
    </w:p>
    <w:p w14:paraId="5DBA63D2">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（1）承包人违约引起的暂停施工；</w:t>
      </w:r>
    </w:p>
    <w:p w14:paraId="752CE49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（2）由于承包人原因为工程合理施工和安全保障所必需的暂停施工；</w:t>
      </w:r>
    </w:p>
    <w:p w14:paraId="6FA4FD3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（3）承包人擅自暂停施工；</w:t>
      </w:r>
    </w:p>
    <w:p w14:paraId="226F097E">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（4）承包人其他原因引起的暂停施工；</w:t>
      </w:r>
    </w:p>
    <w:p w14:paraId="239C8E02">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（5）专用合同条款约定由承包人承担的其他暂停施工。</w:t>
      </w:r>
    </w:p>
    <w:p w14:paraId="23F67677">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641" w:name="_Toc29989"/>
      <w:bookmarkStart w:id="642" w:name="_Toc234833047"/>
      <w:bookmarkStart w:id="643" w:name="_Toc23726"/>
      <w:bookmarkStart w:id="644" w:name="_Toc25952"/>
      <w:r>
        <w:rPr>
          <w:rFonts w:hint="default" w:ascii="Times New Roman" w:hAnsi="Times New Roman" w:eastAsia="黑体" w:cs="Times New Roman"/>
          <w:b w:val="0"/>
          <w:sz w:val="24"/>
          <w:szCs w:val="24"/>
          <w:highlight w:val="none"/>
        </w:rPr>
        <w:t>12.2 发包人暂停施工的责任</w:t>
      </w:r>
      <w:bookmarkEnd w:id="641"/>
      <w:bookmarkEnd w:id="642"/>
      <w:bookmarkEnd w:id="643"/>
      <w:bookmarkEnd w:id="644"/>
    </w:p>
    <w:p w14:paraId="0E0C29A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由于发包人原因引起的暂停施工造成工期延误的，承包人有权要求发包人延长工期和（或）增加费用，并支付合理利润。</w:t>
      </w:r>
    </w:p>
    <w:p w14:paraId="0FE7FAD8">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645" w:name="_Toc234833048"/>
      <w:bookmarkStart w:id="646" w:name="_Toc15395"/>
      <w:bookmarkStart w:id="647" w:name="_Toc3772"/>
      <w:bookmarkStart w:id="648" w:name="_Toc3136"/>
      <w:r>
        <w:rPr>
          <w:rFonts w:hint="default" w:ascii="Times New Roman" w:hAnsi="Times New Roman" w:eastAsia="黑体" w:cs="Times New Roman"/>
          <w:b w:val="0"/>
          <w:sz w:val="24"/>
          <w:szCs w:val="24"/>
          <w:highlight w:val="none"/>
        </w:rPr>
        <w:t>12.3 监理人暂停施工指示</w:t>
      </w:r>
      <w:bookmarkEnd w:id="645"/>
      <w:bookmarkEnd w:id="646"/>
      <w:bookmarkEnd w:id="647"/>
      <w:bookmarkEnd w:id="648"/>
    </w:p>
    <w:p w14:paraId="3B9F763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12.3.1 监理人认为有必要时，可向承包人作出暂停施工的指示，承包人应按监理人指示暂停施工。不论由于何种原因引起的暂停施工，暂停施工期间承包人应负责妥善保护工程并提供安全保障。</w:t>
      </w:r>
    </w:p>
    <w:p w14:paraId="25D3B52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12.3.2 由于发包人的原因发生暂停施工的紧急情况，且监理人未及时下达暂停施工指示的，承包人可先暂停施工，并及时向监理人提出暂停施工的书面请求。监理人应在接到书面请求后的24小时内予以答复，逾期未答复的，视为同意承包人的暂停施工请求。</w:t>
      </w:r>
    </w:p>
    <w:p w14:paraId="53FB5878">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649" w:name="_Toc11081"/>
      <w:bookmarkStart w:id="650" w:name="_Toc234833049"/>
      <w:bookmarkStart w:id="651" w:name="_Toc1869"/>
      <w:bookmarkStart w:id="652" w:name="_Toc28297"/>
      <w:r>
        <w:rPr>
          <w:rFonts w:hint="default" w:ascii="Times New Roman" w:hAnsi="Times New Roman" w:eastAsia="黑体" w:cs="Times New Roman"/>
          <w:b w:val="0"/>
          <w:sz w:val="24"/>
          <w:szCs w:val="24"/>
          <w:highlight w:val="none"/>
        </w:rPr>
        <w:t>12.4 暂停施工后的复工</w:t>
      </w:r>
      <w:bookmarkEnd w:id="649"/>
      <w:bookmarkEnd w:id="650"/>
      <w:bookmarkEnd w:id="651"/>
      <w:bookmarkEnd w:id="652"/>
    </w:p>
    <w:p w14:paraId="234C44B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12.4.1暂停施工后，监理人应与发包人和承包人协商，采取有效措施积极消除暂停施工的影响。当工程具备复工条件时，监理人应立即向承包人发出复工通知。承包人收到复工通知后，应在监理人指定的期限内复工。</w:t>
      </w:r>
    </w:p>
    <w:p w14:paraId="0151BF2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12.4.2承包人无故拖延和拒绝复工的，由此增加的费用和工期延误由承包人承担；因发包人原因无法按时复工的，承包人有权要求发包人延长工期和（或）增加费用，并支付合理利润。</w:t>
      </w:r>
    </w:p>
    <w:p w14:paraId="50C15252">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653" w:name="_Toc1952"/>
      <w:bookmarkStart w:id="654" w:name="_Toc4186"/>
      <w:bookmarkStart w:id="655" w:name="_Toc234833050"/>
      <w:bookmarkStart w:id="656" w:name="_Toc11816"/>
      <w:r>
        <w:rPr>
          <w:rFonts w:hint="default" w:ascii="Times New Roman" w:hAnsi="Times New Roman" w:eastAsia="黑体" w:cs="Times New Roman"/>
          <w:b w:val="0"/>
          <w:sz w:val="24"/>
          <w:szCs w:val="24"/>
          <w:highlight w:val="none"/>
        </w:rPr>
        <w:t>12.5 暂停施工持续56天以上</w:t>
      </w:r>
      <w:bookmarkEnd w:id="653"/>
      <w:bookmarkEnd w:id="654"/>
      <w:bookmarkEnd w:id="655"/>
      <w:bookmarkEnd w:id="656"/>
    </w:p>
    <w:p w14:paraId="785E713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12.5.1监理人发出暂停施工指示后56天内未向承包人发出复工通知，除了该项停工属于第12.1款的情况外，承包人可向监理人提交书面通知，要求监理人在收到书面通知后28天内准许已暂停施工的工程或其中一部分工程继续施工。如监理人逾期不予批准，则承包人可以通知监理人，将工程受影响的部分视为按第15.1（1）项的可取消工作。如暂停施工影响到整个工程，可视为发包人违约，应按第22.2款的约定办理。</w:t>
      </w:r>
    </w:p>
    <w:p w14:paraId="04BA3B6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12.5.2由于承包人责任引起的暂停施工，如承包人在收到监理人暂停施工指示后56天内不认真采取有效的复工措施，造成工期延误，可视为承包人违约，应按第22.1款的约定办理。</w:t>
      </w:r>
    </w:p>
    <w:p w14:paraId="252844AC">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657" w:name="_Toc38"/>
      <w:bookmarkStart w:id="658" w:name="_Toc28272"/>
      <w:bookmarkStart w:id="659" w:name="_Toc234833051"/>
      <w:bookmarkStart w:id="660" w:name="_Toc7813"/>
      <w:r>
        <w:rPr>
          <w:rFonts w:hint="default" w:ascii="Times New Roman" w:hAnsi="Times New Roman" w:eastAsia="黑体" w:cs="Times New Roman"/>
          <w:b w:val="0"/>
          <w:sz w:val="28"/>
          <w:szCs w:val="28"/>
          <w:highlight w:val="none"/>
        </w:rPr>
        <w:t>13. 工程质量</w:t>
      </w:r>
      <w:bookmarkEnd w:id="657"/>
      <w:bookmarkEnd w:id="658"/>
      <w:bookmarkEnd w:id="659"/>
      <w:bookmarkEnd w:id="660"/>
    </w:p>
    <w:p w14:paraId="07FD4900">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661" w:name="_Toc234833052"/>
      <w:bookmarkStart w:id="662" w:name="_Toc9818"/>
      <w:bookmarkStart w:id="663" w:name="_Toc3571"/>
      <w:bookmarkStart w:id="664" w:name="_Toc25776"/>
      <w:r>
        <w:rPr>
          <w:rFonts w:hint="default" w:ascii="Times New Roman" w:hAnsi="Times New Roman" w:eastAsia="黑体" w:cs="Times New Roman"/>
          <w:b w:val="0"/>
          <w:sz w:val="24"/>
          <w:szCs w:val="24"/>
          <w:highlight w:val="none"/>
        </w:rPr>
        <w:t>13.1 工程质量要求</w:t>
      </w:r>
      <w:bookmarkEnd w:id="661"/>
      <w:bookmarkEnd w:id="662"/>
      <w:bookmarkEnd w:id="663"/>
      <w:bookmarkEnd w:id="664"/>
    </w:p>
    <w:p w14:paraId="7CFF7EE2">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13.1.1 工程质量验收按合同约定验收标准执行。</w:t>
      </w:r>
    </w:p>
    <w:p w14:paraId="655BEA3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13.1.2 因承包人原因造成工程质量达不到合同约定验收标准的，监理人有权要求承包人返工直至符合合同要求为止，由此造成的费用增加和（或）工期延误由承包人承担。</w:t>
      </w:r>
    </w:p>
    <w:p w14:paraId="261F722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13.1.3 因发包人原因造成工程质量达不到合同约定验收标准的，发包人应承担由于承包人返工造成的费用增加和（或）工期延误，并支付承包人合理利润。</w:t>
      </w:r>
    </w:p>
    <w:p w14:paraId="6B9E5857">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665" w:name="_Toc20391"/>
      <w:bookmarkStart w:id="666" w:name="_Toc13574"/>
      <w:bookmarkStart w:id="667" w:name="_Toc1504"/>
      <w:bookmarkStart w:id="668" w:name="_Toc234833053"/>
      <w:r>
        <w:rPr>
          <w:rFonts w:hint="default" w:ascii="Times New Roman" w:hAnsi="Times New Roman" w:eastAsia="黑体" w:cs="Times New Roman"/>
          <w:b w:val="0"/>
          <w:sz w:val="24"/>
          <w:szCs w:val="24"/>
          <w:highlight w:val="none"/>
        </w:rPr>
        <w:t>13.2 承包人的质量管理</w:t>
      </w:r>
      <w:bookmarkEnd w:id="665"/>
      <w:bookmarkEnd w:id="666"/>
      <w:bookmarkEnd w:id="667"/>
      <w:bookmarkEnd w:id="668"/>
    </w:p>
    <w:p w14:paraId="045AD50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13.2.1 承包人应在施工场地设置专门的质量检查机构，配备专职质量检查人员，建立完善的质量检查制度。承包人应在合同约定的期限内，提交工程质量保证措施文件，包括质量检查机构的组织和岗位责任、质检人员的组成、质量检查程序和实施细则等，报送监理人审批。</w:t>
      </w:r>
    </w:p>
    <w:p w14:paraId="44C3DD9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13.2.2 承包人应加强对施工人员的质量教育和技术培训，定期考核施工人员的劳动技能，严格执行规范和操作规程。</w:t>
      </w:r>
    </w:p>
    <w:p w14:paraId="57AC84A1">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669" w:name="_Toc18930"/>
      <w:bookmarkStart w:id="670" w:name="_Toc234833054"/>
      <w:bookmarkStart w:id="671" w:name="_Toc23276"/>
      <w:bookmarkStart w:id="672" w:name="_Toc27305"/>
      <w:r>
        <w:rPr>
          <w:rFonts w:hint="default" w:ascii="Times New Roman" w:hAnsi="Times New Roman" w:eastAsia="黑体" w:cs="Times New Roman"/>
          <w:b w:val="0"/>
          <w:sz w:val="24"/>
          <w:szCs w:val="24"/>
          <w:highlight w:val="none"/>
        </w:rPr>
        <w:t>13.3 承包人的质量检查</w:t>
      </w:r>
      <w:bookmarkEnd w:id="669"/>
      <w:bookmarkEnd w:id="670"/>
      <w:bookmarkEnd w:id="671"/>
      <w:bookmarkEnd w:id="672"/>
    </w:p>
    <w:p w14:paraId="283A479E">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承包人应按合同约定对材料、工程设备以及工程的所有部位及其施工工艺进行全过程的质量检查和检验，并作详细记录，编制工程质量报表，报送监理人审查。</w:t>
      </w:r>
    </w:p>
    <w:p w14:paraId="2CAC4FCA">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673" w:name="_Toc234833055"/>
      <w:bookmarkStart w:id="674" w:name="_Toc23210"/>
      <w:bookmarkStart w:id="675" w:name="_Toc22037"/>
      <w:bookmarkStart w:id="676" w:name="_Toc14050"/>
      <w:r>
        <w:rPr>
          <w:rFonts w:hint="default" w:ascii="Times New Roman" w:hAnsi="Times New Roman" w:eastAsia="黑体" w:cs="Times New Roman"/>
          <w:b w:val="0"/>
          <w:sz w:val="24"/>
          <w:szCs w:val="24"/>
          <w:highlight w:val="none"/>
        </w:rPr>
        <w:t>13.4 监理人的质量检查</w:t>
      </w:r>
      <w:bookmarkEnd w:id="673"/>
      <w:bookmarkEnd w:id="674"/>
      <w:bookmarkEnd w:id="675"/>
      <w:bookmarkEnd w:id="676"/>
    </w:p>
    <w:p w14:paraId="617ED8F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监理人有权对工程的所有部位及其施工工艺、材料和工程设备进行检查和检验。承包人应为监理人的检查和检验提供方便，包括监理人到施工场地，或制造、加工地点，或合同约定的其他地方进行察看和查阅施工原始记录。承包人还应按监理人指示，进行施工场地取样试验、工程复核测量和设备性能检测，提供试验样品、提交试验报告和测量成果以及监理人要求进行的其他工作。监理人的检查和检验，不免除承包人按合同约定应负的责任。</w:t>
      </w:r>
    </w:p>
    <w:p w14:paraId="66619692">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677" w:name="_Toc17119"/>
      <w:bookmarkStart w:id="678" w:name="_Toc234833056"/>
      <w:bookmarkStart w:id="679" w:name="_Toc2053"/>
      <w:bookmarkStart w:id="680" w:name="_Toc17194"/>
      <w:r>
        <w:rPr>
          <w:rFonts w:hint="default" w:ascii="Times New Roman" w:hAnsi="Times New Roman" w:eastAsia="黑体" w:cs="Times New Roman"/>
          <w:b w:val="0"/>
          <w:sz w:val="24"/>
          <w:szCs w:val="24"/>
          <w:highlight w:val="none"/>
        </w:rPr>
        <w:t>13.5 工程隐蔽部位覆盖前的检查</w:t>
      </w:r>
      <w:bookmarkEnd w:id="677"/>
      <w:bookmarkEnd w:id="678"/>
      <w:bookmarkEnd w:id="679"/>
      <w:bookmarkEnd w:id="680"/>
    </w:p>
    <w:p w14:paraId="56C35239">
      <w:pPr>
        <w:pageBreakBefore w:val="0"/>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 xml:space="preserve">13.5.1 </w:t>
      </w:r>
      <w:r>
        <w:rPr>
          <w:rFonts w:hint="default" w:ascii="Times New Roman" w:hAnsi="Times New Roman" w:eastAsia="黑体" w:cs="Times New Roman"/>
          <w:sz w:val="24"/>
          <w:highlight w:val="none"/>
        </w:rPr>
        <w:t xml:space="preserve">通知监理人检查 </w:t>
      </w:r>
    </w:p>
    <w:p w14:paraId="47D198E6">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经承包人自检确认的工程隐蔽部位具备覆盖条件后，承包人应通知监理人在约定的期限内检查。承包人的通知应附有自检记录和必要的检查资料。监理人应按时到场检查。经监理人检查确认质量符合隐蔽要求，并在检查记录上签字后，承包人才能进行覆盖。监理人检查确认质量不合格的，承包人应在监理人指示的时间内修整返工后，由监理人重新检查。</w:t>
      </w:r>
    </w:p>
    <w:p w14:paraId="37BF35A4">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13.5.2</w:t>
      </w:r>
      <w:r>
        <w:rPr>
          <w:rFonts w:hint="default" w:ascii="Times New Roman" w:hAnsi="Times New Roman" w:eastAsia="黑体" w:cs="Times New Roman"/>
          <w:sz w:val="24"/>
          <w:highlight w:val="none"/>
        </w:rPr>
        <w:t xml:space="preserve"> 监理人未到场检查</w:t>
      </w:r>
    </w:p>
    <w:p w14:paraId="38BC4C8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监理人未按第13.5.1项约定的时间进行检查的，除监理人另有指示外，承包人可自行完成覆盖工作，并作相应记录报送监理人，监理人应签字确认。监理人事后对检查记录有疑问的，可按第13.5.3项的约定重新检查。</w:t>
      </w:r>
    </w:p>
    <w:p w14:paraId="4B7623D9">
      <w:pPr>
        <w:pageBreakBefore w:val="0"/>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13.5.3</w:t>
      </w:r>
      <w:r>
        <w:rPr>
          <w:rFonts w:hint="default" w:ascii="Times New Roman" w:hAnsi="Times New Roman" w:eastAsia="黑体" w:cs="Times New Roman"/>
          <w:sz w:val="24"/>
          <w:highlight w:val="none"/>
        </w:rPr>
        <w:t xml:space="preserve"> 监理人重新检查</w:t>
      </w:r>
    </w:p>
    <w:p w14:paraId="46335D9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按第13.5.1项或13.5.2项覆盖工程隐蔽部位后，监理人对质量有疑问的，可要求承包人对已覆盖的部位进行钻孔探测或揭开重新检验，承包人应遵照执行，并在检验后重新覆盖恢复原状。经检验证明工程质量符合合同要求的，由发包人承担由此增加的费用和（或）工期延误，并支付承包人合理利润；经检验证明工程质量不符合合同要求的，由此增加的费用和（或）工期延误由承包人承担。</w:t>
      </w:r>
    </w:p>
    <w:p w14:paraId="6E77C73B">
      <w:pPr>
        <w:pageBreakBefore w:val="0"/>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 xml:space="preserve">13.5.4 </w:t>
      </w:r>
      <w:r>
        <w:rPr>
          <w:rFonts w:hint="default" w:ascii="Times New Roman" w:hAnsi="Times New Roman" w:eastAsia="黑体" w:cs="Times New Roman"/>
          <w:sz w:val="24"/>
          <w:highlight w:val="none"/>
        </w:rPr>
        <w:t>承包人私自覆盖</w:t>
      </w:r>
    </w:p>
    <w:p w14:paraId="645FED0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承包人未通知监理人到场检查，私自将工程隐蔽部位覆盖的，监理人有权指示承包人钻孔探测或揭开检查，由此增加的费用和（或）工期延误由承包人承担。</w:t>
      </w:r>
    </w:p>
    <w:p w14:paraId="4A47DF84">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681" w:name="_Toc234833057"/>
      <w:bookmarkStart w:id="682" w:name="_Toc27575"/>
      <w:bookmarkStart w:id="683" w:name="_Toc11615"/>
      <w:bookmarkStart w:id="684" w:name="_Toc2573"/>
      <w:r>
        <w:rPr>
          <w:rFonts w:hint="default" w:ascii="Times New Roman" w:hAnsi="Times New Roman" w:eastAsia="黑体" w:cs="Times New Roman"/>
          <w:b w:val="0"/>
          <w:sz w:val="24"/>
          <w:szCs w:val="24"/>
          <w:highlight w:val="none"/>
        </w:rPr>
        <w:t>13.6 清除不合格工程</w:t>
      </w:r>
      <w:bookmarkEnd w:id="681"/>
      <w:bookmarkEnd w:id="682"/>
      <w:bookmarkEnd w:id="683"/>
      <w:bookmarkEnd w:id="684"/>
    </w:p>
    <w:p w14:paraId="3538D4A1">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13.6.1承包人使用不合格材料、工程设备，或采用不适当的施工工艺，或施工不当，造成工程不合格的，监理人可以随时发出指示，要求承包人立即采取措施进行补救，直至达到合同要求的质量标准，由此增加的费用和（或）工期延误由承包人承担。</w:t>
      </w:r>
    </w:p>
    <w:p w14:paraId="4CD9610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13.6.2由于发包人提供的材料或工程设备不合格造成的工程不合格，需要承包人采取措施补救的，发包人应承担由此增加的费用和（或）工期延误，并支付承包人合理利润。</w:t>
      </w:r>
    </w:p>
    <w:p w14:paraId="5A68829C">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685" w:name="_Toc17780"/>
      <w:bookmarkStart w:id="686" w:name="_Toc234833058"/>
      <w:bookmarkStart w:id="687" w:name="_Toc26772"/>
      <w:bookmarkStart w:id="688" w:name="_Toc7963"/>
      <w:r>
        <w:rPr>
          <w:rFonts w:hint="default" w:ascii="Times New Roman" w:hAnsi="Times New Roman" w:eastAsia="黑体" w:cs="Times New Roman"/>
          <w:b w:val="0"/>
          <w:sz w:val="28"/>
          <w:szCs w:val="28"/>
          <w:highlight w:val="none"/>
        </w:rPr>
        <w:t>14. 试验和检验</w:t>
      </w:r>
      <w:bookmarkEnd w:id="685"/>
      <w:bookmarkEnd w:id="686"/>
      <w:bookmarkEnd w:id="687"/>
      <w:bookmarkEnd w:id="688"/>
    </w:p>
    <w:p w14:paraId="28123E0F">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689" w:name="_Toc23212"/>
      <w:bookmarkStart w:id="690" w:name="_Toc19299"/>
      <w:bookmarkStart w:id="691" w:name="_Toc234833059"/>
      <w:bookmarkStart w:id="692" w:name="_Toc9841"/>
      <w:r>
        <w:rPr>
          <w:rFonts w:hint="default" w:ascii="Times New Roman" w:hAnsi="Times New Roman" w:eastAsia="黑体" w:cs="Times New Roman"/>
          <w:b w:val="0"/>
          <w:sz w:val="24"/>
          <w:szCs w:val="24"/>
          <w:highlight w:val="none"/>
        </w:rPr>
        <w:t>14.1 材料、工程设备和工程的试验和检验</w:t>
      </w:r>
      <w:bookmarkEnd w:id="689"/>
      <w:bookmarkEnd w:id="690"/>
      <w:bookmarkEnd w:id="691"/>
      <w:bookmarkEnd w:id="692"/>
    </w:p>
    <w:p w14:paraId="7AA9995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14.1.1 承包人应按合同约定进行材料、工程设备和工程的试验和检验，并为监理人对上述材料、工程设备和工程的质量检查提供必要的试验资料和原始记录。按合同约定应由监理人与承包人共同进行试验和检验的，由承包人负责提供必要的试验资料和原始记录。</w:t>
      </w:r>
    </w:p>
    <w:p w14:paraId="0F96870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14.1.2 监理人未按合同约定派员参加试验和检验的，除监理人另有指示外，承包人可自行试验和检验，并应立即将试验和检验结果报送监理人，监理人应签字确认。</w:t>
      </w:r>
    </w:p>
    <w:p w14:paraId="74AD78F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14.1.3 监理人对承包人的试验和检验结果有疑问的，或为查清承包人试验和检验成果的可靠性要求承包人重新试验和检验的，可按合同约定由监理人与承包人共同进行。重新试验和检验的结果证明该项材料、工程设备或工程的质量不符合合同要求的，由此增加的费用和（或）工期延误由承包人承担；重新试验和检验结果证明该项材料、工程设备和工程符合合同要求，由发包人承担由此增加的费用和（或）工期延误，并支付承包人合理利润。</w:t>
      </w:r>
    </w:p>
    <w:p w14:paraId="43401293">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693" w:name="_Toc9643"/>
      <w:bookmarkStart w:id="694" w:name="_Toc29304"/>
      <w:bookmarkStart w:id="695" w:name="_Toc4179"/>
      <w:bookmarkStart w:id="696" w:name="_Toc234833060"/>
      <w:r>
        <w:rPr>
          <w:rFonts w:hint="default" w:ascii="Times New Roman" w:hAnsi="Times New Roman" w:eastAsia="黑体" w:cs="Times New Roman"/>
          <w:b w:val="0"/>
          <w:sz w:val="24"/>
          <w:szCs w:val="24"/>
          <w:highlight w:val="none"/>
        </w:rPr>
        <w:t>14.2 现场材料试验</w:t>
      </w:r>
      <w:bookmarkEnd w:id="693"/>
      <w:bookmarkEnd w:id="694"/>
      <w:bookmarkEnd w:id="695"/>
      <w:bookmarkEnd w:id="696"/>
    </w:p>
    <w:p w14:paraId="56DE71E3">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14.2.1 承包人根据合同约定或监理人指示进行的现场材料试验，应由承包人提供试验场所、试验人员、试验设备器材以及其他必要的试验条件。</w:t>
      </w:r>
    </w:p>
    <w:p w14:paraId="36913C4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14.2.2 监理人在必要时可以使用承包人的试验场所、试验设备器材以及其他试验条件，进行以工程质量检查为目的的复核性材料试验，承包人应予以协助。</w:t>
      </w:r>
    </w:p>
    <w:p w14:paraId="0681547F">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697" w:name="_Toc19643"/>
      <w:bookmarkStart w:id="698" w:name="_Toc234833061"/>
      <w:bookmarkStart w:id="699" w:name="_Toc14324"/>
      <w:bookmarkStart w:id="700" w:name="_Toc31625"/>
      <w:r>
        <w:rPr>
          <w:rFonts w:hint="default" w:ascii="Times New Roman" w:hAnsi="Times New Roman" w:eastAsia="黑体" w:cs="Times New Roman"/>
          <w:b w:val="0"/>
          <w:sz w:val="24"/>
          <w:szCs w:val="24"/>
          <w:highlight w:val="none"/>
        </w:rPr>
        <w:t>14.3 现场工艺试验</w:t>
      </w:r>
      <w:bookmarkEnd w:id="697"/>
      <w:bookmarkEnd w:id="698"/>
      <w:bookmarkEnd w:id="699"/>
      <w:bookmarkEnd w:id="700"/>
    </w:p>
    <w:p w14:paraId="4E9C91D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承包人应按合同约定或监理人指示进行现场工艺试验。对大型的现场工艺试验，监理人认为必要时，应由承包人根据监理人提出的工艺试验要求，编制工艺试验措施计划，报送监理人审批。</w:t>
      </w:r>
    </w:p>
    <w:p w14:paraId="7F254814">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701" w:name="_Toc1929"/>
      <w:bookmarkStart w:id="702" w:name="_Toc473"/>
      <w:bookmarkStart w:id="703" w:name="_Toc17742"/>
      <w:bookmarkStart w:id="704" w:name="_Toc234833062"/>
      <w:r>
        <w:rPr>
          <w:rFonts w:hint="default" w:ascii="Times New Roman" w:hAnsi="Times New Roman" w:eastAsia="黑体" w:cs="Times New Roman"/>
          <w:b w:val="0"/>
          <w:sz w:val="28"/>
          <w:szCs w:val="28"/>
          <w:highlight w:val="none"/>
        </w:rPr>
        <w:t>15. 变更</w:t>
      </w:r>
      <w:bookmarkEnd w:id="701"/>
      <w:bookmarkEnd w:id="702"/>
      <w:bookmarkEnd w:id="703"/>
      <w:bookmarkEnd w:id="704"/>
    </w:p>
    <w:p w14:paraId="508CC986">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705" w:name="_Toc234833063"/>
      <w:bookmarkStart w:id="706" w:name="_Toc23634"/>
      <w:bookmarkStart w:id="707" w:name="_Toc4605"/>
      <w:bookmarkStart w:id="708" w:name="_Toc30228"/>
      <w:r>
        <w:rPr>
          <w:rFonts w:hint="default" w:ascii="Times New Roman" w:hAnsi="Times New Roman" w:eastAsia="黑体" w:cs="Times New Roman"/>
          <w:b w:val="0"/>
          <w:sz w:val="24"/>
          <w:szCs w:val="24"/>
          <w:highlight w:val="none"/>
        </w:rPr>
        <w:t>15.1 变更的范围和内容</w:t>
      </w:r>
      <w:bookmarkEnd w:id="705"/>
      <w:bookmarkEnd w:id="706"/>
      <w:bookmarkEnd w:id="707"/>
      <w:bookmarkEnd w:id="708"/>
    </w:p>
    <w:p w14:paraId="2EA68CD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除专用合同条款另有约定外，在履行合同中发生以下情形之一，应按照本条规定进行变更。</w:t>
      </w:r>
    </w:p>
    <w:p w14:paraId="7C1343D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（1）取消合同中任何一项工作，但被取消的工作不能转由发包人或其他人实施；</w:t>
      </w:r>
    </w:p>
    <w:p w14:paraId="2A3016D2">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（2）改变合同中任何一项工作的质量或其他特性；</w:t>
      </w:r>
    </w:p>
    <w:p w14:paraId="39F2465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（3）改变合同工程的基线、标高、位置或尺寸；</w:t>
      </w:r>
    </w:p>
    <w:p w14:paraId="2327B81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（4）改变合同中任何一项工作的施工时间或改变已批准的施工工艺或顺序；</w:t>
      </w:r>
    </w:p>
    <w:p w14:paraId="0E81DCB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（5）为完成工程需要追加的额外工作。</w:t>
      </w:r>
    </w:p>
    <w:p w14:paraId="0A56B031">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709" w:name="_Toc234833064"/>
      <w:bookmarkStart w:id="710" w:name="_Toc10482"/>
      <w:bookmarkStart w:id="711" w:name="_Toc20190"/>
      <w:bookmarkStart w:id="712" w:name="_Toc24888"/>
      <w:r>
        <w:rPr>
          <w:rFonts w:hint="default" w:ascii="Times New Roman" w:hAnsi="Times New Roman" w:eastAsia="黑体" w:cs="Times New Roman"/>
          <w:b w:val="0"/>
          <w:sz w:val="24"/>
          <w:szCs w:val="24"/>
          <w:highlight w:val="none"/>
        </w:rPr>
        <w:t>15.2 变更权</w:t>
      </w:r>
      <w:bookmarkEnd w:id="709"/>
      <w:bookmarkEnd w:id="710"/>
      <w:bookmarkEnd w:id="711"/>
      <w:bookmarkEnd w:id="712"/>
    </w:p>
    <w:p w14:paraId="1E9DA82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在履行合同过程中，经发包人同意，监理人可按第15.3款约定的变更程序向承包人作出变更指示，承包人应遵照执行。没有监理人的变更指示，承包人不得擅自变更。</w:t>
      </w:r>
    </w:p>
    <w:p w14:paraId="6A76A929">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713" w:name="_Toc234833065"/>
      <w:bookmarkStart w:id="714" w:name="_Toc12919"/>
      <w:bookmarkStart w:id="715" w:name="_Toc2613"/>
      <w:bookmarkStart w:id="716" w:name="_Toc12800"/>
      <w:r>
        <w:rPr>
          <w:rFonts w:hint="default" w:ascii="Times New Roman" w:hAnsi="Times New Roman" w:eastAsia="黑体" w:cs="Times New Roman"/>
          <w:b w:val="0"/>
          <w:sz w:val="24"/>
          <w:szCs w:val="24"/>
          <w:highlight w:val="none"/>
        </w:rPr>
        <w:t>15.3 变更程序</w:t>
      </w:r>
      <w:bookmarkEnd w:id="713"/>
      <w:bookmarkEnd w:id="714"/>
      <w:bookmarkEnd w:id="715"/>
      <w:bookmarkEnd w:id="716"/>
    </w:p>
    <w:p w14:paraId="3006B718">
      <w:pPr>
        <w:pageBreakBefore w:val="0"/>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 xml:space="preserve">15.3.1 </w:t>
      </w:r>
      <w:r>
        <w:rPr>
          <w:rFonts w:hint="default" w:ascii="Times New Roman" w:hAnsi="Times New Roman" w:eastAsia="黑体" w:cs="Times New Roman"/>
          <w:sz w:val="24"/>
          <w:highlight w:val="none"/>
        </w:rPr>
        <w:t>变更的提出</w:t>
      </w:r>
    </w:p>
    <w:p w14:paraId="48B6A083">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在合同履行过程中，可能发生第15.1款约定情形的，监理人可向承包人发出变更意向书。变更意向书应说明变更的具体内容和发包人对变更的时间要求，并附必要的图纸和相关资料。变更意向书应要求承包人提交包括拟实施变更工作的计划、措施和竣工时间等内容的实施方案。发包人同意承包人根据变更意向书要求提交的变更实施方案的，由监理人按第15.3.3项约定发出变更指示。</w:t>
      </w:r>
    </w:p>
    <w:p w14:paraId="6DF6D57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（2）在合同履行过程中，发生第15.1款约定情形的，监理人应按照第15.3.3项约定向承包人发出变更指示。</w:t>
      </w:r>
    </w:p>
    <w:p w14:paraId="49E3744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承包人收到监理人按合同约定发出的图纸和文件，经检查认为其中存在第15.1款约定情形的，可向监理人提出书面变更建议。变更建议应阐明要求变更的依据，并附必要的图纸和说明。监理人收到承包人书面建议后，应与发包人共同研究，确认存在变更的，应在收到承包人书面建议后的14天内作出变更指示。经研究后不同意作为变更的，应由监理人书面答复承包人。</w:t>
      </w:r>
    </w:p>
    <w:p w14:paraId="691B312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（4）若承包人收到监理人的变更意向书后认为难以实施此项变更，应立即通知监理人，说明原因并附详细依据。监理人与承包人和发包人协商后确定撤销、改变或不改变原变更意向书。</w:t>
      </w:r>
    </w:p>
    <w:p w14:paraId="3B55A9E4">
      <w:pPr>
        <w:pageBreakBefore w:val="0"/>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 xml:space="preserve">15.3.2 </w:t>
      </w:r>
      <w:r>
        <w:rPr>
          <w:rFonts w:hint="default" w:ascii="Times New Roman" w:hAnsi="Times New Roman" w:eastAsia="黑体" w:cs="Times New Roman"/>
          <w:sz w:val="24"/>
          <w:highlight w:val="none"/>
        </w:rPr>
        <w:t>变更估价</w:t>
      </w:r>
    </w:p>
    <w:p w14:paraId="2300AFF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除专用合同条款对期限另有约定外，承包人应在收到变更指示或变更意向书后的14天内，向监理人提交变更报价书，报价内容应根据第15.4款约定的估价原则，详细开列变更工作的价格组成及其依据，并附必要的施工方法说明和有关图纸。</w:t>
      </w:r>
    </w:p>
    <w:p w14:paraId="2C1AA7D6">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（2）变更工作影响工期的，承包人应提出调整工期的具体细节。监理人认为有必要时，可要求承包人提交要求提前或延长工期的施工进度计划及相应施工措施等详细资料。</w:t>
      </w:r>
    </w:p>
    <w:p w14:paraId="134110B2">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（3）除专用合同条款对期限另有约定外，监理人收到承包人变更报价书后的14天内，根据第15.4款约定的估价原则，按照第3.5款商定或确定变更价格。</w:t>
      </w:r>
    </w:p>
    <w:p w14:paraId="74817D11">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15.3.3</w:t>
      </w:r>
      <w:r>
        <w:rPr>
          <w:rFonts w:hint="default" w:ascii="Times New Roman" w:hAnsi="Times New Roman" w:eastAsia="黑体" w:cs="Times New Roman"/>
          <w:sz w:val="24"/>
          <w:highlight w:val="none"/>
        </w:rPr>
        <w:t xml:space="preserve"> 变更指示</w:t>
      </w:r>
    </w:p>
    <w:p w14:paraId="0662DFB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（1）变更指示只能由监理人发出。</w:t>
      </w:r>
    </w:p>
    <w:p w14:paraId="05F8925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（2）变更指示应说明变更的目的、范围、变更内容以及变更的工程量及其进度和技术要求，并附有关图纸和文件。承包人收到变更指示后，应按变更指示进行变更工作。</w:t>
      </w:r>
    </w:p>
    <w:p w14:paraId="2DBB49D0">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717" w:name="_Toc25571"/>
      <w:bookmarkStart w:id="718" w:name="_Toc21464"/>
      <w:bookmarkStart w:id="719" w:name="_Toc234833066"/>
      <w:bookmarkStart w:id="720" w:name="_Toc22069"/>
      <w:r>
        <w:rPr>
          <w:rFonts w:hint="default" w:ascii="Times New Roman" w:hAnsi="Times New Roman" w:eastAsia="黑体" w:cs="Times New Roman"/>
          <w:b w:val="0"/>
          <w:sz w:val="24"/>
          <w:szCs w:val="24"/>
          <w:highlight w:val="none"/>
        </w:rPr>
        <w:t>15.4 变更的估价原则</w:t>
      </w:r>
      <w:bookmarkEnd w:id="717"/>
      <w:bookmarkEnd w:id="718"/>
      <w:bookmarkEnd w:id="719"/>
      <w:bookmarkEnd w:id="720"/>
      <w:r>
        <w:rPr>
          <w:rFonts w:hint="default" w:ascii="Times New Roman" w:hAnsi="Times New Roman" w:eastAsia="黑体" w:cs="Times New Roman"/>
          <w:b w:val="0"/>
          <w:sz w:val="24"/>
          <w:szCs w:val="24"/>
          <w:highlight w:val="none"/>
        </w:rPr>
        <w:t xml:space="preserve"> </w:t>
      </w:r>
    </w:p>
    <w:p w14:paraId="244026D0">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除专用合同条款另有约定外，因变更引起的价格调整按照本款约定处理。</w:t>
      </w:r>
    </w:p>
    <w:p w14:paraId="4450B6D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15.4.1 已标价工程量清单中有适用于变更工作的子目的，采用该子目的单价。</w:t>
      </w:r>
    </w:p>
    <w:p w14:paraId="05B69A4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15.4.2 已标价工程量清单中无适用于变更工作的子目，但有类似子目的，可在合理范围内参照类似子目的单价，由监理人按第3.5款商定或确定变更工作的单价。</w:t>
      </w:r>
    </w:p>
    <w:p w14:paraId="2ED787B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15.4.3 已标价工程量清单中无适用或类似子目的单价，可按照成本加利润的原则，由监理人按第3.5款商定或确定变更工作的单价。</w:t>
      </w:r>
    </w:p>
    <w:p w14:paraId="70FFF260">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721" w:name="_Toc234833067"/>
      <w:bookmarkStart w:id="722" w:name="_Toc5615"/>
      <w:bookmarkStart w:id="723" w:name="_Toc18163"/>
      <w:bookmarkStart w:id="724" w:name="_Toc20188"/>
      <w:r>
        <w:rPr>
          <w:rFonts w:hint="default" w:ascii="Times New Roman" w:hAnsi="Times New Roman" w:eastAsia="黑体" w:cs="Times New Roman"/>
          <w:b w:val="0"/>
          <w:sz w:val="24"/>
          <w:szCs w:val="24"/>
          <w:highlight w:val="none"/>
        </w:rPr>
        <w:t>15.5 承包人的合理化建议</w:t>
      </w:r>
      <w:bookmarkEnd w:id="721"/>
      <w:bookmarkEnd w:id="722"/>
      <w:bookmarkEnd w:id="723"/>
      <w:bookmarkEnd w:id="724"/>
    </w:p>
    <w:p w14:paraId="3C1797E2">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15.5.1 在履行合同过程中，承包人对发包人提供的图纸、技术要求以及其他方面提出的合理化建议，均应以书面形式提交监理人。合理化建议书的内容应包括建议工作的详细说明、进度计划和效益以及与其他工作的协调等，并附必要的设计文件。监理人应与发包人协商是否采纳建议。建议被采纳并构成变更的，应按第15.3.3项约定向承包人发出变更指示。</w:t>
      </w:r>
    </w:p>
    <w:p w14:paraId="7A447A28">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15.5.2 承包人提出的合理化建议降低了合同价格、缩短了工期或者提高了工程经济效益的，发包人可按国家有关规定在专用合同条款中约定给予奖励。</w:t>
      </w:r>
    </w:p>
    <w:p w14:paraId="5BC27836">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725" w:name="_Toc234833068"/>
      <w:bookmarkStart w:id="726" w:name="_Toc18965"/>
      <w:bookmarkStart w:id="727" w:name="_Toc1051"/>
      <w:bookmarkStart w:id="728" w:name="_Toc32232"/>
      <w:r>
        <w:rPr>
          <w:rFonts w:hint="default" w:ascii="Times New Roman" w:hAnsi="Times New Roman" w:eastAsia="黑体" w:cs="Times New Roman"/>
          <w:b w:val="0"/>
          <w:sz w:val="24"/>
          <w:szCs w:val="24"/>
          <w:highlight w:val="none"/>
        </w:rPr>
        <w:t>15.6 暂列金额</w:t>
      </w:r>
      <w:bookmarkEnd w:id="725"/>
      <w:bookmarkEnd w:id="726"/>
      <w:bookmarkEnd w:id="727"/>
      <w:bookmarkEnd w:id="728"/>
    </w:p>
    <w:p w14:paraId="70BBEE0C">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暂列金额只能按照监理人的指示使用，并对合同价格进行相应调整。</w:t>
      </w:r>
    </w:p>
    <w:p w14:paraId="026D0272">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729" w:name="_Toc10060"/>
      <w:bookmarkStart w:id="730" w:name="_Toc4406"/>
      <w:bookmarkStart w:id="731" w:name="_Toc14416"/>
      <w:bookmarkStart w:id="732" w:name="_Toc234833069"/>
      <w:r>
        <w:rPr>
          <w:rFonts w:hint="default" w:ascii="Times New Roman" w:hAnsi="Times New Roman" w:eastAsia="黑体" w:cs="Times New Roman"/>
          <w:b w:val="0"/>
          <w:sz w:val="24"/>
          <w:szCs w:val="24"/>
          <w:highlight w:val="none"/>
        </w:rPr>
        <w:t>15.7 计日工</w:t>
      </w:r>
      <w:bookmarkEnd w:id="729"/>
      <w:bookmarkEnd w:id="730"/>
      <w:bookmarkEnd w:id="731"/>
      <w:bookmarkEnd w:id="732"/>
    </w:p>
    <w:p w14:paraId="0714CCA3">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15.7.1 发包人认为有必要时，由监理人通知承包人以计日工方式实施变更的零星工作。其价款按列入已标价工程量清单中的计日工计价子目及其单价进行计算。</w:t>
      </w:r>
    </w:p>
    <w:p w14:paraId="1863FAB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15.7.2 采用计日工计价的任何一项变更工作，应从暂列金额中支付，承包人应在该项变更的实施过程中，每天提交以下报表和有关凭证报送监理人审批：</w:t>
      </w:r>
    </w:p>
    <w:p w14:paraId="1621276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（1）工作名称、内容和数量；</w:t>
      </w:r>
    </w:p>
    <w:p w14:paraId="37486A63">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（2）投入该工作所有人员的姓名、工种、级别和耗用工时；</w:t>
      </w:r>
    </w:p>
    <w:p w14:paraId="192BBE3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（3）投入该工作的材料类别和数量；</w:t>
      </w:r>
    </w:p>
    <w:p w14:paraId="267BA3C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（4）投入该工作的施工设备型号、台数和耗用台时；</w:t>
      </w:r>
    </w:p>
    <w:p w14:paraId="0190F6C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（5）监理人要求提交的其他资料和凭证。</w:t>
      </w:r>
    </w:p>
    <w:p w14:paraId="49E1206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15.7.3 计日工由承包人汇总后，按第17.3.2项的约定列入进度付款申请单，由监理人复核并经发包人同意后列入进度付款。</w:t>
      </w:r>
    </w:p>
    <w:p w14:paraId="5045CAC5">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733" w:name="_Toc24490"/>
      <w:bookmarkStart w:id="734" w:name="_Toc234833070"/>
      <w:bookmarkStart w:id="735" w:name="_Toc17561"/>
      <w:bookmarkStart w:id="736" w:name="_Toc13261"/>
      <w:r>
        <w:rPr>
          <w:rFonts w:hint="default" w:ascii="Times New Roman" w:hAnsi="Times New Roman" w:eastAsia="黑体" w:cs="Times New Roman"/>
          <w:b w:val="0"/>
          <w:sz w:val="24"/>
          <w:szCs w:val="24"/>
          <w:highlight w:val="none"/>
        </w:rPr>
        <w:t>15.8暂估价</w:t>
      </w:r>
      <w:bookmarkEnd w:id="733"/>
      <w:bookmarkEnd w:id="734"/>
      <w:bookmarkEnd w:id="735"/>
      <w:bookmarkEnd w:id="736"/>
    </w:p>
    <w:p w14:paraId="0F22733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15.8.1 发包人在工程量清单中给定暂估价的材料、工程设备和专业工程属于依法必须招标的范围并达到规定的规模标准的，由发包人和承包人以招标的方式选择供应商或分包人。发包人和承包人的权利义务关系在专用合同条款中约定。中标金额与工程量清单中所列的暂估价的金额差以及相应的税金等其他费用列入合同价格。</w:t>
      </w:r>
    </w:p>
    <w:p w14:paraId="31F3218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15.8.2发包人在工程量清单中给定暂估价的材料和工程设备不属于依法必须招标的范围或未达到规定的规模标准的，应由承包人按第5.1款的约定提供。经监理人确认的材料、工程设备的价格与工程量清单中所列的暂估价的金额差以及相应的税金等其他费用列入合同价格。</w:t>
      </w:r>
    </w:p>
    <w:p w14:paraId="7FE0CFF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15.8.3发包人在工程量清单中给定暂估价的专业工程不属于依法必须招标的范围或未达到规定的规模标准的，由监理人按照第15.4款进行估价，但专用合同条款另有约定的除外。经估价的专业工程与工程量清单中所列的暂估价的金额差以及相应的税金等其他费用列入合同价格。</w:t>
      </w:r>
    </w:p>
    <w:p w14:paraId="600FDF6D">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737" w:name="_Toc10500"/>
      <w:bookmarkStart w:id="738" w:name="_Toc15345"/>
      <w:bookmarkStart w:id="739" w:name="_Toc18601"/>
      <w:bookmarkStart w:id="740" w:name="_Toc234833071"/>
      <w:r>
        <w:rPr>
          <w:rFonts w:hint="default" w:ascii="Times New Roman" w:hAnsi="Times New Roman" w:eastAsia="黑体" w:cs="Times New Roman"/>
          <w:b w:val="0"/>
          <w:sz w:val="28"/>
          <w:szCs w:val="28"/>
          <w:highlight w:val="none"/>
        </w:rPr>
        <w:t>16. 价格调整</w:t>
      </w:r>
      <w:bookmarkEnd w:id="737"/>
      <w:bookmarkEnd w:id="738"/>
      <w:bookmarkEnd w:id="739"/>
      <w:bookmarkEnd w:id="740"/>
    </w:p>
    <w:p w14:paraId="4068B9E9">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741" w:name="_Toc5119"/>
      <w:bookmarkStart w:id="742" w:name="_Toc4341"/>
      <w:bookmarkStart w:id="743" w:name="_Toc234833072"/>
      <w:bookmarkStart w:id="744" w:name="_Toc892"/>
      <w:r>
        <w:rPr>
          <w:rFonts w:hint="default" w:ascii="Times New Roman" w:hAnsi="Times New Roman" w:eastAsia="黑体" w:cs="Times New Roman"/>
          <w:b w:val="0"/>
          <w:sz w:val="24"/>
          <w:szCs w:val="24"/>
          <w:highlight w:val="none"/>
        </w:rPr>
        <w:t>16.1 物价波动引起的价格调整</w:t>
      </w:r>
      <w:bookmarkEnd w:id="741"/>
      <w:bookmarkEnd w:id="742"/>
      <w:bookmarkEnd w:id="743"/>
      <w:bookmarkEnd w:id="744"/>
    </w:p>
    <w:p w14:paraId="0D50E61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除专用合同条款另有约定外，因物价波动引起的价格调整按照本款约定处理。</w:t>
      </w:r>
    </w:p>
    <w:p w14:paraId="2F012EBA">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16.1.1 </w:t>
      </w:r>
      <w:r>
        <w:rPr>
          <w:rFonts w:hint="default" w:ascii="Times New Roman" w:hAnsi="Times New Roman" w:eastAsia="黑体" w:cs="Times New Roman"/>
          <w:sz w:val="24"/>
          <w:highlight w:val="none"/>
        </w:rPr>
        <w:t>采用价格指数调整价格差额</w:t>
      </w:r>
    </w:p>
    <w:p w14:paraId="3FE42FC5">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16.1.1.1 价格调整公式</w:t>
      </w:r>
    </w:p>
    <w:p w14:paraId="49173BC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因人工、材料和设备等价格波动影响合同价格时，根据投标函附录中的价格指数和权重表约定的数据，按以下公式计算差额并调整合同价格：</w:t>
      </w:r>
    </w:p>
    <w:p w14:paraId="63DEBB77">
      <w:pPr>
        <w:pageBreakBefore w:val="0"/>
        <w:kinsoku/>
        <w:wordWrap w:val="0"/>
        <w:autoSpaceDE w:val="0"/>
        <w:autoSpaceDN w:val="0"/>
        <w:bidi w:val="0"/>
        <w:adjustRightInd w:val="0"/>
        <w:spacing w:line="400" w:lineRule="atLeast"/>
        <w:ind w:right="249"/>
        <w:jc w:val="center"/>
        <w:rPr>
          <w:rFonts w:hint="default" w:ascii="Times New Roman" w:hAnsi="Times New Roman" w:cs="Times New Roman"/>
          <w:b/>
          <w:sz w:val="24"/>
          <w:highlight w:val="none"/>
        </w:rPr>
      </w:pPr>
      <w:r>
        <w:rPr>
          <w:rFonts w:hint="default" w:ascii="Times New Roman" w:hAnsi="Times New Roman" w:cs="Times New Roman"/>
          <w:b/>
          <w:bCs/>
          <w:kern w:val="0"/>
          <w:position w:val="-34"/>
          <w:sz w:val="24"/>
          <w:highlight w:val="none"/>
          <w:lang w:val="zh-CN"/>
        </w:rPr>
        <w:object>
          <v:shape id="_x0000_i1025" o:spt="75" type="#_x0000_t75" style="height:50.35pt;width:363.95pt;" o:ole="t" filled="f" o:preferrelative="t" stroked="f" coordsize="21600,21600">
            <v:path/>
            <v:fill on="f" alignshape="1" focussize="0,0"/>
            <v:stroke on="f"/>
            <v:imagedata r:id="rId48" o:title=""/>
            <o:lock v:ext="edit" aspectratio="t"/>
            <w10:wrap type="none"/>
            <w10:anchorlock/>
          </v:shape>
          <o:OLEObject Type="Embed" ProgID="Equation.3" ShapeID="_x0000_i1025" DrawAspect="Content" ObjectID="_1468075725" r:id="rId47">
            <o:LockedField>false</o:LockedField>
          </o:OLEObject>
        </w:object>
      </w:r>
    </w:p>
    <w:p w14:paraId="4F8F4479">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式中： </w:t>
      </w:r>
      <w:r>
        <w:rPr>
          <w:rFonts w:hint="default" w:ascii="Times New Roman" w:hAnsi="Times New Roman" w:cs="Times New Roman"/>
          <w:b/>
          <w:sz w:val="24"/>
          <w:highlight w:val="none"/>
        </w:rPr>
        <w:t>△P</w:t>
      </w:r>
      <w:r>
        <w:rPr>
          <w:rFonts w:hint="default" w:ascii="Times New Roman" w:hAnsi="Times New Roman" w:cs="Times New Roman"/>
          <w:sz w:val="24"/>
          <w:highlight w:val="none"/>
        </w:rPr>
        <w:t>-- 需调整的价格差额；</w:t>
      </w:r>
    </w:p>
    <w:p w14:paraId="12152127">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w:t>
      </w:r>
      <w:r>
        <w:rPr>
          <w:rFonts w:hint="default" w:ascii="Times New Roman" w:hAnsi="Times New Roman" w:cs="Times New Roman"/>
          <w:b/>
          <w:bCs/>
          <w:sz w:val="24"/>
          <w:highlight w:val="none"/>
          <w:lang w:val="zh-CN"/>
        </w:rPr>
        <w:t xml:space="preserve"> P</w:t>
      </w:r>
      <w:r>
        <w:rPr>
          <w:rFonts w:hint="default" w:ascii="Times New Roman" w:hAnsi="Times New Roman" w:cs="Times New Roman"/>
          <w:b/>
          <w:bCs/>
          <w:sz w:val="24"/>
          <w:highlight w:val="none"/>
          <w:vertAlign w:val="subscript"/>
          <w:lang w:val="zh-CN"/>
        </w:rPr>
        <w:t xml:space="preserve">0 </w:t>
      </w:r>
      <w:r>
        <w:rPr>
          <w:rFonts w:hint="default" w:ascii="Times New Roman" w:hAnsi="Times New Roman" w:cs="Times New Roman"/>
          <w:sz w:val="24"/>
          <w:highlight w:val="none"/>
        </w:rPr>
        <w:t xml:space="preserve"> -- 第17.3.3项、第17.5.2项和第17.6.2项约定的付款证书中承包人应得到的已完成工程量的金额。此项金额应不包括价格调整、不计质量保证金的扣留和支付、预付款的支付和扣回。第15条约定的变更及其他金额已按现行价格计价的，也不计在内；</w:t>
      </w:r>
    </w:p>
    <w:p w14:paraId="7B0537F6">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w:t>
      </w:r>
      <w:r>
        <w:rPr>
          <w:rFonts w:hint="default" w:ascii="Times New Roman" w:hAnsi="Times New Roman" w:cs="Times New Roman"/>
          <w:b/>
          <w:bCs/>
          <w:sz w:val="24"/>
          <w:highlight w:val="none"/>
          <w:lang w:val="zh-CN"/>
        </w:rPr>
        <w:t xml:space="preserve"> A</w:t>
      </w:r>
      <w:r>
        <w:rPr>
          <w:rFonts w:hint="default" w:ascii="Times New Roman" w:hAnsi="Times New Roman" w:cs="Times New Roman"/>
          <w:sz w:val="24"/>
          <w:highlight w:val="none"/>
        </w:rPr>
        <w:t xml:space="preserve"> -- 定值权重（即不调部分的权重）；</w:t>
      </w:r>
    </w:p>
    <w:p w14:paraId="329052B5">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w:t>
      </w:r>
      <w:r>
        <w:rPr>
          <w:rFonts w:hint="default" w:ascii="Times New Roman" w:hAnsi="Times New Roman" w:cs="Times New Roman"/>
          <w:b/>
          <w:bCs/>
          <w:sz w:val="24"/>
          <w:highlight w:val="none"/>
        </w:rPr>
        <w:t xml:space="preserve"> B</w:t>
      </w:r>
      <w:r>
        <w:rPr>
          <w:rFonts w:hint="default" w:ascii="Times New Roman" w:hAnsi="Times New Roman" w:cs="Times New Roman"/>
          <w:b/>
          <w:bCs/>
          <w:sz w:val="24"/>
          <w:highlight w:val="none"/>
          <w:vertAlign w:val="subscript"/>
        </w:rPr>
        <w:t>1</w:t>
      </w:r>
      <w:r>
        <w:rPr>
          <w:rFonts w:hint="default" w:ascii="Times New Roman" w:hAnsi="Times New Roman" w:cs="Times New Roman"/>
          <w:b/>
          <w:bCs/>
          <w:sz w:val="24"/>
          <w:highlight w:val="none"/>
          <w:vertAlign w:val="subscript"/>
          <w:lang w:val="zh-CN"/>
        </w:rPr>
        <w:t xml:space="preserve">; </w:t>
      </w:r>
      <w:r>
        <w:rPr>
          <w:rFonts w:hint="default" w:ascii="Times New Roman" w:hAnsi="Times New Roman" w:cs="Times New Roman"/>
          <w:b/>
          <w:bCs/>
          <w:sz w:val="24"/>
          <w:highlight w:val="none"/>
        </w:rPr>
        <w:t>B</w:t>
      </w:r>
      <w:r>
        <w:rPr>
          <w:rFonts w:hint="default" w:ascii="Times New Roman" w:hAnsi="Times New Roman" w:cs="Times New Roman"/>
          <w:b/>
          <w:bCs/>
          <w:sz w:val="24"/>
          <w:highlight w:val="none"/>
          <w:vertAlign w:val="subscript"/>
        </w:rPr>
        <w:t>2</w:t>
      </w:r>
      <w:r>
        <w:rPr>
          <w:rFonts w:hint="default" w:ascii="Times New Roman" w:hAnsi="Times New Roman" w:cs="Times New Roman"/>
          <w:b/>
          <w:bCs/>
          <w:sz w:val="24"/>
          <w:highlight w:val="none"/>
          <w:vertAlign w:val="subscript"/>
          <w:lang w:val="zh-CN"/>
        </w:rPr>
        <w:t xml:space="preserve">; </w:t>
      </w:r>
      <w:r>
        <w:rPr>
          <w:rFonts w:hint="default" w:ascii="Times New Roman" w:hAnsi="Times New Roman" w:cs="Times New Roman"/>
          <w:b/>
          <w:bCs/>
          <w:sz w:val="24"/>
          <w:highlight w:val="none"/>
        </w:rPr>
        <w:t>B</w:t>
      </w:r>
      <w:r>
        <w:rPr>
          <w:rFonts w:hint="default" w:ascii="Times New Roman" w:hAnsi="Times New Roman" w:cs="Times New Roman"/>
          <w:b/>
          <w:bCs/>
          <w:sz w:val="24"/>
          <w:highlight w:val="none"/>
          <w:vertAlign w:val="subscript"/>
        </w:rPr>
        <w:t>3……</w:t>
      </w:r>
      <w:r>
        <w:rPr>
          <w:rFonts w:hint="default" w:ascii="Times New Roman" w:hAnsi="Times New Roman" w:cs="Times New Roman"/>
          <w:b/>
          <w:bCs/>
          <w:sz w:val="24"/>
          <w:highlight w:val="none"/>
          <w:lang w:val="zh-CN"/>
        </w:rPr>
        <w:t>B</w:t>
      </w:r>
      <w:r>
        <w:rPr>
          <w:rFonts w:hint="default" w:ascii="Times New Roman" w:hAnsi="Times New Roman" w:cs="Times New Roman"/>
          <w:b/>
          <w:bCs/>
          <w:sz w:val="24"/>
          <w:highlight w:val="none"/>
          <w:vertAlign w:val="subscript"/>
          <w:lang w:val="zh-CN"/>
        </w:rPr>
        <w:t>n</w:t>
      </w:r>
      <w:r>
        <w:rPr>
          <w:rFonts w:hint="default" w:ascii="Times New Roman" w:hAnsi="Times New Roman" w:cs="Times New Roman"/>
          <w:sz w:val="24"/>
          <w:highlight w:val="none"/>
          <w:vertAlign w:val="subscript"/>
        </w:rPr>
        <w:t xml:space="preserve"> </w:t>
      </w:r>
      <w:r>
        <w:rPr>
          <w:rFonts w:hint="default" w:ascii="Times New Roman" w:hAnsi="Times New Roman" w:cs="Times New Roman"/>
          <w:sz w:val="24"/>
          <w:highlight w:val="none"/>
        </w:rPr>
        <w:t xml:space="preserve"> -- 各可调因子的变值权重（即可调部分的权重）为各可调因子在投标函投标总报价中所占的比例；</w:t>
      </w:r>
    </w:p>
    <w:p w14:paraId="51F1C378">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w:t>
      </w:r>
      <w:r>
        <w:rPr>
          <w:rFonts w:hint="default" w:ascii="Times New Roman" w:hAnsi="Times New Roman" w:cs="Times New Roman"/>
          <w:b/>
          <w:bCs/>
          <w:sz w:val="24"/>
          <w:highlight w:val="none"/>
          <w:lang w:val="zh-CN"/>
        </w:rPr>
        <w:t xml:space="preserve"> F</w:t>
      </w:r>
      <w:r>
        <w:rPr>
          <w:rFonts w:hint="default" w:ascii="Times New Roman" w:hAnsi="Times New Roman" w:cs="Times New Roman"/>
          <w:b/>
          <w:bCs/>
          <w:sz w:val="24"/>
          <w:highlight w:val="none"/>
          <w:vertAlign w:val="subscript"/>
          <w:lang w:val="zh-CN"/>
        </w:rPr>
        <w:t>t1;</w:t>
      </w:r>
      <w:r>
        <w:rPr>
          <w:rFonts w:hint="default" w:ascii="Times New Roman" w:hAnsi="Times New Roman" w:cs="Times New Roman"/>
          <w:b/>
          <w:bCs/>
          <w:sz w:val="24"/>
          <w:highlight w:val="none"/>
          <w:lang w:val="zh-CN"/>
        </w:rPr>
        <w:t xml:space="preserve"> F</w:t>
      </w:r>
      <w:r>
        <w:rPr>
          <w:rFonts w:hint="default" w:ascii="Times New Roman" w:hAnsi="Times New Roman" w:cs="Times New Roman"/>
          <w:b/>
          <w:bCs/>
          <w:sz w:val="24"/>
          <w:highlight w:val="none"/>
          <w:vertAlign w:val="subscript"/>
          <w:lang w:val="zh-CN"/>
        </w:rPr>
        <w:t>t2;</w:t>
      </w:r>
      <w:r>
        <w:rPr>
          <w:rFonts w:hint="default" w:ascii="Times New Roman" w:hAnsi="Times New Roman" w:cs="Times New Roman"/>
          <w:b/>
          <w:bCs/>
          <w:sz w:val="24"/>
          <w:highlight w:val="none"/>
          <w:lang w:val="zh-CN"/>
        </w:rPr>
        <w:t xml:space="preserve"> F</w:t>
      </w:r>
      <w:r>
        <w:rPr>
          <w:rFonts w:hint="default" w:ascii="Times New Roman" w:hAnsi="Times New Roman" w:cs="Times New Roman"/>
          <w:b/>
          <w:bCs/>
          <w:sz w:val="24"/>
          <w:highlight w:val="none"/>
          <w:vertAlign w:val="subscript"/>
          <w:lang w:val="zh-CN"/>
        </w:rPr>
        <w:t>t3</w:t>
      </w:r>
      <w:r>
        <w:rPr>
          <w:rFonts w:hint="default" w:ascii="Times New Roman" w:hAnsi="Times New Roman" w:cs="Times New Roman"/>
          <w:b/>
          <w:bCs/>
          <w:sz w:val="24"/>
          <w:highlight w:val="none"/>
          <w:lang w:val="zh-CN"/>
        </w:rPr>
        <w:t>……F</w:t>
      </w:r>
      <w:r>
        <w:rPr>
          <w:rFonts w:hint="default" w:ascii="Times New Roman" w:hAnsi="Times New Roman" w:cs="Times New Roman"/>
          <w:b/>
          <w:bCs/>
          <w:sz w:val="24"/>
          <w:highlight w:val="none"/>
          <w:vertAlign w:val="subscript"/>
          <w:lang w:val="zh-CN"/>
        </w:rPr>
        <w:t>tn</w:t>
      </w:r>
      <w:r>
        <w:rPr>
          <w:rFonts w:hint="default" w:ascii="Times New Roman" w:hAnsi="Times New Roman" w:cs="Times New Roman"/>
          <w:sz w:val="24"/>
          <w:highlight w:val="none"/>
        </w:rPr>
        <w:t xml:space="preserve"> -- 各可调因子的现行价格指数，指第17.3.3项、第17.5.2项和第17.6.2项约定的付款证书相关周期最后一天的前42天的各可调因子的价格指数；</w:t>
      </w:r>
    </w:p>
    <w:p w14:paraId="321A953D">
      <w:pPr>
        <w:pageBreakBefore w:val="0"/>
        <w:kinsoku/>
        <w:wordWrap w:val="0"/>
        <w:bidi w:val="0"/>
        <w:spacing w:line="400" w:lineRule="atLeast"/>
        <w:ind w:firstLine="716" w:firstLineChars="297"/>
        <w:rPr>
          <w:rFonts w:hint="default" w:ascii="Times New Roman" w:hAnsi="Times New Roman" w:cs="Times New Roman"/>
          <w:sz w:val="24"/>
          <w:highlight w:val="none"/>
        </w:rPr>
      </w:pPr>
      <w:r>
        <w:rPr>
          <w:rFonts w:hint="default" w:ascii="Times New Roman" w:hAnsi="Times New Roman" w:cs="Times New Roman"/>
          <w:b/>
          <w:bCs/>
          <w:sz w:val="24"/>
          <w:highlight w:val="none"/>
        </w:rPr>
        <w:t>F</w:t>
      </w:r>
      <w:r>
        <w:rPr>
          <w:rFonts w:hint="default" w:ascii="Times New Roman" w:hAnsi="Times New Roman" w:cs="Times New Roman"/>
          <w:b/>
          <w:bCs/>
          <w:sz w:val="24"/>
          <w:highlight w:val="none"/>
          <w:vertAlign w:val="subscript"/>
        </w:rPr>
        <w:t>o1;</w:t>
      </w:r>
      <w:r>
        <w:rPr>
          <w:rFonts w:hint="default" w:ascii="Times New Roman" w:hAnsi="Times New Roman" w:cs="Times New Roman"/>
          <w:b/>
          <w:bCs/>
          <w:sz w:val="24"/>
          <w:highlight w:val="none"/>
        </w:rPr>
        <w:t xml:space="preserve"> F</w:t>
      </w:r>
      <w:r>
        <w:rPr>
          <w:rFonts w:hint="default" w:ascii="Times New Roman" w:hAnsi="Times New Roman" w:cs="Times New Roman"/>
          <w:b/>
          <w:bCs/>
          <w:sz w:val="24"/>
          <w:highlight w:val="none"/>
          <w:vertAlign w:val="subscript"/>
        </w:rPr>
        <w:t>o2;</w:t>
      </w:r>
      <w:r>
        <w:rPr>
          <w:rFonts w:hint="default" w:ascii="Times New Roman" w:hAnsi="Times New Roman" w:cs="Times New Roman"/>
          <w:b/>
          <w:bCs/>
          <w:sz w:val="24"/>
          <w:highlight w:val="none"/>
        </w:rPr>
        <w:t xml:space="preserve"> F</w:t>
      </w:r>
      <w:r>
        <w:rPr>
          <w:rFonts w:hint="default" w:ascii="Times New Roman" w:hAnsi="Times New Roman" w:cs="Times New Roman"/>
          <w:b/>
          <w:bCs/>
          <w:sz w:val="24"/>
          <w:highlight w:val="none"/>
          <w:vertAlign w:val="subscript"/>
        </w:rPr>
        <w:t>o3</w:t>
      </w:r>
      <w:r>
        <w:rPr>
          <w:rFonts w:hint="default" w:ascii="Times New Roman" w:hAnsi="Times New Roman" w:cs="Times New Roman"/>
          <w:b/>
          <w:bCs/>
          <w:sz w:val="24"/>
          <w:highlight w:val="none"/>
        </w:rPr>
        <w:t>……F</w:t>
      </w:r>
      <w:r>
        <w:rPr>
          <w:rFonts w:hint="default" w:ascii="Times New Roman" w:hAnsi="Times New Roman" w:cs="Times New Roman"/>
          <w:b/>
          <w:bCs/>
          <w:sz w:val="24"/>
          <w:highlight w:val="none"/>
          <w:vertAlign w:val="subscript"/>
        </w:rPr>
        <w:t>on</w:t>
      </w:r>
      <w:r>
        <w:rPr>
          <w:rFonts w:hint="default" w:ascii="Times New Roman" w:hAnsi="Times New Roman" w:cs="Times New Roman"/>
          <w:sz w:val="24"/>
          <w:highlight w:val="none"/>
        </w:rPr>
        <w:t xml:space="preserve"> --各可调因子的基本价格指数，指基准日期的各可调因子的价格指数。</w:t>
      </w:r>
    </w:p>
    <w:p w14:paraId="3AAA0ABA">
      <w:pPr>
        <w:pageBreakBefore w:val="0"/>
        <w:kinsoku/>
        <w:wordWrap w:val="0"/>
        <w:bidi w:val="0"/>
        <w:spacing w:line="400" w:lineRule="atLeast"/>
        <w:ind w:firstLine="477" w:firstLineChars="199"/>
        <w:rPr>
          <w:rFonts w:hint="default" w:ascii="Times New Roman" w:hAnsi="Times New Roman" w:cs="Times New Roman"/>
          <w:sz w:val="24"/>
          <w:highlight w:val="none"/>
        </w:rPr>
      </w:pPr>
      <w:r>
        <w:rPr>
          <w:rFonts w:hint="default" w:ascii="Times New Roman" w:hAnsi="Times New Roman" w:cs="Times New Roman"/>
          <w:sz w:val="24"/>
          <w:highlight w:val="none"/>
        </w:rPr>
        <w:t>以上价格调整公式中的各可调因子、定值和变值权重，以及基本价格指数及其来源在投标函附录价格指数和权重表中约定。价格指数应首先采用有关部门提供的价格指数，缺乏上述价格指数时，可采用有关部门提供的价格代替。</w:t>
      </w:r>
    </w:p>
    <w:p w14:paraId="01A8702C">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16.1.1.2 暂时确定调整差额</w:t>
      </w:r>
    </w:p>
    <w:p w14:paraId="7045FF21">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在计算调整差额时得不到现行价格指数的，可暂用上一次价格指数计算，并在以后的付款中再按实际价格指数进行调整。</w:t>
      </w:r>
    </w:p>
    <w:p w14:paraId="2BCC8E67">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br w:type="page"/>
      </w:r>
      <w:r>
        <w:rPr>
          <w:rFonts w:hint="default" w:ascii="Times New Roman" w:hAnsi="Times New Roman" w:eastAsia="黑体" w:cs="Times New Roman"/>
          <w:sz w:val="24"/>
          <w:highlight w:val="none"/>
        </w:rPr>
        <w:t>16.1.1.3 权重的调整</w:t>
      </w:r>
    </w:p>
    <w:p w14:paraId="5832824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按第15.1款约定的变更导致原定合同中的权重不合理时，由监理人与承包人和发包人协商后进行调整。</w:t>
      </w:r>
    </w:p>
    <w:p w14:paraId="0FB4A7F4">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16.1.1.4 承包人工期延误后的价格调整</w:t>
      </w:r>
    </w:p>
    <w:p w14:paraId="3B4EF69E">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由于承包人原因未在约定的工期内竣工的，则对原约定竣工日期后继续施工的工程，在使用第16.1.1.1目价格调整公式时，应采用原约定竣工日期与实际竣工日期的两个价格指数中较低的一个作为现行价格指数。</w:t>
      </w:r>
    </w:p>
    <w:p w14:paraId="4A36F598">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16.1.2 </w:t>
      </w:r>
      <w:r>
        <w:rPr>
          <w:rFonts w:hint="default" w:ascii="Times New Roman" w:hAnsi="Times New Roman" w:eastAsia="黑体" w:cs="Times New Roman"/>
          <w:sz w:val="24"/>
          <w:highlight w:val="none"/>
        </w:rPr>
        <w:t>采用造价信息调整价格差额</w:t>
      </w:r>
    </w:p>
    <w:p w14:paraId="431507A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施工期内，因人工、材料、设备和机械台班价格波动影响合同价格时，人工、机械使用费按照国家或省、自治区、直辖市建设行政管理部门、行业建设管理部门或其授权的工程造价管理机构发布的人工成本信息、机械台班单价或机械使用费系数进行调整；需要进行价格调整的材料，其单价和采购数应由监理人复核，监理人确认需调整的材料单价及数量，作为调整工程合同价格差额的依据。</w:t>
      </w:r>
    </w:p>
    <w:p w14:paraId="649DA206">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745" w:name="_Toc25291"/>
      <w:bookmarkStart w:id="746" w:name="_Toc234833073"/>
      <w:bookmarkStart w:id="747" w:name="_Toc3304"/>
      <w:bookmarkStart w:id="748" w:name="_Toc15845"/>
      <w:r>
        <w:rPr>
          <w:rFonts w:hint="default" w:ascii="Times New Roman" w:hAnsi="Times New Roman" w:eastAsia="黑体" w:cs="Times New Roman"/>
          <w:b w:val="0"/>
          <w:sz w:val="24"/>
          <w:szCs w:val="24"/>
          <w:highlight w:val="none"/>
        </w:rPr>
        <w:t>16.2 法律变化引起的价格调整</w:t>
      </w:r>
      <w:bookmarkEnd w:id="745"/>
      <w:bookmarkEnd w:id="746"/>
      <w:bookmarkEnd w:id="747"/>
      <w:bookmarkEnd w:id="748"/>
    </w:p>
    <w:p w14:paraId="4E051755">
      <w:pPr>
        <w:pageBreakBefore w:val="0"/>
        <w:kinsoku/>
        <w:wordWrap w:val="0"/>
        <w:bidi w:val="0"/>
        <w:spacing w:line="400" w:lineRule="atLeast"/>
        <w:ind w:firstLine="435"/>
        <w:rPr>
          <w:rFonts w:hint="default" w:ascii="Times New Roman" w:hAnsi="Times New Roman" w:cs="Times New Roman"/>
          <w:sz w:val="24"/>
          <w:highlight w:val="none"/>
        </w:rPr>
      </w:pPr>
      <w:r>
        <w:rPr>
          <w:rFonts w:hint="default" w:ascii="Times New Roman" w:hAnsi="Times New Roman" w:cs="Times New Roman"/>
          <w:sz w:val="24"/>
          <w:highlight w:val="none"/>
        </w:rPr>
        <w:t>在基准日后，因法律变化导致承包人在合同履行中所需要的工程费用发生除第16.1款约定以外的增减时，监理人应根据法律、国家或省、自治区、直辖市有关部门的规定，按第3.5款商定或确定需调整的合同价款。</w:t>
      </w:r>
    </w:p>
    <w:p w14:paraId="494C593A">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749" w:name="_Toc234833074"/>
      <w:bookmarkStart w:id="750" w:name="_Toc15991"/>
      <w:bookmarkStart w:id="751" w:name="_Toc32220"/>
      <w:bookmarkStart w:id="752" w:name="_Toc2237"/>
      <w:r>
        <w:rPr>
          <w:rFonts w:hint="default" w:ascii="Times New Roman" w:hAnsi="Times New Roman" w:eastAsia="黑体" w:cs="Times New Roman"/>
          <w:b w:val="0"/>
          <w:sz w:val="28"/>
          <w:szCs w:val="28"/>
          <w:highlight w:val="none"/>
        </w:rPr>
        <w:t>17. 计量与支付</w:t>
      </w:r>
      <w:bookmarkEnd w:id="749"/>
      <w:bookmarkEnd w:id="750"/>
      <w:bookmarkEnd w:id="751"/>
      <w:bookmarkEnd w:id="752"/>
    </w:p>
    <w:p w14:paraId="77CA31C5">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753" w:name="_Toc3524"/>
      <w:bookmarkStart w:id="754" w:name="_Toc29292"/>
      <w:bookmarkStart w:id="755" w:name="_Toc234833075"/>
      <w:bookmarkStart w:id="756" w:name="_Toc12856"/>
      <w:r>
        <w:rPr>
          <w:rFonts w:hint="default" w:ascii="Times New Roman" w:hAnsi="Times New Roman" w:eastAsia="黑体" w:cs="Times New Roman"/>
          <w:b w:val="0"/>
          <w:sz w:val="24"/>
          <w:szCs w:val="24"/>
          <w:highlight w:val="none"/>
        </w:rPr>
        <w:t>17.1 计量</w:t>
      </w:r>
      <w:bookmarkEnd w:id="753"/>
      <w:bookmarkEnd w:id="754"/>
      <w:bookmarkEnd w:id="755"/>
      <w:bookmarkEnd w:id="756"/>
      <w:r>
        <w:rPr>
          <w:rFonts w:hint="default" w:ascii="Times New Roman" w:hAnsi="Times New Roman" w:eastAsia="黑体" w:cs="Times New Roman"/>
          <w:b w:val="0"/>
          <w:sz w:val="24"/>
          <w:szCs w:val="24"/>
          <w:highlight w:val="none"/>
        </w:rPr>
        <w:t xml:space="preserve"> </w:t>
      </w:r>
    </w:p>
    <w:p w14:paraId="067C4004">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17.1.1 </w:t>
      </w:r>
      <w:r>
        <w:rPr>
          <w:rFonts w:hint="default" w:ascii="Times New Roman" w:hAnsi="Times New Roman" w:eastAsia="黑体" w:cs="Times New Roman"/>
          <w:sz w:val="24"/>
          <w:highlight w:val="none"/>
        </w:rPr>
        <w:t>计量单位</w:t>
      </w:r>
    </w:p>
    <w:p w14:paraId="5CE76C0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计量采用国家法定的计量单位。</w:t>
      </w:r>
    </w:p>
    <w:p w14:paraId="36A8F7AE">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17.1.2 </w:t>
      </w:r>
      <w:r>
        <w:rPr>
          <w:rFonts w:hint="default" w:ascii="Times New Roman" w:hAnsi="Times New Roman" w:eastAsia="黑体" w:cs="Times New Roman"/>
          <w:sz w:val="24"/>
          <w:highlight w:val="none"/>
        </w:rPr>
        <w:t>计量方法</w:t>
      </w:r>
    </w:p>
    <w:p w14:paraId="38B6472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工程量清单中的工程量计算规则应按有关国家标准、行业标准的规定，并在合同中约定执行。</w:t>
      </w:r>
    </w:p>
    <w:p w14:paraId="31242391">
      <w:pPr>
        <w:pageBreakBefore w:val="0"/>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 xml:space="preserve">17.1.3 </w:t>
      </w:r>
      <w:r>
        <w:rPr>
          <w:rFonts w:hint="default" w:ascii="Times New Roman" w:hAnsi="Times New Roman" w:eastAsia="黑体" w:cs="Times New Roman"/>
          <w:sz w:val="24"/>
          <w:highlight w:val="none"/>
        </w:rPr>
        <w:t>计量周期</w:t>
      </w:r>
    </w:p>
    <w:p w14:paraId="7B1F128A">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除专用合同条款另有约定外，单价子目已完成工程量按月计量，总价子目的计量周期按批准的支付分解报告确定。 </w:t>
      </w:r>
    </w:p>
    <w:p w14:paraId="0D5A3215">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17.1.4 </w:t>
      </w:r>
      <w:r>
        <w:rPr>
          <w:rFonts w:hint="default" w:ascii="Times New Roman" w:hAnsi="Times New Roman" w:eastAsia="黑体" w:cs="Times New Roman"/>
          <w:sz w:val="24"/>
          <w:highlight w:val="none"/>
        </w:rPr>
        <w:t>单价子目的计量</w:t>
      </w:r>
    </w:p>
    <w:p w14:paraId="0A87A02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（1）已标价工程量清单中的单价子目工程量为估算工程量。结算工程量是承包人实际完成的，并按合同约定的计量方法进行计量的工程量。</w:t>
      </w:r>
    </w:p>
    <w:p w14:paraId="5A55540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（2）承包人对已完成的工程进行计量，向监理人提交进度付款申请单、已完成工程量报表和有关计量资料。</w:t>
      </w:r>
    </w:p>
    <w:p w14:paraId="329069D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监理人对承包人提交的工程量报表进行复核，以确定实际完成的工程量。对数量有异议的，可要求承包人按第8.2款约定进行共同复核和抽样复测。承包人应协助监理人进行复核并按监理人要求提供补充计量资料。承包人未按监理人要求参加复核，监理人复核或修正的工程量视为承包人实际完成的工程量。</w:t>
      </w:r>
    </w:p>
    <w:p w14:paraId="5667936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（4）监理人认为有必要时，可通知承包人共同进行联合测量、计量，承包人应遵照执行。</w:t>
      </w:r>
    </w:p>
    <w:p w14:paraId="76C753F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承包人完成工程量清单中每个子目的工程量后，监理人应要求承包人派员共同对每个子目的历次计量报表进行汇总，以核实最终结算工程量。监理人可要求承包人提供补充计量资料，以确定最后一次进度付款的准确工程量。承包人未按监理人要求派员参加的，监理人最终核实的工程量视为承包人完成该子目的准确工程量。</w:t>
      </w:r>
    </w:p>
    <w:p w14:paraId="045C32E6">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（6）监理人应在收到承包人提交的工程量报表后的7天内进行复核，监理人未在约定时间内复核的，承包人提交的工程量报表中的工程量视为承包人实际完成的工程量，据此计算工程价款。</w:t>
      </w:r>
    </w:p>
    <w:p w14:paraId="71505593">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17.1.5 </w:t>
      </w:r>
      <w:r>
        <w:rPr>
          <w:rFonts w:hint="default" w:ascii="Times New Roman" w:hAnsi="Times New Roman" w:eastAsia="黑体" w:cs="Times New Roman"/>
          <w:sz w:val="24"/>
          <w:highlight w:val="none"/>
        </w:rPr>
        <w:t>总价子目的计量</w:t>
      </w:r>
    </w:p>
    <w:p w14:paraId="5B393709">
      <w:pPr>
        <w:pageBreakBefore w:val="0"/>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除专用合同条款另有约定外，总价子目的分解和计量按照下述约定进行。</w:t>
      </w:r>
    </w:p>
    <w:p w14:paraId="76CB6078">
      <w:pPr>
        <w:pageBreakBefore w:val="0"/>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（1）总价子目的计量和支付应以总价为基础，不因第16.1款中的因素而进行调整。承包人实际完成的工程量，是进行工程目标管理和控制进度支付的依据。</w:t>
      </w:r>
    </w:p>
    <w:p w14:paraId="7B9A4903">
      <w:pPr>
        <w:pageBreakBefore w:val="0"/>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2）承包人在合同约定的每个计量周期内，对已完成的工程进行计量，并向监理人提交进度付款申请单、专用合同条款约定的合同总价支付分解表所表示的阶段性或分项计量的支持性资料，以及所达到工程形象目标或分阶段需完成的工程量和有关计量资料。</w:t>
      </w:r>
    </w:p>
    <w:p w14:paraId="24D3BD85">
      <w:pPr>
        <w:pageBreakBefore w:val="0"/>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（3）监理人对承包人提交的上述资料进行复核，以确定分阶段实际完成的工程量和工程形象目标。对其有异议的，可要求承包人按第8.2款约定进行共同复核和抽样复测。</w:t>
      </w:r>
    </w:p>
    <w:p w14:paraId="0F34F4BD">
      <w:pPr>
        <w:pageBreakBefore w:val="0"/>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（4）除按照第15条约定的变更外，总价子目的工程量是承包人用于结算的最终工程量。</w:t>
      </w:r>
    </w:p>
    <w:p w14:paraId="6A2B5FBA">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757" w:name="_Toc234833076"/>
      <w:bookmarkStart w:id="758" w:name="_Toc14175"/>
      <w:bookmarkStart w:id="759" w:name="_Toc28845"/>
      <w:bookmarkStart w:id="760" w:name="_Toc28011"/>
      <w:r>
        <w:rPr>
          <w:rFonts w:hint="default" w:ascii="Times New Roman" w:hAnsi="Times New Roman" w:eastAsia="黑体" w:cs="Times New Roman"/>
          <w:b w:val="0"/>
          <w:sz w:val="24"/>
          <w:szCs w:val="24"/>
          <w:highlight w:val="none"/>
        </w:rPr>
        <w:t>17.2 预付款</w:t>
      </w:r>
      <w:bookmarkEnd w:id="757"/>
      <w:bookmarkEnd w:id="758"/>
      <w:bookmarkEnd w:id="759"/>
      <w:bookmarkEnd w:id="760"/>
    </w:p>
    <w:p w14:paraId="4838D3B6">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17.2.1</w:t>
      </w:r>
      <w:r>
        <w:rPr>
          <w:rFonts w:hint="default" w:ascii="Times New Roman" w:hAnsi="Times New Roman" w:eastAsia="黑体" w:cs="Times New Roman"/>
          <w:sz w:val="24"/>
          <w:highlight w:val="none"/>
        </w:rPr>
        <w:t>预付款</w:t>
      </w:r>
    </w:p>
    <w:p w14:paraId="265AFF6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预付款用于承包人为合同工程施工购置材料、工程设备、施工设备、修建临时设施以及组织施工队伍进场等。预付款的额度和预付办法在专用合同条款中约定。预付款必须专用于合同工程。</w:t>
      </w:r>
    </w:p>
    <w:p w14:paraId="20132B6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17.2.2 </w:t>
      </w:r>
      <w:r>
        <w:rPr>
          <w:rFonts w:hint="default" w:ascii="Times New Roman" w:hAnsi="Times New Roman" w:eastAsia="黑体" w:cs="Times New Roman"/>
          <w:sz w:val="24"/>
          <w:highlight w:val="none"/>
        </w:rPr>
        <w:t>预付款保函</w:t>
      </w:r>
    </w:p>
    <w:p w14:paraId="7D3249E2">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除专用合同条款另有约定外，承包人应在收到预付款的同时向发包人提交预付款保函，预付款保函的担保金额应与预付款金额相同。保函的担保金额可根据预付款扣回的金额相应递减。</w:t>
      </w:r>
    </w:p>
    <w:p w14:paraId="40DD37FC">
      <w:pPr>
        <w:pageBreakBefore w:val="0"/>
        <w:kinsoku/>
        <w:wordWrap w:val="0"/>
        <w:bidi w:val="0"/>
        <w:spacing w:line="400" w:lineRule="atLeast"/>
        <w:ind w:firstLine="420"/>
        <w:rPr>
          <w:rFonts w:hint="default" w:ascii="Times New Roman" w:hAnsi="Times New Roman" w:cs="Times New Roman"/>
          <w:sz w:val="24"/>
          <w:highlight w:val="none"/>
        </w:rPr>
      </w:pPr>
      <w:r>
        <w:rPr>
          <w:rFonts w:hint="default" w:ascii="Times New Roman" w:hAnsi="Times New Roman" w:cs="Times New Roman"/>
          <w:sz w:val="24"/>
          <w:highlight w:val="none"/>
        </w:rPr>
        <w:t xml:space="preserve">17.2.3 </w:t>
      </w:r>
      <w:r>
        <w:rPr>
          <w:rFonts w:hint="default" w:ascii="Times New Roman" w:hAnsi="Times New Roman" w:eastAsia="黑体" w:cs="Times New Roman"/>
          <w:sz w:val="24"/>
          <w:highlight w:val="none"/>
        </w:rPr>
        <w:t>预付款的扣回与还清</w:t>
      </w:r>
    </w:p>
    <w:p w14:paraId="6975BAD6">
      <w:pPr>
        <w:pageBreakBefore w:val="0"/>
        <w:kinsoku/>
        <w:wordWrap w:val="0"/>
        <w:bidi w:val="0"/>
        <w:spacing w:line="400" w:lineRule="atLeast"/>
        <w:ind w:firstLine="420"/>
        <w:rPr>
          <w:rFonts w:hint="default" w:ascii="Times New Roman" w:hAnsi="Times New Roman" w:cs="Times New Roman"/>
          <w:sz w:val="24"/>
          <w:highlight w:val="none"/>
        </w:rPr>
      </w:pPr>
      <w:r>
        <w:rPr>
          <w:rFonts w:hint="default" w:ascii="Times New Roman" w:hAnsi="Times New Roman" w:cs="Times New Roman"/>
          <w:sz w:val="24"/>
          <w:highlight w:val="none"/>
        </w:rPr>
        <w:t>预付款在进度付款中扣回，扣回办法在专用合同条款中约定。在颁发工程接收证书前，由于不可抗力或其他原因解除合同时，预付款尚未扣清的，尚未扣清的预付款余额应作为承包人的到期应付款。</w:t>
      </w:r>
    </w:p>
    <w:p w14:paraId="0DA9AB40">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761" w:name="_Toc27064"/>
      <w:bookmarkStart w:id="762" w:name="_Toc20532"/>
      <w:bookmarkStart w:id="763" w:name="_Toc7717"/>
      <w:bookmarkStart w:id="764" w:name="_Toc234833077"/>
      <w:r>
        <w:rPr>
          <w:rFonts w:hint="default" w:ascii="Times New Roman" w:hAnsi="Times New Roman" w:eastAsia="黑体" w:cs="Times New Roman"/>
          <w:b w:val="0"/>
          <w:sz w:val="24"/>
          <w:szCs w:val="24"/>
          <w:highlight w:val="none"/>
        </w:rPr>
        <w:t>17.3 工程进度付款</w:t>
      </w:r>
      <w:bookmarkEnd w:id="761"/>
      <w:bookmarkEnd w:id="762"/>
      <w:bookmarkEnd w:id="763"/>
      <w:bookmarkEnd w:id="764"/>
    </w:p>
    <w:p w14:paraId="15FD0437">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17.3.1 </w:t>
      </w:r>
      <w:r>
        <w:rPr>
          <w:rFonts w:hint="default" w:ascii="Times New Roman" w:hAnsi="Times New Roman" w:eastAsia="黑体" w:cs="Times New Roman"/>
          <w:sz w:val="24"/>
          <w:highlight w:val="none"/>
        </w:rPr>
        <w:t>付款周期</w:t>
      </w:r>
    </w:p>
    <w:p w14:paraId="1931CED5">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付款周期同计量周期。</w:t>
      </w:r>
    </w:p>
    <w:p w14:paraId="5874F7B8">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17.3.2 </w:t>
      </w:r>
      <w:r>
        <w:rPr>
          <w:rFonts w:hint="default" w:ascii="Times New Roman" w:hAnsi="Times New Roman" w:eastAsia="黑体" w:cs="Times New Roman"/>
          <w:sz w:val="24"/>
          <w:highlight w:val="none"/>
        </w:rPr>
        <w:t>进度付款申请单</w:t>
      </w:r>
    </w:p>
    <w:p w14:paraId="46B02FC8">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承包人应在每个付款周期末，按监理人批准的格式和专用合同条款约定的份数，向监理人提交进度付款申请单，并附相应的支持性证明文件。除专用合同条款另有约定外，进度付款申请单应包括下列内容：</w:t>
      </w:r>
    </w:p>
    <w:p w14:paraId="1FFBE607">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（1）截至本次付款周期末已实施工程的价款；</w:t>
      </w:r>
    </w:p>
    <w:p w14:paraId="5BA24CB7">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（2）根据第15条应增加和扣减的变更金额；</w:t>
      </w:r>
    </w:p>
    <w:p w14:paraId="17056020">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（3）根据第23条应增加和扣减的索赔金额；</w:t>
      </w:r>
    </w:p>
    <w:p w14:paraId="2DEC9B71">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（4）根据第17.2款约定应支付的预付款和扣减的返还预付款；</w:t>
      </w:r>
    </w:p>
    <w:p w14:paraId="6ECAC8C0">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（5）根据第17.4.1项约定应扣减的质量保证金；</w:t>
      </w:r>
    </w:p>
    <w:p w14:paraId="3D21827D">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（6）根据合同应增加和扣减的其他金额。</w:t>
      </w:r>
    </w:p>
    <w:p w14:paraId="113B7FBE">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17.3.3 </w:t>
      </w:r>
      <w:r>
        <w:rPr>
          <w:rFonts w:hint="default" w:ascii="Times New Roman" w:hAnsi="Times New Roman" w:eastAsia="黑体" w:cs="Times New Roman"/>
          <w:sz w:val="24"/>
          <w:highlight w:val="none"/>
        </w:rPr>
        <w:t>进度付款证书和支付时间</w:t>
      </w:r>
    </w:p>
    <w:p w14:paraId="5F2F198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监理人在收到承包人进度付款申请单以及相应的支持性证明文件后的14天内完成核查，提出发包人到期应支付给承包人的金额以及相应的支持性材料，经发包人审查同意后，由监理人向承包人出具经发包人签认的进度付款证书。监理人有权扣发承包人未能按照合同要求履行任何工作或义务的相应金额。</w:t>
      </w:r>
    </w:p>
    <w:p w14:paraId="7D96888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（2）发包人应在监理人收到进度付款申请单后的28天内，将进度应付款支付给承包人。发包人不按期支付的，按专用合同条款的约定支付逾期付款违约金。</w:t>
      </w:r>
    </w:p>
    <w:p w14:paraId="51C61F86">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（3）监理人出具进度付款证书，不应视为监理人已同意、批准或接受了承包人完成的该部分工作。</w:t>
      </w:r>
    </w:p>
    <w:p w14:paraId="75974602">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（4）进度付款涉及政府投资资金的，按照国库集中支付等国家相关规定和专用合同条款的约定办理。</w:t>
      </w:r>
    </w:p>
    <w:p w14:paraId="5F0F0536">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br w:type="page"/>
      </w:r>
      <w:r>
        <w:rPr>
          <w:rFonts w:hint="default" w:ascii="Times New Roman" w:hAnsi="Times New Roman" w:cs="Times New Roman"/>
          <w:sz w:val="24"/>
          <w:highlight w:val="none"/>
        </w:rPr>
        <w:t>17.3.4</w:t>
      </w:r>
      <w:r>
        <w:rPr>
          <w:rFonts w:hint="default" w:ascii="Times New Roman" w:hAnsi="Times New Roman" w:eastAsia="黑体" w:cs="Times New Roman"/>
          <w:sz w:val="24"/>
          <w:highlight w:val="none"/>
        </w:rPr>
        <w:t xml:space="preserve"> 工程进度付款的修正</w:t>
      </w:r>
    </w:p>
    <w:p w14:paraId="0191E56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在对以往历次已签发的进度付款证书进行汇总和复核中发现错、漏或重复的，监理人有权予以修正，承包人也有权提出修正申请。经双方复核同意的修正，应在本次进度付款中支付或扣除。</w:t>
      </w:r>
    </w:p>
    <w:p w14:paraId="73280776">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765" w:name="_Toc234833078"/>
      <w:bookmarkStart w:id="766" w:name="_Toc30905"/>
      <w:bookmarkStart w:id="767" w:name="_Toc9245"/>
      <w:bookmarkStart w:id="768" w:name="_Toc10469"/>
      <w:r>
        <w:rPr>
          <w:rFonts w:hint="default" w:ascii="Times New Roman" w:hAnsi="Times New Roman" w:eastAsia="黑体" w:cs="Times New Roman"/>
          <w:b w:val="0"/>
          <w:sz w:val="24"/>
          <w:szCs w:val="24"/>
          <w:highlight w:val="none"/>
        </w:rPr>
        <w:t>17.4 质量保证金</w:t>
      </w:r>
      <w:bookmarkEnd w:id="765"/>
      <w:bookmarkEnd w:id="766"/>
      <w:bookmarkEnd w:id="767"/>
      <w:bookmarkEnd w:id="768"/>
    </w:p>
    <w:p w14:paraId="0439EE5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17.4.1 监理人应从第一个付款周期开始，在发包人的进度付款中，按专用合同条款的约定扣留质量保证金，直至扣留的质量保证金总额达到专用合同条款约定的金额或比例为止。质量保证金的计算额度不包括预付款的支付、扣回以及价格调整的金额。</w:t>
      </w:r>
    </w:p>
    <w:p w14:paraId="2D7FB00E">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17.4.2 在第1.1.4.5目约定的缺陷责任期满时，承包人向发包人申请到期应返还承包人剩余的质量保证金金额，发包人应在14天内会同承包人按照合同约定的内容核实承包人是否完成缺陷责任。如无异议，发包人应当在核实后将剩余保证金返还承包人。</w:t>
      </w:r>
    </w:p>
    <w:p w14:paraId="68B3126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17.4.3在第1.1.4.5目约定的缺陷责任期满时，承包人没有完成缺陷责任的，发包人有权扣留与未履行责任剩余工作所需金额相应的质量保证金余额，并有权根据第19.3款约定要求延长缺陷责任期，直至完成剩余工作为止。 </w:t>
      </w:r>
    </w:p>
    <w:p w14:paraId="08ABD695">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769" w:name="_Toc9168"/>
      <w:bookmarkStart w:id="770" w:name="_Toc26619"/>
      <w:bookmarkStart w:id="771" w:name="_Toc234833079"/>
      <w:bookmarkStart w:id="772" w:name="_Toc9754"/>
      <w:r>
        <w:rPr>
          <w:rFonts w:hint="default" w:ascii="Times New Roman" w:hAnsi="Times New Roman" w:eastAsia="黑体" w:cs="Times New Roman"/>
          <w:b w:val="0"/>
          <w:sz w:val="24"/>
          <w:szCs w:val="24"/>
          <w:highlight w:val="none"/>
        </w:rPr>
        <w:t>17.5 竣工结算</w:t>
      </w:r>
      <w:bookmarkEnd w:id="769"/>
      <w:bookmarkEnd w:id="770"/>
      <w:bookmarkEnd w:id="771"/>
      <w:bookmarkEnd w:id="772"/>
    </w:p>
    <w:p w14:paraId="49AFDD18">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17.5.1 </w:t>
      </w:r>
      <w:r>
        <w:rPr>
          <w:rFonts w:hint="default" w:ascii="Times New Roman" w:hAnsi="Times New Roman" w:eastAsia="黑体" w:cs="Times New Roman"/>
          <w:sz w:val="24"/>
          <w:highlight w:val="none"/>
        </w:rPr>
        <w:t>竣工付款申请单</w:t>
      </w:r>
    </w:p>
    <w:p w14:paraId="0C35767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 工程接收证书颁发后，承包人应按专用合同条款约定的份数和期限向监理人提交竣工付款申请单，并提供相关证明材料。除专用合同条款另有约定外，竣工付款申请单应包括下列内容：竣工结算合同总价、发包人已支付承包人的工程价款、应扣留的质量保证金、应支付的竣工付款金额。</w:t>
      </w:r>
    </w:p>
    <w:p w14:paraId="2A79833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（2）监理人对竣工付款申请单有异议的，有权要求承包人进行修正和提供补充资料。经监理人和承包人协商后，由承包人向监理人提交修正后的竣工付款申请单。</w:t>
      </w:r>
    </w:p>
    <w:p w14:paraId="04592B3C">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17.5.2 </w:t>
      </w:r>
      <w:r>
        <w:rPr>
          <w:rFonts w:hint="default" w:ascii="Times New Roman" w:hAnsi="Times New Roman" w:eastAsia="黑体" w:cs="Times New Roman"/>
          <w:sz w:val="24"/>
          <w:highlight w:val="none"/>
        </w:rPr>
        <w:t>竣工付款证书及支付时间</w:t>
      </w:r>
    </w:p>
    <w:p w14:paraId="02CF5A13">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1）监理人在收到承包人提交的竣工付款申请单后的14天内完成核查，提出发包人到期应支付给承包人的价款送发包人审核并抄送承包人。发包人应在收到后14天内审核完毕，由监理人向承包人出具经发包人签认的竣工付款证书。监理人未在约定时间内核查，又未提出具体意见的，视为承包人提交的竣工付款申请单已经监理人核查同意；发包人未在约定时间内审核又未提出具体意见的，监理人提出发包人到期应支付给承包人的价款视为已经发包人同意。</w:t>
      </w:r>
    </w:p>
    <w:p w14:paraId="1145FBC7">
      <w:pPr>
        <w:pageBreakBefore w:val="0"/>
        <w:kinsoku/>
        <w:wordWrap w:val="0"/>
        <w:bidi w:val="0"/>
        <w:spacing w:line="400" w:lineRule="atLeast"/>
        <w:ind w:firstLine="600"/>
        <w:rPr>
          <w:rFonts w:hint="default" w:ascii="Times New Roman" w:hAnsi="Times New Roman" w:cs="Times New Roman"/>
          <w:sz w:val="24"/>
          <w:highlight w:val="none"/>
        </w:rPr>
      </w:pPr>
      <w:r>
        <w:rPr>
          <w:rFonts w:hint="default" w:ascii="Times New Roman" w:hAnsi="Times New Roman" w:cs="Times New Roman"/>
          <w:sz w:val="24"/>
          <w:highlight w:val="none"/>
        </w:rPr>
        <w:t>（2）发包人应在监理人出具竣工付款证书后的14天内，将应支付款支付给承包人。发包人不按期支付的，按第17.3.3（2）目的约定，将逾期付款违约金支付给承包人。</w:t>
      </w:r>
    </w:p>
    <w:p w14:paraId="3D4495D0">
      <w:pPr>
        <w:pageBreakBefore w:val="0"/>
        <w:kinsoku/>
        <w:wordWrap w:val="0"/>
        <w:bidi w:val="0"/>
        <w:spacing w:line="400" w:lineRule="atLeast"/>
        <w:ind w:firstLine="600"/>
        <w:rPr>
          <w:rFonts w:hint="default" w:ascii="Times New Roman" w:hAnsi="Times New Roman" w:cs="Times New Roman"/>
          <w:sz w:val="24"/>
          <w:highlight w:val="none"/>
        </w:rPr>
      </w:pPr>
      <w:r>
        <w:rPr>
          <w:rFonts w:hint="default" w:ascii="Times New Roman" w:hAnsi="Times New Roman" w:cs="Times New Roman"/>
          <w:sz w:val="24"/>
          <w:highlight w:val="none"/>
        </w:rPr>
        <w:t>（3）承包人对发包人签认的竣工付款证书有异议的，发包人可出具竣工付款申请单中承包人已同意部分的临时付款证书。存在争议的部分，按第24条的约定办理。</w:t>
      </w:r>
    </w:p>
    <w:p w14:paraId="6DA18005">
      <w:pPr>
        <w:pageBreakBefore w:val="0"/>
        <w:kinsoku/>
        <w:wordWrap w:val="0"/>
        <w:bidi w:val="0"/>
        <w:spacing w:line="400" w:lineRule="atLeast"/>
        <w:ind w:firstLine="600"/>
        <w:rPr>
          <w:rFonts w:hint="default" w:ascii="Times New Roman" w:hAnsi="Times New Roman" w:cs="Times New Roman"/>
          <w:sz w:val="24"/>
          <w:highlight w:val="none"/>
        </w:rPr>
      </w:pPr>
      <w:r>
        <w:rPr>
          <w:rFonts w:hint="default" w:ascii="Times New Roman" w:hAnsi="Times New Roman" w:cs="Times New Roman"/>
          <w:sz w:val="24"/>
          <w:highlight w:val="none"/>
        </w:rPr>
        <w:t>（4）竣工付款涉及政府投资资金的，按第17.3.3（4）目的约定办理。</w:t>
      </w:r>
    </w:p>
    <w:p w14:paraId="309F467A">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773" w:name="_Toc234833080"/>
      <w:bookmarkStart w:id="774" w:name="_Toc28286"/>
      <w:bookmarkStart w:id="775" w:name="_Toc3447"/>
      <w:bookmarkStart w:id="776" w:name="_Toc4427"/>
      <w:r>
        <w:rPr>
          <w:rFonts w:hint="default" w:ascii="Times New Roman" w:hAnsi="Times New Roman" w:eastAsia="黑体" w:cs="Times New Roman"/>
          <w:b w:val="0"/>
          <w:sz w:val="24"/>
          <w:szCs w:val="24"/>
          <w:highlight w:val="none"/>
        </w:rPr>
        <w:t>17.6 最终结清</w:t>
      </w:r>
      <w:bookmarkEnd w:id="773"/>
      <w:bookmarkEnd w:id="774"/>
      <w:bookmarkEnd w:id="775"/>
      <w:bookmarkEnd w:id="776"/>
    </w:p>
    <w:p w14:paraId="66AFFA78">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17.6.1 </w:t>
      </w:r>
      <w:r>
        <w:rPr>
          <w:rFonts w:hint="default" w:ascii="Times New Roman" w:hAnsi="Times New Roman" w:eastAsia="黑体" w:cs="Times New Roman"/>
          <w:sz w:val="24"/>
          <w:highlight w:val="none"/>
        </w:rPr>
        <w:t>最终结清申请单</w:t>
      </w:r>
    </w:p>
    <w:p w14:paraId="385C718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（1）缺陷责任期终止证书签发后，承包人可按专用合同条款约定的份数和期限向监理人提交最终结清申请单，并提供相关证明材料。</w:t>
      </w:r>
    </w:p>
    <w:p w14:paraId="4BF5F701">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（2）发包人对最终结清申请单内容有异议的，有权要求承包人进行修正和提供补充资料，由承包人向监理人提交修正后的最终结清申请单。</w:t>
      </w:r>
    </w:p>
    <w:p w14:paraId="044F589B">
      <w:pPr>
        <w:pageBreakBefore w:val="0"/>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 xml:space="preserve">17.6.2 </w:t>
      </w:r>
      <w:r>
        <w:rPr>
          <w:rFonts w:hint="default" w:ascii="Times New Roman" w:hAnsi="Times New Roman" w:eastAsia="黑体" w:cs="Times New Roman"/>
          <w:sz w:val="24"/>
          <w:highlight w:val="none"/>
        </w:rPr>
        <w:t>最终结清证书和支付时间</w:t>
      </w:r>
      <w:r>
        <w:rPr>
          <w:rFonts w:hint="default" w:ascii="Times New Roman" w:hAnsi="Times New Roman" w:cs="Times New Roman"/>
          <w:sz w:val="24"/>
          <w:highlight w:val="none"/>
        </w:rPr>
        <w:t xml:space="preserve"> </w:t>
      </w:r>
    </w:p>
    <w:p w14:paraId="44744352">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监理人收到承包人提交的最终结清申请单后的14天内，提出发包人应支付给承包人的价款送发包人审核并抄送承包人。发包人应在收到后14天内审核完毕，由监理人向承包人出具经发包人签认的最终结清证书。监理人未在约定时间内核查，又未提出具体意见的，视为承包人提交的最终结清申请单已经监理人核查同意；发包人未在约定时间内审核又未提出具体意见的，监理人提出应支付给承包人的价款视为已经发包人同意。</w:t>
      </w:r>
    </w:p>
    <w:p w14:paraId="3EF2162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（2）发包人应在监理人出具最终结清证书后的14天内，将应支付款支付给承包人。发包人不按期支付的，按第17.3.3（2）目的约定，将逾期付款违约金支付给承包人。</w:t>
      </w:r>
    </w:p>
    <w:p w14:paraId="4ED5DCE2">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（3）承包人对发包人签认的最终结清证书有异议的，按第24条的约定办理。</w:t>
      </w:r>
    </w:p>
    <w:p w14:paraId="153464B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（4）最终结清付款涉及政府投资资金的，按第17.3.3（4）目的约定办理。</w:t>
      </w:r>
    </w:p>
    <w:p w14:paraId="545A1F6D">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777" w:name="_Toc28110"/>
      <w:bookmarkStart w:id="778" w:name="_Toc13751"/>
      <w:bookmarkStart w:id="779" w:name="_Toc234833081"/>
      <w:bookmarkStart w:id="780" w:name="_Toc31279"/>
      <w:r>
        <w:rPr>
          <w:rFonts w:hint="default" w:ascii="Times New Roman" w:hAnsi="Times New Roman" w:eastAsia="黑体" w:cs="Times New Roman"/>
          <w:b w:val="0"/>
          <w:sz w:val="28"/>
          <w:szCs w:val="28"/>
          <w:highlight w:val="none"/>
        </w:rPr>
        <w:t>18. 竣工验收</w:t>
      </w:r>
      <w:bookmarkEnd w:id="777"/>
      <w:bookmarkEnd w:id="778"/>
      <w:bookmarkEnd w:id="779"/>
      <w:bookmarkEnd w:id="780"/>
    </w:p>
    <w:p w14:paraId="2D1AC77E">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781" w:name="_Toc14256"/>
      <w:bookmarkStart w:id="782" w:name="_Toc23491"/>
      <w:bookmarkStart w:id="783" w:name="_Toc11052"/>
      <w:bookmarkStart w:id="784" w:name="_Toc234833082"/>
      <w:r>
        <w:rPr>
          <w:rFonts w:hint="default" w:ascii="Times New Roman" w:hAnsi="Times New Roman" w:eastAsia="黑体" w:cs="Times New Roman"/>
          <w:b w:val="0"/>
          <w:sz w:val="24"/>
          <w:szCs w:val="24"/>
          <w:highlight w:val="none"/>
        </w:rPr>
        <w:t>18.1 竣工验收的含义</w:t>
      </w:r>
      <w:bookmarkEnd w:id="781"/>
      <w:bookmarkEnd w:id="782"/>
      <w:bookmarkEnd w:id="783"/>
      <w:bookmarkEnd w:id="784"/>
    </w:p>
    <w:p w14:paraId="078F928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18.1.1 竣工验收指承包人完成了全部合同工作后，发包人按合同要求进行的验收。</w:t>
      </w:r>
    </w:p>
    <w:p w14:paraId="63D8202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18.1.2 国家验收是政府有关部门根据法律、规范、规程和政策要求，针对发包人全面组织实施的整个工程正式交付投运前的验收。</w:t>
      </w:r>
    </w:p>
    <w:p w14:paraId="3804894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18.1.3 需要进行国家验收的，竣工验收是国家验收的一部分。竣工验收所采用的各项验收和评定标准应符合国家验收标准。发包人和承包人为竣工验收提供的各项竣工验收资料应符合国家验收的要求。 </w:t>
      </w:r>
    </w:p>
    <w:p w14:paraId="1BAC9596">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785" w:name="_Toc28778"/>
      <w:bookmarkStart w:id="786" w:name="_Toc25249"/>
      <w:bookmarkStart w:id="787" w:name="_Toc9365"/>
      <w:bookmarkStart w:id="788" w:name="_Toc234833083"/>
      <w:r>
        <w:rPr>
          <w:rFonts w:hint="default" w:ascii="Times New Roman" w:hAnsi="Times New Roman" w:eastAsia="黑体" w:cs="Times New Roman"/>
          <w:b w:val="0"/>
          <w:sz w:val="24"/>
          <w:szCs w:val="24"/>
          <w:highlight w:val="none"/>
        </w:rPr>
        <w:t>18.2 竣工验收申请报告</w:t>
      </w:r>
      <w:bookmarkEnd w:id="785"/>
      <w:bookmarkEnd w:id="786"/>
      <w:bookmarkEnd w:id="787"/>
      <w:bookmarkEnd w:id="788"/>
    </w:p>
    <w:p w14:paraId="3606323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当工程具备以下条件时，承包人即可向监理人报送竣工验收申请报告：</w:t>
      </w:r>
    </w:p>
    <w:p w14:paraId="0F53CB7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（1）除监理人同意列入缺陷责任期内完成的尾工（甩项）工程和缺陷修补工作外，合同范围内的全部单位工程以及有关工作，包括合同要求的试验、试运行以及检验和验收均已完成，并符合合同要求；</w:t>
      </w:r>
    </w:p>
    <w:p w14:paraId="5403B07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（2）已按合同约定的内容和份数备齐了符合要求的竣工资料； </w:t>
      </w:r>
    </w:p>
    <w:p w14:paraId="118CFE4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（3）已按监理人的要求编制了在缺陷责任期内完成的尾工（甩项）工程和缺陷修补工作清单以及相应施工计划；</w:t>
      </w:r>
    </w:p>
    <w:p w14:paraId="6710077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（4）监理人要求在竣工验收前应完成的其他工作；</w:t>
      </w:r>
    </w:p>
    <w:p w14:paraId="08FB11DE">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（5）监理人要求提交的竣工验收资料清单。</w:t>
      </w:r>
    </w:p>
    <w:p w14:paraId="380D300E">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789" w:name="_Toc234833084"/>
      <w:bookmarkStart w:id="790" w:name="_Toc28749"/>
      <w:bookmarkStart w:id="791" w:name="_Toc11295"/>
      <w:bookmarkStart w:id="792" w:name="_Toc25904"/>
      <w:r>
        <w:rPr>
          <w:rFonts w:hint="default" w:ascii="Times New Roman" w:hAnsi="Times New Roman" w:eastAsia="黑体" w:cs="Times New Roman"/>
          <w:b w:val="0"/>
          <w:sz w:val="24"/>
          <w:szCs w:val="24"/>
          <w:highlight w:val="none"/>
        </w:rPr>
        <w:t>18.3 验收</w:t>
      </w:r>
      <w:bookmarkEnd w:id="789"/>
      <w:bookmarkEnd w:id="790"/>
      <w:bookmarkEnd w:id="791"/>
      <w:bookmarkEnd w:id="792"/>
    </w:p>
    <w:p w14:paraId="1B4661E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监理人收到承包人按第18.2款约定提交的竣工验收申请报告后，应审查申请报告的各项内容，并按以下不同情况进行处理。</w:t>
      </w:r>
    </w:p>
    <w:p w14:paraId="418E2CE3">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18.3.1 监理人审查后认为尚不具备竣工验收条件的，应在收到竣工验收申请报告后的28天内通知承包人，指出在颁发接收证书前承包人还需进行的工作内容。承包人完成监理人通知的全部工作内容后，应再次提交竣工验收申请报告，直至监理人同意为止。</w:t>
      </w:r>
    </w:p>
    <w:p w14:paraId="3E234FF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18.3.2 监理人审查后认为已具备竣工验收条件的，应在收到竣工验收申请报告后的28天内提请发包人进行工程验收。</w:t>
      </w:r>
    </w:p>
    <w:p w14:paraId="5566062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18.3.3发包人经过验收后同意接收工程的，应在监理人收到竣工验收申请报告后的56天内，由监理人向承包人出具经发包人签认的工程接收证书。发包人验收后同意接收工程但提出整修和完善要求的，限期修好，并缓发工程接收证书。整修和完善工作完成后，监理人复查达到要求的，经发包人同意后，再向承包人出具工程接收证书。</w:t>
      </w:r>
    </w:p>
    <w:p w14:paraId="02EBB30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18.3.4 发包人验收后不同意接收工程的，监理人应按照发包人的验收意见发出指示，要求承包人对不合格工程认真返工重作或进行补救处理，并承担由此产生的费用。承包人在完成不合格工程的返工重作或补救工作后，应重新提交竣工验收申请报告，按第18.3.1项、第18.3.2项和第18.3.3项的约定进行。</w:t>
      </w:r>
    </w:p>
    <w:p w14:paraId="523500E1">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18.3.5 除专用合同条款另有约定外，经验收合格工程的实际竣工日期，以提交竣工验收申请报告的日期为准，并在工程接收证书中写明。</w:t>
      </w:r>
    </w:p>
    <w:p w14:paraId="347C23A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18.3.6 发包人在收到承包人竣工验收申请报告56天后未进行验收的，视为验收合格，实际竣工日期以提交竣工验收申请报告的日期为准，但发包人由于不可抗力不能进行验收的除外。</w:t>
      </w:r>
    </w:p>
    <w:p w14:paraId="3422B61D">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793" w:name="_Toc11852"/>
      <w:bookmarkStart w:id="794" w:name="_Toc21157"/>
      <w:bookmarkStart w:id="795" w:name="_Toc234833085"/>
      <w:bookmarkStart w:id="796" w:name="_Toc27337"/>
      <w:r>
        <w:rPr>
          <w:rFonts w:hint="default" w:ascii="Times New Roman" w:hAnsi="Times New Roman" w:eastAsia="黑体" w:cs="Times New Roman"/>
          <w:b w:val="0"/>
          <w:sz w:val="24"/>
          <w:szCs w:val="24"/>
          <w:highlight w:val="none"/>
        </w:rPr>
        <w:t>18.4 单位工程验收</w:t>
      </w:r>
      <w:bookmarkEnd w:id="793"/>
      <w:bookmarkEnd w:id="794"/>
      <w:bookmarkEnd w:id="795"/>
      <w:bookmarkEnd w:id="796"/>
    </w:p>
    <w:p w14:paraId="4FF97F0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eastAsia="黑体" w:cs="Times New Roman"/>
          <w:sz w:val="24"/>
          <w:highlight w:val="none"/>
        </w:rPr>
        <w:t>18.4.1</w:t>
      </w:r>
      <w:r>
        <w:rPr>
          <w:rFonts w:hint="default" w:ascii="Times New Roman" w:hAnsi="Times New Roman" w:cs="Times New Roman"/>
          <w:sz w:val="24"/>
          <w:highlight w:val="none"/>
        </w:rPr>
        <w:t>发包人根据合同进度计划安排，在全部工程竣工前需要使用已经竣工的单位工程时，或承包人提出经发包人同意时，可进行单位工程验收。验收的程序可参照第18.2款与第18.3款的约定进行。验收合格后，由监理人向承包人出具经发包人签认的单位工程验收证书。已签发单位工程接收证书的单位工程由发包人负责照管。单位工程的验收成果和结论作为全部工程竣工验收申请报告的附件。</w:t>
      </w:r>
    </w:p>
    <w:p w14:paraId="41C6FF6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18.4.2发包人在全部工程竣工前，使用已接收的单位工程导致承包人费用增加的，发包人应承担由此增加的费用和（或）工期延误，并支付承包人合理利润。</w:t>
      </w:r>
    </w:p>
    <w:p w14:paraId="216FFAA5">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797" w:name="_Toc15835"/>
      <w:bookmarkStart w:id="798" w:name="_Toc28737"/>
      <w:bookmarkStart w:id="799" w:name="_Toc234833086"/>
      <w:bookmarkStart w:id="800" w:name="_Toc12760"/>
      <w:r>
        <w:rPr>
          <w:rFonts w:hint="default" w:ascii="Times New Roman" w:hAnsi="Times New Roman" w:eastAsia="黑体" w:cs="Times New Roman"/>
          <w:b w:val="0"/>
          <w:sz w:val="24"/>
          <w:szCs w:val="24"/>
          <w:highlight w:val="none"/>
        </w:rPr>
        <w:t>18.5施工期运行</w:t>
      </w:r>
      <w:bookmarkEnd w:id="797"/>
      <w:bookmarkEnd w:id="798"/>
      <w:bookmarkEnd w:id="799"/>
      <w:bookmarkEnd w:id="800"/>
    </w:p>
    <w:p w14:paraId="249AD48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18.5.1 施工期运行是指合同工程尚未全部竣工，其中某项或某几项单位工程或工程设备安装已竣工，根据专用合同条款约定，需要投入施工期运行的，经发包人按第18.4款的约定验收合格，证明能确保安全后，才能在施工期投入运行。</w:t>
      </w:r>
    </w:p>
    <w:p w14:paraId="7CE666F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18.5.2 在施工期运行中发现工程或工程设备损坏或存在缺陷的，由承包人按第19.2款约定进行修复。</w:t>
      </w:r>
    </w:p>
    <w:p w14:paraId="47720111">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801" w:name="_Toc2643"/>
      <w:bookmarkStart w:id="802" w:name="_Toc27512"/>
      <w:bookmarkStart w:id="803" w:name="_Toc234833087"/>
      <w:bookmarkStart w:id="804" w:name="_Toc21844"/>
      <w:r>
        <w:rPr>
          <w:rFonts w:hint="default" w:ascii="Times New Roman" w:hAnsi="Times New Roman" w:eastAsia="黑体" w:cs="Times New Roman"/>
          <w:b w:val="0"/>
          <w:sz w:val="24"/>
          <w:szCs w:val="24"/>
          <w:highlight w:val="none"/>
        </w:rPr>
        <w:t>18.6 试运行</w:t>
      </w:r>
      <w:bookmarkEnd w:id="801"/>
      <w:bookmarkEnd w:id="802"/>
      <w:bookmarkEnd w:id="803"/>
      <w:bookmarkEnd w:id="804"/>
    </w:p>
    <w:p w14:paraId="5AA7F99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18.6.1</w:t>
      </w:r>
      <w:r>
        <w:rPr>
          <w:rFonts w:hint="default" w:ascii="Times New Roman" w:hAnsi="Times New Roman" w:cs="Times New Roman"/>
          <w:b/>
          <w:sz w:val="24"/>
          <w:highlight w:val="none"/>
        </w:rPr>
        <w:t xml:space="preserve"> </w:t>
      </w:r>
      <w:r>
        <w:rPr>
          <w:rFonts w:hint="default" w:ascii="Times New Roman" w:hAnsi="Times New Roman" w:cs="Times New Roman"/>
          <w:sz w:val="24"/>
          <w:highlight w:val="none"/>
        </w:rPr>
        <w:t>除专用合同条款另有约定外，承包人应按专用合同条款约定进行工程及工程设备试运行，负责提供试运行所需的人员、器材和必要的条件，并承担全部试运行费用。</w:t>
      </w:r>
    </w:p>
    <w:p w14:paraId="4F306B63">
      <w:pPr>
        <w:pageBreakBefore w:val="0"/>
        <w:kinsoku/>
        <w:wordWrap w:val="0"/>
        <w:bidi w:val="0"/>
        <w:spacing w:line="400" w:lineRule="atLeast"/>
        <w:ind w:firstLine="480" w:firstLineChars="200"/>
        <w:rPr>
          <w:rFonts w:hint="default" w:ascii="Times New Roman" w:hAnsi="Times New Roman" w:eastAsia="黑体" w:cs="Times New Roman"/>
          <w:sz w:val="24"/>
          <w:highlight w:val="none"/>
        </w:rPr>
      </w:pPr>
      <w:r>
        <w:rPr>
          <w:rFonts w:hint="default" w:ascii="Times New Roman" w:hAnsi="Times New Roman" w:cs="Times New Roman"/>
          <w:sz w:val="24"/>
          <w:highlight w:val="none"/>
        </w:rPr>
        <w:t>18.6.2由于承包人的原因导致试运行失败的，承包人应采取措施保证试运行合格，并承担相应费用。由于发包人的原因导致试运行失败的，承包人应当采取措施保证试运行合格，发包人应承担由此产生的费用，并支付承包人合理利润。</w:t>
      </w:r>
    </w:p>
    <w:p w14:paraId="60C0C50D">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805" w:name="_Toc14071"/>
      <w:bookmarkStart w:id="806" w:name="_Toc234833088"/>
      <w:bookmarkStart w:id="807" w:name="_Toc17498"/>
      <w:bookmarkStart w:id="808" w:name="_Toc22550"/>
      <w:r>
        <w:rPr>
          <w:rFonts w:hint="default" w:ascii="Times New Roman" w:hAnsi="Times New Roman" w:eastAsia="黑体" w:cs="Times New Roman"/>
          <w:b w:val="0"/>
          <w:sz w:val="24"/>
          <w:szCs w:val="24"/>
          <w:highlight w:val="none"/>
        </w:rPr>
        <w:t>18.7 竣工清场</w:t>
      </w:r>
      <w:bookmarkEnd w:id="805"/>
      <w:bookmarkEnd w:id="806"/>
      <w:bookmarkEnd w:id="807"/>
      <w:bookmarkEnd w:id="808"/>
    </w:p>
    <w:p w14:paraId="7406E6F1">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18.7.1除合同另有约定外，工程接收证书颁发后，承包人应按以下要求对施工场地进行清理，直至监理人检验合格为止。竣工清场费用由承包人承担。</w:t>
      </w:r>
    </w:p>
    <w:p w14:paraId="1E7E42AF">
      <w:pPr>
        <w:pageBreakBefore w:val="0"/>
        <w:kinsoku/>
        <w:wordWrap w:val="0"/>
        <w:bidi w:val="0"/>
        <w:spacing w:line="400" w:lineRule="atLeast"/>
        <w:ind w:firstLine="650" w:firstLineChars="271"/>
        <w:rPr>
          <w:rFonts w:hint="default" w:ascii="Times New Roman" w:hAnsi="Times New Roman" w:cs="Times New Roman"/>
          <w:sz w:val="24"/>
          <w:highlight w:val="none"/>
        </w:rPr>
      </w:pPr>
      <w:r>
        <w:rPr>
          <w:rFonts w:hint="default" w:ascii="Times New Roman" w:hAnsi="Times New Roman" w:cs="Times New Roman"/>
          <w:sz w:val="24"/>
          <w:highlight w:val="none"/>
        </w:rPr>
        <w:t>（1）施工场地内残留的垃圾已全部清除出场；</w:t>
      </w:r>
    </w:p>
    <w:p w14:paraId="23509818">
      <w:pPr>
        <w:pageBreakBefore w:val="0"/>
        <w:kinsoku/>
        <w:wordWrap w:val="0"/>
        <w:bidi w:val="0"/>
        <w:spacing w:line="400" w:lineRule="atLeast"/>
        <w:ind w:firstLine="650" w:firstLineChars="271"/>
        <w:rPr>
          <w:rFonts w:hint="default" w:ascii="Times New Roman" w:hAnsi="Times New Roman" w:cs="Times New Roman"/>
          <w:sz w:val="24"/>
          <w:highlight w:val="none"/>
        </w:rPr>
      </w:pPr>
      <w:r>
        <w:rPr>
          <w:rFonts w:hint="default" w:ascii="Times New Roman" w:hAnsi="Times New Roman" w:cs="Times New Roman"/>
          <w:sz w:val="24"/>
          <w:highlight w:val="none"/>
        </w:rPr>
        <w:t>（2）临时工程已拆除，场地已按合同要求进行清理、平整或复原；</w:t>
      </w:r>
    </w:p>
    <w:p w14:paraId="4C09CBCA">
      <w:pPr>
        <w:pageBreakBefore w:val="0"/>
        <w:kinsoku/>
        <w:wordWrap w:val="0"/>
        <w:bidi w:val="0"/>
        <w:spacing w:line="400" w:lineRule="atLeast"/>
        <w:ind w:firstLine="650" w:firstLineChars="271"/>
        <w:rPr>
          <w:rFonts w:hint="default" w:ascii="Times New Roman" w:hAnsi="Times New Roman" w:cs="Times New Roman"/>
          <w:sz w:val="24"/>
          <w:highlight w:val="none"/>
        </w:rPr>
      </w:pPr>
      <w:r>
        <w:rPr>
          <w:rFonts w:hint="default" w:ascii="Times New Roman" w:hAnsi="Times New Roman" w:cs="Times New Roman"/>
          <w:sz w:val="24"/>
          <w:highlight w:val="none"/>
        </w:rPr>
        <w:t>（3）按合同约定应撤离的承包人设备和剩余的材料，包括废弃的施工设备和材料，已按计划撤离施工场地；</w:t>
      </w:r>
    </w:p>
    <w:p w14:paraId="3069CDE1">
      <w:pPr>
        <w:pageBreakBefore w:val="0"/>
        <w:kinsoku/>
        <w:wordWrap w:val="0"/>
        <w:bidi w:val="0"/>
        <w:spacing w:line="400" w:lineRule="atLeast"/>
        <w:ind w:firstLine="650" w:firstLineChars="271"/>
        <w:rPr>
          <w:rFonts w:hint="default" w:ascii="Times New Roman" w:hAnsi="Times New Roman" w:cs="Times New Roman"/>
          <w:sz w:val="24"/>
          <w:highlight w:val="none"/>
        </w:rPr>
      </w:pPr>
      <w:r>
        <w:rPr>
          <w:rFonts w:hint="default" w:ascii="Times New Roman" w:hAnsi="Times New Roman" w:cs="Times New Roman"/>
          <w:sz w:val="24"/>
          <w:highlight w:val="none"/>
        </w:rPr>
        <w:t>（4）工程建筑物周边及其附近道路、河道的施工堆积物，已按监理人指示全部清理；</w:t>
      </w:r>
    </w:p>
    <w:p w14:paraId="072E701B">
      <w:pPr>
        <w:pageBreakBefore w:val="0"/>
        <w:kinsoku/>
        <w:wordWrap w:val="0"/>
        <w:bidi w:val="0"/>
        <w:spacing w:line="400" w:lineRule="atLeast"/>
        <w:ind w:firstLine="650" w:firstLineChars="271"/>
        <w:rPr>
          <w:rFonts w:hint="default" w:ascii="Times New Roman" w:hAnsi="Times New Roman" w:cs="Times New Roman"/>
          <w:sz w:val="24"/>
          <w:highlight w:val="none"/>
        </w:rPr>
      </w:pPr>
      <w:r>
        <w:rPr>
          <w:rFonts w:hint="default" w:ascii="Times New Roman" w:hAnsi="Times New Roman" w:cs="Times New Roman"/>
          <w:sz w:val="24"/>
          <w:highlight w:val="none"/>
        </w:rPr>
        <w:t>（5）监理人指示的其他场地清理工作已全部完成。</w:t>
      </w:r>
    </w:p>
    <w:p w14:paraId="066FA92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18.7.2承包人未按监理人的要求恢复临时占地，或者场地清理未达到合同约定的，发包人有权委托其他人恢复或清理，所发生的金额从拟支付给承包人的款项中扣除。</w:t>
      </w:r>
    </w:p>
    <w:p w14:paraId="3DB1C653">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809" w:name="_Toc14033"/>
      <w:bookmarkStart w:id="810" w:name="_Toc234833089"/>
      <w:bookmarkStart w:id="811" w:name="_Toc9873"/>
      <w:bookmarkStart w:id="812" w:name="_Toc23526"/>
      <w:r>
        <w:rPr>
          <w:rFonts w:hint="default" w:ascii="Times New Roman" w:hAnsi="Times New Roman" w:eastAsia="黑体" w:cs="Times New Roman"/>
          <w:b w:val="0"/>
          <w:sz w:val="24"/>
          <w:szCs w:val="24"/>
          <w:highlight w:val="none"/>
        </w:rPr>
        <w:t>18.8施工队伍的撤离</w:t>
      </w:r>
      <w:bookmarkEnd w:id="809"/>
      <w:bookmarkEnd w:id="810"/>
      <w:bookmarkEnd w:id="811"/>
      <w:bookmarkEnd w:id="812"/>
    </w:p>
    <w:p w14:paraId="69FB77C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工程接收证书颁发后的56天内，除了经监理人同意需在缺陷责任期内继续工作和使用的人员、施工设备和临时工程外，其余的人员、施工设备和临时工程均应撤离施工场地或拆除。除合同另有约定外，缺陷责任期满时，承包人的人员和施工设备应全部撤离施工场地。</w:t>
      </w:r>
    </w:p>
    <w:p w14:paraId="0A46943A">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813" w:name="_Toc11982"/>
      <w:bookmarkStart w:id="814" w:name="_Toc32506"/>
      <w:bookmarkStart w:id="815" w:name="_Toc2434"/>
      <w:bookmarkStart w:id="816" w:name="_Toc234833090"/>
      <w:r>
        <w:rPr>
          <w:rFonts w:hint="default" w:ascii="Times New Roman" w:hAnsi="Times New Roman" w:eastAsia="黑体" w:cs="Times New Roman"/>
          <w:b w:val="0"/>
          <w:sz w:val="28"/>
          <w:szCs w:val="28"/>
          <w:highlight w:val="none"/>
        </w:rPr>
        <w:t>19. 缺陷责任与保修责任</w:t>
      </w:r>
      <w:bookmarkEnd w:id="813"/>
      <w:bookmarkEnd w:id="814"/>
      <w:bookmarkEnd w:id="815"/>
      <w:bookmarkEnd w:id="816"/>
    </w:p>
    <w:p w14:paraId="13273B3D">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817" w:name="_Toc10435"/>
      <w:bookmarkStart w:id="818" w:name="_Toc28348"/>
      <w:bookmarkStart w:id="819" w:name="_Toc234833091"/>
      <w:bookmarkStart w:id="820" w:name="_Toc21347"/>
      <w:r>
        <w:rPr>
          <w:rFonts w:hint="default" w:ascii="Times New Roman" w:hAnsi="Times New Roman" w:eastAsia="黑体" w:cs="Times New Roman"/>
          <w:b w:val="0"/>
          <w:sz w:val="24"/>
          <w:szCs w:val="24"/>
          <w:highlight w:val="none"/>
        </w:rPr>
        <w:t>19.1 缺陷责任期的起算时间</w:t>
      </w:r>
      <w:bookmarkEnd w:id="817"/>
      <w:bookmarkEnd w:id="818"/>
      <w:bookmarkEnd w:id="819"/>
      <w:bookmarkEnd w:id="820"/>
    </w:p>
    <w:p w14:paraId="17E7E051">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缺陷责任期自实际竣工日期起计算。在全部工程竣工验收前，已经发包人提前验收的单位工程，其缺陷责任期的起算日期相应提前。</w:t>
      </w:r>
    </w:p>
    <w:p w14:paraId="30B26A3C">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821" w:name="_Toc17874"/>
      <w:bookmarkStart w:id="822" w:name="_Toc18931"/>
      <w:bookmarkStart w:id="823" w:name="_Toc16841"/>
      <w:bookmarkStart w:id="824" w:name="_Toc234833092"/>
      <w:r>
        <w:rPr>
          <w:rFonts w:hint="default" w:ascii="Times New Roman" w:hAnsi="Times New Roman" w:eastAsia="黑体" w:cs="Times New Roman"/>
          <w:b w:val="0"/>
          <w:sz w:val="24"/>
          <w:szCs w:val="24"/>
          <w:highlight w:val="none"/>
        </w:rPr>
        <w:t>19.2 缺陷责任</w:t>
      </w:r>
      <w:bookmarkEnd w:id="821"/>
      <w:bookmarkEnd w:id="822"/>
      <w:bookmarkEnd w:id="823"/>
      <w:bookmarkEnd w:id="824"/>
    </w:p>
    <w:p w14:paraId="2D1F71A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19.2.1 承包人应在缺陷责任期内对已交付使用的工程承担缺陷责任。</w:t>
      </w:r>
    </w:p>
    <w:p w14:paraId="129D804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19.2.2 缺陷责任期内，发包人对已接收使用的工程负责日常维护工作。发包人在使用过程中，发现已接收的工程存在新的缺陷或已修复的缺陷部位或部件又遭损坏的，承包人应负责修复，直至检验合格为止。</w:t>
      </w:r>
    </w:p>
    <w:p w14:paraId="01DDCDE6">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19.2.3 监理人和承包人应共同查清缺陷和（或）损坏的原因。经查明属承包人原因造成的，应由承包人承担修复和查验的费用。经查验属发包人原因造成的，发包人应承担修复和查验的费用，并支付承包人合理利润。</w:t>
      </w:r>
    </w:p>
    <w:p w14:paraId="0703F31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19.2.4 承包人不能在合理时间内修复缺陷的，发包人可自行修复或委托其他人修复，所需费用和利润的承担，按第19.2.3项约定办理。</w:t>
      </w:r>
    </w:p>
    <w:p w14:paraId="6856F3CA">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825" w:name="_Toc234833093"/>
      <w:bookmarkStart w:id="826" w:name="_Toc28473"/>
      <w:bookmarkStart w:id="827" w:name="_Toc25925"/>
      <w:bookmarkStart w:id="828" w:name="_Toc26044"/>
      <w:r>
        <w:rPr>
          <w:rFonts w:hint="default" w:ascii="Times New Roman" w:hAnsi="Times New Roman" w:eastAsia="黑体" w:cs="Times New Roman"/>
          <w:b w:val="0"/>
          <w:sz w:val="24"/>
          <w:szCs w:val="24"/>
          <w:highlight w:val="none"/>
        </w:rPr>
        <w:t>19.3 缺陷责任期的延长</w:t>
      </w:r>
      <w:bookmarkEnd w:id="825"/>
      <w:bookmarkEnd w:id="826"/>
      <w:bookmarkEnd w:id="827"/>
      <w:bookmarkEnd w:id="828"/>
    </w:p>
    <w:p w14:paraId="500057E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由于承包人原因造成某项缺陷或损坏使某项工程或工程设备不能按原定目标使用而需要再次检查、检验和修复的，发包人有权要求承包人相应延长缺陷责任期，但缺陷责任期最长不超过2年。</w:t>
      </w:r>
    </w:p>
    <w:p w14:paraId="1DA0A152">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829" w:name="_Toc23063"/>
      <w:bookmarkStart w:id="830" w:name="_Toc234833094"/>
      <w:bookmarkStart w:id="831" w:name="_Toc722"/>
      <w:bookmarkStart w:id="832" w:name="_Toc10764"/>
      <w:r>
        <w:rPr>
          <w:rFonts w:hint="default" w:ascii="Times New Roman" w:hAnsi="Times New Roman" w:eastAsia="黑体" w:cs="Times New Roman"/>
          <w:b w:val="0"/>
          <w:sz w:val="24"/>
          <w:szCs w:val="24"/>
          <w:highlight w:val="none"/>
        </w:rPr>
        <w:t>19.4 进一步试验和试运行</w:t>
      </w:r>
      <w:bookmarkEnd w:id="829"/>
      <w:bookmarkEnd w:id="830"/>
      <w:bookmarkEnd w:id="831"/>
      <w:bookmarkEnd w:id="832"/>
    </w:p>
    <w:p w14:paraId="35A2FBC8">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任何一项缺陷或损坏修复后，经检查证明其影响了工程或工程设备的使用性能，承包人应重新进行合同约定的试验和试运行，试验和试运行的全部费用应由责任方承担。</w:t>
      </w:r>
    </w:p>
    <w:p w14:paraId="6A055FDA">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833" w:name="_Toc1336"/>
      <w:bookmarkStart w:id="834" w:name="_Toc234833095"/>
      <w:bookmarkStart w:id="835" w:name="_Toc5095"/>
      <w:bookmarkStart w:id="836" w:name="_Toc7424"/>
      <w:r>
        <w:rPr>
          <w:rFonts w:hint="default" w:ascii="Times New Roman" w:hAnsi="Times New Roman" w:eastAsia="黑体" w:cs="Times New Roman"/>
          <w:b w:val="0"/>
          <w:sz w:val="24"/>
          <w:szCs w:val="24"/>
          <w:highlight w:val="none"/>
        </w:rPr>
        <w:t>19.5 承包人的进入权</w:t>
      </w:r>
      <w:bookmarkEnd w:id="833"/>
      <w:bookmarkEnd w:id="834"/>
      <w:bookmarkEnd w:id="835"/>
      <w:bookmarkEnd w:id="836"/>
      <w:r>
        <w:rPr>
          <w:rFonts w:hint="default" w:ascii="Times New Roman" w:hAnsi="Times New Roman" w:eastAsia="黑体" w:cs="Times New Roman"/>
          <w:b w:val="0"/>
          <w:sz w:val="24"/>
          <w:szCs w:val="24"/>
          <w:highlight w:val="none"/>
        </w:rPr>
        <w:t xml:space="preserve"> </w:t>
      </w:r>
    </w:p>
    <w:p w14:paraId="7F90C93A">
      <w:pPr>
        <w:pageBreakBefore w:val="0"/>
        <w:kinsoku/>
        <w:wordWrap w:val="0"/>
        <w:bidi w:val="0"/>
        <w:spacing w:line="400" w:lineRule="atLeast"/>
        <w:ind w:firstLine="435"/>
        <w:rPr>
          <w:rFonts w:hint="default" w:ascii="Times New Roman" w:hAnsi="Times New Roman" w:cs="Times New Roman"/>
          <w:sz w:val="24"/>
          <w:highlight w:val="none"/>
        </w:rPr>
      </w:pPr>
      <w:r>
        <w:rPr>
          <w:rFonts w:hint="default" w:ascii="Times New Roman" w:hAnsi="Times New Roman" w:cs="Times New Roman"/>
          <w:sz w:val="24"/>
          <w:highlight w:val="none"/>
        </w:rPr>
        <w:t>缺陷责任期内承包人为缺陷修复工作需要，有权进入工程现场，但应遵守发包人的保安和保密规定。</w:t>
      </w:r>
    </w:p>
    <w:p w14:paraId="63A504E3">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837" w:name="_Toc12330"/>
      <w:bookmarkStart w:id="838" w:name="_Toc2337"/>
      <w:bookmarkStart w:id="839" w:name="_Toc29339"/>
      <w:bookmarkStart w:id="840" w:name="_Toc234833096"/>
      <w:r>
        <w:rPr>
          <w:rFonts w:hint="default" w:ascii="Times New Roman" w:hAnsi="Times New Roman" w:eastAsia="黑体" w:cs="Times New Roman"/>
          <w:b w:val="0"/>
          <w:sz w:val="24"/>
          <w:szCs w:val="24"/>
          <w:highlight w:val="none"/>
        </w:rPr>
        <w:t>19.6 缺陷责任期终止证书</w:t>
      </w:r>
      <w:bookmarkEnd w:id="837"/>
      <w:bookmarkEnd w:id="838"/>
      <w:bookmarkEnd w:id="839"/>
      <w:bookmarkEnd w:id="840"/>
    </w:p>
    <w:p w14:paraId="01BF2602">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在第1.1.4.5目约定的缺陷责任期，包括根据第19.3款延长的期限终止后14天内，由监理人向承包人出具经发包人签认的缺陷责任期终止证书，并退还剩余的质量保证金。</w:t>
      </w:r>
    </w:p>
    <w:p w14:paraId="09EE4E66">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841" w:name="_Toc7127"/>
      <w:bookmarkStart w:id="842" w:name="_Toc19327"/>
      <w:bookmarkStart w:id="843" w:name="_Toc234833097"/>
      <w:bookmarkStart w:id="844" w:name="_Toc20341"/>
      <w:r>
        <w:rPr>
          <w:rFonts w:hint="default" w:ascii="Times New Roman" w:hAnsi="Times New Roman" w:eastAsia="黑体" w:cs="Times New Roman"/>
          <w:b w:val="0"/>
          <w:sz w:val="24"/>
          <w:szCs w:val="24"/>
          <w:highlight w:val="none"/>
        </w:rPr>
        <w:t>19.7 保修责任</w:t>
      </w:r>
      <w:bookmarkEnd w:id="841"/>
      <w:bookmarkEnd w:id="842"/>
      <w:bookmarkEnd w:id="843"/>
      <w:bookmarkEnd w:id="844"/>
    </w:p>
    <w:p w14:paraId="1B52BD6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合同当事人根据有关法律规定，在专用合同条款中约定工程质量保修范围、期限和责任。保修期自实际竣工日期起计算。在全部工程竣工验收前，已经发包人提前验收的单位工程，其保修期的起算日期相应提前。</w:t>
      </w:r>
    </w:p>
    <w:p w14:paraId="32F96545">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845" w:name="_Toc13778"/>
      <w:bookmarkStart w:id="846" w:name="_Toc19060"/>
      <w:bookmarkStart w:id="847" w:name="_Toc12018"/>
      <w:bookmarkStart w:id="848" w:name="_Toc234833098"/>
      <w:r>
        <w:rPr>
          <w:rFonts w:hint="default" w:ascii="Times New Roman" w:hAnsi="Times New Roman" w:eastAsia="黑体" w:cs="Times New Roman"/>
          <w:b w:val="0"/>
          <w:sz w:val="28"/>
          <w:szCs w:val="28"/>
          <w:highlight w:val="none"/>
        </w:rPr>
        <w:t>20. 保险</w:t>
      </w:r>
      <w:bookmarkEnd w:id="845"/>
      <w:bookmarkEnd w:id="846"/>
      <w:bookmarkEnd w:id="847"/>
      <w:bookmarkEnd w:id="848"/>
    </w:p>
    <w:p w14:paraId="5976D7A1">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849" w:name="_Toc4841"/>
      <w:bookmarkStart w:id="850" w:name="_Toc234833099"/>
      <w:bookmarkStart w:id="851" w:name="_Toc2606"/>
      <w:bookmarkStart w:id="852" w:name="_Toc1058"/>
      <w:r>
        <w:rPr>
          <w:rFonts w:hint="default" w:ascii="Times New Roman" w:hAnsi="Times New Roman" w:eastAsia="黑体" w:cs="Times New Roman"/>
          <w:b w:val="0"/>
          <w:sz w:val="24"/>
          <w:szCs w:val="24"/>
          <w:highlight w:val="none"/>
        </w:rPr>
        <w:t>20.1工程保险</w:t>
      </w:r>
      <w:bookmarkEnd w:id="849"/>
      <w:bookmarkEnd w:id="850"/>
      <w:bookmarkEnd w:id="851"/>
      <w:bookmarkEnd w:id="852"/>
    </w:p>
    <w:p w14:paraId="4B98A773">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除专用合同条款另有约定外，承包人应以发包人和承包人的共同名义向双方同意的保险人投保建筑工程一切险、安装工程一切险。其具体的投保内容、保险金额、保险费率、保险期限等有关内容在专用合同条款中约定。</w:t>
      </w:r>
    </w:p>
    <w:p w14:paraId="0FFCA33C">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853" w:name="_Toc21060"/>
      <w:bookmarkStart w:id="854" w:name="_Toc15409"/>
      <w:bookmarkStart w:id="855" w:name="_Toc30523"/>
      <w:bookmarkStart w:id="856" w:name="_Toc234833100"/>
      <w:r>
        <w:rPr>
          <w:rFonts w:hint="default" w:ascii="Times New Roman" w:hAnsi="Times New Roman" w:eastAsia="黑体" w:cs="Times New Roman"/>
          <w:b w:val="0"/>
          <w:sz w:val="24"/>
          <w:szCs w:val="24"/>
          <w:highlight w:val="none"/>
        </w:rPr>
        <w:t>20.2人员工伤事故的保险</w:t>
      </w:r>
      <w:bookmarkEnd w:id="853"/>
      <w:bookmarkEnd w:id="854"/>
      <w:bookmarkEnd w:id="855"/>
      <w:bookmarkEnd w:id="856"/>
    </w:p>
    <w:p w14:paraId="169CDA0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20.2.1 </w:t>
      </w:r>
      <w:r>
        <w:rPr>
          <w:rFonts w:hint="default" w:ascii="Times New Roman" w:hAnsi="Times New Roman" w:eastAsia="黑体" w:cs="Times New Roman"/>
          <w:sz w:val="24"/>
          <w:highlight w:val="none"/>
        </w:rPr>
        <w:t>承包人员工伤事故的保险</w:t>
      </w:r>
    </w:p>
    <w:p w14:paraId="21160811">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承包人应依照有关法律规定参加工伤保险，为其履行合同所雇用的全部人员，缴纳工伤保险费，并要求其分包人也进行此项保险。</w:t>
      </w:r>
    </w:p>
    <w:p w14:paraId="0F9DB42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20.2.2</w:t>
      </w:r>
      <w:r>
        <w:rPr>
          <w:rFonts w:hint="default" w:ascii="Times New Roman" w:hAnsi="Times New Roman" w:eastAsia="黑体" w:cs="Times New Roman"/>
          <w:sz w:val="24"/>
          <w:highlight w:val="none"/>
        </w:rPr>
        <w:t>发包人员工伤事故的保险</w:t>
      </w:r>
    </w:p>
    <w:p w14:paraId="5CA59A3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发包人应依照有关法律规定参加工伤保险，为其现场机构雇用的全部人员，缴纳工伤保险费，并要求其监理人也进行此项保险。</w:t>
      </w:r>
    </w:p>
    <w:p w14:paraId="20631C79">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857" w:name="_Toc11127"/>
      <w:bookmarkStart w:id="858" w:name="_Toc2194"/>
      <w:bookmarkStart w:id="859" w:name="_Toc20449"/>
      <w:bookmarkStart w:id="860" w:name="_Toc234833101"/>
      <w:r>
        <w:rPr>
          <w:rFonts w:hint="default" w:ascii="Times New Roman" w:hAnsi="Times New Roman" w:eastAsia="黑体" w:cs="Times New Roman"/>
          <w:b w:val="0"/>
          <w:sz w:val="24"/>
          <w:szCs w:val="24"/>
          <w:highlight w:val="none"/>
        </w:rPr>
        <w:t>20.3 人身意外伤害险</w:t>
      </w:r>
      <w:bookmarkEnd w:id="857"/>
      <w:bookmarkEnd w:id="858"/>
      <w:bookmarkEnd w:id="859"/>
      <w:bookmarkEnd w:id="860"/>
    </w:p>
    <w:p w14:paraId="7B797393">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20.3.1发包人应在整个施工期间为其现场机构雇用的全部人员，投保人身意外伤害险，缴纳保险费，并要求其监理人也进行此项保险。</w:t>
      </w:r>
    </w:p>
    <w:p w14:paraId="52C9BCE1">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20.3.2 承包人应在整个施工期间为其现场机构雇用的全部人员，投保人身意外伤害险，缴纳保险费，并要求其分包人也进行此项保险。</w:t>
      </w:r>
    </w:p>
    <w:p w14:paraId="537C68F0">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861" w:name="_Toc27944"/>
      <w:bookmarkStart w:id="862" w:name="_Toc27566"/>
      <w:bookmarkStart w:id="863" w:name="_Toc234833102"/>
      <w:bookmarkStart w:id="864" w:name="_Toc23644"/>
      <w:r>
        <w:rPr>
          <w:rFonts w:hint="default" w:ascii="Times New Roman" w:hAnsi="Times New Roman" w:eastAsia="黑体" w:cs="Times New Roman"/>
          <w:b w:val="0"/>
          <w:sz w:val="24"/>
          <w:szCs w:val="24"/>
          <w:highlight w:val="none"/>
        </w:rPr>
        <w:t>20.4 第三者责任险</w:t>
      </w:r>
      <w:bookmarkEnd w:id="861"/>
      <w:bookmarkEnd w:id="862"/>
      <w:bookmarkEnd w:id="863"/>
      <w:bookmarkEnd w:id="864"/>
    </w:p>
    <w:p w14:paraId="536188E7">
      <w:pPr>
        <w:pageBreakBefore w:val="0"/>
        <w:kinsoku/>
        <w:wordWrap w:val="0"/>
        <w:bidi w:val="0"/>
        <w:spacing w:line="400" w:lineRule="atLeast"/>
        <w:ind w:firstLine="480"/>
        <w:rPr>
          <w:rFonts w:hint="default" w:ascii="Times New Roman" w:hAnsi="Times New Roman" w:cs="Times New Roman"/>
          <w:sz w:val="24"/>
          <w:highlight w:val="none"/>
        </w:rPr>
      </w:pPr>
      <w:r>
        <w:rPr>
          <w:rFonts w:hint="default" w:ascii="Times New Roman" w:hAnsi="Times New Roman" w:cs="Times New Roman"/>
          <w:sz w:val="24"/>
          <w:highlight w:val="none"/>
        </w:rPr>
        <w:t>20.4.1第三者责任系指在保险期内，对因工程意外事故造成的、依法应由被保险人负责的工地上及毗邻地区的第三者人身伤亡、疾病或财产损失（本工程除外），以及被保险人因此而支付的诉讼费用和事先经保险人书面同意支付的其他费用等赔偿责任。</w:t>
      </w:r>
    </w:p>
    <w:p w14:paraId="118A7ECF">
      <w:pPr>
        <w:pageBreakBefore w:val="0"/>
        <w:kinsoku/>
        <w:wordWrap w:val="0"/>
        <w:bidi w:val="0"/>
        <w:spacing w:line="400" w:lineRule="atLeast"/>
        <w:ind w:firstLine="480"/>
        <w:rPr>
          <w:rFonts w:hint="default" w:ascii="Times New Roman" w:hAnsi="Times New Roman" w:cs="Times New Roman"/>
          <w:sz w:val="24"/>
          <w:highlight w:val="none"/>
        </w:rPr>
      </w:pPr>
      <w:r>
        <w:rPr>
          <w:rFonts w:hint="default" w:ascii="Times New Roman" w:hAnsi="Times New Roman" w:cs="Times New Roman"/>
          <w:sz w:val="24"/>
          <w:highlight w:val="none"/>
        </w:rPr>
        <w:t>20.4.2 在缺陷责任期终止证书颁发前，承包人应以承包人和发包人的共同名义，投保第20.4.1项约定的第三者责任险，其保险费率、保险金额等有关内容在专用合同条款中约定。</w:t>
      </w:r>
    </w:p>
    <w:p w14:paraId="6E33049C">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865" w:name="_Toc20329"/>
      <w:bookmarkStart w:id="866" w:name="_Toc17223"/>
      <w:bookmarkStart w:id="867" w:name="_Toc15956"/>
      <w:bookmarkStart w:id="868" w:name="_Toc234833103"/>
      <w:r>
        <w:rPr>
          <w:rFonts w:hint="default" w:ascii="Times New Roman" w:hAnsi="Times New Roman" w:eastAsia="黑体" w:cs="Times New Roman"/>
          <w:b w:val="0"/>
          <w:sz w:val="24"/>
          <w:szCs w:val="24"/>
          <w:highlight w:val="none"/>
        </w:rPr>
        <w:t>20.5 其他保险</w:t>
      </w:r>
      <w:bookmarkEnd w:id="865"/>
      <w:bookmarkEnd w:id="866"/>
      <w:bookmarkEnd w:id="867"/>
      <w:bookmarkEnd w:id="868"/>
    </w:p>
    <w:p w14:paraId="19E06E38">
      <w:pPr>
        <w:pageBreakBefore w:val="0"/>
        <w:kinsoku/>
        <w:wordWrap w:val="0"/>
        <w:bidi w:val="0"/>
        <w:spacing w:line="400" w:lineRule="atLeast"/>
        <w:ind w:firstLine="420"/>
        <w:rPr>
          <w:rFonts w:hint="default" w:ascii="Times New Roman" w:hAnsi="Times New Roman" w:cs="Times New Roman"/>
          <w:sz w:val="24"/>
          <w:highlight w:val="none"/>
        </w:rPr>
      </w:pPr>
      <w:r>
        <w:rPr>
          <w:rFonts w:hint="default" w:ascii="Times New Roman" w:hAnsi="Times New Roman" w:cs="Times New Roman"/>
          <w:sz w:val="24"/>
          <w:highlight w:val="none"/>
        </w:rPr>
        <w:t>除专用合同条款另有约定外，承包人应为其施工设备、进场的材料和工程设备等办理保险。</w:t>
      </w:r>
    </w:p>
    <w:p w14:paraId="2F4D666D">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869" w:name="_Toc16557"/>
      <w:bookmarkStart w:id="870" w:name="_Toc28939"/>
      <w:bookmarkStart w:id="871" w:name="_Toc234833104"/>
      <w:bookmarkStart w:id="872" w:name="_Toc25129"/>
      <w:r>
        <w:rPr>
          <w:rFonts w:hint="default" w:ascii="Times New Roman" w:hAnsi="Times New Roman" w:eastAsia="黑体" w:cs="Times New Roman"/>
          <w:b w:val="0"/>
          <w:sz w:val="24"/>
          <w:szCs w:val="24"/>
          <w:highlight w:val="none"/>
        </w:rPr>
        <w:t>20.6 对各项保险的一般要求</w:t>
      </w:r>
      <w:bookmarkEnd w:id="869"/>
      <w:bookmarkEnd w:id="870"/>
      <w:bookmarkEnd w:id="871"/>
      <w:bookmarkEnd w:id="872"/>
    </w:p>
    <w:p w14:paraId="337B6891">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 xml:space="preserve">20.6.1 </w:t>
      </w:r>
      <w:r>
        <w:rPr>
          <w:rFonts w:hint="default" w:ascii="Times New Roman" w:hAnsi="Times New Roman" w:eastAsia="黑体" w:cs="Times New Roman"/>
          <w:sz w:val="24"/>
          <w:highlight w:val="none"/>
        </w:rPr>
        <w:t>保险凭证</w:t>
      </w:r>
    </w:p>
    <w:p w14:paraId="3227C934">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承包人应在专用合同条款约定的期限内向发包人提交各项保险生效的证据和保险单副本，保险单必须与专用合同条款约定的条件保持一致。</w:t>
      </w:r>
    </w:p>
    <w:p w14:paraId="1812E339">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20.6.2</w:t>
      </w:r>
      <w:r>
        <w:rPr>
          <w:rFonts w:hint="default" w:ascii="Times New Roman" w:hAnsi="Times New Roman" w:eastAsia="黑体" w:cs="Times New Roman"/>
          <w:sz w:val="24"/>
          <w:highlight w:val="none"/>
        </w:rPr>
        <w:t>保险合同条款的变动</w:t>
      </w:r>
    </w:p>
    <w:p w14:paraId="4E910BFE">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承包人需要变动保险合同条款时，应事先征得发包人同意，并通知监理人。保险人作出变动的，承包人应在收到保险人通知后立即通知发包人和监理人。</w:t>
      </w:r>
    </w:p>
    <w:p w14:paraId="2A5B153E">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 xml:space="preserve">20.6.3 </w:t>
      </w:r>
      <w:r>
        <w:rPr>
          <w:rFonts w:hint="default" w:ascii="Times New Roman" w:hAnsi="Times New Roman" w:eastAsia="黑体" w:cs="Times New Roman"/>
          <w:sz w:val="24"/>
          <w:highlight w:val="none"/>
        </w:rPr>
        <w:t>持续保险</w:t>
      </w:r>
    </w:p>
    <w:p w14:paraId="10D1F740">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承包人应与保险人保持联系，使保险人能够随时了解工程实施中的变动，并确保按保险合同条款要求持续保险。</w:t>
      </w:r>
    </w:p>
    <w:p w14:paraId="79B7BF33">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 xml:space="preserve">20.6.4 </w:t>
      </w:r>
      <w:r>
        <w:rPr>
          <w:rFonts w:hint="default" w:ascii="Times New Roman" w:hAnsi="Times New Roman" w:eastAsia="黑体" w:cs="Times New Roman"/>
          <w:sz w:val="24"/>
          <w:highlight w:val="none"/>
        </w:rPr>
        <w:t>保险金不足的补偿</w:t>
      </w:r>
    </w:p>
    <w:p w14:paraId="1CCBB2C9">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保险金不足以补偿损失的，应由承包人和（或）发包人按合同约定负责补偿。</w:t>
      </w:r>
    </w:p>
    <w:p w14:paraId="1FE7DAB0">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 xml:space="preserve">20.6.5 </w:t>
      </w:r>
      <w:r>
        <w:rPr>
          <w:rFonts w:hint="default" w:ascii="Times New Roman" w:hAnsi="Times New Roman" w:eastAsia="黑体" w:cs="Times New Roman"/>
          <w:sz w:val="24"/>
          <w:highlight w:val="none"/>
        </w:rPr>
        <w:t>未按约定投保的补救</w:t>
      </w:r>
    </w:p>
    <w:p w14:paraId="1D15E314">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（1）由于负有投保义务的一方当事人未按合同约定办理保险，或未能使保险持续有效的，另一方当事人可代为办理，所需费用由对方当事人承担。</w:t>
      </w:r>
    </w:p>
    <w:p w14:paraId="548FE5CB">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（2）由于负有投保义务的一方当事人未按合同约定办理某项保险，导致受益人未能得到保险人的赔偿，原应从该项保险得到的保险金应由负有投保义务的一方当事人支付。</w:t>
      </w:r>
    </w:p>
    <w:p w14:paraId="72BD8B69">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20.6.6</w:t>
      </w:r>
      <w:r>
        <w:rPr>
          <w:rFonts w:hint="default" w:ascii="Times New Roman" w:hAnsi="Times New Roman" w:eastAsia="黑体" w:cs="Times New Roman"/>
          <w:sz w:val="24"/>
          <w:highlight w:val="none"/>
        </w:rPr>
        <w:t>报告义务</w:t>
      </w:r>
    </w:p>
    <w:p w14:paraId="3C88439B">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 xml:space="preserve">  当保险事故发生时，投保人应按照保险单规定的条件和期限及时向保险人报告。</w:t>
      </w:r>
    </w:p>
    <w:p w14:paraId="6C2B7B46">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873" w:name="_Toc27736"/>
      <w:bookmarkStart w:id="874" w:name="_Toc2466"/>
      <w:bookmarkStart w:id="875" w:name="_Toc234833105"/>
      <w:bookmarkStart w:id="876" w:name="_Toc25184"/>
      <w:r>
        <w:rPr>
          <w:rFonts w:hint="default" w:ascii="Times New Roman" w:hAnsi="Times New Roman" w:eastAsia="黑体" w:cs="Times New Roman"/>
          <w:b w:val="0"/>
          <w:sz w:val="28"/>
          <w:szCs w:val="28"/>
          <w:highlight w:val="none"/>
        </w:rPr>
        <w:t>21. 不可抗力</w:t>
      </w:r>
      <w:bookmarkEnd w:id="873"/>
      <w:bookmarkEnd w:id="874"/>
      <w:bookmarkEnd w:id="875"/>
      <w:bookmarkEnd w:id="876"/>
    </w:p>
    <w:p w14:paraId="5AAC8A73">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877" w:name="_Toc965"/>
      <w:bookmarkStart w:id="878" w:name="_Toc851"/>
      <w:bookmarkStart w:id="879" w:name="_Toc11379"/>
      <w:bookmarkStart w:id="880" w:name="_Toc234833106"/>
      <w:r>
        <w:rPr>
          <w:rFonts w:hint="default" w:ascii="Times New Roman" w:hAnsi="Times New Roman" w:eastAsia="黑体" w:cs="Times New Roman"/>
          <w:b w:val="0"/>
          <w:sz w:val="24"/>
          <w:szCs w:val="24"/>
          <w:highlight w:val="none"/>
        </w:rPr>
        <w:t>21.1 不可抗力的确认</w:t>
      </w:r>
      <w:bookmarkEnd w:id="877"/>
      <w:bookmarkEnd w:id="878"/>
      <w:bookmarkEnd w:id="879"/>
      <w:bookmarkEnd w:id="880"/>
    </w:p>
    <w:p w14:paraId="1B09E4F3">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21.1.1 不可抗力是指承包人和发包人在订立合同时不可预见，在工程施工过程中不可避免发生并不能克服的自然灾害和社会性突发事件，如地震、海啸、瘟疫、水灾、骚乱、暴动、战争和专用合同条款约定的其他情形。</w:t>
      </w:r>
    </w:p>
    <w:p w14:paraId="03A870F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21.1.2 不可抗力发生后，发包人和承包人应及时认真统计所造成的损失，收集不可抗力造成损失的证据。合同双方对是否属于不可抗力或其损失的意见不一致的，由监理人按第3.5款商定或确定。发生争议时，按第24条的约定办理。</w:t>
      </w:r>
    </w:p>
    <w:p w14:paraId="050772C7">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881" w:name="_Toc18922"/>
      <w:bookmarkStart w:id="882" w:name="_Toc234833107"/>
      <w:bookmarkStart w:id="883" w:name="_Toc22207"/>
      <w:bookmarkStart w:id="884" w:name="_Toc22545"/>
      <w:r>
        <w:rPr>
          <w:rFonts w:hint="default" w:ascii="Times New Roman" w:hAnsi="Times New Roman" w:eastAsia="黑体" w:cs="Times New Roman"/>
          <w:b w:val="0"/>
          <w:sz w:val="24"/>
          <w:szCs w:val="24"/>
          <w:highlight w:val="none"/>
        </w:rPr>
        <w:t>21.2 不可抗力的通知</w:t>
      </w:r>
      <w:bookmarkEnd w:id="881"/>
      <w:bookmarkEnd w:id="882"/>
      <w:bookmarkEnd w:id="883"/>
      <w:bookmarkEnd w:id="884"/>
    </w:p>
    <w:p w14:paraId="32522DD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21.2.1 合同一方当事人遇到不可抗力事件，使其履行合同义务受到阻碍时，应立即通知合同另一方当事人和监理人，书面说明不可抗力和受阻碍的详细情况，并提供必要的证明。</w:t>
      </w:r>
    </w:p>
    <w:p w14:paraId="7758EE03">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21.2.2 如不可抗力持续发生，合同一方当事人应及时向合同另一方当事人和监理人提交中间报告，说明不可抗力和履行合同受阻的情况，并于不可抗力事件结束后28天内提交最终报告及有关资料。</w:t>
      </w:r>
    </w:p>
    <w:p w14:paraId="6927AD91">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885" w:name="_Toc234833108"/>
      <w:bookmarkStart w:id="886" w:name="_Toc15417"/>
      <w:bookmarkStart w:id="887" w:name="_Toc1838"/>
      <w:bookmarkStart w:id="888" w:name="_Toc12246"/>
      <w:r>
        <w:rPr>
          <w:rFonts w:hint="default" w:ascii="Times New Roman" w:hAnsi="Times New Roman" w:eastAsia="黑体" w:cs="Times New Roman"/>
          <w:b w:val="0"/>
          <w:sz w:val="24"/>
          <w:szCs w:val="24"/>
          <w:highlight w:val="none"/>
        </w:rPr>
        <w:t>21.3 不可抗力后果及其处理</w:t>
      </w:r>
      <w:bookmarkEnd w:id="885"/>
      <w:bookmarkEnd w:id="886"/>
      <w:bookmarkEnd w:id="887"/>
      <w:bookmarkEnd w:id="888"/>
    </w:p>
    <w:p w14:paraId="1CFC0A04">
      <w:pPr>
        <w:pageBreakBefore w:val="0"/>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 xml:space="preserve">21.3.1 </w:t>
      </w:r>
      <w:r>
        <w:rPr>
          <w:rFonts w:hint="default" w:ascii="Times New Roman" w:hAnsi="Times New Roman" w:eastAsia="黑体" w:cs="Times New Roman"/>
          <w:sz w:val="24"/>
          <w:highlight w:val="none"/>
        </w:rPr>
        <w:t>不可抗力造成损害的责任</w:t>
      </w:r>
    </w:p>
    <w:p w14:paraId="4E5622D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除专用合同条款另有约定外，不可抗力导致的人员伤亡、财产损失、费用增加和（或）工期延误等后果，由合同双方按以下原则承担：</w:t>
      </w:r>
    </w:p>
    <w:p w14:paraId="562C24B9">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（1）永久工程，包括已运至施工场地的材料和工程设备的损害，以及因工程损害造成的第三者人员伤亡和财产损失由发包人承担；</w:t>
      </w:r>
    </w:p>
    <w:p w14:paraId="62AA2E4E">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（2）承包人设备的损坏由承包人承担；</w:t>
      </w:r>
    </w:p>
    <w:p w14:paraId="2240746C">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（3）发包人和承包人各自承担其人员伤亡和其他财产损失及其相关费用；</w:t>
      </w:r>
    </w:p>
    <w:p w14:paraId="0D3684B0">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（4）承包人的停工损失由承包人承担，但停工期间应监理人要求照管工程和清理、修复工程的金额由发包人承担；</w:t>
      </w:r>
    </w:p>
    <w:p w14:paraId="086B0BA7">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（5）不能按期竣工的，应合理延长工期，承包人不需支付逾期竣工违约金。发包人要求赶工的，承包人应采取赶工措施，赶工费用由发包人承担。</w:t>
      </w:r>
    </w:p>
    <w:p w14:paraId="1511D0F6">
      <w:pPr>
        <w:pageBreakBefore w:val="0"/>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 xml:space="preserve">21.3.2 </w:t>
      </w:r>
      <w:r>
        <w:rPr>
          <w:rFonts w:hint="default" w:ascii="Times New Roman" w:hAnsi="Times New Roman" w:eastAsia="黑体" w:cs="Times New Roman"/>
          <w:sz w:val="24"/>
          <w:highlight w:val="none"/>
        </w:rPr>
        <w:t>延迟履行期间发生的不可抗力</w:t>
      </w:r>
    </w:p>
    <w:p w14:paraId="1E2B8931">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合同一方当事人延迟履行，在延迟履行期间发生不可抗力的，不免除其责任。</w:t>
      </w:r>
    </w:p>
    <w:p w14:paraId="070AD1AB">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21.3.3 </w:t>
      </w:r>
      <w:r>
        <w:rPr>
          <w:rFonts w:hint="default" w:ascii="Times New Roman" w:hAnsi="Times New Roman" w:eastAsia="黑体" w:cs="Times New Roman"/>
          <w:sz w:val="24"/>
          <w:highlight w:val="none"/>
        </w:rPr>
        <w:t>避免和减少不可抗力损失</w:t>
      </w:r>
    </w:p>
    <w:p w14:paraId="2CFCA626">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不可抗力发生后，发包人和承包人均应采取措施尽量避免和减少损失的扩大，任何一方没有采取有效措施导致损失扩大的，应对扩大的损失承担责任。</w:t>
      </w:r>
    </w:p>
    <w:p w14:paraId="2C70DBFC">
      <w:pPr>
        <w:pageBreakBefore w:val="0"/>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 xml:space="preserve">21.3.4 </w:t>
      </w:r>
      <w:r>
        <w:rPr>
          <w:rFonts w:hint="default" w:ascii="Times New Roman" w:hAnsi="Times New Roman" w:eastAsia="黑体" w:cs="Times New Roman"/>
          <w:sz w:val="24"/>
          <w:highlight w:val="none"/>
        </w:rPr>
        <w:t>因不可抗力解除合同</w:t>
      </w:r>
    </w:p>
    <w:p w14:paraId="32CB83F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合同一方当事人因不可抗力不能履行合同的，应当及时通知对方解除合同。合同解除后，承包人应按照第22.2.5项约定撤离施工场地。已经订货的材料、设备由订货方负责退货或解除订货合同，不能退还的货款和因退货、解除订货合同发生的费用，由发包人承担，因未及时退货造成的损失由责任方承担。合同解除后的付款，参照第22.2.4项约定，由监理人按第3.5款商定或确定。</w:t>
      </w:r>
    </w:p>
    <w:p w14:paraId="3528E354">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889" w:name="_Toc234833109"/>
      <w:bookmarkStart w:id="890" w:name="_Toc13366"/>
      <w:bookmarkStart w:id="891" w:name="_Toc12831"/>
      <w:bookmarkStart w:id="892" w:name="_Toc5176"/>
      <w:r>
        <w:rPr>
          <w:rFonts w:hint="default" w:ascii="Times New Roman" w:hAnsi="Times New Roman" w:eastAsia="黑体" w:cs="Times New Roman"/>
          <w:b w:val="0"/>
          <w:sz w:val="28"/>
          <w:szCs w:val="28"/>
          <w:highlight w:val="none"/>
        </w:rPr>
        <w:t>22. 违约</w:t>
      </w:r>
      <w:bookmarkEnd w:id="889"/>
      <w:bookmarkEnd w:id="890"/>
      <w:bookmarkEnd w:id="891"/>
      <w:bookmarkEnd w:id="892"/>
    </w:p>
    <w:p w14:paraId="0E5AE000">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893" w:name="_Toc723"/>
      <w:bookmarkStart w:id="894" w:name="_Toc234833110"/>
      <w:bookmarkStart w:id="895" w:name="_Toc8987"/>
      <w:bookmarkStart w:id="896" w:name="_Toc18021"/>
      <w:r>
        <w:rPr>
          <w:rFonts w:hint="default" w:ascii="Times New Roman" w:hAnsi="Times New Roman" w:eastAsia="黑体" w:cs="Times New Roman"/>
          <w:b w:val="0"/>
          <w:sz w:val="24"/>
          <w:szCs w:val="24"/>
          <w:highlight w:val="none"/>
        </w:rPr>
        <w:t>22.1 承包人违约</w:t>
      </w:r>
      <w:bookmarkEnd w:id="893"/>
      <w:bookmarkEnd w:id="894"/>
      <w:bookmarkEnd w:id="895"/>
      <w:bookmarkEnd w:id="896"/>
    </w:p>
    <w:p w14:paraId="0D15B3A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22.1.1 </w:t>
      </w:r>
      <w:r>
        <w:rPr>
          <w:rFonts w:hint="default" w:ascii="Times New Roman" w:hAnsi="Times New Roman" w:eastAsia="黑体" w:cs="Times New Roman"/>
          <w:sz w:val="24"/>
          <w:highlight w:val="none"/>
        </w:rPr>
        <w:t>承包人违约的情形</w:t>
      </w:r>
    </w:p>
    <w:p w14:paraId="18488FB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在履行合同过程中发生的下列情况属承包人违约：</w:t>
      </w:r>
    </w:p>
    <w:p w14:paraId="48F40CA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（1）承包人违反第1.8款或第4.3款的约定，私自将合同的全部或部分权利转让给其他人，或私自将合同的全部或部分义务转移给其他人；</w:t>
      </w:r>
    </w:p>
    <w:p w14:paraId="4426F40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（2）承包人违反第5.3款或第6.4款的约定，未经监理人批准，私自将已按合同约定进入施工场地的施工设备、临时设施或材料撤离施工场地；</w:t>
      </w:r>
    </w:p>
    <w:p w14:paraId="6C1F07A1">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（3）承包人违反第5.4款的约定使用了不合格材料或工程设备，工程质量达不到标准要求，又拒绝清除不合格工程；</w:t>
      </w:r>
    </w:p>
    <w:p w14:paraId="2B03F93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（4）承包人未能按合同进度计划及时完成合同约定的工作，已造成或预期造成工期延误；</w:t>
      </w:r>
    </w:p>
    <w:p w14:paraId="09ABF93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（5）承包人在缺陷责任期内，未能对工程接收证书所列的缺陷清单的内容或缺陷责任期内发生的缺陷进行修复，而又拒绝按监理人指示再进行修补；</w:t>
      </w:r>
    </w:p>
    <w:p w14:paraId="4C94719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（6）承包人无法继续履行或明确表示不履行或实质上已停止履行合同；</w:t>
      </w:r>
    </w:p>
    <w:p w14:paraId="307A0F9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（7）承包人不按合同约定履行义务的其他情况。</w:t>
      </w:r>
    </w:p>
    <w:p w14:paraId="721A11C3">
      <w:pPr>
        <w:pageBreakBefore w:val="0"/>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 xml:space="preserve">22.1.2 </w:t>
      </w:r>
      <w:r>
        <w:rPr>
          <w:rFonts w:hint="default" w:ascii="Times New Roman" w:hAnsi="Times New Roman" w:eastAsia="黑体" w:cs="Times New Roman"/>
          <w:sz w:val="24"/>
          <w:highlight w:val="none"/>
        </w:rPr>
        <w:t>对承包人违约的处理</w:t>
      </w:r>
    </w:p>
    <w:p w14:paraId="3F8A6A0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（1）承包人发生第22.1.1（6）目约定的违约情况时，发包人可通知承包人立即解除合同，并按有关法律处理。</w:t>
      </w:r>
    </w:p>
    <w:p w14:paraId="1F411E2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（2）承包人发生除第22.1.1（6）目约定以外的其他违约情况时，监理人可向承包人发出整改通知，要求其在指定的期限内改正。承包人应承担其违约所引起的费用增加和（或）工期延误。</w:t>
      </w:r>
    </w:p>
    <w:p w14:paraId="28BB30B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（3）经检查证明承包人已采取了有效措施纠正违约行为，具备复工条件的，可由监理人签发复工通知复工。</w:t>
      </w:r>
    </w:p>
    <w:p w14:paraId="545C10B9">
      <w:pPr>
        <w:pageBreakBefore w:val="0"/>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 xml:space="preserve">22.1.3 </w:t>
      </w:r>
      <w:r>
        <w:rPr>
          <w:rFonts w:hint="default" w:ascii="Times New Roman" w:hAnsi="Times New Roman" w:eastAsia="黑体" w:cs="Times New Roman"/>
          <w:sz w:val="24"/>
          <w:highlight w:val="none"/>
        </w:rPr>
        <w:t>承包人违约解除合同</w:t>
      </w:r>
    </w:p>
    <w:p w14:paraId="5815AE1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监理人发出整改通知28天后，承包人仍不纠正违约行为的，发包人可向承包人发出解除合同通知。合同解除后，发包人可派员进驻施工场地，另行组织人员或委托其他承包人施工。发包人因继续完成该工程的需要，有权扣留使用承包人在现场的材料、设备和临时设施。但发包人的这一行动不免除承包人应承担的违约责任，也不影响发包人根据合同约定享有的索赔权利。</w:t>
      </w:r>
    </w:p>
    <w:p w14:paraId="5E05C96C">
      <w:pPr>
        <w:pageBreakBefore w:val="0"/>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 xml:space="preserve">22.1.4 </w:t>
      </w:r>
      <w:r>
        <w:rPr>
          <w:rFonts w:hint="default" w:ascii="Times New Roman" w:hAnsi="Times New Roman" w:eastAsia="黑体" w:cs="Times New Roman"/>
          <w:sz w:val="24"/>
          <w:highlight w:val="none"/>
        </w:rPr>
        <w:t>合同解除后的估价、付款和结清</w:t>
      </w:r>
    </w:p>
    <w:p w14:paraId="4A70776B">
      <w:pPr>
        <w:pageBreakBefore w:val="0"/>
        <w:tabs>
          <w:tab w:val="left" w:pos="540"/>
        </w:tabs>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（1）合同解除后，监理人按第3.5款商定或确定承包人实际完成工作的价值，以及承包人已提供的材料、施工设备、工程设备和临时工程等的价值。 </w:t>
      </w:r>
    </w:p>
    <w:p w14:paraId="0AF98F2E">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（2）合同解除后，发包人应暂停对承包人的一切付款，查清各项付款和已扣款金额，包括承包人应支付的违约金。 </w:t>
      </w:r>
    </w:p>
    <w:p w14:paraId="2CE73320">
      <w:pPr>
        <w:pageBreakBefore w:val="0"/>
        <w:tabs>
          <w:tab w:val="left" w:pos="720"/>
        </w:tabs>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（3）合同解除后，发包人应按第23.4款的约定向承包人索赔由于解除合同给发包人造成的损失。</w:t>
      </w:r>
    </w:p>
    <w:p w14:paraId="5C5C055E">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（4）合同双方确认上述往来款项后，出具最终结清付款证书，结清全部合同款项。</w:t>
      </w:r>
    </w:p>
    <w:p w14:paraId="1313C0B1">
      <w:pPr>
        <w:pageBreakBefore w:val="0"/>
        <w:kinsoku/>
        <w:wordWrap w:val="0"/>
        <w:bidi w:val="0"/>
        <w:spacing w:line="400" w:lineRule="atLeast"/>
        <w:ind w:right="25" w:rightChars="12"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（5）发包人和承包人未能就解除合同后的结清达成一致而形成争议的，按第24条的约定办理。</w:t>
      </w:r>
    </w:p>
    <w:p w14:paraId="09BF8020">
      <w:pPr>
        <w:pageBreakBefore w:val="0"/>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 xml:space="preserve">22.1.5 </w:t>
      </w:r>
      <w:r>
        <w:rPr>
          <w:rFonts w:hint="default" w:ascii="Times New Roman" w:hAnsi="Times New Roman" w:eastAsia="黑体" w:cs="Times New Roman"/>
          <w:sz w:val="24"/>
          <w:highlight w:val="none"/>
        </w:rPr>
        <w:t>协议利益的转让</w:t>
      </w:r>
    </w:p>
    <w:p w14:paraId="377626C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因承包人违约解除合同的，发包人有权要求承包人将其为实施合同而签订的材料和设备的订货协议或任何服务协议利益转让给发包人，并在解除合同后的14天内，依法办理转让手续。 </w:t>
      </w:r>
    </w:p>
    <w:p w14:paraId="095A61EE">
      <w:pPr>
        <w:pageBreakBefore w:val="0"/>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 xml:space="preserve">22.1.6 </w:t>
      </w:r>
      <w:r>
        <w:rPr>
          <w:rFonts w:hint="default" w:ascii="Times New Roman" w:hAnsi="Times New Roman" w:eastAsia="黑体" w:cs="Times New Roman"/>
          <w:sz w:val="24"/>
          <w:highlight w:val="none"/>
        </w:rPr>
        <w:t>紧急情况下无能力或不愿进行抢救</w:t>
      </w:r>
    </w:p>
    <w:p w14:paraId="2D0227B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在工程实施期间或缺陷责任期内发生危及工程安全的事件，监理人通知承包人进行抢救，承包人声明无能力或不愿立即执行的，发包人有权雇佣其他人员进行抢救。此类抢救按合同约定属于承包人义务的，由此发生的金额和（或）工期延误由承包人承担。</w:t>
      </w:r>
    </w:p>
    <w:p w14:paraId="31A811CC">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897" w:name="_Toc18762"/>
      <w:bookmarkStart w:id="898" w:name="_Toc18188"/>
      <w:bookmarkStart w:id="899" w:name="_Toc234833111"/>
      <w:bookmarkStart w:id="900" w:name="_Toc13222"/>
      <w:r>
        <w:rPr>
          <w:rFonts w:hint="default" w:ascii="Times New Roman" w:hAnsi="Times New Roman" w:eastAsia="黑体" w:cs="Times New Roman"/>
          <w:b w:val="0"/>
          <w:sz w:val="24"/>
          <w:szCs w:val="24"/>
          <w:highlight w:val="none"/>
        </w:rPr>
        <w:t>22.2 发包人违约</w:t>
      </w:r>
      <w:bookmarkEnd w:id="897"/>
      <w:bookmarkEnd w:id="898"/>
      <w:bookmarkEnd w:id="899"/>
      <w:bookmarkEnd w:id="900"/>
    </w:p>
    <w:p w14:paraId="3003196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22.2.1</w:t>
      </w:r>
      <w:r>
        <w:rPr>
          <w:rFonts w:hint="default" w:ascii="Times New Roman" w:hAnsi="Times New Roman" w:eastAsia="黑体" w:cs="Times New Roman"/>
          <w:sz w:val="24"/>
          <w:highlight w:val="none"/>
        </w:rPr>
        <w:t>发包人违约的情形</w:t>
      </w:r>
    </w:p>
    <w:p w14:paraId="4FEEE13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在履行合同过程中发生的下列情形，属发包人违约：</w:t>
      </w:r>
    </w:p>
    <w:p w14:paraId="3905772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（1）发包人未能按合同约定支付预付款或合同价款，或拖延、拒绝批准付款申请和支付凭证，导致付款延误的； </w:t>
      </w:r>
    </w:p>
    <w:p w14:paraId="532A1290">
      <w:pPr>
        <w:pageBreakBefore w:val="0"/>
        <w:tabs>
          <w:tab w:val="left" w:pos="720"/>
        </w:tabs>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（2）发包人原因造成停工的；</w:t>
      </w:r>
    </w:p>
    <w:p w14:paraId="6E0DDCF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（3）监理人无正当理由没有在约定期限内发出复工指示，导致承包人无法复工的；</w:t>
      </w:r>
    </w:p>
    <w:p w14:paraId="3825E34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（4）发包人无法继续履行或明确表示不履行或实质上已停止履行合同的；</w:t>
      </w:r>
    </w:p>
    <w:p w14:paraId="36A024F6">
      <w:pPr>
        <w:pageBreakBefore w:val="0"/>
        <w:tabs>
          <w:tab w:val="left" w:pos="720"/>
        </w:tabs>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（5）发包人不履行合同约定其他义务的。</w:t>
      </w:r>
    </w:p>
    <w:p w14:paraId="7C993291">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22.2.2 </w:t>
      </w:r>
      <w:r>
        <w:rPr>
          <w:rFonts w:hint="default" w:ascii="Times New Roman" w:hAnsi="Times New Roman" w:eastAsia="黑体" w:cs="Times New Roman"/>
          <w:sz w:val="24"/>
          <w:highlight w:val="none"/>
        </w:rPr>
        <w:t>承包人有权暂停施工</w:t>
      </w:r>
    </w:p>
    <w:p w14:paraId="4257F60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发包人发生除第22.2.1（4）目以外的违约情况时，承包人可向发包人发出通知，要求发包人采取有效措施纠正违约行为。发包人收到承包人通知后的28天内仍不履行合同义务，承包人有权暂停施工，并通知监理人，发包人应承担由此增加的费用和（或）工期延误，并支付承包人合理利润。</w:t>
      </w:r>
    </w:p>
    <w:p w14:paraId="001AB192">
      <w:pPr>
        <w:pageBreakBefore w:val="0"/>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 xml:space="preserve">22.2.3 </w:t>
      </w:r>
      <w:r>
        <w:rPr>
          <w:rFonts w:hint="default" w:ascii="Times New Roman" w:hAnsi="Times New Roman" w:eastAsia="黑体" w:cs="Times New Roman"/>
          <w:sz w:val="24"/>
          <w:highlight w:val="none"/>
        </w:rPr>
        <w:t>发包人违约解除合同</w:t>
      </w:r>
      <w:r>
        <w:rPr>
          <w:rFonts w:hint="default" w:ascii="Times New Roman" w:hAnsi="Times New Roman" w:cs="Times New Roman"/>
          <w:sz w:val="24"/>
          <w:highlight w:val="none"/>
        </w:rPr>
        <w:t xml:space="preserve"> </w:t>
      </w:r>
    </w:p>
    <w:p w14:paraId="4D0D4801">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（1）发生第22.2.1（4）目的违约情况时，承包人可书面通知发包人解除合同。   </w:t>
      </w:r>
    </w:p>
    <w:p w14:paraId="5EE747C1">
      <w:pPr>
        <w:pageBreakBefore w:val="0"/>
        <w:tabs>
          <w:tab w:val="left" w:pos="720"/>
          <w:tab w:val="left" w:pos="900"/>
        </w:tabs>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（2）承包人按第22.2.2项暂停施工28天后，发包人仍不纠正违约行为的，承包人可向发包人发出解除合同通知。但承包人的这一行动不免除发包人承担的违约责任，也不影响承包人根据合同约定享有的索赔权利。</w:t>
      </w:r>
    </w:p>
    <w:p w14:paraId="1B1B00C2">
      <w:pPr>
        <w:pageBreakBefore w:val="0"/>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22.2.4</w:t>
      </w:r>
      <w:r>
        <w:rPr>
          <w:rFonts w:hint="default" w:ascii="Times New Roman" w:hAnsi="Times New Roman" w:eastAsia="黑体" w:cs="Times New Roman"/>
          <w:sz w:val="24"/>
          <w:highlight w:val="none"/>
        </w:rPr>
        <w:t xml:space="preserve"> 解除合同后的付款</w:t>
      </w:r>
    </w:p>
    <w:p w14:paraId="652DB24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因发包人违约解除合同的，发包人应在解除合同后28天内向承包人支付下列金额，承包人应在此期限内及时向发包人提交要求支付下列金额的有关资料和凭证：</w:t>
      </w:r>
    </w:p>
    <w:p w14:paraId="460860A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（1）合同解除日以前所完成工作的价款；</w:t>
      </w:r>
    </w:p>
    <w:p w14:paraId="03BEA8D1">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（2）承包人为该工程施工订购并已付款的材料、工程设备和其他物品的金额。发包人付还后，该材料、工程设备和其他物品归发包人所有；</w:t>
      </w:r>
    </w:p>
    <w:p w14:paraId="52BBBD7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（3）承包人为完成工程所发生的，而发包人未支付的金额；</w:t>
      </w:r>
    </w:p>
    <w:p w14:paraId="7EEFAFD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（4）承包人撤离施工场地以及遣散承包人人员的金额；</w:t>
      </w:r>
    </w:p>
    <w:p w14:paraId="7BC7CB2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（5）由于解除合同应赔偿的承包人损失；</w:t>
      </w:r>
    </w:p>
    <w:p w14:paraId="4C6C3A5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（6）按合同约定在合同解除日前应支付给承包人的其他金额。</w:t>
      </w:r>
    </w:p>
    <w:p w14:paraId="6343D29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发包人应按本项约定支付上述金额并退还质量保证金和履约担保，但有权要求承包人支付应偿还给发包人的各项金额。</w:t>
      </w:r>
    </w:p>
    <w:p w14:paraId="58B28127">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22.2.5 解除合同后的承包人撤离</w:t>
      </w:r>
    </w:p>
    <w:p w14:paraId="09F44537">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因发包人违约而解除合同后，承包人应妥善做好已竣工工程和已购材料、设备的保护和移交工作，按发包人要求将承包人设备和人员撤出施工场地。承包人撤出施工场地应遵守第18.7.1项的约定，发包人应为承包人撤出提供必要条件。</w:t>
      </w:r>
    </w:p>
    <w:p w14:paraId="2E9AEB6B">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901" w:name="_Toc20900"/>
      <w:bookmarkStart w:id="902" w:name="_Toc234833112"/>
      <w:bookmarkStart w:id="903" w:name="_Toc1197"/>
      <w:bookmarkStart w:id="904" w:name="_Toc27072"/>
      <w:r>
        <w:rPr>
          <w:rFonts w:hint="default" w:ascii="Times New Roman" w:hAnsi="Times New Roman" w:eastAsia="黑体" w:cs="Times New Roman"/>
          <w:b w:val="0"/>
          <w:sz w:val="24"/>
          <w:szCs w:val="24"/>
          <w:highlight w:val="none"/>
        </w:rPr>
        <w:t>22.3第三人造成的违约</w:t>
      </w:r>
      <w:bookmarkEnd w:id="901"/>
      <w:bookmarkEnd w:id="902"/>
      <w:bookmarkEnd w:id="903"/>
      <w:bookmarkEnd w:id="904"/>
    </w:p>
    <w:p w14:paraId="0D0574A1">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在履行合同过程中，一方当事人因第三人的原因造成违约的，应当向对方当事人承担违约责任。一方当事人和第三人之间的纠纷，依照法律规定或者按照约定解决。</w:t>
      </w:r>
    </w:p>
    <w:p w14:paraId="740A49E7">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905" w:name="_Toc15487"/>
      <w:bookmarkStart w:id="906" w:name="_Toc29983"/>
      <w:bookmarkStart w:id="907" w:name="_Toc26715"/>
      <w:bookmarkStart w:id="908" w:name="_Toc234833113"/>
      <w:r>
        <w:rPr>
          <w:rFonts w:hint="default" w:ascii="Times New Roman" w:hAnsi="Times New Roman" w:eastAsia="黑体" w:cs="Times New Roman"/>
          <w:b w:val="0"/>
          <w:sz w:val="28"/>
          <w:szCs w:val="28"/>
          <w:highlight w:val="none"/>
        </w:rPr>
        <w:t>23. 索赔</w:t>
      </w:r>
      <w:bookmarkEnd w:id="905"/>
      <w:bookmarkEnd w:id="906"/>
      <w:bookmarkEnd w:id="907"/>
      <w:bookmarkEnd w:id="908"/>
    </w:p>
    <w:p w14:paraId="500F5BAB">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909" w:name="_Toc8289"/>
      <w:bookmarkStart w:id="910" w:name="_Toc3879"/>
      <w:bookmarkStart w:id="911" w:name="_Toc234833114"/>
      <w:bookmarkStart w:id="912" w:name="_Toc11348"/>
      <w:r>
        <w:rPr>
          <w:rFonts w:hint="default" w:ascii="Times New Roman" w:hAnsi="Times New Roman" w:eastAsia="黑体" w:cs="Times New Roman"/>
          <w:b w:val="0"/>
          <w:sz w:val="24"/>
          <w:szCs w:val="24"/>
          <w:highlight w:val="none"/>
        </w:rPr>
        <w:t>23.1 承包人索赔的提出</w:t>
      </w:r>
      <w:bookmarkEnd w:id="909"/>
      <w:bookmarkEnd w:id="910"/>
      <w:bookmarkEnd w:id="911"/>
      <w:bookmarkEnd w:id="912"/>
    </w:p>
    <w:p w14:paraId="77C590C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根据合同约定，承包人认为有权得到追加付款和（或）延长工期的，应按以下程序向发包人提出索赔：</w:t>
      </w:r>
    </w:p>
    <w:p w14:paraId="7A3D2063">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（1）承包人应在知道或应当知道索赔事件发生后28天内，向监理人递交索赔意向通知书，并说明发生索赔事件的事由。承包人未在前述28天内发出索赔意向通知书的，丧失要求追加付款和（或）延长工期的权利；</w:t>
      </w:r>
    </w:p>
    <w:p w14:paraId="546B16F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（2）承包人应在发出索赔意向通知书后28天内，向监理人正式递交索赔通知书。索赔通知书应详细说明索赔理由以及要求追加的付款金额和（或）延长的工期，并附必要的记录和证明材料；</w:t>
      </w:r>
    </w:p>
    <w:p w14:paraId="6AC0AB63">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（3）索赔事件具有连续影响的，承包人应按合理时间间隔继续递交延续索赔通知，说明连续影响的实际情况和记录，列出累计的追加付款金额和（或）工期延长天数；</w:t>
      </w:r>
    </w:p>
    <w:p w14:paraId="22F6839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（4）在索赔事件影响结束后的28天内，承包人应向监理人递交最终索赔通知书，说明最终要求索赔的追加付款金额和延长的工期，并附必要的记录和证明材料。</w:t>
      </w:r>
    </w:p>
    <w:p w14:paraId="263848BF">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913" w:name="_Toc17762"/>
      <w:bookmarkStart w:id="914" w:name="_Toc31313"/>
      <w:bookmarkStart w:id="915" w:name="_Toc31104"/>
      <w:bookmarkStart w:id="916" w:name="_Toc234833115"/>
      <w:r>
        <w:rPr>
          <w:rFonts w:hint="default" w:ascii="Times New Roman" w:hAnsi="Times New Roman" w:eastAsia="黑体" w:cs="Times New Roman"/>
          <w:b w:val="0"/>
          <w:sz w:val="24"/>
          <w:szCs w:val="24"/>
          <w:highlight w:val="none"/>
        </w:rPr>
        <w:t>23.2 承包人索赔处理程序</w:t>
      </w:r>
      <w:bookmarkEnd w:id="913"/>
      <w:bookmarkEnd w:id="914"/>
      <w:bookmarkEnd w:id="915"/>
      <w:bookmarkEnd w:id="916"/>
    </w:p>
    <w:p w14:paraId="02694BC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（1）监理人收到承包人提交的索赔通知书后，应及时审查索赔通知书的内容、查验承包人的记录和证明材料，必要时监理人可要求承包人提交全部原始记录副本。</w:t>
      </w:r>
    </w:p>
    <w:p w14:paraId="75CFE6E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（2）监理人应按第3.5款商定或确定追加的付款和（或）延长的工期，并在收到上述索赔通知书或有关索赔的进一步证明材料后的42天内，将索赔处理结果答复承包人。</w:t>
      </w:r>
    </w:p>
    <w:p w14:paraId="19124033">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（3）承包人接受索赔处理结果的，发包人应在作出索赔处理结果答复后28天内完成赔付。承包人不接受索赔处理结果的，按第24条的约定办理。</w:t>
      </w:r>
    </w:p>
    <w:p w14:paraId="7C179BE5">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917" w:name="_Toc19947"/>
      <w:bookmarkStart w:id="918" w:name="_Toc616"/>
      <w:bookmarkStart w:id="919" w:name="_Toc234833116"/>
      <w:bookmarkStart w:id="920" w:name="_Toc29287"/>
      <w:r>
        <w:rPr>
          <w:rFonts w:hint="default" w:ascii="Times New Roman" w:hAnsi="Times New Roman" w:eastAsia="黑体" w:cs="Times New Roman"/>
          <w:b w:val="0"/>
          <w:sz w:val="24"/>
          <w:szCs w:val="24"/>
          <w:highlight w:val="none"/>
        </w:rPr>
        <w:t>23.3 承包人提出索赔的期限</w:t>
      </w:r>
      <w:bookmarkEnd w:id="917"/>
      <w:bookmarkEnd w:id="918"/>
      <w:bookmarkEnd w:id="919"/>
      <w:bookmarkEnd w:id="920"/>
    </w:p>
    <w:p w14:paraId="1ADBB0C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23.3.1 承包人按第17.5款的约定接受了竣工付款证书后，应被认为已无权再提出在合同工程接收证书颁发前所发生的任何索赔。</w:t>
      </w:r>
    </w:p>
    <w:p w14:paraId="1EDC4C0E">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23.3.2 承包人按第17.6款的约定提交的最终结清申请单中，只限于提出工程接收证书颁发后发生的索赔。提出索赔的期限自接受最终结清证书时终止。</w:t>
      </w:r>
    </w:p>
    <w:p w14:paraId="22E9CDCC">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921" w:name="_Toc234833117"/>
      <w:bookmarkStart w:id="922" w:name="_Toc9058"/>
      <w:bookmarkStart w:id="923" w:name="_Toc6220"/>
      <w:bookmarkStart w:id="924" w:name="_Toc9765"/>
      <w:r>
        <w:rPr>
          <w:rFonts w:hint="default" w:ascii="Times New Roman" w:hAnsi="Times New Roman" w:eastAsia="黑体" w:cs="Times New Roman"/>
          <w:b w:val="0"/>
          <w:sz w:val="24"/>
          <w:szCs w:val="24"/>
          <w:highlight w:val="none"/>
        </w:rPr>
        <w:t>23.4 发包人的索赔</w:t>
      </w:r>
      <w:bookmarkEnd w:id="921"/>
      <w:bookmarkEnd w:id="922"/>
      <w:bookmarkEnd w:id="923"/>
      <w:bookmarkEnd w:id="924"/>
      <w:r>
        <w:rPr>
          <w:rFonts w:hint="default" w:ascii="Times New Roman" w:hAnsi="Times New Roman" w:eastAsia="黑体" w:cs="Times New Roman"/>
          <w:b w:val="0"/>
          <w:sz w:val="24"/>
          <w:szCs w:val="24"/>
          <w:highlight w:val="none"/>
        </w:rPr>
        <w:t xml:space="preserve">                            </w:t>
      </w:r>
    </w:p>
    <w:p w14:paraId="1ABFC30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23.4.1 发生索赔事件后，监理人应及时书面通知承包人，详细说明发包人有权得到的索赔金额和（或）延长缺陷责任期的细节和依据。发包人提出索赔的期限和要求与第23.3款的约定相同，延长缺陷责任期的通知应在缺陷责任期届满前发出。</w:t>
      </w:r>
    </w:p>
    <w:p w14:paraId="6197B7E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23.4.2 监理人按第3.5款商定或确定发包人从承包人处得到赔付的金额和（或）缺陷责任期的延长期。承包人应付给发包人的金额可从拟支付给承包人的合同价款中扣除，或由承包人以其他方式支付给发包人。</w:t>
      </w:r>
    </w:p>
    <w:p w14:paraId="79230DF4">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925" w:name="_Toc234833118"/>
      <w:bookmarkStart w:id="926" w:name="_Toc31922"/>
      <w:bookmarkStart w:id="927" w:name="_Toc18063"/>
      <w:bookmarkStart w:id="928" w:name="_Toc27984"/>
      <w:r>
        <w:rPr>
          <w:rFonts w:hint="default" w:ascii="Times New Roman" w:hAnsi="Times New Roman" w:eastAsia="黑体" w:cs="Times New Roman"/>
          <w:b w:val="0"/>
          <w:sz w:val="28"/>
          <w:szCs w:val="28"/>
          <w:highlight w:val="none"/>
        </w:rPr>
        <w:t>24. 争议的解决</w:t>
      </w:r>
      <w:bookmarkEnd w:id="925"/>
      <w:bookmarkEnd w:id="926"/>
      <w:bookmarkEnd w:id="927"/>
      <w:bookmarkEnd w:id="928"/>
    </w:p>
    <w:p w14:paraId="24D95837">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929" w:name="_Toc24347"/>
      <w:bookmarkStart w:id="930" w:name="_Toc234833119"/>
      <w:bookmarkStart w:id="931" w:name="_Toc1723"/>
      <w:bookmarkStart w:id="932" w:name="_Toc32049"/>
      <w:r>
        <w:rPr>
          <w:rFonts w:hint="default" w:ascii="Times New Roman" w:hAnsi="Times New Roman" w:eastAsia="黑体" w:cs="Times New Roman"/>
          <w:b w:val="0"/>
          <w:sz w:val="24"/>
          <w:szCs w:val="24"/>
          <w:highlight w:val="none"/>
        </w:rPr>
        <w:t>24.1 争议的解决方式</w:t>
      </w:r>
      <w:bookmarkEnd w:id="929"/>
      <w:bookmarkEnd w:id="930"/>
      <w:bookmarkEnd w:id="931"/>
      <w:bookmarkEnd w:id="932"/>
    </w:p>
    <w:p w14:paraId="4B76EF3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发包人和承包人在履行合同中发生争议的，可以友好协商解决或者提请争议评审组评审。合同当事人友好协商解决不成、不愿提请争议评审或者不接受争议评审组意见的，可在专用合同条款中约定下列一种方式解决：</w:t>
      </w:r>
    </w:p>
    <w:p w14:paraId="040D5DC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（1）向约定的仲裁委员会申请仲裁；</w:t>
      </w:r>
    </w:p>
    <w:p w14:paraId="794EBA22">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（2）向有管辖权的人民法院提起诉讼。</w:t>
      </w:r>
    </w:p>
    <w:p w14:paraId="6FAFA85D">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933" w:name="_Toc4677"/>
      <w:bookmarkStart w:id="934" w:name="_Toc234833120"/>
      <w:bookmarkStart w:id="935" w:name="_Toc25066"/>
      <w:bookmarkStart w:id="936" w:name="_Toc21235"/>
      <w:r>
        <w:rPr>
          <w:rFonts w:hint="default" w:ascii="Times New Roman" w:hAnsi="Times New Roman" w:eastAsia="黑体" w:cs="Times New Roman"/>
          <w:b w:val="0"/>
          <w:sz w:val="24"/>
          <w:szCs w:val="24"/>
          <w:highlight w:val="none"/>
        </w:rPr>
        <w:t>24.2 友好解决</w:t>
      </w:r>
      <w:bookmarkEnd w:id="933"/>
      <w:bookmarkEnd w:id="934"/>
      <w:bookmarkEnd w:id="935"/>
      <w:bookmarkEnd w:id="936"/>
    </w:p>
    <w:p w14:paraId="7938FEC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在提请争议评审、仲裁或者诉讼前，以及在争议评审、仲裁或诉讼过程中，发包人和承包人均可共同努力友好协商解决争议。</w:t>
      </w:r>
    </w:p>
    <w:p w14:paraId="28214939">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937" w:name="_Toc234833121"/>
      <w:bookmarkStart w:id="938" w:name="_Toc24796"/>
      <w:bookmarkStart w:id="939" w:name="_Toc17586"/>
      <w:bookmarkStart w:id="940" w:name="_Toc15386"/>
      <w:r>
        <w:rPr>
          <w:rFonts w:hint="default" w:ascii="Times New Roman" w:hAnsi="Times New Roman" w:eastAsia="黑体" w:cs="Times New Roman"/>
          <w:b w:val="0"/>
          <w:sz w:val="24"/>
          <w:szCs w:val="24"/>
          <w:highlight w:val="none"/>
        </w:rPr>
        <w:t>24.3 争议评审</w:t>
      </w:r>
      <w:bookmarkEnd w:id="937"/>
      <w:bookmarkEnd w:id="938"/>
      <w:bookmarkEnd w:id="939"/>
      <w:bookmarkEnd w:id="940"/>
    </w:p>
    <w:p w14:paraId="5B95592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24.3.1采用争议评审的，发包人和承包人应在开工日后的28天内或在争议发生后，协商成立争议评审组。争议评审组由有合同管理和工程实践经验的专家组成。</w:t>
      </w:r>
    </w:p>
    <w:p w14:paraId="0D8551E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24.3.2 合同双方的争议，应首先由申请人向争议评审组提交一份详细的评审申请报告，并附必要的文件、图纸和证明材料，申请人还应将上述报告的副本同时提交给被申请人和监理人。</w:t>
      </w:r>
    </w:p>
    <w:p w14:paraId="3701B2F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24.3.3 被申请人在收到申请人评审申请报告副本后的28天内，向争议评审组提交一份答辩报告，并附证明材料。被申请人应将答辩报告的副本同时提交给申请人和监理人。</w:t>
      </w:r>
    </w:p>
    <w:p w14:paraId="32B06BE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24.3.4 除专用合同条款另有约定外，争议评审组在收到合同双方报告后的14天内，邀请双方代表和有关人员举行调查会，向双方调查争议细节；必要时争议评审组可要求双方进一步提供补充材料。</w:t>
      </w:r>
    </w:p>
    <w:p w14:paraId="6A0BA31E">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24.3.5 除专用合同条款另有约定外，在调查会结束后的14天内，争议评审组应在不受任何干扰的情况下进行独立、公正的评审，作出书面评审意见，并说明理由。在争议评审期间，争议双方暂按总监理工程师的确定执行。</w:t>
      </w:r>
    </w:p>
    <w:p w14:paraId="4294EA73">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24.3.6 发包人和承包人接受评审意见的，由监理人根据评审意见拟定执行协议，经争议双方签字后作为合同的补充文件，并遵照执行。</w:t>
      </w:r>
    </w:p>
    <w:p w14:paraId="2204E8B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24.3.7 发包人或承包人不接受评审意见，并要求提交仲裁或提起诉讼的，应在收到评审意见后的14天内将仲裁或起诉意向书面通知另一方，并抄送监理人，但在仲裁或诉讼结束前应暂按总监理工程师的确定执行。</w:t>
      </w:r>
    </w:p>
    <w:p w14:paraId="5979710C">
      <w:pPr>
        <w:pageBreakBefore w:val="0"/>
        <w:kinsoku/>
        <w:wordWrap w:val="0"/>
        <w:bidi w:val="0"/>
        <w:spacing w:line="440" w:lineRule="exact"/>
        <w:ind w:firstLine="392" w:firstLineChars="196"/>
        <w:rPr>
          <w:rFonts w:hint="default" w:ascii="Times New Roman" w:hAnsi="Times New Roman" w:cs="Times New Roman"/>
          <w:sz w:val="20"/>
          <w:szCs w:val="20"/>
          <w:highlight w:val="none"/>
        </w:rPr>
      </w:pPr>
    </w:p>
    <w:p w14:paraId="18F4BE86">
      <w:pPr>
        <w:pageBreakBefore w:val="0"/>
        <w:kinsoku/>
        <w:wordWrap w:val="0"/>
        <w:bidi w:val="0"/>
        <w:spacing w:line="440" w:lineRule="exact"/>
        <w:ind w:firstLine="392" w:firstLineChars="196"/>
        <w:rPr>
          <w:rFonts w:hint="default" w:ascii="Times New Roman" w:hAnsi="Times New Roman" w:cs="Times New Roman"/>
          <w:sz w:val="20"/>
          <w:szCs w:val="20"/>
          <w:highlight w:val="none"/>
        </w:rPr>
      </w:pPr>
    </w:p>
    <w:p w14:paraId="32C9B431">
      <w:pPr>
        <w:pageBreakBefore w:val="0"/>
        <w:kinsoku/>
        <w:wordWrap w:val="0"/>
        <w:bidi w:val="0"/>
        <w:spacing w:line="440" w:lineRule="exact"/>
        <w:ind w:firstLine="392" w:firstLineChars="196"/>
        <w:rPr>
          <w:rFonts w:hint="default" w:ascii="Times New Roman" w:hAnsi="Times New Roman" w:cs="Times New Roman"/>
          <w:sz w:val="20"/>
          <w:szCs w:val="20"/>
          <w:highlight w:val="none"/>
        </w:rPr>
      </w:pPr>
    </w:p>
    <w:p w14:paraId="1CC4735B">
      <w:pPr>
        <w:pageBreakBefore w:val="0"/>
        <w:kinsoku/>
        <w:wordWrap w:val="0"/>
        <w:bidi w:val="0"/>
        <w:spacing w:before="240" w:after="240" w:line="380" w:lineRule="atLeast"/>
        <w:outlineLvl w:val="9"/>
        <w:rPr>
          <w:rFonts w:hint="default" w:ascii="Times New Roman" w:hAnsi="Times New Roman" w:cs="Times New Roman"/>
          <w:sz w:val="20"/>
          <w:szCs w:val="20"/>
          <w:highlight w:val="none"/>
        </w:rPr>
      </w:pPr>
    </w:p>
    <w:p w14:paraId="568F8798">
      <w:pPr>
        <w:pageBreakBefore w:val="0"/>
        <w:kinsoku/>
        <w:wordWrap w:val="0"/>
        <w:bidi w:val="0"/>
        <w:spacing w:line="440" w:lineRule="exact"/>
        <w:jc w:val="center"/>
        <w:rPr>
          <w:rFonts w:hint="default" w:ascii="Times New Roman" w:hAnsi="Times New Roman" w:eastAsia="黑体" w:cs="Times New Roman"/>
          <w:sz w:val="29"/>
          <w:szCs w:val="29"/>
          <w:highlight w:val="none"/>
        </w:rPr>
      </w:pPr>
      <w:r>
        <w:rPr>
          <w:rFonts w:hint="default" w:ascii="Times New Roman" w:hAnsi="Times New Roman" w:eastAsia="黑体" w:cs="Times New Roman"/>
          <w:sz w:val="32"/>
          <w:szCs w:val="32"/>
          <w:highlight w:val="none"/>
        </w:rPr>
        <w:br w:type="page"/>
      </w:r>
      <w:bookmarkStart w:id="941" w:name="_Toc234833122"/>
    </w:p>
    <w:p w14:paraId="71485B0D">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4BAF2001">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5A9083E8">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1213865F">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4E91C017">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789B57DB">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72AB38DC">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792557A2">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1A63F12A">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65E12389">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4B78D64B">
      <w:pPr>
        <w:pStyle w:val="2"/>
        <w:pageBreakBefore w:val="0"/>
        <w:kinsoku/>
        <w:wordWrap w:val="0"/>
        <w:bidi w:val="0"/>
        <w:spacing w:before="240" w:after="240" w:line="380" w:lineRule="atLeast"/>
        <w:jc w:val="center"/>
        <w:rPr>
          <w:rFonts w:hint="default" w:ascii="Times New Roman" w:hAnsi="Times New Roman" w:eastAsia="黑体" w:cs="Times New Roman"/>
          <w:b w:val="0"/>
          <w:sz w:val="42"/>
          <w:szCs w:val="42"/>
          <w:highlight w:val="none"/>
        </w:rPr>
      </w:pPr>
      <w:bookmarkStart w:id="942" w:name="_Toc28131"/>
      <w:bookmarkStart w:id="943" w:name="_Toc22779"/>
      <w:r>
        <w:rPr>
          <w:rFonts w:hint="default" w:ascii="Times New Roman" w:hAnsi="Times New Roman" w:eastAsia="黑体" w:cs="Times New Roman"/>
          <w:b w:val="0"/>
          <w:sz w:val="42"/>
          <w:szCs w:val="42"/>
          <w:highlight w:val="none"/>
        </w:rPr>
        <w:t>第二节  专用合同条款</w:t>
      </w:r>
      <w:bookmarkEnd w:id="941"/>
      <w:bookmarkEnd w:id="942"/>
      <w:bookmarkEnd w:id="943"/>
    </w:p>
    <w:p w14:paraId="640DEDC5">
      <w:pPr>
        <w:pStyle w:val="2"/>
        <w:pageBreakBefore w:val="0"/>
        <w:kinsoku/>
        <w:wordWrap w:val="0"/>
        <w:bidi w:val="0"/>
        <w:spacing w:before="240" w:after="240" w:line="380" w:lineRule="atLeast"/>
        <w:jc w:val="center"/>
        <w:rPr>
          <w:rFonts w:hint="default" w:ascii="Times New Roman" w:hAnsi="Times New Roman" w:eastAsia="黑体" w:cs="Times New Roman"/>
          <w:b w:val="0"/>
          <w:sz w:val="32"/>
          <w:szCs w:val="32"/>
          <w:highlight w:val="none"/>
        </w:rPr>
      </w:pPr>
      <w:r>
        <w:rPr>
          <w:rFonts w:hint="default" w:ascii="Times New Roman" w:hAnsi="Times New Roman" w:eastAsia="黑体" w:cs="Times New Roman"/>
          <w:b w:val="0"/>
          <w:sz w:val="32"/>
          <w:szCs w:val="32"/>
          <w:highlight w:val="none"/>
        </w:rPr>
        <w:br w:type="page"/>
      </w:r>
      <w:bookmarkStart w:id="944" w:name="_Toc7911"/>
      <w:bookmarkStart w:id="945" w:name="_Toc22882"/>
      <w:bookmarkStart w:id="946" w:name="_Toc234833123"/>
      <w:r>
        <w:rPr>
          <w:rFonts w:hint="default" w:ascii="Times New Roman" w:hAnsi="Times New Roman" w:eastAsia="黑体" w:cs="Times New Roman"/>
          <w:b w:val="0"/>
          <w:sz w:val="32"/>
          <w:szCs w:val="32"/>
          <w:highlight w:val="none"/>
        </w:rPr>
        <w:t>A. 公路工程专用合同条款</w:t>
      </w:r>
      <w:bookmarkEnd w:id="944"/>
      <w:bookmarkEnd w:id="945"/>
      <w:bookmarkEnd w:id="946"/>
    </w:p>
    <w:p w14:paraId="717447F0">
      <w:pPr>
        <w:pageBreakBefore w:val="0"/>
        <w:kinsoku/>
        <w:wordWrap w:val="0"/>
        <w:bidi w:val="0"/>
        <w:spacing w:before="240" w:after="240" w:line="380" w:lineRule="atLeast"/>
        <w:outlineLvl w:val="9"/>
        <w:rPr>
          <w:rFonts w:hint="default" w:ascii="Times New Roman" w:hAnsi="Times New Roman" w:eastAsia="黑体" w:cs="Times New Roman"/>
          <w:b w:val="0"/>
          <w:sz w:val="24"/>
          <w:szCs w:val="24"/>
          <w:highlight w:val="none"/>
        </w:rPr>
      </w:pPr>
    </w:p>
    <w:p w14:paraId="0881CB52">
      <w:pPr>
        <w:pStyle w:val="2"/>
        <w:pageBreakBefore w:val="0"/>
        <w:kinsoku/>
        <w:wordWrap w:val="0"/>
        <w:bidi w:val="0"/>
        <w:spacing w:before="240" w:after="240" w:line="380" w:lineRule="atLeast"/>
        <w:rPr>
          <w:rFonts w:hint="default" w:ascii="Times New Roman" w:hAnsi="Times New Roman" w:eastAsia="黑体" w:cs="Times New Roman"/>
          <w:b w:val="0"/>
          <w:sz w:val="28"/>
          <w:szCs w:val="28"/>
          <w:highlight w:val="none"/>
        </w:rPr>
      </w:pPr>
      <w:bookmarkStart w:id="947" w:name="_Toc234833124"/>
      <w:bookmarkStart w:id="948" w:name="_Toc8341"/>
      <w:bookmarkStart w:id="949" w:name="_Toc18793"/>
      <w:bookmarkStart w:id="950" w:name="_Toc25199"/>
      <w:r>
        <w:rPr>
          <w:rFonts w:hint="default" w:ascii="Times New Roman" w:hAnsi="Times New Roman" w:eastAsia="黑体" w:cs="Times New Roman"/>
          <w:b w:val="0"/>
          <w:sz w:val="28"/>
          <w:szCs w:val="28"/>
          <w:highlight w:val="none"/>
        </w:rPr>
        <w:t>1. 一般约定</w:t>
      </w:r>
      <w:bookmarkEnd w:id="947"/>
      <w:bookmarkEnd w:id="948"/>
      <w:bookmarkEnd w:id="949"/>
      <w:bookmarkEnd w:id="950"/>
      <w:r>
        <w:rPr>
          <w:rFonts w:hint="default" w:ascii="Times New Roman" w:hAnsi="Times New Roman" w:eastAsia="黑体" w:cs="Times New Roman"/>
          <w:b w:val="0"/>
          <w:sz w:val="28"/>
          <w:szCs w:val="28"/>
          <w:highlight w:val="none"/>
        </w:rPr>
        <w:tab/>
      </w:r>
    </w:p>
    <w:p w14:paraId="4DBDDA55">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951" w:name="_Toc9796"/>
      <w:bookmarkStart w:id="952" w:name="_Toc22285"/>
      <w:bookmarkStart w:id="953" w:name="_Toc12594"/>
      <w:bookmarkStart w:id="954" w:name="_Toc234833125"/>
      <w:r>
        <w:rPr>
          <w:rFonts w:hint="default" w:ascii="Times New Roman" w:hAnsi="Times New Roman" w:eastAsia="黑体" w:cs="Times New Roman"/>
          <w:b w:val="0"/>
          <w:sz w:val="24"/>
          <w:szCs w:val="24"/>
          <w:highlight w:val="none"/>
        </w:rPr>
        <w:t>1.1</w:t>
      </w:r>
      <w:r>
        <w:rPr>
          <w:rFonts w:hint="default" w:ascii="Times New Roman" w:hAnsi="Times New Roman" w:eastAsia="黑体" w:cs="Times New Roman"/>
          <w:b w:val="0"/>
          <w:sz w:val="24"/>
          <w:szCs w:val="24"/>
          <w:highlight w:val="none"/>
        </w:rPr>
        <w:tab/>
      </w:r>
      <w:r>
        <w:rPr>
          <w:rFonts w:hint="default" w:ascii="Times New Roman" w:hAnsi="Times New Roman" w:eastAsia="黑体" w:cs="Times New Roman"/>
          <w:b w:val="0"/>
          <w:sz w:val="24"/>
          <w:szCs w:val="24"/>
          <w:highlight w:val="none"/>
        </w:rPr>
        <w:t>词语定义</w:t>
      </w:r>
      <w:bookmarkEnd w:id="951"/>
      <w:bookmarkEnd w:id="952"/>
      <w:bookmarkEnd w:id="953"/>
      <w:bookmarkEnd w:id="954"/>
    </w:p>
    <w:p w14:paraId="4688BDAE">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1.1.1 </w:t>
      </w:r>
      <w:r>
        <w:rPr>
          <w:rFonts w:hint="default" w:ascii="Times New Roman" w:hAnsi="Times New Roman" w:eastAsia="黑体" w:cs="Times New Roman"/>
          <w:sz w:val="24"/>
          <w:highlight w:val="none"/>
        </w:rPr>
        <w:t>合同</w:t>
      </w:r>
    </w:p>
    <w:p w14:paraId="3B93218D">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第1.1.1.6目细化为：</w:t>
      </w:r>
    </w:p>
    <w:p w14:paraId="14934C07">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技术规范：指本合同所约定的技术标准和要求，是合同文件的组成部分。通用合同条款中</w:t>
      </w:r>
      <w:r>
        <w:rPr>
          <w:rFonts w:hint="eastAsia" w:ascii="宋体" w:hAnsi="宋体" w:eastAsia="宋体" w:cs="宋体"/>
          <w:sz w:val="24"/>
          <w:highlight w:val="none"/>
        </w:rPr>
        <w:t>“</w:t>
      </w:r>
      <w:r>
        <w:rPr>
          <w:rFonts w:hint="default" w:ascii="Times New Roman" w:hAnsi="Times New Roman" w:cs="Times New Roman"/>
          <w:sz w:val="24"/>
          <w:highlight w:val="none"/>
        </w:rPr>
        <w:t>技术标准和要求</w:t>
      </w:r>
      <w:r>
        <w:rPr>
          <w:rFonts w:hint="eastAsia" w:ascii="宋体" w:hAnsi="宋体" w:eastAsia="宋体" w:cs="宋体"/>
          <w:sz w:val="24"/>
          <w:highlight w:val="none"/>
        </w:rPr>
        <w:t>”</w:t>
      </w:r>
      <w:r>
        <w:rPr>
          <w:rFonts w:hint="default" w:ascii="Times New Roman" w:hAnsi="Times New Roman" w:cs="Times New Roman"/>
          <w:sz w:val="24"/>
          <w:highlight w:val="none"/>
        </w:rPr>
        <w:t>一词具有相同含义。</w:t>
      </w:r>
    </w:p>
    <w:p w14:paraId="4798E43F">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第1.1.1.8目细化为：</w:t>
      </w:r>
    </w:p>
    <w:p w14:paraId="61D9E6AF">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已标价工程量清单：指构成合同文件组成部分的已标明价格、经算术性错误修正及其他错误修正（如有）且承包人已确认的最终的工程量清单，包括工程量清单说明、投标报价说明、计日工说明、其他说明及工程量清单各项表格（工程量清单表5.1～表5.5）。</w:t>
      </w:r>
    </w:p>
    <w:p w14:paraId="45362812">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本项补充第1.1.1.10目：</w:t>
      </w:r>
    </w:p>
    <w:p w14:paraId="3462D0A2">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1.1.1.10 补遗书：指发出招标文件之后由招标人向已取得招标文件的投标人发出的、编号的对招标文件所作的澄清、修改书。</w:t>
      </w:r>
    </w:p>
    <w:p w14:paraId="2D29849A">
      <w:pPr>
        <w:pageBreakBefore w:val="0"/>
        <w:kinsoku/>
        <w:wordWrap w:val="0"/>
        <w:bidi w:val="0"/>
        <w:spacing w:line="400" w:lineRule="atLeast"/>
        <w:ind w:firstLine="480" w:firstLineChars="200"/>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1.1.2 </w:t>
      </w:r>
      <w:r>
        <w:rPr>
          <w:rFonts w:hint="default" w:ascii="Times New Roman" w:hAnsi="Times New Roman" w:eastAsia="黑体" w:cs="Times New Roman"/>
          <w:sz w:val="24"/>
          <w:highlight w:val="none"/>
        </w:rPr>
        <w:t>合同当事人和人员</w:t>
      </w:r>
    </w:p>
    <w:p w14:paraId="081E1592">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本项补充第1.1.2.8目：</w:t>
      </w:r>
    </w:p>
    <w:p w14:paraId="619E2CCA">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1.1.2.8 承包人项目总工：指由承包人书面委派常驻现场负责管理本合同工程的总工程师或技术总负责人。</w:t>
      </w:r>
    </w:p>
    <w:p w14:paraId="6283295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1.1.3 </w:t>
      </w:r>
      <w:r>
        <w:rPr>
          <w:rFonts w:hint="default" w:ascii="Times New Roman" w:hAnsi="Times New Roman" w:eastAsia="黑体" w:cs="Times New Roman"/>
          <w:sz w:val="24"/>
          <w:highlight w:val="none"/>
        </w:rPr>
        <w:t>工程和设备</w:t>
      </w:r>
    </w:p>
    <w:p w14:paraId="35DC26C9">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第1.1.3.4目细化为：</w:t>
      </w:r>
    </w:p>
    <w:p w14:paraId="1D3C7539">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单位工程：指在建设项目中，根据签订的合同，具有独立施工条件的工程。</w:t>
      </w:r>
    </w:p>
    <w:p w14:paraId="6C6A6338">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第1.1.3.10目细化为： </w:t>
      </w:r>
    </w:p>
    <w:p w14:paraId="576680EF">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永久占地：指为实施本合同工程而需要的一切永久占用的土地，包括公路两侧路权范围内的用地。</w:t>
      </w:r>
    </w:p>
    <w:p w14:paraId="68F12604">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第1.1.3.11目细化为：</w:t>
      </w:r>
    </w:p>
    <w:p w14:paraId="667C6147">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临时占地：指为实施本合同工程而需要的一切临时占用的土地，包括施工所用的临时支线、便道、便桥和现场的临时出入通道，以及生产（办公）、生活等临时设施用地等。</w:t>
      </w:r>
    </w:p>
    <w:p w14:paraId="1A0DF7E0">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本项补充第1.1.3.12目、第1.1.3.13目：</w:t>
      </w:r>
    </w:p>
    <w:p w14:paraId="22C452E4">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1.1.3.12 分部工程：指在单位工程中，按结构部位、路段长度及施工特点或施工任务划分的若干个工程。</w:t>
      </w:r>
    </w:p>
    <w:p w14:paraId="1B963E5F">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1.1.3.13 分项工程：指在分部工程中，按不同的施工方法、材料、工序及路段长度等划分的若干个工程。</w:t>
      </w:r>
    </w:p>
    <w:p w14:paraId="2BDD0783">
      <w:pPr>
        <w:pageBreakBefore w:val="0"/>
        <w:kinsoku/>
        <w:wordWrap w:val="0"/>
        <w:bidi w:val="0"/>
        <w:spacing w:line="400" w:lineRule="atLeast"/>
        <w:ind w:firstLine="470" w:firstLineChars="196"/>
        <w:rPr>
          <w:rFonts w:hint="default" w:ascii="Times New Roman" w:hAnsi="Times New Roman" w:cs="Times New Roman"/>
          <w:sz w:val="24"/>
          <w:highlight w:val="none"/>
        </w:rPr>
      </w:pPr>
      <w:bookmarkStart w:id="955" w:name="OLE_LINK18"/>
      <w:r>
        <w:rPr>
          <w:rFonts w:hint="default" w:ascii="Times New Roman" w:hAnsi="Times New Roman" w:cs="Times New Roman"/>
          <w:sz w:val="24"/>
          <w:highlight w:val="none"/>
        </w:rPr>
        <w:t xml:space="preserve">1.1.6 </w:t>
      </w:r>
      <w:r>
        <w:rPr>
          <w:rFonts w:hint="default" w:ascii="Times New Roman" w:hAnsi="Times New Roman" w:eastAsia="黑体" w:cs="Times New Roman"/>
          <w:sz w:val="24"/>
          <w:highlight w:val="none"/>
        </w:rPr>
        <w:t>其他</w:t>
      </w:r>
    </w:p>
    <w:p w14:paraId="105529E9">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本项补充第1.1.6.2目～第1.1.6.9目：</w:t>
      </w:r>
    </w:p>
    <w:p w14:paraId="6F1C39D0">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1.1.6.2 竣工验收：指《公路工程竣（交）工验收办法》中的竣工验收。通用合同条款中</w:t>
      </w:r>
      <w:r>
        <w:rPr>
          <w:rFonts w:hint="eastAsia" w:ascii="宋体" w:hAnsi="宋体" w:eastAsia="宋体" w:cs="宋体"/>
          <w:sz w:val="24"/>
          <w:highlight w:val="none"/>
        </w:rPr>
        <w:t>“</w:t>
      </w:r>
      <w:r>
        <w:rPr>
          <w:rFonts w:hint="default" w:ascii="Times New Roman" w:hAnsi="Times New Roman" w:cs="Times New Roman"/>
          <w:sz w:val="24"/>
          <w:highlight w:val="none"/>
        </w:rPr>
        <w:t>国家验收</w:t>
      </w:r>
      <w:r>
        <w:rPr>
          <w:rFonts w:hint="eastAsia" w:ascii="宋体" w:hAnsi="宋体" w:eastAsia="宋体" w:cs="宋体"/>
          <w:sz w:val="24"/>
          <w:highlight w:val="none"/>
        </w:rPr>
        <w:t>”</w:t>
      </w:r>
      <w:r>
        <w:rPr>
          <w:rFonts w:hint="default" w:ascii="Times New Roman" w:hAnsi="Times New Roman" w:cs="Times New Roman"/>
          <w:sz w:val="24"/>
          <w:highlight w:val="none"/>
        </w:rPr>
        <w:t>一词具有相同含义。</w:t>
      </w:r>
    </w:p>
    <w:p w14:paraId="4A57B78C">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1.1.6.3交工：指《公路工程竣（交）工验收办法》中的交工。通用合同条款中</w:t>
      </w:r>
      <w:r>
        <w:rPr>
          <w:rFonts w:hint="eastAsia" w:ascii="宋体" w:hAnsi="宋体" w:eastAsia="宋体" w:cs="宋体"/>
          <w:sz w:val="24"/>
          <w:highlight w:val="none"/>
        </w:rPr>
        <w:t>“</w:t>
      </w:r>
      <w:r>
        <w:rPr>
          <w:rFonts w:hint="default" w:ascii="Times New Roman" w:hAnsi="Times New Roman" w:cs="Times New Roman"/>
          <w:sz w:val="24"/>
          <w:highlight w:val="none"/>
        </w:rPr>
        <w:t>竣工</w:t>
      </w:r>
      <w:r>
        <w:rPr>
          <w:rFonts w:hint="eastAsia" w:ascii="宋体" w:hAnsi="宋体" w:eastAsia="宋体" w:cs="宋体"/>
          <w:sz w:val="24"/>
          <w:highlight w:val="none"/>
        </w:rPr>
        <w:t>”</w:t>
      </w:r>
      <w:r>
        <w:rPr>
          <w:rFonts w:hint="default" w:ascii="Times New Roman" w:hAnsi="Times New Roman" w:cs="Times New Roman"/>
          <w:sz w:val="24"/>
          <w:highlight w:val="none"/>
        </w:rPr>
        <w:t>一词具有相同含义。</w:t>
      </w:r>
    </w:p>
    <w:p w14:paraId="567D9399">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1.1.6.4交工验收：指《公路工程竣（交）工验收办法》中的交工验收。通用合同条款中</w:t>
      </w:r>
      <w:r>
        <w:rPr>
          <w:rFonts w:hint="eastAsia" w:ascii="宋体" w:hAnsi="宋体" w:eastAsia="宋体" w:cs="宋体"/>
          <w:sz w:val="24"/>
          <w:highlight w:val="none"/>
        </w:rPr>
        <w:t>“</w:t>
      </w:r>
      <w:r>
        <w:rPr>
          <w:rFonts w:hint="default" w:ascii="Times New Roman" w:hAnsi="Times New Roman" w:cs="Times New Roman"/>
          <w:sz w:val="24"/>
          <w:highlight w:val="none"/>
        </w:rPr>
        <w:t>竣工验收</w:t>
      </w:r>
      <w:r>
        <w:rPr>
          <w:rFonts w:hint="eastAsia" w:ascii="宋体" w:hAnsi="宋体" w:eastAsia="宋体" w:cs="宋体"/>
          <w:sz w:val="24"/>
          <w:highlight w:val="none"/>
        </w:rPr>
        <w:t>”</w:t>
      </w:r>
      <w:r>
        <w:rPr>
          <w:rFonts w:hint="default" w:ascii="Times New Roman" w:hAnsi="Times New Roman" w:cs="Times New Roman"/>
          <w:sz w:val="24"/>
          <w:highlight w:val="none"/>
        </w:rPr>
        <w:t>一词具有相同含义。</w:t>
      </w:r>
    </w:p>
    <w:p w14:paraId="51AEC3B2">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1.1.6.5交工验收证书：指《公路工程竣（交）工验收办法》中的交工验收证书。通用合同条款中</w:t>
      </w:r>
      <w:r>
        <w:rPr>
          <w:rFonts w:hint="eastAsia" w:ascii="宋体" w:hAnsi="宋体" w:eastAsia="宋体" w:cs="宋体"/>
          <w:sz w:val="24"/>
          <w:highlight w:val="none"/>
        </w:rPr>
        <w:t>“</w:t>
      </w:r>
      <w:r>
        <w:rPr>
          <w:rFonts w:hint="default" w:ascii="Times New Roman" w:hAnsi="Times New Roman" w:cs="Times New Roman"/>
          <w:sz w:val="24"/>
          <w:highlight w:val="none"/>
        </w:rPr>
        <w:t>工程接收证书</w:t>
      </w:r>
      <w:r>
        <w:rPr>
          <w:rFonts w:hint="eastAsia" w:ascii="宋体" w:hAnsi="宋体" w:eastAsia="宋体" w:cs="宋体"/>
          <w:sz w:val="24"/>
          <w:highlight w:val="none"/>
        </w:rPr>
        <w:t>”</w:t>
      </w:r>
      <w:r>
        <w:rPr>
          <w:rFonts w:hint="default" w:ascii="Times New Roman" w:hAnsi="Times New Roman" w:cs="Times New Roman"/>
          <w:sz w:val="24"/>
          <w:highlight w:val="none"/>
        </w:rPr>
        <w:t>一词具有相同含义。</w:t>
      </w:r>
    </w:p>
    <w:bookmarkEnd w:id="955"/>
    <w:p w14:paraId="7844FD28">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1.1.6.6转包：指承包人违反法律和不履行合同规定的责任和义务，将中标工程全部委托或以专业分包的名义将中标工程肢解后全部委托给其他施工企业施工的行为。</w:t>
      </w:r>
    </w:p>
    <w:p w14:paraId="02D49994">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1.1.6.7专业分包：指承包人与具有相应资格的施工企业签订专业分包合同，由分包人承担承包人委托的分部工程、分项工程或适合专业化队伍施工的其他工程，整体结算，并能独立控制工程质量、施工进度、材料采购、生产安全的施工行为。</w:t>
      </w:r>
    </w:p>
    <w:p w14:paraId="636F063B">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1.1.6.8劳务分包：指承包人与具有施工劳务资质的劳务企业签订劳务分包合同，由劳务企业提供劳务人员及机具，由承包人统一组织施工、统一控制工程质量、施工进度、材料采购、生产安全的施工行为。</w:t>
      </w:r>
    </w:p>
    <w:p w14:paraId="28232235">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1.1.6.9雇用民工：指承包人与具有相应劳动能力的自然人签订劳动合同，由承包人统一组织管理，从事分项工程施工或配套工程施工的行为。</w:t>
      </w:r>
    </w:p>
    <w:p w14:paraId="4D9372BD">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956" w:name="_Toc1907"/>
      <w:bookmarkStart w:id="957" w:name="_Toc12998"/>
      <w:bookmarkStart w:id="958" w:name="_Toc20079"/>
      <w:bookmarkStart w:id="959" w:name="_Toc234833126"/>
      <w:r>
        <w:rPr>
          <w:rFonts w:hint="default" w:ascii="Times New Roman" w:hAnsi="Times New Roman" w:eastAsia="黑体" w:cs="Times New Roman"/>
          <w:b w:val="0"/>
          <w:sz w:val="24"/>
          <w:szCs w:val="24"/>
          <w:highlight w:val="none"/>
        </w:rPr>
        <w:t>1.4 合同文件的优先顺序</w:t>
      </w:r>
      <w:bookmarkEnd w:id="956"/>
      <w:bookmarkEnd w:id="957"/>
      <w:bookmarkEnd w:id="958"/>
      <w:bookmarkEnd w:id="959"/>
    </w:p>
    <w:p w14:paraId="7C7F37C0">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本款约定为：</w:t>
      </w:r>
    </w:p>
    <w:p w14:paraId="0F2E73A4">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组成合同的各项文件应互相解释，互为说明。除项目专用合同条款另有约定外，解释合同文件的优先顺序如下：</w:t>
      </w:r>
    </w:p>
    <w:p w14:paraId="342E3DDB">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（1）合同协议书及各种合同附件（含评标期间和合同谈判过程中的澄清文件和补充资料）；</w:t>
      </w:r>
    </w:p>
    <w:p w14:paraId="6BDD92D2">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（2）中标通知书；</w:t>
      </w:r>
    </w:p>
    <w:p w14:paraId="088978F0">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（3）投标函及投标函附录；</w:t>
      </w:r>
    </w:p>
    <w:p w14:paraId="2FC3E19B">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（4）项目专用合同条款；</w:t>
      </w:r>
    </w:p>
    <w:p w14:paraId="1A2C103B">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（5）公路工程专用合同条款；</w:t>
      </w:r>
    </w:p>
    <w:p w14:paraId="066951DE">
      <w:pPr>
        <w:pageBreakBefore w:val="0"/>
        <w:kinsoku/>
        <w:wordWrap w:val="0"/>
        <w:bidi w:val="0"/>
        <w:spacing w:line="400" w:lineRule="atLeast"/>
        <w:ind w:firstLine="480"/>
        <w:rPr>
          <w:rFonts w:hint="default" w:ascii="Times New Roman" w:hAnsi="Times New Roman" w:cs="Times New Roman"/>
          <w:sz w:val="24"/>
          <w:highlight w:val="none"/>
        </w:rPr>
      </w:pPr>
      <w:r>
        <w:rPr>
          <w:rFonts w:hint="default" w:ascii="Times New Roman" w:hAnsi="Times New Roman" w:cs="Times New Roman"/>
          <w:sz w:val="24"/>
          <w:highlight w:val="none"/>
        </w:rPr>
        <w:t>（6）通用合同条款；</w:t>
      </w:r>
    </w:p>
    <w:p w14:paraId="411CB65F">
      <w:pPr>
        <w:pageBreakBefore w:val="0"/>
        <w:kinsoku/>
        <w:wordWrap w:val="0"/>
        <w:bidi w:val="0"/>
        <w:spacing w:line="400" w:lineRule="atLeast"/>
        <w:ind w:firstLine="480"/>
        <w:rPr>
          <w:rFonts w:hint="default" w:ascii="Times New Roman" w:hAnsi="Times New Roman" w:cs="Times New Roman"/>
          <w:sz w:val="24"/>
          <w:highlight w:val="none"/>
        </w:rPr>
      </w:pPr>
      <w:r>
        <w:rPr>
          <w:rFonts w:hint="default" w:ascii="Times New Roman" w:hAnsi="Times New Roman" w:cs="Times New Roman"/>
          <w:sz w:val="24"/>
          <w:highlight w:val="none"/>
        </w:rPr>
        <w:t>（7）工程量清单计量规则；</w:t>
      </w:r>
    </w:p>
    <w:p w14:paraId="70B1CEA7">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（8）技术规范；</w:t>
      </w:r>
    </w:p>
    <w:p w14:paraId="2933F6A5">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（9）图纸；</w:t>
      </w:r>
    </w:p>
    <w:p w14:paraId="02C65276">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（10）已标价工程量清单；</w:t>
      </w:r>
    </w:p>
    <w:p w14:paraId="06069CEA">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（11）承包人有关人员、设备投入的承诺及投标文件中的施工组织设计；</w:t>
      </w:r>
    </w:p>
    <w:p w14:paraId="11181295">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（12）其他合同文件。</w:t>
      </w:r>
    </w:p>
    <w:p w14:paraId="707EAE71">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960" w:name="_Toc17521"/>
      <w:bookmarkStart w:id="961" w:name="_Toc7187"/>
      <w:bookmarkStart w:id="962" w:name="_Toc234833127"/>
      <w:bookmarkStart w:id="963" w:name="_Toc19791"/>
      <w:r>
        <w:rPr>
          <w:rFonts w:hint="default" w:ascii="Times New Roman" w:hAnsi="Times New Roman" w:eastAsia="黑体" w:cs="Times New Roman"/>
          <w:b w:val="0"/>
          <w:sz w:val="24"/>
          <w:szCs w:val="24"/>
          <w:highlight w:val="none"/>
        </w:rPr>
        <w:t>1.5 合同协议书</w:t>
      </w:r>
      <w:bookmarkEnd w:id="960"/>
      <w:bookmarkEnd w:id="961"/>
      <w:bookmarkEnd w:id="962"/>
      <w:bookmarkEnd w:id="963"/>
    </w:p>
    <w:p w14:paraId="0D173977">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本款补充：</w:t>
      </w:r>
    </w:p>
    <w:p w14:paraId="16DE0AE2">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制备本合同文件的费用由发包人承担。在合同协议书签订并生效之前，投标函和中标通知书将对双方具有约束力。</w:t>
      </w:r>
    </w:p>
    <w:p w14:paraId="0DF9A9FF">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964" w:name="_Toc234833128"/>
      <w:bookmarkStart w:id="965" w:name="_Toc2156"/>
      <w:bookmarkStart w:id="966" w:name="_Toc5981"/>
      <w:bookmarkStart w:id="967" w:name="_Toc9543"/>
      <w:r>
        <w:rPr>
          <w:rFonts w:hint="default" w:ascii="Times New Roman" w:hAnsi="Times New Roman" w:eastAsia="黑体" w:cs="Times New Roman"/>
          <w:b w:val="0"/>
          <w:sz w:val="24"/>
          <w:szCs w:val="24"/>
          <w:highlight w:val="none"/>
        </w:rPr>
        <w:t>1.6 图纸和承包人文件</w:t>
      </w:r>
      <w:bookmarkEnd w:id="964"/>
      <w:bookmarkEnd w:id="965"/>
      <w:bookmarkEnd w:id="966"/>
      <w:bookmarkEnd w:id="967"/>
    </w:p>
    <w:p w14:paraId="6C741D51">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1.6.1 </w:t>
      </w:r>
      <w:r>
        <w:rPr>
          <w:rFonts w:hint="default" w:ascii="Times New Roman" w:hAnsi="Times New Roman" w:eastAsia="黑体" w:cs="Times New Roman"/>
          <w:sz w:val="24"/>
          <w:highlight w:val="none"/>
        </w:rPr>
        <w:t>图纸的提供</w:t>
      </w:r>
    </w:p>
    <w:p w14:paraId="294C8AAC">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本项细化为：</w:t>
      </w:r>
    </w:p>
    <w:p w14:paraId="682A0F18">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监理人应在发出中标通知书之后42天内，向承包人免费提供由发包人或其委托的设计单位设计的施工图纸、技术规范和其他技术资料2份，并向承包人进行技术交底。承包人需要更多份数时，应自费复制。由于发包人未按时提供图纸造成工期延误的，按第11.3款的约定办理。</w:t>
      </w:r>
    </w:p>
    <w:p w14:paraId="2A678F0B">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1.6.2</w:t>
      </w:r>
      <w:r>
        <w:rPr>
          <w:rFonts w:hint="default" w:ascii="Times New Roman" w:hAnsi="Times New Roman" w:eastAsia="黑体" w:cs="Times New Roman"/>
          <w:sz w:val="24"/>
          <w:highlight w:val="none"/>
        </w:rPr>
        <w:t xml:space="preserve"> 承包人提供的文件</w:t>
      </w:r>
    </w:p>
    <w:p w14:paraId="5B1809C0">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本项细化为：</w:t>
      </w:r>
    </w:p>
    <w:p w14:paraId="2D07FDB2">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有下列情形之一的，承包人应免费向监理人提交相关部分工程的施工图纸3份，并附必要的计算书、技术资料，或施工工艺图、设备安装图及安装设备的使用和维护手册各2份供监理人批准。</w:t>
      </w:r>
    </w:p>
    <w:p w14:paraId="2AFBDE25">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（1）为使第1.6.1项所述的施工图纸适合于经施工测量后的纵、横断面；</w:t>
      </w:r>
    </w:p>
    <w:p w14:paraId="220CE587">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（2）为使第1.6.1项所述的施工图纸适合于现场具体地形；</w:t>
      </w:r>
    </w:p>
    <w:p w14:paraId="141CDEF8">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（3）为使第1.6.1项所述的施工图纸适合于因尺寸与位置变化而引起局部变更；</w:t>
      </w:r>
    </w:p>
    <w:p w14:paraId="065C62F0">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（4）由于合同要求与施工需要。</w:t>
      </w:r>
    </w:p>
    <w:p w14:paraId="2B54F9B3">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此类图纸应按监理人规定的格式和图幅绘制。监理人在收到由承包人绘制的上述工程、工艺图纸、计算书和有关技术资料后14天内应予批准或提出修改要求，承包人应按监理人提出的要求作出修改，重新向监理人提交，监理人应在7天内批准或提出进一步的修改意见。</w:t>
      </w:r>
    </w:p>
    <w:p w14:paraId="24F4FBC3">
      <w:pPr>
        <w:pageBreakBefore w:val="0"/>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 xml:space="preserve">1.6.4 </w:t>
      </w:r>
      <w:r>
        <w:rPr>
          <w:rFonts w:hint="default" w:ascii="Times New Roman" w:hAnsi="Times New Roman" w:eastAsia="黑体" w:cs="Times New Roman"/>
          <w:sz w:val="24"/>
          <w:highlight w:val="none"/>
        </w:rPr>
        <w:t>图纸的错误</w:t>
      </w:r>
    </w:p>
    <w:p w14:paraId="2CD4C1B9">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本项细化为：</w:t>
      </w:r>
    </w:p>
    <w:p w14:paraId="5E95A1C0">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当承包人在查阅合同文件或在本合同工程实施过程中，发现有关的工程设计、技术规范、图纸或其他资料中的任何差错、遗漏或缺陷后，应及时通知监理人。监理人接到该通知后，应立即就此作出决定，并通知承包人和发包人。</w:t>
      </w:r>
    </w:p>
    <w:p w14:paraId="7B957E18">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968" w:name="_Toc5360"/>
      <w:bookmarkStart w:id="969" w:name="_Toc23783"/>
      <w:bookmarkStart w:id="970" w:name="_Toc234833129"/>
      <w:bookmarkStart w:id="971" w:name="_Toc21655"/>
      <w:r>
        <w:rPr>
          <w:rFonts w:hint="default" w:ascii="Times New Roman" w:hAnsi="Times New Roman" w:eastAsia="黑体" w:cs="Times New Roman"/>
          <w:b w:val="0"/>
          <w:sz w:val="24"/>
          <w:szCs w:val="24"/>
          <w:highlight w:val="none"/>
        </w:rPr>
        <w:t>1.9 严禁贿赂</w:t>
      </w:r>
      <w:bookmarkEnd w:id="968"/>
      <w:bookmarkEnd w:id="969"/>
      <w:bookmarkEnd w:id="970"/>
      <w:bookmarkEnd w:id="971"/>
    </w:p>
    <w:p w14:paraId="5AE407D6">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本款补充：</w:t>
      </w:r>
    </w:p>
    <w:p w14:paraId="26B82040">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在合同执行过程中，发包人和承包人应严格履行《廉政合同》约定的双方在廉政建设方面的权利和义务以及应承担的违约责任。承包人如果用行贿、送礼或其他不正当手段企图影响或已经影响了发包人或监理人的行为和（或）欲获得或已获得超出合同规定以外的额外费用，则发包人应按有关法纪严肃处理当事人，且承包人应对其上述行为造成的工程损害、发包人的经济损失等承担一切责任，并予赔偿。情节严重者，发包人有权终止承包人在本合同项下的承包。</w:t>
      </w:r>
    </w:p>
    <w:p w14:paraId="4F288643">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972" w:name="_Toc234833130"/>
      <w:bookmarkStart w:id="973" w:name="_Toc1766"/>
      <w:bookmarkStart w:id="974" w:name="_Toc15632"/>
      <w:bookmarkStart w:id="975" w:name="_Toc22320"/>
      <w:r>
        <w:rPr>
          <w:rFonts w:hint="default" w:ascii="Times New Roman" w:hAnsi="Times New Roman" w:eastAsia="黑体" w:cs="Times New Roman"/>
          <w:b w:val="0"/>
          <w:sz w:val="28"/>
          <w:szCs w:val="28"/>
          <w:highlight w:val="none"/>
        </w:rPr>
        <w:t>2. 发包人义务</w:t>
      </w:r>
      <w:bookmarkEnd w:id="972"/>
      <w:bookmarkEnd w:id="973"/>
      <w:bookmarkEnd w:id="974"/>
      <w:bookmarkEnd w:id="975"/>
    </w:p>
    <w:p w14:paraId="016B8988">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976" w:name="_Toc234833131"/>
      <w:bookmarkStart w:id="977" w:name="_Toc15163"/>
      <w:bookmarkStart w:id="978" w:name="_Toc14471"/>
      <w:bookmarkStart w:id="979" w:name="_Toc21651"/>
      <w:r>
        <w:rPr>
          <w:rFonts w:hint="default" w:ascii="Times New Roman" w:hAnsi="Times New Roman" w:eastAsia="黑体" w:cs="Times New Roman"/>
          <w:b w:val="0"/>
          <w:sz w:val="24"/>
          <w:szCs w:val="24"/>
          <w:highlight w:val="none"/>
        </w:rPr>
        <w:t>2.3 提供施工场地</w:t>
      </w:r>
      <w:bookmarkEnd w:id="976"/>
      <w:bookmarkEnd w:id="977"/>
      <w:bookmarkEnd w:id="978"/>
      <w:bookmarkEnd w:id="979"/>
    </w:p>
    <w:p w14:paraId="65F910CB">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本款补充：</w:t>
      </w:r>
    </w:p>
    <w:p w14:paraId="6E37535B">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发包人负责办理永久占地的征用及与之有关的拆迁赔偿手续并承担相关费用。承包人在按第10条规定提交施工进度计划的同时，应向监理人提交一份按施工先后次序所需的永久占地计划。监理人应在收到此计划后的14天内审核并转报发包人核备。发包人应在监理人发出本工程或分部工程开工通知之前，对承包人开工所需的永久占地办妥征用手续和相关拆迁赔偿手续，通知承包人使用，以使承包人能够及时开工；此后按承包人提交并经监理人同意的合同进度计划的安排，分期（也可以一次）将施工所需的其余永久占地办妥征用以及拆迁赔偿手续，通知承包人使用，以使承包人能够连续不间断地施工。由于承包人施工考虑不周或措施不当等原因而造成的超计划占地或拆迁等所发生的征用和赔偿费用，应由承包人承担。</w:t>
      </w:r>
    </w:p>
    <w:p w14:paraId="1512DAB1">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由于发包人未能按照本项规定办妥永久占地征用手续，影响承包人及时使用永久占地造成的费用增加和（或）工期延误应由发包人承担。由于承包人未能按照本项规定提交占地计划，影响发包人办理永久占地征用手续造成的费用增加和（或）工期延误由承包人承担。</w:t>
      </w:r>
    </w:p>
    <w:p w14:paraId="67366B37">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980" w:name="_Toc13125"/>
      <w:bookmarkStart w:id="981" w:name="_Toc18195"/>
      <w:bookmarkStart w:id="982" w:name="_Toc234833132"/>
      <w:bookmarkStart w:id="983" w:name="_Toc25338"/>
      <w:r>
        <w:rPr>
          <w:rFonts w:hint="default" w:ascii="Times New Roman" w:hAnsi="Times New Roman" w:eastAsia="黑体" w:cs="Times New Roman"/>
          <w:b w:val="0"/>
          <w:sz w:val="28"/>
          <w:szCs w:val="28"/>
          <w:highlight w:val="none"/>
        </w:rPr>
        <w:t>3. 监理人</w:t>
      </w:r>
      <w:bookmarkEnd w:id="980"/>
      <w:bookmarkEnd w:id="981"/>
      <w:bookmarkEnd w:id="982"/>
      <w:bookmarkEnd w:id="983"/>
    </w:p>
    <w:p w14:paraId="468D1E89">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984" w:name="_Toc19048"/>
      <w:bookmarkStart w:id="985" w:name="_Toc234833133"/>
      <w:bookmarkStart w:id="986" w:name="_Toc26511"/>
      <w:bookmarkStart w:id="987" w:name="_Toc31502"/>
      <w:r>
        <w:rPr>
          <w:rFonts w:hint="default" w:ascii="Times New Roman" w:hAnsi="Times New Roman" w:eastAsia="黑体" w:cs="Times New Roman"/>
          <w:b w:val="0"/>
          <w:sz w:val="24"/>
          <w:szCs w:val="24"/>
          <w:highlight w:val="none"/>
        </w:rPr>
        <w:t>3.1 监理人的职责和权力</w:t>
      </w:r>
      <w:bookmarkEnd w:id="984"/>
      <w:bookmarkEnd w:id="985"/>
      <w:bookmarkEnd w:id="986"/>
      <w:bookmarkEnd w:id="987"/>
      <w:r>
        <w:rPr>
          <w:rFonts w:hint="default" w:ascii="Times New Roman" w:hAnsi="Times New Roman" w:eastAsia="黑体" w:cs="Times New Roman"/>
          <w:b w:val="0"/>
          <w:sz w:val="24"/>
          <w:szCs w:val="24"/>
          <w:highlight w:val="none"/>
        </w:rPr>
        <w:t xml:space="preserve"> </w:t>
      </w:r>
    </w:p>
    <w:p w14:paraId="0E85260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第3.1.1项补充：</w:t>
      </w:r>
    </w:p>
    <w:p w14:paraId="38CDEF8E">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监理人在行使下列权力前需要经发包人事先批准：</w:t>
      </w:r>
    </w:p>
    <w:p w14:paraId="2777385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（1）根据第4.3款，同意分包本工程的某些非关键性工作或者适合专业化队伍施工的专项工程；</w:t>
      </w:r>
    </w:p>
    <w:p w14:paraId="6EAB864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（2）确定第4.11款下产生的费用增加额；</w:t>
      </w:r>
    </w:p>
    <w:p w14:paraId="4557E491">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（3）根据第11.1款、第12.3款、第12.4款发布开工通知、暂停施工指示或复工通知；</w:t>
      </w:r>
    </w:p>
    <w:p w14:paraId="4B40601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（4）决定第11.3款、第11.4款下的工期延长；</w:t>
      </w:r>
    </w:p>
    <w:p w14:paraId="08A6718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（5）审查批准技术方案或设计的变更；</w:t>
      </w:r>
    </w:p>
    <w:p w14:paraId="479617B6">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（6）根据第15.3款发出的变更指示，其单项工程变更或累计变更涉及的金额超过了项目专用合同条款数据表中规定的金额； </w:t>
      </w:r>
    </w:p>
    <w:p w14:paraId="7E0817E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（7）确定第15.4款下变更工作的单价；</w:t>
      </w:r>
    </w:p>
    <w:p w14:paraId="5551AD1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（8）按照第15.6款决定有关暂列金额的使用； </w:t>
      </w:r>
    </w:p>
    <w:p w14:paraId="0C5D733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（9）确定第15.8款下的暂估价金额；</w:t>
      </w:r>
    </w:p>
    <w:p w14:paraId="4AFC02B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（10）确定第23.1款下的索赔额。</w:t>
      </w:r>
    </w:p>
    <w:p w14:paraId="207F7B7B">
      <w:pPr>
        <w:pageBreakBefore w:val="0"/>
        <w:kinsoku/>
        <w:wordWrap w:val="0"/>
        <w:bidi w:val="0"/>
        <w:spacing w:line="44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如果发生紧急情况，监理人认为将造成人员伤亡，或危及本工程或邻近的财产需立即采取行动，监理人有权在未征得发包人的批准的情况下发布处理紧急情况所必需的指令，承包人应予执行，由此造成的费用增加由监理人按第3.5款商定或确定。</w:t>
      </w:r>
    </w:p>
    <w:p w14:paraId="44066909">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988" w:name="_Toc234833134"/>
      <w:bookmarkStart w:id="989" w:name="_Toc24088"/>
      <w:bookmarkStart w:id="990" w:name="_Toc6828"/>
      <w:bookmarkStart w:id="991" w:name="_Toc11325"/>
      <w:r>
        <w:rPr>
          <w:rFonts w:hint="default" w:ascii="Times New Roman" w:hAnsi="Times New Roman" w:eastAsia="黑体" w:cs="Times New Roman"/>
          <w:b w:val="0"/>
          <w:sz w:val="24"/>
          <w:szCs w:val="24"/>
          <w:highlight w:val="none"/>
        </w:rPr>
        <w:t>3.5</w:t>
      </w:r>
      <w:r>
        <w:rPr>
          <w:rFonts w:hint="default" w:ascii="Times New Roman" w:hAnsi="Times New Roman" w:eastAsia="黑体" w:cs="Times New Roman"/>
          <w:b w:val="0"/>
          <w:sz w:val="24"/>
          <w:szCs w:val="24"/>
          <w:highlight w:val="none"/>
        </w:rPr>
        <w:tab/>
      </w:r>
      <w:r>
        <w:rPr>
          <w:rFonts w:hint="default" w:ascii="Times New Roman" w:hAnsi="Times New Roman" w:eastAsia="黑体" w:cs="Times New Roman"/>
          <w:b w:val="0"/>
          <w:sz w:val="24"/>
          <w:szCs w:val="24"/>
          <w:highlight w:val="none"/>
        </w:rPr>
        <w:t>商定或确定</w:t>
      </w:r>
      <w:bookmarkEnd w:id="988"/>
      <w:bookmarkEnd w:id="989"/>
      <w:bookmarkEnd w:id="990"/>
      <w:bookmarkEnd w:id="991"/>
    </w:p>
    <w:p w14:paraId="715417D3">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第3.5.1项补充：</w:t>
      </w:r>
    </w:p>
    <w:p w14:paraId="75073B8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如果这项商定或确定导致费用增加和（或）工期延长，或者涉及确定变更工程的价格，则总监理工程师在发出通知前，应征得发包人的同意。</w:t>
      </w:r>
    </w:p>
    <w:p w14:paraId="59FF054F">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992" w:name="_Toc32621"/>
      <w:bookmarkStart w:id="993" w:name="_Toc25050"/>
      <w:bookmarkStart w:id="994" w:name="_Toc11613"/>
      <w:bookmarkStart w:id="995" w:name="_Toc234833135"/>
      <w:r>
        <w:rPr>
          <w:rFonts w:hint="default" w:ascii="Times New Roman" w:hAnsi="Times New Roman" w:eastAsia="黑体" w:cs="Times New Roman"/>
          <w:b w:val="0"/>
          <w:sz w:val="28"/>
          <w:szCs w:val="28"/>
          <w:highlight w:val="none"/>
        </w:rPr>
        <w:t>4. 承包人</w:t>
      </w:r>
      <w:bookmarkEnd w:id="992"/>
      <w:bookmarkEnd w:id="993"/>
      <w:bookmarkEnd w:id="994"/>
      <w:bookmarkEnd w:id="995"/>
    </w:p>
    <w:p w14:paraId="5120488C">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996" w:name="_Toc14708"/>
      <w:bookmarkStart w:id="997" w:name="_Toc234833136"/>
      <w:bookmarkStart w:id="998" w:name="_Toc9712"/>
      <w:bookmarkStart w:id="999" w:name="_Toc10533"/>
      <w:r>
        <w:rPr>
          <w:rFonts w:hint="default" w:ascii="Times New Roman" w:hAnsi="Times New Roman" w:eastAsia="黑体" w:cs="Times New Roman"/>
          <w:b w:val="0"/>
          <w:sz w:val="24"/>
          <w:szCs w:val="24"/>
          <w:highlight w:val="none"/>
        </w:rPr>
        <w:t>4.1 承包人的一般义务</w:t>
      </w:r>
      <w:bookmarkEnd w:id="996"/>
      <w:bookmarkEnd w:id="997"/>
      <w:bookmarkEnd w:id="998"/>
      <w:bookmarkEnd w:id="999"/>
    </w:p>
    <w:p w14:paraId="0D4DBA65">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4.1.9 </w:t>
      </w:r>
      <w:r>
        <w:rPr>
          <w:rFonts w:hint="default" w:ascii="Times New Roman" w:hAnsi="Times New Roman" w:eastAsia="黑体" w:cs="Times New Roman"/>
          <w:sz w:val="24"/>
          <w:highlight w:val="none"/>
        </w:rPr>
        <w:t xml:space="preserve">工程的维护和照管 </w:t>
      </w:r>
    </w:p>
    <w:p w14:paraId="6711F030">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本项细化为：</w:t>
      </w:r>
    </w:p>
    <w:p w14:paraId="7A50C977">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1）交工验收证书颁发前，承包人应负责照管和维护工程及将用于或安装在本工程中的材料、设备。交工验收证书颁发时尚有部分未交工工程的，承包人还应负责该未交工工程、材料、设备的照管和维护工作，直至交工后移交给发包人为止。</w:t>
      </w:r>
    </w:p>
    <w:p w14:paraId="5FC93D48">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2）在承包人负责照管与维护期间，如果本工程或材料、设备等发生损失或损害，除不可抗力原因之外，承包人均应自费弥补，并达到合同要求。承包人还应对按第19条规定而实施作业过程中由承包人造成的对工程的任何损失或损害负责。</w:t>
      </w:r>
    </w:p>
    <w:p w14:paraId="413759AB">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4.1.10 </w:t>
      </w:r>
      <w:r>
        <w:rPr>
          <w:rFonts w:hint="default" w:ascii="Times New Roman" w:hAnsi="Times New Roman" w:eastAsia="黑体" w:cs="Times New Roman"/>
          <w:sz w:val="24"/>
          <w:highlight w:val="none"/>
        </w:rPr>
        <w:t>其他义务</w:t>
      </w:r>
    </w:p>
    <w:p w14:paraId="68377897">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本项细化为：</w:t>
      </w:r>
    </w:p>
    <w:p w14:paraId="6C0B5D7D">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（1） 临时占地由承包人向当地政府土地管理部门申请，并办理租用手续，承包人按有关规定直接支付其费用，发包人对此将予以协调。</w:t>
      </w:r>
    </w:p>
    <w:p w14:paraId="6103DB26">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临时占地范围包括承包人驻地的办公室、食堂、宿舍、道路和机械设备停放场、材料堆放场地、弃土场、预制场、拌和场、仓库、进场临时道路、临时便道、便桥等。承包人应在</w:t>
      </w:r>
      <w:r>
        <w:rPr>
          <w:rFonts w:hint="eastAsia" w:ascii="宋体" w:hAnsi="宋体" w:eastAsia="宋体" w:cs="宋体"/>
          <w:sz w:val="24"/>
          <w:highlight w:val="none"/>
        </w:rPr>
        <w:t>“</w:t>
      </w:r>
      <w:r>
        <w:rPr>
          <w:rFonts w:hint="default" w:ascii="Times New Roman" w:hAnsi="Times New Roman" w:cs="Times New Roman"/>
          <w:sz w:val="24"/>
          <w:highlight w:val="none"/>
        </w:rPr>
        <w:t>临时占地计划表</w:t>
      </w:r>
      <w:r>
        <w:rPr>
          <w:rFonts w:hint="eastAsia" w:ascii="宋体" w:hAnsi="宋体" w:eastAsia="宋体" w:cs="宋体"/>
          <w:sz w:val="24"/>
          <w:highlight w:val="none"/>
        </w:rPr>
        <w:t>”</w:t>
      </w:r>
      <w:r>
        <w:rPr>
          <w:rFonts w:hint="default" w:ascii="Times New Roman" w:hAnsi="Times New Roman" w:cs="Times New Roman"/>
          <w:sz w:val="24"/>
          <w:highlight w:val="none"/>
        </w:rPr>
        <w:t>范围内按实际需要与先后次序，提出具体计划报监理人同意，并报发包人。临时占地的面积和使用期应满足工程需要，费用包括临时占地数量、时间及因此而发生的协调、租用、复耕、地面附着物（电力、电信、房屋、坟墓除外）的拆迁补偿等相关费用。除项目专用合同条款另有约定外，临时占地的租地费用实行总额包干，列入工程量清单第100章中由承包人按总额报价。</w:t>
      </w:r>
    </w:p>
    <w:p w14:paraId="02C76683">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临时占地退还前，承包人应自费恢复到临时占地使用前的状况。如因承包人撤离后未按要求对临时占地进行恢复或虽进行了恢复但未达到使用标准的，将由发包人委托第三方对其恢复，所发生的费用将从应付给承包人的任何款项内扣除。</w:t>
      </w:r>
    </w:p>
    <w:p w14:paraId="7143D214">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2）除项目专用合同条款另有约定外，承包人应承担并支付为获得本合同工程所需的石料、砂、砾石、黏土或其他当地材料等所发生的料场使用费及其他开支或补偿费。发包人应尽可能协助承包人办理料场租用手续及解决使用过程中的有关问题。</w:t>
      </w:r>
    </w:p>
    <w:p w14:paraId="6B42BC36">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3）承包人应严格遵守国家有关解决拖欠工程款和民工工资的法律、法规，及时支付工程中的材料、设备货款及民工工资等费用。承包人不得以任何借口拖欠材料、设备货款及民工工资等费用，如果出现此种现象，发包人有权代为支付其拖欠的材料、设备货款及民工工资，并从应付给承包人的工程款中扣除相应款项。对恶意拖欠和拒不按计划支付的，作为不良记录纳入公路建设市场信用信息管理系统。</w:t>
      </w:r>
    </w:p>
    <w:p w14:paraId="73C1F4D3">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承包人的项目经理部是民工工资支付行为的主体，承包人的项目经理是民工工资支付的责任人。项目经理部要建立全体民工花名册和工资支付表，确保将工资直接发放给民工本人，或委托银行发放民工工资，严禁发放给</w:t>
      </w:r>
      <w:r>
        <w:rPr>
          <w:rFonts w:hint="eastAsia" w:ascii="宋体" w:hAnsi="宋体" w:eastAsia="宋体" w:cs="宋体"/>
          <w:sz w:val="24"/>
          <w:highlight w:val="none"/>
        </w:rPr>
        <w:t>“</w:t>
      </w:r>
      <w:r>
        <w:rPr>
          <w:rFonts w:hint="default" w:ascii="Times New Roman" w:hAnsi="Times New Roman" w:cs="Times New Roman"/>
          <w:sz w:val="24"/>
          <w:highlight w:val="none"/>
        </w:rPr>
        <w:t>包工头</w:t>
      </w:r>
      <w:r>
        <w:rPr>
          <w:rFonts w:hint="eastAsia" w:ascii="宋体" w:hAnsi="宋体" w:eastAsia="宋体" w:cs="宋体"/>
          <w:sz w:val="24"/>
          <w:highlight w:val="none"/>
        </w:rPr>
        <w:t>”</w:t>
      </w:r>
      <w:r>
        <w:rPr>
          <w:rFonts w:hint="default" w:ascii="Times New Roman" w:hAnsi="Times New Roman" w:cs="Times New Roman"/>
          <w:sz w:val="24"/>
          <w:highlight w:val="none"/>
        </w:rPr>
        <w:t>或其他不具备用工主体资格的组织和个人。</w:t>
      </w:r>
    </w:p>
    <w:p w14:paraId="056DED70">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工资支付表应如实记录支付单位、支付时间、支付对象、支付数额、支付对象的身份证号和签字等信息。民工花名册和工资支付表应报监理人备查。</w:t>
      </w:r>
    </w:p>
    <w:p w14:paraId="6777CF81">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4）承包人应分解工程价款中的人工费用，在工程项目所在地银行开设民工工资（劳务费）专用账户，专项用于支付民工工资。发包人应按照本合同约定的比例或承包人提供的人工费用数额，将应付工程款中的人工费单独拨付到承包人开设的民工工资（劳务费）专用账户。民工工资（劳务费）专用账户应向人力资源社会保障部门和交通运输主管部门备案，并委托开户银行负责日常监管，确保专款专用。开户银行发现账户资金不足、被挪用等情况，应及时向人力资源社会保障部门和交通运输主管部门报告。</w:t>
      </w:r>
    </w:p>
    <w:p w14:paraId="4AE999AC">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5）承包人应严格执行招标文件技术规范对施工标准化提出的具体要求，结合本单位施工能力和技术优势，积极采取有利于标准化施工的组织方式和工艺流程，加强工地建设、工艺控制、人员管理和内业资料管理，强化对施工一线操作人员的培训，改善职工生产生活条件，与此相关的费用承包人应列入工程量清单第100章中。</w:t>
      </w:r>
    </w:p>
    <w:p w14:paraId="7C4E66CC">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（6）承包人应履行项目专用合同条款约定的其他义务。</w:t>
      </w:r>
    </w:p>
    <w:p w14:paraId="6764B183">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000" w:name="_Toc32553"/>
      <w:bookmarkStart w:id="1001" w:name="_Toc29645"/>
      <w:bookmarkStart w:id="1002" w:name="_Toc16581"/>
      <w:bookmarkStart w:id="1003" w:name="_Toc234833137"/>
      <w:r>
        <w:rPr>
          <w:rFonts w:hint="default" w:ascii="Times New Roman" w:hAnsi="Times New Roman" w:eastAsia="黑体" w:cs="Times New Roman"/>
          <w:b w:val="0"/>
          <w:sz w:val="24"/>
          <w:szCs w:val="24"/>
          <w:highlight w:val="none"/>
        </w:rPr>
        <w:t>4.2 履约保证金</w:t>
      </w:r>
      <w:bookmarkEnd w:id="1000"/>
      <w:bookmarkEnd w:id="1001"/>
      <w:bookmarkEnd w:id="1002"/>
    </w:p>
    <w:p w14:paraId="2311BBB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本款细化为：</w:t>
      </w:r>
    </w:p>
    <w:p w14:paraId="5AC7EF6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承包人应保证其履约保证金在发包人签发交工验收证书且承包人按照合同约定缴纳质量保证金前一直有效。发包人应在收到承包人缴纳的质量保证金后28天内将履约保证金退还给承包人。</w:t>
      </w:r>
    </w:p>
    <w:p w14:paraId="7539D92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承包人拒绝按照本合同约定缴纳质量保证金的，发包人有权从交工付款证书中扣留相应金额作为质量保证金，或者直接将履约保证金金额用于保证承包人在缺陷责任期内履行缺陷修复义务。</w:t>
      </w:r>
    </w:p>
    <w:p w14:paraId="1C2B8F3C">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004" w:name="_Toc32680"/>
      <w:bookmarkStart w:id="1005" w:name="_Toc25400"/>
      <w:bookmarkStart w:id="1006" w:name="_Toc3246"/>
      <w:r>
        <w:rPr>
          <w:rFonts w:hint="default" w:ascii="Times New Roman" w:hAnsi="Times New Roman" w:eastAsia="黑体" w:cs="Times New Roman"/>
          <w:b w:val="0"/>
          <w:sz w:val="24"/>
          <w:szCs w:val="24"/>
          <w:highlight w:val="none"/>
        </w:rPr>
        <w:t>4.3 分包</w:t>
      </w:r>
      <w:bookmarkEnd w:id="1003"/>
      <w:bookmarkEnd w:id="1004"/>
      <w:bookmarkEnd w:id="1005"/>
      <w:bookmarkEnd w:id="1006"/>
    </w:p>
    <w:p w14:paraId="7C1F4EB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第4.3.2项～第4.3.4项细化为：</w:t>
      </w:r>
    </w:p>
    <w:p w14:paraId="503FBEF1">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4.3.2 承包人不得将工程关键性工作分包给第三人。经发包人同意，承包人可将工程的其他部分或工作分包给第三人。分包包括专业分包和劳务分包。</w:t>
      </w:r>
    </w:p>
    <w:p w14:paraId="023F563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4.3.3 专业分包</w:t>
      </w:r>
    </w:p>
    <w:p w14:paraId="2BA0A593">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在工程施工过程中，承包人进行专业分包必须遵守以下规定：</w:t>
      </w:r>
    </w:p>
    <w:p w14:paraId="79E1A6D2">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允许专业分包的工程范围仅限于非关键性工程或者适合专业化队伍施工的专项工程。未列入投标文件的专项工程，承包人不得分包。但因工程变更增加了有特殊性技术要求、特殊工艺或者涉及专利保护等的专项工程，且按规定无须再进行招标的，由承包人提出书面申请，经发包人书面同意，可以分包。</w:t>
      </w:r>
    </w:p>
    <w:p w14:paraId="6F5D17EE">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（2）专业分包人的资格能力（含安全生产能力）应与其分包工程的标准和规模相适应，且应当具备如下条件：</w:t>
      </w:r>
    </w:p>
    <w:p w14:paraId="05C79F96">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a. 具有经工商登记的法人资格；</w:t>
      </w:r>
    </w:p>
    <w:p w14:paraId="2C4CC1F1">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b. 具有从事类似工程经验的管理与技术人员； </w:t>
      </w:r>
    </w:p>
    <w:p w14:paraId="429A65B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c. 具有（自有或租赁）分包工程所需的施工设备。</w:t>
      </w:r>
    </w:p>
    <w:p w14:paraId="6DAC8713">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承包人应向监理人提交专业分包人的资格能力证明材料，经监理人审查并报发包人批准后，可以将相应专业工程分包给该专业分包人。</w:t>
      </w:r>
    </w:p>
    <w:p w14:paraId="6F9DE97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（3）专业分包工程不得再次分包。</w:t>
      </w:r>
    </w:p>
    <w:p w14:paraId="1251765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承包人和专业分包人应当按照交通运输主管部门制定的统一格式依法签订专业分包合同，并履行合同约定的义务。专业分包合同必须遵循承包合同的各项原则，满足承包合同中的质量、安全、进度、环保以及其他技术、经济等要求。专业分包合同必须明确约定工程款支付条款、结算方式以及保证按期支付的相应措施，确保工程款的支付。承包人应在工程实施前，将经监理人审查同意后的分包合同报发包人备案。</w:t>
      </w:r>
    </w:p>
    <w:p w14:paraId="3860CAA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专业分包人应当设立项目管理机构，对所分包工程的施工活动实施管理。项目管理机构应当具有与分包工程的规模、技术复杂程度相适应的技术、经济管理人员，其中项目负责人和技术、财务、计量、质量、安全等主要管理人员必须是专业分包人本单位人员。</w:t>
      </w:r>
    </w:p>
    <w:p w14:paraId="0A31CEA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6）承包人应当建立健全相关分包管理制度和台账，对专业分包工程的质量、安全、进度和专业分包人的行为等实施全过程管理，按照合同约定对专业分包工程的实施向发包人负责，并承担赔偿责任。专业分包合同不免除承包合同中规定的承包人的责任或者义务。</w:t>
      </w:r>
    </w:p>
    <w:p w14:paraId="12D6CC61">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（7）专业分包人应当依据专业分包合同的约定，组织分包工程的施工，并对分包工程的质量、安全和进度等实施有效控制。专业分包人对其分包的工程向承包人负责，并就所分包的工程向发包人承担连带责任。</w:t>
      </w:r>
    </w:p>
    <w:p w14:paraId="503CFD33">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8）承包人对施工现场安全负总责，并对专业分包人的安全生产进行培训和管理。专业分包人应将其专业分包工程的施工组织设计和施工安全方案报承包人备案。专业分包人对分包施工现场安全负责，发现事故隐患，应及时处理。</w:t>
      </w:r>
    </w:p>
    <w:p w14:paraId="5D53308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违反上述规定之一者属违规分包。</w:t>
      </w:r>
    </w:p>
    <w:p w14:paraId="251A7B9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4.3.4 劳务分包</w:t>
      </w:r>
    </w:p>
    <w:p w14:paraId="1EB7B30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在工程施工过程中，承包人进行劳务分包必须遵守以下规定：</w:t>
      </w:r>
    </w:p>
    <w:p w14:paraId="1788F19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（1）劳务分包人应具有施工劳务资质。</w:t>
      </w:r>
    </w:p>
    <w:p w14:paraId="4DB6910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劳务分包应当依法签订劳务分包合同，劳务分包合同必须由承包人的法定代表人或其委托代理人与劳务分包人直接签订，不得由他人代签。承包人的项目经理部、项目经理、施工班组等不具备用工主体资格，不能与劳务分包人签订劳务分包合同。承包人应向发包人和监理人提交劳务分包合同副本并报项目所在地劳动保障部门备案。</w:t>
      </w:r>
    </w:p>
    <w:p w14:paraId="6489473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承包人雇用的劳务作业应加入到承包人的施工班组统一管理。有关施工质量、施工安全、施工进度、环境保护、技术方案、试验检测、材料保管与供应、机械设备等都必须由承包人管理与调配，不得以包代管。</w:t>
      </w:r>
    </w:p>
    <w:p w14:paraId="5E95D3C3">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（4）承包人应当对劳务分包人员进行安全培训和管理，劳务分包人不得将其分包的劳务作业再次分包。</w:t>
      </w:r>
    </w:p>
    <w:p w14:paraId="13BC727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违反上述规定之一者属违规分包。</w:t>
      </w:r>
    </w:p>
    <w:p w14:paraId="0DE3E641">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本款补充第4.3.6项、第4.3.7项：</w:t>
      </w:r>
    </w:p>
    <w:p w14:paraId="15213F4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4.3.6 发包人对承包人与分包人之间的法律与经济纠纷不承担任何责任和义务。</w:t>
      </w:r>
    </w:p>
    <w:p w14:paraId="0E124672">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4.3.7 本项目的各项分包工作均应遵守《公路工程施工分包管理办法》的有关规定。</w:t>
      </w:r>
    </w:p>
    <w:p w14:paraId="39D87CAF">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007" w:name="_Toc15262"/>
      <w:bookmarkStart w:id="1008" w:name="_Toc234833138"/>
      <w:bookmarkStart w:id="1009" w:name="_Toc32168"/>
      <w:bookmarkStart w:id="1010" w:name="_Toc29289"/>
      <w:r>
        <w:rPr>
          <w:rFonts w:hint="default" w:ascii="Times New Roman" w:hAnsi="Times New Roman" w:eastAsia="黑体" w:cs="Times New Roman"/>
          <w:b w:val="0"/>
          <w:sz w:val="24"/>
          <w:szCs w:val="24"/>
          <w:highlight w:val="none"/>
        </w:rPr>
        <w:t>4.4</w:t>
      </w:r>
      <w:r>
        <w:rPr>
          <w:rFonts w:hint="default" w:ascii="Times New Roman" w:hAnsi="Times New Roman" w:eastAsia="黑体" w:cs="Times New Roman"/>
          <w:b w:val="0"/>
          <w:sz w:val="24"/>
          <w:szCs w:val="24"/>
          <w:highlight w:val="none"/>
        </w:rPr>
        <w:tab/>
      </w:r>
      <w:r>
        <w:rPr>
          <w:rFonts w:hint="default" w:ascii="Times New Roman" w:hAnsi="Times New Roman" w:eastAsia="黑体" w:cs="Times New Roman"/>
          <w:b w:val="0"/>
          <w:sz w:val="24"/>
          <w:szCs w:val="24"/>
          <w:highlight w:val="none"/>
        </w:rPr>
        <w:t>联合体</w:t>
      </w:r>
      <w:bookmarkEnd w:id="1007"/>
      <w:bookmarkEnd w:id="1008"/>
      <w:bookmarkEnd w:id="1009"/>
      <w:bookmarkEnd w:id="1010"/>
    </w:p>
    <w:p w14:paraId="1CD69CA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本款补充第4.4.4项：</w:t>
      </w:r>
    </w:p>
    <w:p w14:paraId="08184BC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4.4.4未经发包人事先同意，联合体的组成与结构不得变动。</w:t>
      </w:r>
    </w:p>
    <w:p w14:paraId="47F3B069">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011" w:name="_Toc234833139"/>
      <w:bookmarkStart w:id="1012" w:name="_Toc13104"/>
      <w:bookmarkStart w:id="1013" w:name="_Toc12253"/>
      <w:bookmarkStart w:id="1014" w:name="_Toc3589"/>
      <w:r>
        <w:rPr>
          <w:rFonts w:hint="default" w:ascii="Times New Roman" w:hAnsi="Times New Roman" w:eastAsia="黑体" w:cs="Times New Roman"/>
          <w:b w:val="0"/>
          <w:sz w:val="24"/>
          <w:szCs w:val="24"/>
          <w:highlight w:val="none"/>
        </w:rPr>
        <w:t>4.6 承包人人员的管理</w:t>
      </w:r>
      <w:bookmarkEnd w:id="1011"/>
      <w:bookmarkEnd w:id="1012"/>
      <w:bookmarkEnd w:id="1013"/>
      <w:bookmarkEnd w:id="1014"/>
    </w:p>
    <w:p w14:paraId="5E2C0CD1">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第4.6.3项细化为：</w:t>
      </w:r>
    </w:p>
    <w:p w14:paraId="530C128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安排在施工场地的主要管理人员和技术骨干应与承包人承诺的名单一致，并保持相对稳定。未经监理人批准，上述人员不应无故不到位或被替换；若确实无法到位或需替换，需经监理人审核并报发包人批准后，用同等资质和经历的人员替换。</w:t>
      </w:r>
    </w:p>
    <w:p w14:paraId="01B2D31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本款补充第4.6.5项：</w:t>
      </w:r>
    </w:p>
    <w:p w14:paraId="473D96B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4.6.5 尽管承包人已按承诺派遣了上述各类人员，但若这些人员仍不能满足合同进度计划和（或）质量要求时，监理人有权要求承包人继续增派或雇用这类人员，并书面通知承包人和抄送发包人。承包人在接到上述通知后应立即执行监理人的上述指示，不得无故拖延，由此增加的费用和（或）工期延误由承包人承担。</w:t>
      </w:r>
    </w:p>
    <w:p w14:paraId="1915F2A7">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015" w:name="_Toc16403"/>
      <w:bookmarkStart w:id="1016" w:name="_Toc234833140"/>
      <w:bookmarkStart w:id="1017" w:name="_Toc2075"/>
      <w:bookmarkStart w:id="1018" w:name="_Toc20923"/>
      <w:r>
        <w:rPr>
          <w:rFonts w:hint="default" w:ascii="Times New Roman" w:hAnsi="Times New Roman" w:eastAsia="黑体" w:cs="Times New Roman"/>
          <w:b w:val="0"/>
          <w:sz w:val="24"/>
          <w:szCs w:val="24"/>
          <w:highlight w:val="none"/>
        </w:rPr>
        <w:t>4.7 撤换承包人项目经理和其他人员</w:t>
      </w:r>
      <w:bookmarkEnd w:id="1015"/>
      <w:bookmarkEnd w:id="1016"/>
      <w:bookmarkEnd w:id="1017"/>
      <w:bookmarkEnd w:id="1018"/>
    </w:p>
    <w:p w14:paraId="10357A0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本款细化为：</w:t>
      </w:r>
    </w:p>
    <w:p w14:paraId="7BE2953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应对其项目经理和其他人员进行有效管理。监理人要求撤换不能胜任本职工作、行为不端或玩忽职守的承包人项目经理和其他人员的，承包人应予以撤换，同时委派经发包人与监理人同意的新的项目经理和其他人员。</w:t>
      </w:r>
    </w:p>
    <w:p w14:paraId="29A1F0F9">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019" w:name="_Toc22693"/>
      <w:bookmarkStart w:id="1020" w:name="_Toc4005"/>
      <w:bookmarkStart w:id="1021" w:name="_Toc234833141"/>
      <w:bookmarkStart w:id="1022" w:name="_Toc22823"/>
      <w:r>
        <w:rPr>
          <w:rFonts w:hint="default" w:ascii="Times New Roman" w:hAnsi="Times New Roman" w:eastAsia="黑体" w:cs="Times New Roman"/>
          <w:b w:val="0"/>
          <w:sz w:val="24"/>
          <w:szCs w:val="24"/>
          <w:highlight w:val="none"/>
        </w:rPr>
        <w:t>4.9 工程价款应专款专用</w:t>
      </w:r>
      <w:bookmarkEnd w:id="1019"/>
      <w:bookmarkEnd w:id="1020"/>
      <w:bookmarkEnd w:id="1021"/>
      <w:bookmarkEnd w:id="1022"/>
    </w:p>
    <w:p w14:paraId="6572037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本款细化为：</w:t>
      </w:r>
    </w:p>
    <w:p w14:paraId="49E03DE3">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发包人按合同约定支付给承包人的各项价款应专用于合同工程。承包人必须在发包人指定的银行开户，并与发包人、银行共同签订《工程资金监管协议》，接受发包人和银行对资金的监管。承包人应向发包人授权进行本合同工程开户银行工程资金的查询。发包人支付的工程进度款应为本工程的专款专用资金，不得转移或用于其他工程。发包人的期中支付款将转入该银行所设的专门账户，发包人及其派出机构有权不定期对承包人工程资金使用情况进行检查，发现问题及时责令承包人限期改正，否则，将终止月支付，直至承包人改正为止。</w:t>
      </w:r>
    </w:p>
    <w:p w14:paraId="14CA2308">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023" w:name="_Toc11912"/>
      <w:bookmarkStart w:id="1024" w:name="_Toc5299"/>
      <w:bookmarkStart w:id="1025" w:name="_Toc14913"/>
      <w:bookmarkStart w:id="1026" w:name="_Toc234833142"/>
      <w:r>
        <w:rPr>
          <w:rFonts w:hint="default" w:ascii="Times New Roman" w:hAnsi="Times New Roman" w:eastAsia="黑体" w:cs="Times New Roman"/>
          <w:b w:val="0"/>
          <w:sz w:val="24"/>
          <w:szCs w:val="24"/>
          <w:highlight w:val="none"/>
        </w:rPr>
        <w:t>4.10 承包人现场查勘</w:t>
      </w:r>
      <w:bookmarkEnd w:id="1023"/>
      <w:bookmarkEnd w:id="1024"/>
      <w:bookmarkEnd w:id="1025"/>
      <w:bookmarkEnd w:id="1026"/>
      <w:r>
        <w:rPr>
          <w:rFonts w:hint="default" w:ascii="Times New Roman" w:hAnsi="Times New Roman" w:eastAsia="黑体" w:cs="Times New Roman"/>
          <w:b w:val="0"/>
          <w:sz w:val="24"/>
          <w:szCs w:val="24"/>
          <w:highlight w:val="none"/>
        </w:rPr>
        <w:t xml:space="preserve">    </w:t>
      </w:r>
    </w:p>
    <w:p w14:paraId="58427AD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第4.10.1项细化为：</w:t>
      </w:r>
      <w:r>
        <w:rPr>
          <w:rStyle w:val="56"/>
          <w:rFonts w:hint="default" w:ascii="Times New Roman" w:hAnsi="Times New Roman" w:cs="Times New Roman"/>
          <w:sz w:val="24"/>
          <w:highlight w:val="none"/>
        </w:rPr>
        <w:footnoteReference w:id="28"/>
      </w:r>
    </w:p>
    <w:p w14:paraId="6DEDF2E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发包人提供的本合同工程的水文、地质、气象和料场分布、取土场、弃土场位置等资料均属于参考资料，并不构成合同文件的组成部分，承包人应对自己就上述资料的解释、推论和应用负责，发包人不对承包人据此作出的判断和决策承担任何责任。</w:t>
      </w:r>
    </w:p>
    <w:p w14:paraId="1A22B5CD">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027" w:name="_Toc234833143"/>
      <w:bookmarkStart w:id="1028" w:name="_Toc395"/>
      <w:bookmarkStart w:id="1029" w:name="_Toc29737"/>
      <w:bookmarkStart w:id="1030" w:name="_Toc26327"/>
      <w:r>
        <w:rPr>
          <w:rFonts w:hint="default" w:ascii="Times New Roman" w:hAnsi="Times New Roman" w:eastAsia="黑体" w:cs="Times New Roman"/>
          <w:b w:val="0"/>
          <w:sz w:val="24"/>
          <w:szCs w:val="24"/>
          <w:highlight w:val="none"/>
        </w:rPr>
        <w:t>4.11 不利物质条件</w:t>
      </w:r>
      <w:bookmarkEnd w:id="1027"/>
      <w:bookmarkEnd w:id="1028"/>
      <w:bookmarkEnd w:id="1029"/>
      <w:bookmarkEnd w:id="1030"/>
    </w:p>
    <w:p w14:paraId="125861C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第4.11.2项细化为：</w:t>
      </w:r>
    </w:p>
    <w:p w14:paraId="0014F6FA">
      <w:pPr>
        <w:pageBreakBefore w:val="0"/>
        <w:kinsoku/>
        <w:wordWrap w:val="0"/>
        <w:bidi w:val="0"/>
        <w:spacing w:line="400" w:lineRule="atLeast"/>
        <w:ind w:firstLine="420"/>
        <w:rPr>
          <w:rFonts w:hint="default" w:ascii="Times New Roman" w:hAnsi="Times New Roman" w:cs="Times New Roman"/>
          <w:iCs/>
          <w:sz w:val="24"/>
          <w:highlight w:val="none"/>
        </w:rPr>
      </w:pPr>
      <w:r>
        <w:rPr>
          <w:rFonts w:hint="default" w:ascii="Times New Roman" w:hAnsi="Times New Roman" w:cs="Times New Roman"/>
          <w:iCs/>
          <w:sz w:val="24"/>
          <w:highlight w:val="none"/>
        </w:rPr>
        <w:t>4.11.2 承包人遇到不可预见的不利物质条件时，应采取适应不利物质条件的合理措施继续施工，并及时通知监理人。监理人应当及时发出指示，指示构成变更的，按第15条约定办理。监理人没有发出指示的，承包人因采取合理措施而增加的费用和（或）工期延误，由发包人承担。</w:t>
      </w:r>
    </w:p>
    <w:p w14:paraId="795D7FDA">
      <w:pPr>
        <w:pageBreakBefore w:val="0"/>
        <w:kinsoku/>
        <w:wordWrap w:val="0"/>
        <w:bidi w:val="0"/>
        <w:spacing w:line="400" w:lineRule="atLeast"/>
        <w:ind w:firstLine="420"/>
        <w:rPr>
          <w:rFonts w:hint="default" w:ascii="Times New Roman" w:hAnsi="Times New Roman" w:cs="Times New Roman"/>
          <w:sz w:val="24"/>
          <w:highlight w:val="none"/>
        </w:rPr>
      </w:pPr>
      <w:r>
        <w:rPr>
          <w:rFonts w:hint="default" w:ascii="Times New Roman" w:hAnsi="Times New Roman" w:cs="Times New Roman"/>
          <w:sz w:val="24"/>
          <w:highlight w:val="none"/>
        </w:rPr>
        <w:t>本款补充第4.11.3项：</w:t>
      </w:r>
    </w:p>
    <w:p w14:paraId="36978B2D">
      <w:pPr>
        <w:pageBreakBefore w:val="0"/>
        <w:kinsoku/>
        <w:wordWrap w:val="0"/>
        <w:bidi w:val="0"/>
        <w:spacing w:line="400" w:lineRule="atLeast"/>
        <w:ind w:firstLine="420"/>
        <w:rPr>
          <w:rFonts w:hint="default" w:ascii="Times New Roman" w:hAnsi="Times New Roman" w:cs="Times New Roman"/>
          <w:sz w:val="24"/>
          <w:highlight w:val="none"/>
        </w:rPr>
      </w:pPr>
      <w:r>
        <w:rPr>
          <w:rFonts w:hint="default" w:ascii="Times New Roman" w:hAnsi="Times New Roman" w:cs="Times New Roman"/>
          <w:sz w:val="24"/>
          <w:highlight w:val="none"/>
        </w:rPr>
        <w:t>4.11.3 可预见的不利物质条件</w:t>
      </w:r>
    </w:p>
    <w:p w14:paraId="527AF8AE">
      <w:pPr>
        <w:pageBreakBefore w:val="0"/>
        <w:kinsoku/>
        <w:wordWrap w:val="0"/>
        <w:bidi w:val="0"/>
        <w:spacing w:line="400" w:lineRule="atLeast"/>
        <w:ind w:firstLine="420"/>
        <w:rPr>
          <w:rFonts w:hint="default" w:ascii="Times New Roman" w:hAnsi="Times New Roman" w:cs="Times New Roman"/>
          <w:sz w:val="24"/>
          <w:highlight w:val="none"/>
        </w:rPr>
      </w:pPr>
      <w:r>
        <w:rPr>
          <w:rFonts w:hint="default" w:ascii="Times New Roman" w:hAnsi="Times New Roman" w:cs="Times New Roman"/>
          <w:sz w:val="24"/>
          <w:highlight w:val="none"/>
        </w:rPr>
        <w:t>（1）对于项目专用合同条款中已经明确指出的不利物质条件无论承包人是否有其经历和经验均视为承包人在接受合同时已预见其影响，并已在签约合同价中计入因其影响而可能发生的一切费用。</w:t>
      </w:r>
    </w:p>
    <w:p w14:paraId="26360AB8">
      <w:pPr>
        <w:pageBreakBefore w:val="0"/>
        <w:kinsoku/>
        <w:wordWrap w:val="0"/>
        <w:bidi w:val="0"/>
        <w:spacing w:line="400" w:lineRule="atLeast"/>
        <w:ind w:firstLine="420"/>
        <w:rPr>
          <w:rFonts w:hint="default" w:ascii="Times New Roman" w:hAnsi="Times New Roman" w:cs="Times New Roman"/>
          <w:sz w:val="24"/>
          <w:highlight w:val="none"/>
        </w:rPr>
      </w:pPr>
      <w:r>
        <w:rPr>
          <w:rFonts w:hint="default" w:ascii="Times New Roman" w:hAnsi="Times New Roman" w:cs="Times New Roman"/>
          <w:sz w:val="24"/>
          <w:highlight w:val="none"/>
        </w:rPr>
        <w:t>（2）对于项目专用合同条款未明确指出，但是在不利物质条件发生之前，监理人已经指示承包人有可能发生，但承包人未能及时采取有效措施，而导致的损失和后果均由承包人承担。</w:t>
      </w:r>
    </w:p>
    <w:p w14:paraId="5F77FBAA">
      <w:pPr>
        <w:pageBreakBefore w:val="0"/>
        <w:kinsoku/>
        <w:wordWrap w:val="0"/>
        <w:bidi w:val="0"/>
        <w:spacing w:line="400" w:lineRule="atLeast"/>
        <w:rPr>
          <w:rFonts w:hint="default" w:ascii="Times New Roman" w:hAnsi="Times New Roman" w:cs="Times New Roman"/>
          <w:sz w:val="24"/>
          <w:highlight w:val="none"/>
        </w:rPr>
      </w:pPr>
    </w:p>
    <w:p w14:paraId="237E0D6C">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补充第4.12款、第4.13款：</w:t>
      </w:r>
    </w:p>
    <w:p w14:paraId="29C2089F">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031" w:name="_Toc13171"/>
      <w:bookmarkStart w:id="1032" w:name="_Toc18687"/>
      <w:bookmarkStart w:id="1033" w:name="_Toc4142"/>
      <w:bookmarkStart w:id="1034" w:name="_Toc234833144"/>
      <w:r>
        <w:rPr>
          <w:rFonts w:hint="default" w:ascii="Times New Roman" w:hAnsi="Times New Roman" w:eastAsia="黑体" w:cs="Times New Roman"/>
          <w:b w:val="0"/>
          <w:sz w:val="24"/>
          <w:szCs w:val="24"/>
          <w:highlight w:val="none"/>
        </w:rPr>
        <w:t>4.12 投标文件的完备性</w:t>
      </w:r>
      <w:bookmarkEnd w:id="1031"/>
      <w:bookmarkEnd w:id="1032"/>
      <w:bookmarkEnd w:id="1033"/>
      <w:bookmarkEnd w:id="1034"/>
    </w:p>
    <w:p w14:paraId="660A3A2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合同双方一致认为，承包人在递交投标文件前，对本合同工程的投标文件和已标价工程量清单中开列的单价和总额价已查明是正确的和完备的。投标的单价和总额价应已包括了合同中规定的承包人的全部义务（包括提供货物、材料、设备、服务的义务，并包括了暂列金额和暂估价范围内的额外工作的义务）以及为实施和完成本合同工程及其缺陷修复所必需的一切工作和条件。</w:t>
      </w:r>
    </w:p>
    <w:p w14:paraId="55E43B4E">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035" w:name="_Toc14467"/>
      <w:bookmarkStart w:id="1036" w:name="_Toc17239"/>
      <w:bookmarkStart w:id="1037" w:name="_Toc4019"/>
      <w:r>
        <w:rPr>
          <w:rFonts w:hint="default" w:ascii="Times New Roman" w:hAnsi="Times New Roman" w:eastAsia="黑体" w:cs="Times New Roman"/>
          <w:b w:val="0"/>
          <w:sz w:val="24"/>
          <w:szCs w:val="24"/>
          <w:highlight w:val="none"/>
        </w:rPr>
        <w:t>4.13 开展党建工作要求</w:t>
      </w:r>
      <w:bookmarkEnd w:id="1035"/>
      <w:bookmarkEnd w:id="1036"/>
      <w:bookmarkEnd w:id="1037"/>
    </w:p>
    <w:p w14:paraId="4CF4C09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对于政府投资的国家高速公路项目，或承包人为国有控股或参股企业的，承包人应按规定在项目现场设立基层党组织。不满足上述情形的，承包人应创造条件使党员能够参加党组织生活并接受相应管理。</w:t>
      </w:r>
    </w:p>
    <w:p w14:paraId="2E1DCBD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在项目现场设立基层党组织的，应明确党组织机构设置、党组织负责人及党务工作人员配备情况，编制党务工作开展预案，并按照预案要求在项目实施过程中同步开展党务工作，充分发挥基层党组织在项目实施中的作用。</w:t>
      </w:r>
    </w:p>
    <w:p w14:paraId="24C9BF71">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1038" w:name="_Toc21286"/>
      <w:bookmarkStart w:id="1039" w:name="_Toc29830"/>
      <w:bookmarkStart w:id="1040" w:name="_Toc234833145"/>
      <w:bookmarkStart w:id="1041" w:name="_Toc27557"/>
      <w:r>
        <w:rPr>
          <w:rFonts w:hint="default" w:ascii="Times New Roman" w:hAnsi="Times New Roman" w:eastAsia="黑体" w:cs="Times New Roman"/>
          <w:b w:val="0"/>
          <w:sz w:val="28"/>
          <w:szCs w:val="28"/>
          <w:highlight w:val="none"/>
        </w:rPr>
        <w:t>5. 材料和工程设备</w:t>
      </w:r>
      <w:bookmarkEnd w:id="1038"/>
      <w:bookmarkEnd w:id="1039"/>
      <w:bookmarkEnd w:id="1040"/>
      <w:bookmarkEnd w:id="1041"/>
    </w:p>
    <w:p w14:paraId="4DF7496C">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042" w:name="_Toc234833146"/>
      <w:bookmarkStart w:id="1043" w:name="_Toc25834"/>
      <w:bookmarkStart w:id="1044" w:name="_Toc25319"/>
      <w:bookmarkStart w:id="1045" w:name="_Toc20587"/>
      <w:r>
        <w:rPr>
          <w:rFonts w:hint="default" w:ascii="Times New Roman" w:hAnsi="Times New Roman" w:eastAsia="黑体" w:cs="Times New Roman"/>
          <w:b w:val="0"/>
          <w:sz w:val="24"/>
          <w:szCs w:val="24"/>
          <w:highlight w:val="none"/>
        </w:rPr>
        <w:t>5.2 发包人提供的材料和工程设备</w:t>
      </w:r>
      <w:bookmarkEnd w:id="1042"/>
      <w:bookmarkEnd w:id="1043"/>
      <w:bookmarkEnd w:id="1044"/>
      <w:bookmarkEnd w:id="1045"/>
    </w:p>
    <w:p w14:paraId="3B766153">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第5.2.3项补充：</w:t>
      </w:r>
    </w:p>
    <w:p w14:paraId="78BD8756">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负责接收并按规定对材料进行抽样检验和对工程设备进行检验测试，若发现材料和工程设备存在缺陷，承包人应及时通知监理人，发包人应及时改正通知中指出的缺陷。承包人负责接收后的运输和保管，因承包人的原因发生丢失、损坏或进度拖延，由承包人承担相应责任。</w:t>
      </w:r>
    </w:p>
    <w:p w14:paraId="0E35DFB1">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1046" w:name="_Toc11578"/>
      <w:bookmarkStart w:id="1047" w:name="_Toc24057"/>
      <w:bookmarkStart w:id="1048" w:name="_Toc11315"/>
      <w:bookmarkStart w:id="1049" w:name="_Toc234833147"/>
      <w:r>
        <w:rPr>
          <w:rFonts w:hint="default" w:ascii="Times New Roman" w:hAnsi="Times New Roman" w:eastAsia="黑体" w:cs="Times New Roman"/>
          <w:b w:val="0"/>
          <w:sz w:val="28"/>
          <w:szCs w:val="28"/>
          <w:highlight w:val="none"/>
        </w:rPr>
        <w:t>6. 施工设备和临时设施</w:t>
      </w:r>
      <w:bookmarkEnd w:id="1046"/>
      <w:bookmarkEnd w:id="1047"/>
      <w:bookmarkEnd w:id="1048"/>
      <w:bookmarkEnd w:id="1049"/>
      <w:r>
        <w:rPr>
          <w:rFonts w:hint="default" w:ascii="Times New Roman" w:hAnsi="Times New Roman" w:eastAsia="黑体" w:cs="Times New Roman"/>
          <w:b w:val="0"/>
          <w:sz w:val="28"/>
          <w:szCs w:val="28"/>
          <w:highlight w:val="none"/>
        </w:rPr>
        <w:t xml:space="preserve"> </w:t>
      </w:r>
    </w:p>
    <w:p w14:paraId="13ADCBC6">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050" w:name="_Toc24564"/>
      <w:bookmarkStart w:id="1051" w:name="_Toc17122"/>
      <w:bookmarkStart w:id="1052" w:name="_Toc26020"/>
      <w:bookmarkStart w:id="1053" w:name="_Toc234833148"/>
      <w:r>
        <w:rPr>
          <w:rFonts w:hint="default" w:ascii="Times New Roman" w:hAnsi="Times New Roman" w:eastAsia="黑体" w:cs="Times New Roman"/>
          <w:b w:val="0"/>
          <w:sz w:val="24"/>
          <w:szCs w:val="24"/>
          <w:highlight w:val="none"/>
        </w:rPr>
        <w:t>6.1 承包人提供的施工设备和临时设施</w:t>
      </w:r>
      <w:bookmarkEnd w:id="1050"/>
      <w:bookmarkEnd w:id="1051"/>
      <w:bookmarkEnd w:id="1052"/>
      <w:bookmarkEnd w:id="1053"/>
    </w:p>
    <w:p w14:paraId="76C0FF3D">
      <w:pPr>
        <w:pageBreakBefore w:val="0"/>
        <w:kinsoku/>
        <w:wordWrap w:val="0"/>
        <w:bidi w:val="0"/>
        <w:spacing w:line="400" w:lineRule="atLeast"/>
        <w:ind w:firstLine="420"/>
        <w:rPr>
          <w:rFonts w:hint="default" w:ascii="Times New Roman" w:hAnsi="Times New Roman" w:cs="Times New Roman"/>
          <w:sz w:val="24"/>
          <w:highlight w:val="none"/>
        </w:rPr>
      </w:pPr>
      <w:r>
        <w:rPr>
          <w:rFonts w:hint="default" w:ascii="Times New Roman" w:hAnsi="Times New Roman" w:cs="Times New Roman"/>
          <w:sz w:val="24"/>
          <w:highlight w:val="none"/>
        </w:rPr>
        <w:t>第6.1.2项约定为：</w:t>
      </w:r>
    </w:p>
    <w:p w14:paraId="318CC41E">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承包人应自行承担修建临时设施的费用，需要临时占地的，应由承包人按第4.1.10项（1）目的规定办理。</w:t>
      </w:r>
    </w:p>
    <w:p w14:paraId="55EAFEF5">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054" w:name="_Toc28402"/>
      <w:bookmarkStart w:id="1055" w:name="_Toc26585"/>
      <w:bookmarkStart w:id="1056" w:name="_Toc10697"/>
      <w:bookmarkStart w:id="1057" w:name="_Toc234833149"/>
      <w:r>
        <w:rPr>
          <w:rFonts w:hint="default" w:ascii="Times New Roman" w:hAnsi="Times New Roman" w:eastAsia="黑体" w:cs="Times New Roman"/>
          <w:b w:val="0"/>
          <w:sz w:val="24"/>
          <w:szCs w:val="24"/>
          <w:highlight w:val="none"/>
        </w:rPr>
        <w:t>6.3 要求承包人增加或更换施工设备</w:t>
      </w:r>
      <w:bookmarkEnd w:id="1054"/>
      <w:bookmarkEnd w:id="1055"/>
      <w:bookmarkEnd w:id="1056"/>
      <w:bookmarkEnd w:id="1057"/>
    </w:p>
    <w:p w14:paraId="22249C0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本款细化为：</w:t>
      </w:r>
    </w:p>
    <w:p w14:paraId="790D9D0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承诺的施工设备必须按时到达现场，不得拖延、缺短或任意更换。尽管承包人已按承诺提供了上述设备，但若承包人使用的施工设备不能满足合同进度计划和（或）质量要求时，监理人有权要求承包人增加或更换施工设备，承包人应及时增加或更换，由此增加的费用和（或）工期延误由承包人承担。</w:t>
      </w:r>
    </w:p>
    <w:p w14:paraId="59C0A09A">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1058" w:name="_Toc30626"/>
      <w:bookmarkStart w:id="1059" w:name="_Toc18573"/>
      <w:bookmarkStart w:id="1060" w:name="_Toc28894"/>
      <w:bookmarkStart w:id="1061" w:name="_Toc234833150"/>
      <w:r>
        <w:rPr>
          <w:rFonts w:hint="default" w:ascii="Times New Roman" w:hAnsi="Times New Roman" w:eastAsia="黑体" w:cs="Times New Roman"/>
          <w:b w:val="0"/>
          <w:sz w:val="28"/>
          <w:szCs w:val="28"/>
          <w:highlight w:val="none"/>
        </w:rPr>
        <w:t>7. 交通运输</w:t>
      </w:r>
      <w:bookmarkEnd w:id="1058"/>
      <w:bookmarkEnd w:id="1059"/>
      <w:bookmarkEnd w:id="1060"/>
      <w:bookmarkEnd w:id="1061"/>
      <w:r>
        <w:rPr>
          <w:rFonts w:hint="default" w:ascii="Times New Roman" w:hAnsi="Times New Roman" w:eastAsia="黑体" w:cs="Times New Roman"/>
          <w:b w:val="0"/>
          <w:sz w:val="28"/>
          <w:szCs w:val="28"/>
          <w:highlight w:val="none"/>
        </w:rPr>
        <w:t xml:space="preserve"> </w:t>
      </w:r>
    </w:p>
    <w:p w14:paraId="66D030F7">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062" w:name="_Toc234833151"/>
      <w:bookmarkStart w:id="1063" w:name="_Toc6041"/>
      <w:bookmarkStart w:id="1064" w:name="_Toc3580"/>
      <w:bookmarkStart w:id="1065" w:name="_Toc24391"/>
      <w:r>
        <w:rPr>
          <w:rFonts w:hint="default" w:ascii="Times New Roman" w:hAnsi="Times New Roman" w:eastAsia="黑体" w:cs="Times New Roman"/>
          <w:b w:val="0"/>
          <w:sz w:val="24"/>
          <w:szCs w:val="24"/>
          <w:highlight w:val="none"/>
        </w:rPr>
        <w:t>7.1 道路通行权和场外设施</w:t>
      </w:r>
      <w:bookmarkEnd w:id="1062"/>
      <w:bookmarkEnd w:id="1063"/>
      <w:bookmarkEnd w:id="1064"/>
      <w:bookmarkEnd w:id="1065"/>
    </w:p>
    <w:p w14:paraId="3CAC8496">
      <w:pPr>
        <w:pageBreakBefore w:val="0"/>
        <w:kinsoku/>
        <w:wordWrap w:val="0"/>
        <w:bidi w:val="0"/>
        <w:spacing w:line="400" w:lineRule="atLeast"/>
        <w:ind w:firstLine="420"/>
        <w:rPr>
          <w:rFonts w:hint="default" w:ascii="Times New Roman" w:hAnsi="Times New Roman" w:cs="Times New Roman"/>
          <w:sz w:val="24"/>
          <w:highlight w:val="none"/>
        </w:rPr>
      </w:pPr>
      <w:r>
        <w:rPr>
          <w:rFonts w:hint="default" w:ascii="Times New Roman" w:hAnsi="Times New Roman" w:cs="Times New Roman"/>
          <w:sz w:val="24"/>
          <w:highlight w:val="none"/>
        </w:rPr>
        <w:t>本款约定为：</w:t>
      </w:r>
    </w:p>
    <w:p w14:paraId="645FD17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应根据合同工程的施工需要，负责办理取得出入施工场地的专用和临时道路的通行权，以及取得为工程建设所需修建场外设施的权利，并承担有关费用。需要发包人协调时，发包人应协助承包人办理相关手续。</w:t>
      </w:r>
    </w:p>
    <w:p w14:paraId="41D85995">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1066" w:name="_Toc31528"/>
      <w:bookmarkStart w:id="1067" w:name="_Toc30503"/>
      <w:bookmarkStart w:id="1068" w:name="_Toc234833152"/>
      <w:bookmarkStart w:id="1069" w:name="_Toc6333"/>
      <w:r>
        <w:rPr>
          <w:rFonts w:hint="default" w:ascii="Times New Roman" w:hAnsi="Times New Roman" w:eastAsia="黑体" w:cs="Times New Roman"/>
          <w:b w:val="0"/>
          <w:sz w:val="28"/>
          <w:szCs w:val="28"/>
          <w:highlight w:val="none"/>
        </w:rPr>
        <w:t>8. 测量放线</w:t>
      </w:r>
      <w:bookmarkEnd w:id="1066"/>
      <w:bookmarkEnd w:id="1067"/>
      <w:bookmarkEnd w:id="1068"/>
      <w:bookmarkEnd w:id="1069"/>
    </w:p>
    <w:p w14:paraId="2CCA2DF5">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070" w:name="_Toc26436"/>
      <w:bookmarkStart w:id="1071" w:name="_Toc234833153"/>
      <w:bookmarkStart w:id="1072" w:name="_Toc26266"/>
      <w:bookmarkStart w:id="1073" w:name="_Toc20955"/>
      <w:r>
        <w:rPr>
          <w:rFonts w:hint="default" w:ascii="Times New Roman" w:hAnsi="Times New Roman" w:eastAsia="黑体" w:cs="Times New Roman"/>
          <w:b w:val="0"/>
          <w:sz w:val="24"/>
          <w:szCs w:val="24"/>
          <w:highlight w:val="none"/>
        </w:rPr>
        <w:t>8.4 监理人使用施工控制网</w:t>
      </w:r>
      <w:bookmarkEnd w:id="1070"/>
      <w:bookmarkEnd w:id="1071"/>
      <w:bookmarkEnd w:id="1072"/>
      <w:bookmarkEnd w:id="1073"/>
    </w:p>
    <w:p w14:paraId="4E3378C9">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本款补充：</w:t>
      </w:r>
    </w:p>
    <w:p w14:paraId="2E0160A4">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经监理人批准，其他相关承包人也可免费使用施工控制网。</w:t>
      </w:r>
    </w:p>
    <w:p w14:paraId="5440DC40">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1074" w:name="_Toc13649"/>
      <w:bookmarkStart w:id="1075" w:name="_Toc31525"/>
      <w:bookmarkStart w:id="1076" w:name="_Toc30552"/>
      <w:bookmarkStart w:id="1077" w:name="_Toc234833154"/>
      <w:r>
        <w:rPr>
          <w:rFonts w:hint="default" w:ascii="Times New Roman" w:hAnsi="Times New Roman" w:eastAsia="黑体" w:cs="Times New Roman"/>
          <w:b w:val="0"/>
          <w:sz w:val="28"/>
          <w:szCs w:val="28"/>
          <w:highlight w:val="none"/>
        </w:rPr>
        <w:t>9. 施工安全、治安保卫和环境保护</w:t>
      </w:r>
      <w:bookmarkEnd w:id="1074"/>
      <w:bookmarkEnd w:id="1075"/>
      <w:bookmarkEnd w:id="1076"/>
      <w:bookmarkEnd w:id="1077"/>
    </w:p>
    <w:p w14:paraId="257A4427">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078" w:name="_Toc22581"/>
      <w:bookmarkStart w:id="1079" w:name="_Toc234833155"/>
      <w:bookmarkStart w:id="1080" w:name="_Toc12442"/>
      <w:bookmarkStart w:id="1081" w:name="_Toc16643"/>
      <w:r>
        <w:rPr>
          <w:rFonts w:hint="default" w:ascii="Times New Roman" w:hAnsi="Times New Roman" w:eastAsia="黑体" w:cs="Times New Roman"/>
          <w:b w:val="0"/>
          <w:sz w:val="24"/>
          <w:szCs w:val="24"/>
          <w:highlight w:val="none"/>
        </w:rPr>
        <w:t>9.2 承包人的施工安全责任</w:t>
      </w:r>
      <w:bookmarkEnd w:id="1078"/>
      <w:bookmarkEnd w:id="1079"/>
      <w:bookmarkEnd w:id="1080"/>
      <w:bookmarkEnd w:id="1081"/>
    </w:p>
    <w:p w14:paraId="1663CAE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第9.2.1项细化为：</w:t>
      </w:r>
    </w:p>
    <w:p w14:paraId="701BE9F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应按合同约定履行安全职责，严格执行国家、地方政府有关施工安全管理方面的法律、法规及规章制度，同时严格执行发包人制订的本项目安全生产管理方面的规章制度、安全检查程序及施工安全管理要求，以及监理人有关安全工作的指示。</w:t>
      </w:r>
    </w:p>
    <w:p w14:paraId="2CC1E5E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应根据本工程的实际安全施工要求，编制施工安全技术措施，并在签订合同协议书后28天内，报监理人和发包人批准。该施工安全技术措施包括（但不限于）施工安全保障体系，安全生产责任制，安全生产管理规章制度，安全防护施工方案，施工现场临时用电方案，施工安全评估，安全预控及保证措施方案，紧急应变措施，安全标识、警示和围护方案等。对影响安全的重要工序和下列危险性较大的工程应编制专项施工方案，并附安全验算结果，经承包人项目总工签字并报监理人和发包人批准后实施，由专职安全生产管理人员进行现场监督。</w:t>
      </w:r>
    </w:p>
    <w:p w14:paraId="247E338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本项目需要编制专项施工方案的工程包括但不限于以下内容：</w:t>
      </w:r>
    </w:p>
    <w:p w14:paraId="61BDB08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（1）不良地质条件下有潜在危险性的土方、石方开挖；</w:t>
      </w:r>
    </w:p>
    <w:p w14:paraId="0610F681">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（2）滑坡和高边坡处理；</w:t>
      </w:r>
    </w:p>
    <w:p w14:paraId="5296BB8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（3）桩基础、挡墙基础、深水基础及围堰工程；</w:t>
      </w:r>
    </w:p>
    <w:p w14:paraId="1CDCF4D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（4）桥梁工程中的梁、拱、柱等构件施工等；</w:t>
      </w:r>
    </w:p>
    <w:p w14:paraId="2CBCAF1E">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（5）隧道工程中的不良地质隧道、高瓦斯隧道等；</w:t>
      </w:r>
    </w:p>
    <w:p w14:paraId="7AD1451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（6）水上工程中的打桩船作业、施工船作业、外海孤岛作业、边通航边施工作业等；</w:t>
      </w:r>
    </w:p>
    <w:p w14:paraId="43307B6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（7）水下工程中的水下焊接、混凝土浇筑、爆破工程等；</w:t>
      </w:r>
    </w:p>
    <w:p w14:paraId="4C731062">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（8）爆破工程；</w:t>
      </w:r>
    </w:p>
    <w:p w14:paraId="15A11C2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（9）大型临时工程中的大型支架、模板、便桥的架设与拆除；桥梁、码头的加固与拆除；</w:t>
      </w:r>
    </w:p>
    <w:p w14:paraId="5D54523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（10）其他危险性较大的工程。</w:t>
      </w:r>
    </w:p>
    <w:p w14:paraId="301FAAB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监理人和发包人在检查中发现有安全问题或有违反安全管理规章制度的情况时，可视为承包人违约，应按第22.1款的规定办理。</w:t>
      </w:r>
    </w:p>
    <w:p w14:paraId="590708DB">
      <w:pPr>
        <w:pageBreakBefore w:val="0"/>
        <w:kinsoku/>
        <w:wordWrap w:val="0"/>
        <w:bidi w:val="0"/>
        <w:spacing w:line="44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第9.2.5项细化为：</w:t>
      </w:r>
    </w:p>
    <w:p w14:paraId="216E3EFE">
      <w:pPr>
        <w:pageBreakBefore w:val="0"/>
        <w:kinsoku/>
        <w:wordWrap w:val="0"/>
        <w:bidi w:val="0"/>
        <w:spacing w:line="44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除项目专用合同条款另有约定外，安全生产费用应为投标价（不含安全生产费及建筑工程一切险及第三者责任险的保险费）的1.5%（若发包人公布了最高投标限价时，按最高投标限价的1.5%计）。安全生产费用应用于施工安全防护用具及设施的采购和更新、安全施工措施的落实、安全生产条件的改善，不得挪作他用。如承包人在此基础上增加安全生产费用以满足项目施工需要，则承包人应在本项目工程量清单其他相关子目的单价或总额价中予以考虑，发包人不再另行支付。因采取合同未约定的特殊防护措施增加的费用，由监理人按第3.5款商定或确定。</w:t>
      </w:r>
    </w:p>
    <w:p w14:paraId="6B4B959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本款补充第9.2.8项~第9.2.11项：</w:t>
      </w:r>
    </w:p>
    <w:p w14:paraId="5081758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9.2.8 承包人应充分关注和保障所有在现场工作的人员的安全，采取以下有效措施，使现场和本合同工程的实施保持有条不紊，以免使上述人员的安全受到威胁。</w:t>
      </w:r>
    </w:p>
    <w:p w14:paraId="0D014CE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（1）按《公路水运工程安全生产监督管理办法》规定的最低数量和资质条件配备专职安全生产管理人员；</w:t>
      </w:r>
    </w:p>
    <w:p w14:paraId="0411AC5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承包人的垂直运输机械作业人员、施工船舶作业人员、爆破作业人员、安装拆卸工、起重信号工、电工、焊工等国家规定的特种作业人员，必须按照国家规定经过专门的安全作业培训，并取得特种作业操作资格证书后，方可上岗作业；</w:t>
      </w:r>
    </w:p>
    <w:p w14:paraId="63A49CB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（3）所有施工机具设备和高空作业设备均应定期检查，并有安全员的签字记录；</w:t>
      </w:r>
    </w:p>
    <w:p w14:paraId="7CC7FA9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（4）根据本合同各单位工程的施工特点，严格执行《公路水运工程安全生产监督管理办法》《公路工程施工安全技术规范》等有关规定。</w:t>
      </w:r>
    </w:p>
    <w:p w14:paraId="74E7CE5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9.2.9 为了保护本合同工程免遭损坏，或为了现场附近和过往群众的安全与方便，在确有必要的时候和地方，或当监理人或有关主管部门要求时，承包人应自费提供照明、警卫、护栅、警告标志等安全防护设施。</w:t>
      </w:r>
    </w:p>
    <w:p w14:paraId="79D36E9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9.2.10 在通航水域施工时，承包人应与当地主管部门取得联系，设置必要的导航标志，及时发布航行通告，确保施工水域安全。</w:t>
      </w:r>
    </w:p>
    <w:p w14:paraId="7322625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9.2.11 在整个施工过程中对承包人采取的施工安全措施，发包人和监理人有权监督，并向承包人提出整改要求。如果由于承包人未能对其负责的上述事项采取各种必要的措施而导致或发生与此有关的人身伤亡、罚款、索赔、损失补偿、诉讼费用及其他一切责任应由承包人负责。</w:t>
      </w:r>
    </w:p>
    <w:p w14:paraId="399AEDDC">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082" w:name="_Toc4067"/>
      <w:bookmarkStart w:id="1083" w:name="_Toc234833156"/>
      <w:bookmarkStart w:id="1084" w:name="_Toc25805"/>
      <w:bookmarkStart w:id="1085" w:name="_Toc23200"/>
      <w:r>
        <w:rPr>
          <w:rFonts w:hint="default" w:ascii="Times New Roman" w:hAnsi="Times New Roman" w:eastAsia="黑体" w:cs="Times New Roman"/>
          <w:b w:val="0"/>
          <w:sz w:val="24"/>
          <w:szCs w:val="24"/>
          <w:highlight w:val="none"/>
        </w:rPr>
        <w:t>9.4 环境保护</w:t>
      </w:r>
      <w:bookmarkEnd w:id="1082"/>
      <w:bookmarkEnd w:id="1083"/>
      <w:bookmarkEnd w:id="1084"/>
      <w:bookmarkEnd w:id="1085"/>
    </w:p>
    <w:p w14:paraId="6F996A7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本款补充第9.4.7项~第9.4.11项：</w:t>
      </w:r>
    </w:p>
    <w:p w14:paraId="1BFA49E6">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9.4.7 承包人应切实执行技术规范中有关环境保护方面的条款和规定。</w:t>
      </w:r>
    </w:p>
    <w:p w14:paraId="19071D5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对于来自施工机械和运输车辆的施工噪声，为保护施工人员的健康，应遵守《中华人民共和国环境噪声污染防治法》并依据《工业企业噪声卫生标准》合理安排工作人员轮流操作筑路机械，减少接触高噪声的时间，或间歇安排高噪声的工作。对距噪声源较近的施工人员，除采取使用防护耳塞或头盔等有效措施外，还应当缩短其劳动时间。同时，要注意对机械的经常性保养，尽量使其噪声降低到最低水平。为保护施工现场附近居民的夜间休息，对居民区150m以内的施工现场，施工时间应加以控制。</w:t>
      </w:r>
    </w:p>
    <w:p w14:paraId="4FD07581">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（2）对于公路施工中粉尘污染的主要污染源――灰土拌和、施工车辆和筑路机械运行及运输产生的扬尘，应采取有效措施减轻其对施工现场的大气污染，保护人民健康，如：</w:t>
      </w:r>
    </w:p>
    <w:p w14:paraId="0742184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a. 拌和设备应有较好的密封，或有防尘设备。</w:t>
      </w:r>
    </w:p>
    <w:p w14:paraId="58B0821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b. 施工通道、沥青混凝土拌和站及灰土拌和站应经常进行洒水降尘。</w:t>
      </w:r>
    </w:p>
    <w:p w14:paraId="48FD44C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c. 路面施工应注意保持水分，以免扬尘。</w:t>
      </w:r>
    </w:p>
    <w:p w14:paraId="0F38159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d. 隧道出渣和桥梁钻孔灌注桩施工时排出的泥浆要进行妥善处理，严禁向河流或农田排放。</w:t>
      </w:r>
    </w:p>
    <w:p w14:paraId="6396D23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（3）采取可靠措施保证原有交通的正常通行，维持沿线村镇的居民饮水、农田灌溉、生产生活用电及通信等管线的正常使用。</w:t>
      </w:r>
    </w:p>
    <w:p w14:paraId="070E53AE">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9.4.8 在整个施工过程中对承包人采取的环境保护措施，发包人和监理人有权监督，并向承包人提出整改要求。如果由于承包人未能对其负责的上述事项采取各种必要的措施而导致或发生与此有关的人身伤亡、罚款、索赔、损失补偿、诉讼费用及其他一切责任应由承包人负责。</w:t>
      </w:r>
    </w:p>
    <w:p w14:paraId="725C81F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9.4.9在施工期间，承包人应随时保持现场整洁，施工设备和材料、工程设备应整齐妥善存放和储存，废料与垃圾及不再需要的临时设施应及时从现场清除、拆除并运走。</w:t>
      </w:r>
    </w:p>
    <w:p w14:paraId="3312170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9.4.10 在施工期间，承包人应严格遵守《关于在公路建设中实行最严格的耕地保护制度的若干意见》的相关规定，规范用地、科学用地、合理用地和节约用地。承包人应合理利用所占耕地地表的耕作层，用于重新造地；合理设置取土坑和弃土场，取土坑和弃土场的施工防护要符合要求，防止水土流失。承包人应严格控制临时占地数量，施工便道、各种料场、预制场要根据工程进度统筹考虑，尽可能设置在公路用地范围内或利用荒坡、废弃地解决，不得占用农田。施工过程中要采取有效措施防止污染农田，项目完工后承包人应将临时占地自费恢复到临时占地使用前的状况。</w:t>
      </w:r>
    </w:p>
    <w:p w14:paraId="517CA7A2">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9.4.11 承包人应严格按照国家有关法规要求，做好施工过程中的生态保护和水土保持工作。施工中要尽可能减少对原地面的扰动，减少对地面草木的破坏，需要爆破作业的，应按规定进行控爆设计。雨季填筑路基应随挖、随运、随填、随压，要完善施工中的临时排水系统，加强施工便道的管理。取（弃）土场必须先挡后弃，严禁在指定的取（弃）土场以外的地方乱挖乱弃。</w:t>
      </w:r>
    </w:p>
    <w:p w14:paraId="5395F39E">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1086" w:name="_Toc14910"/>
      <w:bookmarkStart w:id="1087" w:name="_Toc234833157"/>
      <w:bookmarkStart w:id="1088" w:name="_Toc2443"/>
      <w:bookmarkStart w:id="1089" w:name="_Toc10625"/>
      <w:r>
        <w:rPr>
          <w:rFonts w:hint="default" w:ascii="Times New Roman" w:hAnsi="Times New Roman" w:eastAsia="黑体" w:cs="Times New Roman"/>
          <w:b w:val="0"/>
          <w:sz w:val="28"/>
          <w:szCs w:val="28"/>
          <w:highlight w:val="none"/>
        </w:rPr>
        <w:t>10. 进度计划</w:t>
      </w:r>
      <w:bookmarkEnd w:id="1086"/>
      <w:bookmarkEnd w:id="1087"/>
      <w:bookmarkEnd w:id="1088"/>
      <w:bookmarkEnd w:id="1089"/>
    </w:p>
    <w:p w14:paraId="5F0F6A33">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090" w:name="_Toc29662"/>
      <w:bookmarkStart w:id="1091" w:name="_Toc234833158"/>
      <w:bookmarkStart w:id="1092" w:name="_Toc13304"/>
      <w:bookmarkStart w:id="1093" w:name="_Toc19701"/>
      <w:r>
        <w:rPr>
          <w:rFonts w:hint="default" w:ascii="Times New Roman" w:hAnsi="Times New Roman" w:eastAsia="黑体" w:cs="Times New Roman"/>
          <w:b w:val="0"/>
          <w:sz w:val="24"/>
          <w:szCs w:val="24"/>
          <w:highlight w:val="none"/>
        </w:rPr>
        <w:t>10.1 合同进度计划</w:t>
      </w:r>
      <w:bookmarkEnd w:id="1090"/>
      <w:bookmarkEnd w:id="1091"/>
      <w:bookmarkEnd w:id="1092"/>
      <w:bookmarkEnd w:id="1093"/>
    </w:p>
    <w:p w14:paraId="1CA6717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本款补充：</w:t>
      </w:r>
    </w:p>
    <w:p w14:paraId="4956E40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承包人编制施工方案说明的内容见项目专用合同条款。</w:t>
      </w:r>
    </w:p>
    <w:p w14:paraId="61D49DC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承包人向监理人报送施工进度计划和施工方案说明的期限：签订合同协议书后28天之内。</w:t>
      </w:r>
    </w:p>
    <w:p w14:paraId="267552F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监理人应在14天内对承包人施工进度计划和施工方案说明予以批复或提出修改意见。</w:t>
      </w:r>
    </w:p>
    <w:p w14:paraId="309659F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合同进度计划应按照关键线路网络图和主要工作横道图两种形式分别编绘，并应包括每月预计完成的工作量和形象进度。</w:t>
      </w:r>
    </w:p>
    <w:p w14:paraId="263392BE">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094" w:name="_Toc234833159"/>
      <w:bookmarkStart w:id="1095" w:name="_Toc24615"/>
      <w:bookmarkStart w:id="1096" w:name="_Toc16914"/>
      <w:bookmarkStart w:id="1097" w:name="_Toc4429"/>
      <w:r>
        <w:rPr>
          <w:rFonts w:hint="default" w:ascii="Times New Roman" w:hAnsi="Times New Roman" w:eastAsia="黑体" w:cs="Times New Roman"/>
          <w:b w:val="0"/>
          <w:sz w:val="24"/>
          <w:szCs w:val="24"/>
          <w:highlight w:val="none"/>
        </w:rPr>
        <w:t>10.2 合同进度计划的修订</w:t>
      </w:r>
      <w:bookmarkEnd w:id="1094"/>
      <w:bookmarkEnd w:id="1095"/>
      <w:bookmarkEnd w:id="1096"/>
      <w:bookmarkEnd w:id="1097"/>
    </w:p>
    <w:p w14:paraId="5FA56671">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本款补充：</w:t>
      </w:r>
    </w:p>
    <w:p w14:paraId="12A9B447">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承包人提交合同进度计划修订申请报告，并附有关措施和相关资料的期限：实际进度发生滞后的当月25日前。</w:t>
      </w:r>
    </w:p>
    <w:p w14:paraId="466B588A">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监理人批复修订合同进度计划的期限：收到修订合同进度计划后14天内。</w:t>
      </w:r>
    </w:p>
    <w:p w14:paraId="1496C096">
      <w:pPr>
        <w:pageBreakBefore w:val="0"/>
        <w:kinsoku/>
        <w:wordWrap w:val="0"/>
        <w:bidi w:val="0"/>
        <w:spacing w:before="240" w:beforeLines="100"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本条补充第10.3款、第10.4款：</w:t>
      </w:r>
    </w:p>
    <w:p w14:paraId="2EE8A4C9">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098" w:name="_Toc234833160"/>
      <w:bookmarkStart w:id="1099" w:name="_Toc638"/>
      <w:bookmarkStart w:id="1100" w:name="_Toc12702"/>
      <w:bookmarkStart w:id="1101" w:name="_Toc5845"/>
      <w:r>
        <w:rPr>
          <w:rFonts w:hint="default" w:ascii="Times New Roman" w:hAnsi="Times New Roman" w:eastAsia="黑体" w:cs="Times New Roman"/>
          <w:b w:val="0"/>
          <w:sz w:val="24"/>
          <w:szCs w:val="24"/>
          <w:highlight w:val="none"/>
        </w:rPr>
        <w:t>10.3 年度施工计划</w:t>
      </w:r>
      <w:bookmarkEnd w:id="1098"/>
      <w:bookmarkEnd w:id="1099"/>
      <w:bookmarkEnd w:id="1100"/>
      <w:bookmarkEnd w:id="1101"/>
    </w:p>
    <w:p w14:paraId="603856DD">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承包人应在每年11月底前，根据已同意的合同进度计划或其修订的计划，向监理人提交2份格式和内容符合监理人合理规定的下一年度的施工计划，以供审查。该计划应包括本年度估计完成的和下一年度预计完成的分项工程数量和工作量，以及为实施此计划将采取的措施。</w:t>
      </w:r>
    </w:p>
    <w:p w14:paraId="30382B94">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102" w:name="_Toc23614"/>
      <w:bookmarkStart w:id="1103" w:name="_Toc26059"/>
      <w:bookmarkStart w:id="1104" w:name="_Toc234833161"/>
      <w:bookmarkStart w:id="1105" w:name="_Toc3557"/>
      <w:r>
        <w:rPr>
          <w:rFonts w:hint="default" w:ascii="Times New Roman" w:hAnsi="Times New Roman" w:eastAsia="黑体" w:cs="Times New Roman"/>
          <w:b w:val="0"/>
          <w:sz w:val="24"/>
          <w:szCs w:val="24"/>
          <w:highlight w:val="none"/>
        </w:rPr>
        <w:t>10.4 合同用款计划</w:t>
      </w:r>
      <w:bookmarkEnd w:id="1102"/>
      <w:bookmarkEnd w:id="1103"/>
      <w:bookmarkEnd w:id="1104"/>
      <w:bookmarkEnd w:id="1105"/>
    </w:p>
    <w:p w14:paraId="7AF50B6E">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承包人应在签订本合同协议书后28天之内，按招标文件中规定的格式，向监理人提交2份按合同规定承包人有权得到支付的详细的季度合同用款计划，以备监理人查阅。如果监理人提出要求，承包人还应按季度提交修订的合同用款计划。</w:t>
      </w:r>
    </w:p>
    <w:p w14:paraId="003089FA">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1106" w:name="_Toc6483"/>
      <w:bookmarkStart w:id="1107" w:name="_Toc234833162"/>
      <w:bookmarkStart w:id="1108" w:name="_Toc16858"/>
      <w:bookmarkStart w:id="1109" w:name="_Toc29145"/>
      <w:r>
        <w:rPr>
          <w:rFonts w:hint="default" w:ascii="Times New Roman" w:hAnsi="Times New Roman" w:eastAsia="黑体" w:cs="Times New Roman"/>
          <w:b w:val="0"/>
          <w:sz w:val="28"/>
          <w:szCs w:val="28"/>
          <w:highlight w:val="none"/>
        </w:rPr>
        <w:t>11. 开工和交工</w:t>
      </w:r>
      <w:bookmarkEnd w:id="1106"/>
      <w:bookmarkEnd w:id="1107"/>
      <w:bookmarkEnd w:id="1108"/>
      <w:bookmarkEnd w:id="1109"/>
    </w:p>
    <w:p w14:paraId="24580DE4">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110" w:name="_Toc19496"/>
      <w:bookmarkStart w:id="1111" w:name="_Toc234833163"/>
      <w:bookmarkStart w:id="1112" w:name="_Toc23342"/>
      <w:bookmarkStart w:id="1113" w:name="_Toc211"/>
      <w:r>
        <w:rPr>
          <w:rFonts w:hint="default" w:ascii="Times New Roman" w:hAnsi="Times New Roman" w:eastAsia="黑体" w:cs="Times New Roman"/>
          <w:b w:val="0"/>
          <w:sz w:val="24"/>
          <w:szCs w:val="24"/>
          <w:highlight w:val="none"/>
        </w:rPr>
        <w:t>11.1 开工</w:t>
      </w:r>
      <w:bookmarkEnd w:id="1110"/>
      <w:bookmarkEnd w:id="1111"/>
      <w:bookmarkEnd w:id="1112"/>
      <w:bookmarkEnd w:id="1113"/>
    </w:p>
    <w:p w14:paraId="1BA3AC7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第11.1.2项补充：</w:t>
      </w:r>
    </w:p>
    <w:p w14:paraId="1044600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承包人应在分部工程开工前14天向监理人提交分部工程开工报审表，若承包人的开工准备、工作计划和质量控制方法是可接受的且已获得批准，则经监理人书面同意，分部工程才能开工。</w:t>
      </w:r>
    </w:p>
    <w:p w14:paraId="49C35998">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114" w:name="_Toc21145"/>
      <w:bookmarkStart w:id="1115" w:name="_Toc234833164"/>
      <w:bookmarkStart w:id="1116" w:name="_Toc2188"/>
      <w:bookmarkStart w:id="1117" w:name="_Toc8362"/>
      <w:r>
        <w:rPr>
          <w:rFonts w:hint="default" w:ascii="Times New Roman" w:hAnsi="Times New Roman" w:eastAsia="黑体" w:cs="Times New Roman"/>
          <w:b w:val="0"/>
          <w:sz w:val="24"/>
          <w:szCs w:val="24"/>
          <w:highlight w:val="none"/>
        </w:rPr>
        <w:t>11.3 发包人的工期延误</w:t>
      </w:r>
      <w:bookmarkEnd w:id="1114"/>
      <w:bookmarkEnd w:id="1115"/>
      <w:bookmarkEnd w:id="1116"/>
      <w:bookmarkEnd w:id="1117"/>
    </w:p>
    <w:p w14:paraId="3742F1A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本款补充：</w:t>
      </w:r>
    </w:p>
    <w:p w14:paraId="76CCAEA6">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即使由于上述原因造成工期延误，如果受影响的工程并非处在工程施工进度网络计划的关键线路上，则承包人无权要求延长总工期。</w:t>
      </w:r>
    </w:p>
    <w:p w14:paraId="487BE054">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118" w:name="_Toc26694"/>
      <w:bookmarkStart w:id="1119" w:name="_Toc2793"/>
      <w:bookmarkStart w:id="1120" w:name="_Toc2448"/>
      <w:bookmarkStart w:id="1121" w:name="_Toc234833165"/>
      <w:r>
        <w:rPr>
          <w:rFonts w:hint="default" w:ascii="Times New Roman" w:hAnsi="Times New Roman" w:eastAsia="黑体" w:cs="Times New Roman"/>
          <w:b w:val="0"/>
          <w:sz w:val="24"/>
          <w:szCs w:val="24"/>
          <w:highlight w:val="none"/>
        </w:rPr>
        <w:t>11.4异常恶劣的气候条件</w:t>
      </w:r>
      <w:bookmarkEnd w:id="1118"/>
      <w:bookmarkEnd w:id="1119"/>
      <w:bookmarkEnd w:id="1120"/>
      <w:bookmarkEnd w:id="1121"/>
    </w:p>
    <w:p w14:paraId="1555794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本款补充：</w:t>
      </w:r>
    </w:p>
    <w:p w14:paraId="035C027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异常气候是指项目所在地30年以上一遇的罕见气候现象（包括</w:t>
      </w:r>
      <w:r>
        <w:rPr>
          <w:rFonts w:hint="default" w:ascii="Times New Roman" w:hAnsi="Times New Roman" w:cs="Times New Roman"/>
          <w:sz w:val="24"/>
          <w:highlight w:val="none"/>
        </w:rPr>
        <w:fldChar w:fldCharType="begin"/>
      </w:r>
      <w:r>
        <w:rPr>
          <w:rFonts w:hint="default" w:ascii="Times New Roman" w:hAnsi="Times New Roman" w:cs="Times New Roman"/>
          <w:sz w:val="24"/>
          <w:highlight w:val="none"/>
        </w:rPr>
        <w:instrText xml:space="preserve"> HYPERLINK "http://baike.baidu.com/view/8193.htm" \t "_blank" </w:instrText>
      </w:r>
      <w:r>
        <w:rPr>
          <w:rFonts w:hint="default" w:ascii="Times New Roman" w:hAnsi="Times New Roman" w:cs="Times New Roman"/>
          <w:sz w:val="24"/>
          <w:highlight w:val="none"/>
        </w:rPr>
        <w:fldChar w:fldCharType="separate"/>
      </w:r>
      <w:r>
        <w:rPr>
          <w:rFonts w:hint="default" w:ascii="Times New Roman" w:hAnsi="Times New Roman" w:cs="Times New Roman"/>
          <w:sz w:val="24"/>
          <w:highlight w:val="none"/>
        </w:rPr>
        <w:t>温度</w:t>
      </w:r>
      <w:r>
        <w:rPr>
          <w:rFonts w:hint="default" w:ascii="Times New Roman" w:hAnsi="Times New Roman" w:cs="Times New Roman"/>
          <w:sz w:val="24"/>
          <w:highlight w:val="none"/>
        </w:rPr>
        <w:fldChar w:fldCharType="end"/>
      </w:r>
      <w:r>
        <w:rPr>
          <w:rFonts w:hint="default" w:ascii="Times New Roman" w:hAnsi="Times New Roman" w:cs="Times New Roman"/>
          <w:sz w:val="24"/>
          <w:highlight w:val="none"/>
        </w:rPr>
        <w:t>、降水、降雪、风等）。异常恶劣的气候条件在项目专用合同条款中作具体约定。</w:t>
      </w:r>
    </w:p>
    <w:p w14:paraId="72B54049">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122" w:name="_Toc19354"/>
      <w:bookmarkStart w:id="1123" w:name="_Toc13242"/>
      <w:bookmarkStart w:id="1124" w:name="_Toc234833166"/>
      <w:bookmarkStart w:id="1125" w:name="_Toc21955"/>
      <w:r>
        <w:rPr>
          <w:rFonts w:hint="default" w:ascii="Times New Roman" w:hAnsi="Times New Roman" w:eastAsia="黑体" w:cs="Times New Roman"/>
          <w:b w:val="0"/>
          <w:sz w:val="24"/>
          <w:szCs w:val="24"/>
          <w:highlight w:val="none"/>
        </w:rPr>
        <w:t>11.5 承包人的工期延误</w:t>
      </w:r>
      <w:bookmarkEnd w:id="1122"/>
      <w:bookmarkEnd w:id="1123"/>
      <w:bookmarkEnd w:id="1124"/>
      <w:bookmarkEnd w:id="1125"/>
    </w:p>
    <w:p w14:paraId="07FCF97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本款细化为：</w:t>
      </w:r>
    </w:p>
    <w:p w14:paraId="0368AF1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承包人应严格执行监理人批准的合同进度计划，对工作量计划和形象进度计划分别控制。除第11.3款规定外，承包人的实际工程进度曲线应在合同进度管理曲线规定的安全区域之内。若承包人的实际工程进度曲线处在合同进度管理曲线规定的安全区域的下限之外时，则监理人有权认为本合同工程的进度过慢，并通知承包人应采取必要措施，以便加快工程进度，确保工程能在预定的工期内交工。承包人应采取措施加快进度，并承担加快进度所增加的费用。</w:t>
      </w:r>
    </w:p>
    <w:p w14:paraId="071D858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如果承包人在接到监理人通知后的14天内，未能采取加快工程进度的措施，致使实际工程进度进一步滞后，或承包人虽采取了一些措施，仍无法按预计工期交工时，监理人应立即通知发包人。发包人在向承包人发出书面警告通知14天后，发包人可按第22.1款终止对承包人的雇用，也可将本合同工程中的一部分工作交由其他承包人或其他分包人完成。在不解除本合同规定的承包人责任和义务的同时，承包人应承担因此所增加的一切费用。</w:t>
      </w:r>
    </w:p>
    <w:p w14:paraId="4B6B5FD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由于承包人原因造成工期延误，承包人应支付逾期交工违约金。逾期交工违约金的计算方法在项目专用合同条款数据表中约定，时间自预定的交工日期起到交工验收证书中写明的实际交工日期止（扣除已批准的延长工期），按天计算。逾期交工违约金累计金额最高不超过项目专用合同条款数据表中写明的限额。发包人可以从应付或到期应付给承包人的任何款项中或采用其他方法扣除此违约金。</w:t>
      </w:r>
    </w:p>
    <w:p w14:paraId="245D3D06">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（4）承包人支付逾期交工违约金，不免除承包人完成工程及修补缺陷的义务。</w:t>
      </w:r>
    </w:p>
    <w:p w14:paraId="6F08FAB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如果在合同工程完工之前，已对合同工程内按时完工的单位工程签发了交工验收证书，则合同工程的逾期交工违约金，应按已签发交工验收证书的单位工程的价值占合同工程价值的比例予以减少，但本规定不应影响逾期交工违约金的规定限额。</w:t>
      </w:r>
    </w:p>
    <w:p w14:paraId="212B586E">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126" w:name="_Toc234833167"/>
      <w:bookmarkStart w:id="1127" w:name="_Toc21733"/>
      <w:bookmarkStart w:id="1128" w:name="_Toc24642"/>
      <w:bookmarkStart w:id="1129" w:name="_Toc25459"/>
      <w:r>
        <w:rPr>
          <w:rFonts w:hint="default" w:ascii="Times New Roman" w:hAnsi="Times New Roman" w:eastAsia="黑体" w:cs="Times New Roman"/>
          <w:b w:val="0"/>
          <w:sz w:val="24"/>
          <w:szCs w:val="24"/>
          <w:highlight w:val="none"/>
        </w:rPr>
        <w:t>11.6 工期提前</w:t>
      </w:r>
      <w:bookmarkEnd w:id="1126"/>
      <w:bookmarkEnd w:id="1127"/>
      <w:bookmarkEnd w:id="1128"/>
      <w:bookmarkEnd w:id="1129"/>
    </w:p>
    <w:p w14:paraId="5A34791E">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本款补充：</w:t>
      </w:r>
    </w:p>
    <w:p w14:paraId="397642BE">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发包人不得随意要求承包人提前交工，承包人也不得随意提出提前交工的建议。如遇特殊情况，确需将工期提前的，发包人和承包人必须采取有效措施，确保工程质量。</w:t>
      </w:r>
    </w:p>
    <w:p w14:paraId="6817A11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如果承包人提前交工，发包人支付奖金的计算方法在项目专用合同条款数据表中约定，时间自交工验收证书中写明的实际交工日期起至预定的交工日期止，按天计算。但奖金最高限额不超过项目专用合同条款数据表中写明的限额。</w:t>
      </w:r>
    </w:p>
    <w:p w14:paraId="7DF1A7C2">
      <w:pPr>
        <w:pageBreakBefore w:val="0"/>
        <w:kinsoku/>
        <w:wordWrap w:val="0"/>
        <w:bidi w:val="0"/>
        <w:spacing w:line="400" w:lineRule="atLeast"/>
        <w:ind w:firstLine="480" w:firstLineChars="200"/>
        <w:rPr>
          <w:rFonts w:hint="default" w:ascii="Times New Roman" w:hAnsi="Times New Roman" w:cs="Times New Roman"/>
          <w:sz w:val="24"/>
          <w:highlight w:val="none"/>
        </w:rPr>
      </w:pPr>
    </w:p>
    <w:p w14:paraId="4092AD48">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本条补充第11.7款：</w:t>
      </w:r>
    </w:p>
    <w:p w14:paraId="4199CDC8">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130" w:name="_Toc11965"/>
      <w:bookmarkStart w:id="1131" w:name="_Toc234833168"/>
      <w:bookmarkStart w:id="1132" w:name="_Toc23743"/>
      <w:bookmarkStart w:id="1133" w:name="_Toc29501"/>
      <w:r>
        <w:rPr>
          <w:rFonts w:hint="default" w:ascii="Times New Roman" w:hAnsi="Times New Roman" w:eastAsia="黑体" w:cs="Times New Roman"/>
          <w:b w:val="0"/>
          <w:sz w:val="24"/>
          <w:szCs w:val="24"/>
          <w:highlight w:val="none"/>
        </w:rPr>
        <w:t>11.7 工作时间的限制</w:t>
      </w:r>
      <w:bookmarkEnd w:id="1130"/>
      <w:bookmarkEnd w:id="1131"/>
      <w:bookmarkEnd w:id="1132"/>
      <w:bookmarkEnd w:id="1133"/>
    </w:p>
    <w:p w14:paraId="6E99254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承包人在夜间或国家规定的节假日进行永久工程的施工，应向监理人报告，以便监理人履行监理职责和义务。</w:t>
      </w:r>
    </w:p>
    <w:p w14:paraId="00FFDB1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但是，为了抢救生命或保护财产，或为了工程的安全、质量而不可避免地短暂作业，则不必事先向监理人报告。但承包人应在事后立即向监理人报告。</w:t>
      </w:r>
    </w:p>
    <w:p w14:paraId="4E3B613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本款规定不适用于习惯上或施工本身要求实行连续生产的作业。</w:t>
      </w:r>
    </w:p>
    <w:p w14:paraId="387BE2B6">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1134" w:name="_Toc234833169"/>
      <w:bookmarkStart w:id="1135" w:name="_Toc10095"/>
      <w:bookmarkStart w:id="1136" w:name="_Toc21568"/>
      <w:bookmarkStart w:id="1137" w:name="_Toc28933"/>
      <w:r>
        <w:rPr>
          <w:rFonts w:hint="default" w:ascii="Times New Roman" w:hAnsi="Times New Roman" w:eastAsia="黑体" w:cs="Times New Roman"/>
          <w:b w:val="0"/>
          <w:sz w:val="28"/>
          <w:szCs w:val="28"/>
          <w:highlight w:val="none"/>
        </w:rPr>
        <w:t>12. 暂停施工</w:t>
      </w:r>
      <w:bookmarkEnd w:id="1134"/>
      <w:bookmarkEnd w:id="1135"/>
      <w:bookmarkEnd w:id="1136"/>
      <w:bookmarkEnd w:id="1137"/>
    </w:p>
    <w:p w14:paraId="01C45833">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138" w:name="_Toc234833170"/>
      <w:bookmarkStart w:id="1139" w:name="_Toc15852"/>
      <w:bookmarkStart w:id="1140" w:name="_Toc24281"/>
      <w:bookmarkStart w:id="1141" w:name="_Toc19976"/>
      <w:r>
        <w:rPr>
          <w:rFonts w:hint="default" w:ascii="Times New Roman" w:hAnsi="Times New Roman" w:eastAsia="黑体" w:cs="Times New Roman"/>
          <w:b w:val="0"/>
          <w:sz w:val="24"/>
          <w:szCs w:val="24"/>
          <w:highlight w:val="none"/>
        </w:rPr>
        <w:t>12.1 承包人暂停施工的责任</w:t>
      </w:r>
      <w:bookmarkEnd w:id="1138"/>
      <w:bookmarkEnd w:id="1139"/>
      <w:bookmarkEnd w:id="1140"/>
      <w:bookmarkEnd w:id="1141"/>
    </w:p>
    <w:p w14:paraId="7ABA84A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本款第（5）项细化为：</w:t>
      </w:r>
    </w:p>
    <w:p w14:paraId="2509E7A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（5）现场气候条件导致的必要停工（第11.4款约定的异常恶劣的气候条件除外）；</w:t>
      </w:r>
    </w:p>
    <w:p w14:paraId="53D4C2F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（6）项目专用合同条款可能约定的由承包人承担的其他暂停施工。</w:t>
      </w:r>
    </w:p>
    <w:p w14:paraId="30B15FAA">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1142" w:name="_Toc1341"/>
      <w:bookmarkStart w:id="1143" w:name="_Toc234833171"/>
      <w:bookmarkStart w:id="1144" w:name="_Toc139"/>
      <w:bookmarkStart w:id="1145" w:name="_Toc22379"/>
      <w:r>
        <w:rPr>
          <w:rFonts w:hint="default" w:ascii="Times New Roman" w:hAnsi="Times New Roman" w:eastAsia="黑体" w:cs="Times New Roman"/>
          <w:b w:val="0"/>
          <w:sz w:val="28"/>
          <w:szCs w:val="28"/>
          <w:highlight w:val="none"/>
        </w:rPr>
        <w:t>13. 工程质量</w:t>
      </w:r>
      <w:bookmarkEnd w:id="1142"/>
      <w:bookmarkEnd w:id="1143"/>
      <w:bookmarkEnd w:id="1144"/>
      <w:bookmarkEnd w:id="1145"/>
    </w:p>
    <w:p w14:paraId="1C8C60FF">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146" w:name="_Toc234833172"/>
      <w:bookmarkStart w:id="1147" w:name="_Toc30210"/>
      <w:bookmarkStart w:id="1148" w:name="_Toc14295"/>
      <w:bookmarkStart w:id="1149" w:name="_Toc940"/>
      <w:r>
        <w:rPr>
          <w:rFonts w:hint="default" w:ascii="Times New Roman" w:hAnsi="Times New Roman" w:eastAsia="黑体" w:cs="Times New Roman"/>
          <w:b w:val="0"/>
          <w:sz w:val="24"/>
          <w:szCs w:val="24"/>
          <w:highlight w:val="none"/>
        </w:rPr>
        <w:t>13.1 工程质量要求</w:t>
      </w:r>
      <w:bookmarkEnd w:id="1146"/>
      <w:bookmarkEnd w:id="1147"/>
      <w:bookmarkEnd w:id="1148"/>
      <w:bookmarkEnd w:id="1149"/>
    </w:p>
    <w:p w14:paraId="1074D4F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第13.1.1项约定为：</w:t>
      </w:r>
    </w:p>
    <w:p w14:paraId="2B6BDFE3">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工程质量验收按技术规范及《公路工程质量检验评定标准》执行。</w:t>
      </w:r>
    </w:p>
    <w:p w14:paraId="736EEBA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本款补充第13.1.4项、第13.1.5项：</w:t>
      </w:r>
    </w:p>
    <w:p w14:paraId="0B32BA1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13.1.4 发包人和承包人应严格遵守《关于严格落实公路工程质量责任制的若干意见》的相关规定，认真执行工程质量责任登记制度并</w:t>
      </w:r>
      <w:r>
        <w:rPr>
          <w:rFonts w:hint="default" w:ascii="Times New Roman" w:hAnsi="Times New Roman" w:cs="Times New Roman"/>
          <w:kern w:val="0"/>
          <w:sz w:val="24"/>
          <w:highlight w:val="none"/>
        </w:rPr>
        <w:t>按要求填写工程质量责任登记表</w:t>
      </w:r>
      <w:r>
        <w:rPr>
          <w:rFonts w:hint="default" w:ascii="Times New Roman" w:hAnsi="Times New Roman" w:cs="Times New Roman"/>
          <w:sz w:val="24"/>
          <w:highlight w:val="none"/>
        </w:rPr>
        <w:t>。</w:t>
      </w:r>
    </w:p>
    <w:p w14:paraId="7C5C4632">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13.1.5 本项目严格执行质量责任追究制度。质量事故处理实行</w:t>
      </w:r>
      <w:r>
        <w:rPr>
          <w:rFonts w:hint="eastAsia" w:ascii="宋体" w:hAnsi="宋体" w:eastAsia="宋体" w:cs="宋体"/>
          <w:sz w:val="24"/>
          <w:highlight w:val="none"/>
        </w:rPr>
        <w:t>“</w:t>
      </w:r>
      <w:r>
        <w:rPr>
          <w:rFonts w:hint="default" w:ascii="Times New Roman" w:hAnsi="Times New Roman" w:cs="Times New Roman"/>
          <w:sz w:val="24"/>
          <w:highlight w:val="none"/>
        </w:rPr>
        <w:t>四不放过</w:t>
      </w:r>
      <w:r>
        <w:rPr>
          <w:rFonts w:hint="eastAsia" w:ascii="宋体" w:hAnsi="宋体" w:eastAsia="宋体" w:cs="宋体"/>
          <w:sz w:val="24"/>
          <w:highlight w:val="none"/>
        </w:rPr>
        <w:t>”</w:t>
      </w:r>
      <w:r>
        <w:rPr>
          <w:rFonts w:hint="default" w:ascii="Times New Roman" w:hAnsi="Times New Roman" w:cs="Times New Roman"/>
          <w:sz w:val="24"/>
          <w:highlight w:val="none"/>
        </w:rPr>
        <w:t>原则：事故原因调查不清不放过；事故责任者没有受到教育不放过；没有防范措施不放过；相关责任人没受到处理不放过。</w:t>
      </w:r>
    </w:p>
    <w:p w14:paraId="6031479E">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150" w:name="_Toc12268"/>
      <w:bookmarkStart w:id="1151" w:name="_Toc8253"/>
      <w:bookmarkStart w:id="1152" w:name="_Toc19759"/>
      <w:bookmarkStart w:id="1153" w:name="_Toc234833173"/>
      <w:r>
        <w:rPr>
          <w:rFonts w:hint="default" w:ascii="Times New Roman" w:hAnsi="Times New Roman" w:eastAsia="黑体" w:cs="Times New Roman"/>
          <w:b w:val="0"/>
          <w:sz w:val="24"/>
          <w:szCs w:val="24"/>
          <w:highlight w:val="none"/>
        </w:rPr>
        <w:t>13.2 承包人的质量管理</w:t>
      </w:r>
      <w:bookmarkEnd w:id="1150"/>
      <w:bookmarkEnd w:id="1151"/>
      <w:bookmarkEnd w:id="1152"/>
      <w:bookmarkEnd w:id="1153"/>
    </w:p>
    <w:p w14:paraId="695EB46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第13.2.1项补充：</w:t>
      </w:r>
    </w:p>
    <w:p w14:paraId="3E5664B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承包人提交工程质量保证措施文件的期限：签订合同协议书后28天之内。</w:t>
      </w:r>
    </w:p>
    <w:p w14:paraId="6216D90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本款补充第13.2.3项~第13.2.10项：</w:t>
      </w:r>
    </w:p>
    <w:p w14:paraId="58C0C6B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13.2.3 公路工程施行质量责任终身制。承包人应当书面明确相应的项目负责人和质量负责人。承包人的相关人员按照国家法律法规和有关规定在工程合理使用年限内承担相应的质量责任。</w:t>
      </w:r>
    </w:p>
    <w:p w14:paraId="2C9A5972">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13.2.4 承包人应当建立健全工程质量保证体系，制定质量管理制度，强化工程质量管理措施，完善工程质量目标保障机制；严格遵守国家有关法律、法规和规章，严格执行公路工程强制性技术标准、各类技术规范及规程，全面履行工程合同义务。</w:t>
      </w:r>
    </w:p>
    <w:p w14:paraId="5FBFD86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13.2.5 承包人对工程施工质量负责，应当按合同约定设立现场质量管理机构、配备工程技术人员和质量管理人员，落实工程施工质量责任制。</w:t>
      </w:r>
    </w:p>
    <w:p w14:paraId="2BF701F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13.2.6 承包人应当严格按照工程设计图纸、施工技术标准和合同约定施工，对原材料、混合料、构配件、工程实体、机电设备等进行检验；按规定施行班组自检、工序交接检、专职质检员检验的质量控制程序；对分项工程、分部工程和单位工程进行质量自评。检验或者自评不合格的，不得进入下道工序或者投入使用。</w:t>
      </w:r>
    </w:p>
    <w:p w14:paraId="7FBF52A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13.2.7 承包人应当加强施工过程质量控制，并形成完整、可追溯的施工质量管理资料，主体工程的隐蔽部位施工还应当保留影像资料。对施工中出现的质量问题或者验收不合格的工程，应当负责返工处理；对在保修范围和保修期限内发生质量问题的工程，应当履行保修义务。</w:t>
      </w:r>
    </w:p>
    <w:p w14:paraId="65A07E01">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13.2.8 承包人应当按照合同约定设立工地临时试验室，配齐检测和试验仪器、仪表，及时校正确保其精度；严格按照工程技术标准、检测规范和规程，在核定的试验检测参数范围内开展试验检测活动，并确保规范规定的检验、抽检频率。承包人应当对其设立的工地临时试验室所出具的试验检测数据和报告的真实性、客观性、准确性负责。</w:t>
      </w:r>
    </w:p>
    <w:p w14:paraId="77E59E0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13.2.9 承包人应当依法规范分包行为，并对承担的工程质量负总责，分包单位对分包合同范围内的工程质量负责。</w:t>
      </w:r>
    </w:p>
    <w:p w14:paraId="57779C9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13.2.10 承包人驻工程现场机构应在现场驻地和重要的分部、分项工程施工现场设置明显的工程质量责任登记表公示牌。</w:t>
      </w:r>
    </w:p>
    <w:p w14:paraId="6B73A66C">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154" w:name="_Toc1657"/>
      <w:bookmarkStart w:id="1155" w:name="_Toc17725"/>
      <w:bookmarkStart w:id="1156" w:name="_Toc20957"/>
      <w:bookmarkStart w:id="1157" w:name="_Toc234833174"/>
      <w:r>
        <w:rPr>
          <w:rFonts w:hint="default" w:ascii="Times New Roman" w:hAnsi="Times New Roman" w:eastAsia="黑体" w:cs="Times New Roman"/>
          <w:b w:val="0"/>
          <w:sz w:val="24"/>
          <w:szCs w:val="24"/>
          <w:highlight w:val="none"/>
        </w:rPr>
        <w:t>13.4 监理人的质量检查</w:t>
      </w:r>
      <w:bookmarkEnd w:id="1154"/>
      <w:bookmarkEnd w:id="1155"/>
      <w:bookmarkEnd w:id="1156"/>
      <w:bookmarkEnd w:id="1157"/>
    </w:p>
    <w:p w14:paraId="7D5521A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本款补充：</w:t>
      </w:r>
    </w:p>
    <w:p w14:paraId="5AF48263">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监理人及其委派的检验人员，应能进入工程现场，以及材料或工程设备的制造、加工或制配的车间和场所，包括不属于承包人的车间或场所进行检查，承包人应为此提供便利和协助。</w:t>
      </w:r>
    </w:p>
    <w:p w14:paraId="4639A9F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监理人可以将材料或工程设备的检查和检验委托给一家独立的有质量检验认证资格的检验单位。该独立检验单位的检验结果应视为监理人完成的。监理人应将这种委托的通知书不少于7天前交给承包人。</w:t>
      </w:r>
    </w:p>
    <w:p w14:paraId="6DC72A3A">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158" w:name="_Toc24829"/>
      <w:bookmarkStart w:id="1159" w:name="_Toc234833175"/>
      <w:bookmarkStart w:id="1160" w:name="_Toc31604"/>
      <w:bookmarkStart w:id="1161" w:name="_Toc15131"/>
      <w:r>
        <w:rPr>
          <w:rFonts w:hint="default" w:ascii="Times New Roman" w:hAnsi="Times New Roman" w:eastAsia="黑体" w:cs="Times New Roman"/>
          <w:b w:val="0"/>
          <w:sz w:val="24"/>
          <w:szCs w:val="24"/>
          <w:highlight w:val="none"/>
        </w:rPr>
        <w:t>13.5 工程隐蔽部位覆盖前的检查</w:t>
      </w:r>
      <w:bookmarkEnd w:id="1158"/>
      <w:bookmarkEnd w:id="1159"/>
      <w:bookmarkEnd w:id="1160"/>
      <w:bookmarkEnd w:id="1161"/>
    </w:p>
    <w:p w14:paraId="17D5816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第13.5.1项补充：</w:t>
      </w:r>
    </w:p>
    <w:p w14:paraId="622973A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当监理人有指令时，承包人应对重要隐蔽工程进行拍摄或照相并应保证监理人有充分的机会对将要覆盖或掩蔽的工程进行检查和量测，特别是在基础以上的任一部分工程修筑之前，对该基础进行检查。</w:t>
      </w:r>
    </w:p>
    <w:p w14:paraId="4F01BAAD">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162" w:name="_Toc1659"/>
      <w:bookmarkStart w:id="1163" w:name="_Toc21958"/>
      <w:bookmarkStart w:id="1164" w:name="_Toc234833176"/>
      <w:bookmarkStart w:id="1165" w:name="_Toc19441"/>
      <w:r>
        <w:rPr>
          <w:rFonts w:hint="default" w:ascii="Times New Roman" w:hAnsi="Times New Roman" w:eastAsia="黑体" w:cs="Times New Roman"/>
          <w:b w:val="0"/>
          <w:sz w:val="24"/>
          <w:szCs w:val="24"/>
          <w:highlight w:val="none"/>
        </w:rPr>
        <w:t>13.6 清除不合格工程</w:t>
      </w:r>
      <w:bookmarkEnd w:id="1162"/>
      <w:bookmarkEnd w:id="1163"/>
      <w:bookmarkEnd w:id="1164"/>
      <w:bookmarkEnd w:id="1165"/>
    </w:p>
    <w:p w14:paraId="218CCDC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第13.6.1项细化为：</w:t>
      </w:r>
    </w:p>
    <w:p w14:paraId="5E47E876">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承包人使用不合格材料、工程设备，或采用不适当的施工工艺，或施工不当，造成工程不合格的，监理人可以随时发出指示，要求承包人立即采取措施进行替换、补救或拆除重建，直至达到合同要求的质量标准，由此增加的费用和（或）工期延误由承包人承担。</w:t>
      </w:r>
    </w:p>
    <w:p w14:paraId="54441F5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（2）如果承包人未在规定时间内执行监理人的指示，发包人有权雇用他人执行，由此增加的费用和（或）工期延误由承包人承担。</w:t>
      </w:r>
    </w:p>
    <w:p w14:paraId="4797E299">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1166" w:name="_Toc234833177"/>
      <w:bookmarkStart w:id="1167" w:name="_Toc30652"/>
      <w:bookmarkStart w:id="1168" w:name="_Toc17523"/>
      <w:bookmarkStart w:id="1169" w:name="_Toc12972"/>
      <w:r>
        <w:rPr>
          <w:rFonts w:hint="default" w:ascii="Times New Roman" w:hAnsi="Times New Roman" w:eastAsia="黑体" w:cs="Times New Roman"/>
          <w:b w:val="0"/>
          <w:sz w:val="28"/>
          <w:szCs w:val="28"/>
          <w:highlight w:val="none"/>
        </w:rPr>
        <w:t>14. 试验和检验</w:t>
      </w:r>
      <w:bookmarkEnd w:id="1166"/>
      <w:bookmarkEnd w:id="1167"/>
      <w:bookmarkEnd w:id="1168"/>
      <w:bookmarkEnd w:id="1169"/>
    </w:p>
    <w:p w14:paraId="7E74EA33">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本条补充第14.4款：</w:t>
      </w:r>
    </w:p>
    <w:p w14:paraId="7F2011FD">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170" w:name="_Toc18957"/>
      <w:bookmarkStart w:id="1171" w:name="_Toc8486"/>
      <w:bookmarkStart w:id="1172" w:name="_Toc10470"/>
      <w:bookmarkStart w:id="1173" w:name="_Toc234833178"/>
      <w:r>
        <w:rPr>
          <w:rFonts w:hint="default" w:ascii="Times New Roman" w:hAnsi="Times New Roman" w:eastAsia="黑体" w:cs="Times New Roman"/>
          <w:b w:val="0"/>
          <w:sz w:val="24"/>
          <w:szCs w:val="24"/>
          <w:highlight w:val="none"/>
        </w:rPr>
        <w:t>14.4 试验和检验费用</w:t>
      </w:r>
      <w:bookmarkEnd w:id="1170"/>
      <w:bookmarkEnd w:id="1171"/>
      <w:bookmarkEnd w:id="1172"/>
      <w:bookmarkEnd w:id="1173"/>
    </w:p>
    <w:p w14:paraId="2A555A5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（1）承包人应负责提供合同和技术规范规定的试验和检验所需的全部样品，并承担其费用。</w:t>
      </w:r>
    </w:p>
    <w:p w14:paraId="5114C60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（2）在合同中明确规定的试验和检验，包括无须在工程量清单中单独列项和已在工程量清单中单独列项的试验和检验，其试验和检验的费用由承包人承担。</w:t>
      </w:r>
    </w:p>
    <w:p w14:paraId="02D205A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如果监理人所要求做的试验和检验为合同未规定的或是在该材料或工程设备的制造、加工、制配场地以外的场所进行的，则检验结束后，如表明操作工艺或材料、工程设备未能符合合同规定，其费用应由承包人承担，否则，其费用应由发包人承担。</w:t>
      </w:r>
    </w:p>
    <w:p w14:paraId="4C56F3F3">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1174" w:name="_Toc9387"/>
      <w:bookmarkStart w:id="1175" w:name="_Toc18804"/>
      <w:bookmarkStart w:id="1176" w:name="_Toc234833179"/>
      <w:bookmarkStart w:id="1177" w:name="_Toc24940"/>
      <w:r>
        <w:rPr>
          <w:rFonts w:hint="default" w:ascii="Times New Roman" w:hAnsi="Times New Roman" w:eastAsia="黑体" w:cs="Times New Roman"/>
          <w:b w:val="0"/>
          <w:sz w:val="28"/>
          <w:szCs w:val="28"/>
          <w:highlight w:val="none"/>
        </w:rPr>
        <w:t>15. 变更</w:t>
      </w:r>
      <w:bookmarkEnd w:id="1174"/>
      <w:bookmarkEnd w:id="1175"/>
      <w:bookmarkEnd w:id="1176"/>
      <w:bookmarkEnd w:id="1177"/>
    </w:p>
    <w:p w14:paraId="084FCC5F">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178" w:name="_Toc5311"/>
      <w:bookmarkStart w:id="1179" w:name="_Toc8218"/>
      <w:bookmarkStart w:id="1180" w:name="_Toc234833180"/>
      <w:bookmarkStart w:id="1181" w:name="_Toc25196"/>
      <w:r>
        <w:rPr>
          <w:rFonts w:hint="default" w:ascii="Times New Roman" w:hAnsi="Times New Roman" w:eastAsia="黑体" w:cs="Times New Roman"/>
          <w:b w:val="0"/>
          <w:sz w:val="24"/>
          <w:szCs w:val="24"/>
          <w:highlight w:val="none"/>
        </w:rPr>
        <w:t>15.1 变更的范围和内容</w:t>
      </w:r>
      <w:bookmarkEnd w:id="1178"/>
      <w:bookmarkEnd w:id="1179"/>
      <w:bookmarkEnd w:id="1180"/>
      <w:bookmarkEnd w:id="1181"/>
    </w:p>
    <w:p w14:paraId="1F220AC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本款第（1）项细化为：</w:t>
      </w:r>
    </w:p>
    <w:p w14:paraId="6FBCA891">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（1）取消合同中任何一项工作，但被取消的工作不能转由发包人或其他人实施，由于承包人违约造成的情况除外；</w:t>
      </w:r>
    </w:p>
    <w:p w14:paraId="63257F1B">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182" w:name="_Toc13796"/>
      <w:bookmarkStart w:id="1183" w:name="_Toc15909"/>
      <w:bookmarkStart w:id="1184" w:name="_Toc11045"/>
      <w:bookmarkStart w:id="1185" w:name="_Toc234833181"/>
      <w:r>
        <w:rPr>
          <w:rFonts w:hint="default" w:ascii="Times New Roman" w:hAnsi="Times New Roman" w:eastAsia="黑体" w:cs="Times New Roman"/>
          <w:b w:val="0"/>
          <w:sz w:val="24"/>
          <w:szCs w:val="24"/>
          <w:highlight w:val="none"/>
        </w:rPr>
        <w:t>15.3 变更程序</w:t>
      </w:r>
      <w:bookmarkEnd w:id="1182"/>
      <w:bookmarkEnd w:id="1183"/>
      <w:bookmarkEnd w:id="1184"/>
      <w:bookmarkEnd w:id="1185"/>
    </w:p>
    <w:p w14:paraId="379AFE0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本款补充第15.3.4项：</w:t>
      </w:r>
    </w:p>
    <w:p w14:paraId="773C7C5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15.3.4 设计变更程序应执行《公路工程设计变更管理办法》的相关规定。</w:t>
      </w:r>
    </w:p>
    <w:p w14:paraId="05832AB8">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186" w:name="_Toc31295"/>
      <w:bookmarkStart w:id="1187" w:name="_Toc7999"/>
      <w:bookmarkStart w:id="1188" w:name="_Toc10432"/>
      <w:bookmarkStart w:id="1189" w:name="_Toc234833182"/>
      <w:r>
        <w:rPr>
          <w:rFonts w:hint="default" w:ascii="Times New Roman" w:hAnsi="Times New Roman" w:eastAsia="黑体" w:cs="Times New Roman"/>
          <w:b w:val="0"/>
          <w:sz w:val="24"/>
          <w:szCs w:val="24"/>
          <w:highlight w:val="none"/>
        </w:rPr>
        <w:t>15.4 变更的估价原则</w:t>
      </w:r>
      <w:bookmarkEnd w:id="1186"/>
      <w:bookmarkEnd w:id="1187"/>
      <w:bookmarkEnd w:id="1188"/>
      <w:bookmarkEnd w:id="1189"/>
      <w:r>
        <w:rPr>
          <w:rFonts w:hint="default" w:ascii="Times New Roman" w:hAnsi="Times New Roman" w:eastAsia="黑体" w:cs="Times New Roman"/>
          <w:b w:val="0"/>
          <w:sz w:val="24"/>
          <w:szCs w:val="24"/>
          <w:highlight w:val="none"/>
        </w:rPr>
        <w:t xml:space="preserve"> </w:t>
      </w:r>
    </w:p>
    <w:p w14:paraId="44C399A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本款细化为：</w:t>
      </w:r>
    </w:p>
    <w:p w14:paraId="42AE3CC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除项目专用合同条款另有约定外，因变更引起的价格调整按照本款约定处理。</w:t>
      </w:r>
    </w:p>
    <w:p w14:paraId="7D57824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15.4.1 如果取消某项工作，则该项工作的总额价不予支付。</w:t>
      </w:r>
    </w:p>
    <w:p w14:paraId="52A126C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15.4.2 已标价工程量清单中有适用于变更工作的子目的，采用该子目的单价。</w:t>
      </w:r>
    </w:p>
    <w:p w14:paraId="0F45BE1E">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15.4.3 已标价工程量清单中无适用于变更工作的子目，但有类似子目的，可在合理范围内参照类似子目的单价，由监理人按第3.5款商定或确定变更工作的单价。</w:t>
      </w:r>
    </w:p>
    <w:p w14:paraId="5FCD7E5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15.4.4 已标价工程量清单中无适用或类似子目的单价，可在综合考虑承包人在投标时所提供的单价分析表的基础上，由监理人按第3.5款商定或确定变更工作的单价。</w:t>
      </w:r>
    </w:p>
    <w:p w14:paraId="2F71DE3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15.4.5 如果本工程的变更指示是因承包人过错、承包人违反合同或承包人责任造成的，则这种违约引起的任何额外费用应由承包人承担。</w:t>
      </w:r>
    </w:p>
    <w:p w14:paraId="7FA18C12">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190" w:name="_Toc234833183"/>
      <w:bookmarkStart w:id="1191" w:name="_Toc31098"/>
      <w:bookmarkStart w:id="1192" w:name="_Toc11214"/>
      <w:bookmarkStart w:id="1193" w:name="_Toc15158"/>
      <w:r>
        <w:rPr>
          <w:rFonts w:hint="default" w:ascii="Times New Roman" w:hAnsi="Times New Roman" w:eastAsia="黑体" w:cs="Times New Roman"/>
          <w:b w:val="0"/>
          <w:sz w:val="24"/>
          <w:szCs w:val="24"/>
          <w:highlight w:val="none"/>
        </w:rPr>
        <w:t>15.5 承包人的合理化建议</w:t>
      </w:r>
      <w:bookmarkEnd w:id="1190"/>
      <w:bookmarkEnd w:id="1191"/>
      <w:bookmarkEnd w:id="1192"/>
      <w:bookmarkEnd w:id="1193"/>
    </w:p>
    <w:p w14:paraId="12BFAE58">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第15.5.2项约定为：</w:t>
      </w:r>
    </w:p>
    <w:p w14:paraId="663641C5">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承包人提出的合理化建议缩短了工期，发包人按第11.6款的规定给予奖励。</w:t>
      </w:r>
    </w:p>
    <w:p w14:paraId="39B3918B">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承包人提出的合理化建议降低了合同价格或者提高了工程经济效益的，发包人按项目专用合同条款数据表中规定的金额给予奖励。</w:t>
      </w:r>
    </w:p>
    <w:p w14:paraId="078BA950">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194" w:name="_Toc5804"/>
      <w:bookmarkStart w:id="1195" w:name="_Toc234833184"/>
      <w:bookmarkStart w:id="1196" w:name="_Toc10877"/>
      <w:bookmarkStart w:id="1197" w:name="_Toc18139"/>
      <w:r>
        <w:rPr>
          <w:rFonts w:hint="default" w:ascii="Times New Roman" w:hAnsi="Times New Roman" w:eastAsia="黑体" w:cs="Times New Roman"/>
          <w:b w:val="0"/>
          <w:sz w:val="24"/>
          <w:szCs w:val="24"/>
          <w:highlight w:val="none"/>
        </w:rPr>
        <w:t>15.6暂列金额</w:t>
      </w:r>
      <w:bookmarkEnd w:id="1194"/>
      <w:bookmarkEnd w:id="1195"/>
      <w:bookmarkEnd w:id="1196"/>
      <w:bookmarkEnd w:id="1197"/>
    </w:p>
    <w:p w14:paraId="31141F66">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本款细化为：</w:t>
      </w:r>
    </w:p>
    <w:p w14:paraId="629B0FC5">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15.6.1 暂列金额应由监理人报发包人批准后指令全部或部分地使用，或者根本不予动用。</w:t>
      </w:r>
    </w:p>
    <w:p w14:paraId="404A261F">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15.6.2 对于经发包人批准的每一笔暂列金额，监理人有权向承包人发出实施工程或提供材料、工程设备或服务的指令。这些指令应由承包人完成，监理人应根据第15.4款约定的变更估价原则和第15.7款的规定，对合同价格进行相应调整。</w:t>
      </w:r>
    </w:p>
    <w:p w14:paraId="1DD8B817">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15.6.3 当监理人提出要求时，承包人应提供有关暂列金额支出的所有报价单、发票、凭证和账单或收据，除非该工作是根据已标价工程量清单列明的单价或总额价进行的估价。</w:t>
      </w:r>
    </w:p>
    <w:p w14:paraId="00ABDC50">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1198" w:name="_Toc234833185"/>
      <w:bookmarkStart w:id="1199" w:name="_Toc4074"/>
      <w:bookmarkStart w:id="1200" w:name="_Toc25734"/>
      <w:bookmarkStart w:id="1201" w:name="_Toc3192"/>
      <w:r>
        <w:rPr>
          <w:rFonts w:hint="default" w:ascii="Times New Roman" w:hAnsi="Times New Roman" w:eastAsia="黑体" w:cs="Times New Roman"/>
          <w:b w:val="0"/>
          <w:sz w:val="28"/>
          <w:szCs w:val="28"/>
          <w:highlight w:val="none"/>
        </w:rPr>
        <w:t>16. 价格调整</w:t>
      </w:r>
      <w:bookmarkEnd w:id="1198"/>
      <w:bookmarkEnd w:id="1199"/>
      <w:bookmarkEnd w:id="1200"/>
      <w:bookmarkEnd w:id="1201"/>
    </w:p>
    <w:p w14:paraId="636E41CC">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202" w:name="_Toc29760"/>
      <w:bookmarkStart w:id="1203" w:name="_Toc234833186"/>
      <w:bookmarkStart w:id="1204" w:name="_Toc925"/>
      <w:bookmarkStart w:id="1205" w:name="_Toc11540"/>
      <w:r>
        <w:rPr>
          <w:rFonts w:hint="default" w:ascii="Times New Roman" w:hAnsi="Times New Roman" w:eastAsia="黑体" w:cs="Times New Roman"/>
          <w:b w:val="0"/>
          <w:sz w:val="24"/>
          <w:szCs w:val="24"/>
          <w:highlight w:val="none"/>
        </w:rPr>
        <w:t>16.1 物价波动引起的价格调整</w:t>
      </w:r>
      <w:bookmarkEnd w:id="1202"/>
      <w:bookmarkEnd w:id="1203"/>
      <w:bookmarkEnd w:id="1204"/>
      <w:bookmarkEnd w:id="1205"/>
    </w:p>
    <w:p w14:paraId="519B4667">
      <w:pPr>
        <w:pageBreakBefore w:val="0"/>
        <w:kinsoku/>
        <w:wordWrap w:val="0"/>
        <w:bidi w:val="0"/>
        <w:spacing w:line="400" w:lineRule="atLeast"/>
        <w:ind w:firstLine="480" w:firstLineChars="200"/>
        <w:rPr>
          <w:rFonts w:hint="default" w:ascii="Times New Roman" w:hAnsi="Times New Roman" w:eastAsia="宋体" w:cs="Times New Roman"/>
          <w:sz w:val="24"/>
          <w:highlight w:val="none"/>
          <w:u w:val="single"/>
          <w:lang w:val="en-US" w:eastAsia="zh-CN"/>
        </w:rPr>
      </w:pPr>
      <w:r>
        <w:rPr>
          <w:rFonts w:hint="default" w:ascii="Times New Roman" w:hAnsi="Times New Roman" w:cs="Times New Roman"/>
          <w:sz w:val="24"/>
          <w:highlight w:val="none"/>
        </w:rPr>
        <w:t>本款约定为：</w:t>
      </w:r>
      <w:r>
        <w:rPr>
          <w:rFonts w:hint="eastAsia" w:cs="Times New Roman"/>
          <w:sz w:val="24"/>
          <w:highlight w:val="none"/>
          <w:u w:val="single"/>
          <w:lang w:val="en-US" w:eastAsia="zh-CN"/>
        </w:rPr>
        <w:t xml:space="preserve">  采用（2）种    </w:t>
      </w:r>
    </w:p>
    <w:p w14:paraId="5CF4F8B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（1）除项目专用合同条款另有约定外，因物价波动引起的价格调整应按项目专用合同条款数据表的规定，按照第16.1.1项或第16.1.2项约定的原则处理；或者</w:t>
      </w:r>
    </w:p>
    <w:p w14:paraId="1015CBC2">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（2）在合同执行期间（包括工期拖延期间）由于人工、材料和设备价格的上涨而引起工程施工成本增加的风险由承包人自行承担，合同价格不会因此而调整。</w:t>
      </w:r>
    </w:p>
    <w:p w14:paraId="3F2B76F3">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16.1.1 </w:t>
      </w:r>
      <w:r>
        <w:rPr>
          <w:rFonts w:hint="default" w:ascii="Times New Roman" w:hAnsi="Times New Roman" w:eastAsia="黑体" w:cs="Times New Roman"/>
          <w:sz w:val="24"/>
          <w:highlight w:val="none"/>
        </w:rPr>
        <w:t>采用价格指数调整价格差额</w:t>
      </w:r>
    </w:p>
    <w:p w14:paraId="38FF05F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16.1.1.1 价格调整公式</w:t>
      </w:r>
    </w:p>
    <w:p w14:paraId="2C994FFE">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价格调整公式后增加备注如下：</w:t>
      </w:r>
    </w:p>
    <w:p w14:paraId="4CAF3AFD">
      <w:pPr>
        <w:pageBreakBefore w:val="0"/>
        <w:kinsoku/>
        <w:wordWrap w:val="0"/>
        <w:bidi w:val="0"/>
        <w:spacing w:line="400" w:lineRule="atLeast"/>
        <w:ind w:firstLine="746" w:firstLineChars="311"/>
        <w:rPr>
          <w:rFonts w:hint="default" w:ascii="Times New Roman" w:hAnsi="Times New Roman" w:cs="Times New Roman"/>
          <w:sz w:val="24"/>
          <w:highlight w:val="none"/>
        </w:rPr>
      </w:pPr>
      <w:r>
        <w:rPr>
          <w:rFonts w:hint="default" w:ascii="Times New Roman" w:hAnsi="Times New Roman" w:cs="Times New Roman"/>
          <w:bCs/>
          <w:sz w:val="24"/>
          <w:highlight w:val="none"/>
        </w:rPr>
        <w:t>式中，</w:t>
      </w:r>
      <w:r>
        <w:rPr>
          <w:rFonts w:hint="default" w:ascii="Times New Roman" w:hAnsi="Times New Roman" w:cs="Times New Roman"/>
          <w:b/>
          <w:bCs/>
          <w:sz w:val="24"/>
          <w:highlight w:val="none"/>
        </w:rPr>
        <w:t>A=1－（B</w:t>
      </w:r>
      <w:r>
        <w:rPr>
          <w:rFonts w:hint="default" w:ascii="Times New Roman" w:hAnsi="Times New Roman" w:cs="Times New Roman"/>
          <w:b/>
          <w:bCs/>
          <w:sz w:val="24"/>
          <w:highlight w:val="none"/>
          <w:vertAlign w:val="subscript"/>
        </w:rPr>
        <w:t>1</w:t>
      </w:r>
      <w:r>
        <w:rPr>
          <w:rFonts w:hint="default" w:ascii="Times New Roman" w:hAnsi="Times New Roman" w:cs="Times New Roman"/>
          <w:b/>
          <w:bCs/>
          <w:sz w:val="24"/>
          <w:highlight w:val="none"/>
        </w:rPr>
        <w:t>＋B</w:t>
      </w:r>
      <w:r>
        <w:rPr>
          <w:rFonts w:hint="default" w:ascii="Times New Roman" w:hAnsi="Times New Roman" w:cs="Times New Roman"/>
          <w:b/>
          <w:bCs/>
          <w:sz w:val="24"/>
          <w:highlight w:val="none"/>
          <w:vertAlign w:val="subscript"/>
        </w:rPr>
        <w:t>2</w:t>
      </w:r>
      <w:r>
        <w:rPr>
          <w:rFonts w:hint="default" w:ascii="Times New Roman" w:hAnsi="Times New Roman" w:cs="Times New Roman"/>
          <w:b/>
          <w:bCs/>
          <w:sz w:val="24"/>
          <w:highlight w:val="none"/>
        </w:rPr>
        <w:t>＋B</w:t>
      </w:r>
      <w:r>
        <w:rPr>
          <w:rFonts w:hint="default" w:ascii="Times New Roman" w:hAnsi="Times New Roman" w:cs="Times New Roman"/>
          <w:b/>
          <w:bCs/>
          <w:sz w:val="24"/>
          <w:highlight w:val="none"/>
          <w:vertAlign w:val="subscript"/>
        </w:rPr>
        <w:t>3</w:t>
      </w:r>
      <w:r>
        <w:rPr>
          <w:rFonts w:hint="default" w:ascii="Times New Roman" w:hAnsi="Times New Roman" w:cs="Times New Roman"/>
          <w:b/>
          <w:bCs/>
          <w:sz w:val="24"/>
          <w:highlight w:val="none"/>
        </w:rPr>
        <w:t>＋</w:t>
      </w:r>
      <w:r>
        <w:rPr>
          <w:rFonts w:hint="default" w:ascii="Times New Roman" w:hAnsi="Times New Roman" w:cs="Times New Roman"/>
          <w:b/>
          <w:bCs/>
          <w:sz w:val="24"/>
          <w:highlight w:val="none"/>
          <w:vertAlign w:val="subscript"/>
        </w:rPr>
        <w:t>……</w:t>
      </w:r>
      <w:r>
        <w:rPr>
          <w:rFonts w:hint="default" w:ascii="Times New Roman" w:hAnsi="Times New Roman" w:cs="Times New Roman"/>
          <w:b/>
          <w:bCs/>
          <w:sz w:val="24"/>
          <w:highlight w:val="none"/>
        </w:rPr>
        <w:t>＋B</w:t>
      </w:r>
      <w:r>
        <w:rPr>
          <w:rFonts w:hint="default" w:ascii="Times New Roman" w:hAnsi="Times New Roman" w:cs="Times New Roman"/>
          <w:b/>
          <w:bCs/>
          <w:sz w:val="24"/>
          <w:highlight w:val="none"/>
          <w:vertAlign w:val="subscript"/>
        </w:rPr>
        <w:t>n</w:t>
      </w:r>
      <w:r>
        <w:rPr>
          <w:rFonts w:hint="default" w:ascii="Times New Roman" w:hAnsi="Times New Roman" w:cs="Times New Roman"/>
          <w:b/>
          <w:bCs/>
          <w:sz w:val="24"/>
          <w:highlight w:val="none"/>
        </w:rPr>
        <w:t>）</w:t>
      </w:r>
      <w:r>
        <w:rPr>
          <w:rFonts w:hint="default" w:ascii="Times New Roman" w:hAnsi="Times New Roman" w:cs="Times New Roman"/>
          <w:sz w:val="24"/>
          <w:highlight w:val="none"/>
        </w:rPr>
        <w:t>。</w:t>
      </w:r>
    </w:p>
    <w:p w14:paraId="51B3CD0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本目最后一段文字细化为：</w:t>
      </w:r>
    </w:p>
    <w:p w14:paraId="4173F1D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在采用价格调整公式进行调价时，还应遵守以下规定：</w:t>
      </w:r>
    </w:p>
    <w:p w14:paraId="4304F5D0">
      <w:pPr>
        <w:pageBreakBefore w:val="0"/>
        <w:kinsoku/>
        <w:wordWrap w:val="0"/>
        <w:bidi w:val="0"/>
        <w:spacing w:line="400" w:lineRule="atLeast"/>
        <w:ind w:firstLine="477" w:firstLineChars="199"/>
        <w:rPr>
          <w:rFonts w:hint="default" w:ascii="Times New Roman" w:hAnsi="Times New Roman" w:cs="Times New Roman"/>
          <w:sz w:val="24"/>
          <w:highlight w:val="none"/>
        </w:rPr>
      </w:pPr>
      <w:r>
        <w:rPr>
          <w:rFonts w:hint="default" w:ascii="Times New Roman" w:hAnsi="Times New Roman" w:cs="Times New Roman"/>
          <w:sz w:val="24"/>
          <w:highlight w:val="none"/>
        </w:rPr>
        <w:t>（1）以上价格调整公式中的各可调因子、定值权重，以及基本价格指数及其来源由发包人在投标函附录价格指数和权重表中约定。价格指数应首先采用国家或省、自治区、直辖市价格部门或统计部门提供的价格指数，缺乏上述价格指数时，可采用上述部门提供的价格代替。</w:t>
      </w:r>
    </w:p>
    <w:p w14:paraId="5A4C15D1">
      <w:pPr>
        <w:pageBreakBefore w:val="0"/>
        <w:kinsoku/>
        <w:wordWrap w:val="0"/>
        <w:bidi w:val="0"/>
        <w:spacing w:line="400" w:lineRule="atLeast"/>
        <w:ind w:firstLine="477" w:firstLineChars="199"/>
        <w:rPr>
          <w:rFonts w:hint="default" w:ascii="Times New Roman" w:hAnsi="Times New Roman" w:cs="Times New Roman"/>
          <w:sz w:val="24"/>
          <w:highlight w:val="none"/>
        </w:rPr>
      </w:pPr>
      <w:r>
        <w:rPr>
          <w:rFonts w:hint="default" w:ascii="Times New Roman" w:hAnsi="Times New Roman" w:cs="Times New Roman"/>
          <w:sz w:val="24"/>
          <w:highlight w:val="none"/>
        </w:rPr>
        <w:t>（2）价格调整公式中的变值权重，由发包人根据项目实际情况测算确定范围，并在投标函附录价格指数和权重表中约定范围；承包人在投标时在此范围内填写各可调因子的权重，合同实施期间将按此权重进行调价。</w:t>
      </w:r>
    </w:p>
    <w:p w14:paraId="1ECD8E8C">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1206" w:name="_Toc15932"/>
      <w:bookmarkStart w:id="1207" w:name="_Toc12404"/>
      <w:bookmarkStart w:id="1208" w:name="_Toc18133"/>
      <w:bookmarkStart w:id="1209" w:name="_Toc234833187"/>
      <w:r>
        <w:rPr>
          <w:rFonts w:hint="default" w:ascii="Times New Roman" w:hAnsi="Times New Roman" w:eastAsia="黑体" w:cs="Times New Roman"/>
          <w:b w:val="0"/>
          <w:sz w:val="28"/>
          <w:szCs w:val="28"/>
          <w:highlight w:val="none"/>
        </w:rPr>
        <w:t>17. 计量与支付</w:t>
      </w:r>
      <w:bookmarkEnd w:id="1206"/>
      <w:bookmarkEnd w:id="1207"/>
      <w:bookmarkEnd w:id="1208"/>
      <w:bookmarkEnd w:id="1209"/>
    </w:p>
    <w:p w14:paraId="4070B14F">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210" w:name="_Toc234833188"/>
      <w:bookmarkStart w:id="1211" w:name="_Toc30341"/>
      <w:bookmarkStart w:id="1212" w:name="_Toc1465"/>
      <w:bookmarkStart w:id="1213" w:name="_Toc22272"/>
      <w:r>
        <w:rPr>
          <w:rFonts w:hint="default" w:ascii="Times New Roman" w:hAnsi="Times New Roman" w:eastAsia="黑体" w:cs="Times New Roman"/>
          <w:b w:val="0"/>
          <w:sz w:val="24"/>
          <w:szCs w:val="24"/>
          <w:highlight w:val="none"/>
        </w:rPr>
        <w:t>17.1 计量</w:t>
      </w:r>
      <w:bookmarkEnd w:id="1210"/>
      <w:bookmarkEnd w:id="1211"/>
      <w:bookmarkEnd w:id="1212"/>
      <w:bookmarkEnd w:id="1213"/>
      <w:r>
        <w:rPr>
          <w:rFonts w:hint="default" w:ascii="Times New Roman" w:hAnsi="Times New Roman" w:eastAsia="黑体" w:cs="Times New Roman"/>
          <w:b w:val="0"/>
          <w:sz w:val="24"/>
          <w:szCs w:val="24"/>
          <w:highlight w:val="none"/>
        </w:rPr>
        <w:t xml:space="preserve"> </w:t>
      </w:r>
    </w:p>
    <w:p w14:paraId="1BC00B83">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17.1.2 </w:t>
      </w:r>
      <w:r>
        <w:rPr>
          <w:rFonts w:hint="default" w:ascii="Times New Roman" w:hAnsi="Times New Roman" w:eastAsia="黑体" w:cs="Times New Roman"/>
          <w:sz w:val="24"/>
          <w:highlight w:val="none"/>
        </w:rPr>
        <w:t>计量方法</w:t>
      </w:r>
    </w:p>
    <w:p w14:paraId="02FD24F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本项约定为：</w:t>
      </w:r>
    </w:p>
    <w:p w14:paraId="0EF52F4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工程的计量应以净值为准，除非项目专用合同条款另有约定。工程量清单中各个子目的具体计量方法按本合同文件工程量清单计量规则中的规定执行。</w:t>
      </w:r>
    </w:p>
    <w:p w14:paraId="54B5CC11">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17.1.4 </w:t>
      </w:r>
      <w:r>
        <w:rPr>
          <w:rFonts w:hint="default" w:ascii="Times New Roman" w:hAnsi="Times New Roman" w:eastAsia="黑体" w:cs="Times New Roman"/>
          <w:sz w:val="24"/>
          <w:highlight w:val="none"/>
        </w:rPr>
        <w:t>单价子目的计量</w:t>
      </w:r>
    </w:p>
    <w:p w14:paraId="58C30ACE">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本项补充：</w:t>
      </w:r>
    </w:p>
    <w:p w14:paraId="426CAC7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（7）承包人未在已标价工程量清单中填入单价或总额价的工程子目，将被认为其已包含在本合同的其他子目的单价和总额价中，发包人将不另行支付。</w:t>
      </w:r>
    </w:p>
    <w:p w14:paraId="52CB94E9">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17.1.5 </w:t>
      </w:r>
      <w:r>
        <w:rPr>
          <w:rFonts w:hint="default" w:ascii="Times New Roman" w:hAnsi="Times New Roman" w:eastAsia="黑体" w:cs="Times New Roman"/>
          <w:sz w:val="24"/>
          <w:highlight w:val="none"/>
        </w:rPr>
        <w:t>总价子目的计量</w:t>
      </w:r>
    </w:p>
    <w:p w14:paraId="3548BA10">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本项补充：</w:t>
      </w:r>
    </w:p>
    <w:p w14:paraId="297B40AE">
      <w:pPr>
        <w:pageBreakBefore w:val="0"/>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本项目工程量清单中要求承包人以</w:t>
      </w:r>
      <w:r>
        <w:rPr>
          <w:rFonts w:hint="eastAsia" w:ascii="宋体" w:hAnsi="宋体" w:eastAsia="宋体" w:cs="宋体"/>
          <w:sz w:val="24"/>
          <w:highlight w:val="none"/>
        </w:rPr>
        <w:t>“</w:t>
      </w:r>
      <w:r>
        <w:rPr>
          <w:rFonts w:hint="default" w:ascii="Times New Roman" w:hAnsi="Times New Roman" w:cs="Times New Roman"/>
          <w:sz w:val="24"/>
          <w:highlight w:val="none"/>
        </w:rPr>
        <w:t>总额</w:t>
      </w:r>
      <w:r>
        <w:rPr>
          <w:rFonts w:hint="eastAsia" w:ascii="宋体" w:hAnsi="宋体" w:eastAsia="宋体" w:cs="宋体"/>
          <w:sz w:val="24"/>
          <w:highlight w:val="none"/>
        </w:rPr>
        <w:t>”</w:t>
      </w:r>
      <w:r>
        <w:rPr>
          <w:rFonts w:hint="default" w:ascii="Times New Roman" w:hAnsi="Times New Roman" w:cs="Times New Roman"/>
          <w:sz w:val="24"/>
          <w:highlight w:val="none"/>
        </w:rPr>
        <w:t>方式报价的子目，各子目的支付原则和支付进度按项目专用合同条款的规定执行。</w:t>
      </w:r>
    </w:p>
    <w:p w14:paraId="55977233">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214" w:name="_Toc15810"/>
      <w:bookmarkStart w:id="1215" w:name="_Toc23977"/>
      <w:bookmarkStart w:id="1216" w:name="_Toc234833189"/>
      <w:bookmarkStart w:id="1217" w:name="_Toc24482"/>
      <w:r>
        <w:rPr>
          <w:rFonts w:hint="default" w:ascii="Times New Roman" w:hAnsi="Times New Roman" w:eastAsia="黑体" w:cs="Times New Roman"/>
          <w:b w:val="0"/>
          <w:sz w:val="24"/>
          <w:szCs w:val="24"/>
          <w:highlight w:val="none"/>
        </w:rPr>
        <w:t>17.2 预付款</w:t>
      </w:r>
      <w:bookmarkEnd w:id="1214"/>
      <w:bookmarkEnd w:id="1215"/>
      <w:bookmarkEnd w:id="1216"/>
      <w:bookmarkEnd w:id="1217"/>
    </w:p>
    <w:p w14:paraId="35F27F32">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17.2.1</w:t>
      </w:r>
      <w:r>
        <w:rPr>
          <w:rFonts w:hint="default" w:ascii="Times New Roman" w:hAnsi="Times New Roman" w:eastAsia="黑体" w:cs="Times New Roman"/>
          <w:sz w:val="24"/>
          <w:highlight w:val="none"/>
        </w:rPr>
        <w:t>预付款</w:t>
      </w:r>
    </w:p>
    <w:p w14:paraId="7017C9F2">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本项约定为：</w:t>
      </w:r>
    </w:p>
    <w:p w14:paraId="6575B89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预付款包括开工预付款和材料、设备预付款。具体额度和预付办法如下：</w:t>
      </w:r>
    </w:p>
    <w:p w14:paraId="22423BE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（1）开工预付款的金额在项目专用合同条款数据表中约定。在承包人签订了合同协议书且承包人承诺的主要设备进场后，监理人应在当期进度付款证书中向承包人支付开工预付款。</w:t>
      </w:r>
    </w:p>
    <w:p w14:paraId="1A14581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承包人不得将该预付款用于与本工程无关的支出，监理人有权监督承包人对该项费用的使用，如经查实承包人滥用开工预付款，发包人有权立即向银行索赔履约保证金，并解除合同。</w:t>
      </w:r>
    </w:p>
    <w:p w14:paraId="33145393">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（2）材料、设备预付款按项目专用合同条款数据表中所列主要材料、设备单据费用（进口的材料、设备为到岸价，国内采购的为出厂价或销售价，地方材料为堆场价）的百分比支付。其预付条件为：</w:t>
      </w:r>
    </w:p>
    <w:p w14:paraId="55306A96">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a. 材料、设备符合规范要求并经监理人认可；</w:t>
      </w:r>
    </w:p>
    <w:p w14:paraId="4AB76F12">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b. 承包人已出具材料、设备费用凭证或支付单据；</w:t>
      </w:r>
    </w:p>
    <w:p w14:paraId="3584016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c. 材料、设备已在现场交货，且存储良好，监理人认为材料、设备的存储方法符合要求。</w:t>
      </w:r>
    </w:p>
    <w:p w14:paraId="74A63883">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则监理人应将此项金额作为材料、设备预付款计入下一次的进度付款证书中。在预计交工前3个月，将不再支付材料、设备预付款。</w:t>
      </w:r>
    </w:p>
    <w:p w14:paraId="34028093">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17.2.2 </w:t>
      </w:r>
      <w:r>
        <w:rPr>
          <w:rFonts w:hint="default" w:ascii="Times New Roman" w:hAnsi="Times New Roman" w:eastAsia="黑体" w:cs="Times New Roman"/>
          <w:sz w:val="24"/>
          <w:highlight w:val="none"/>
        </w:rPr>
        <w:t>预付款保函</w:t>
      </w:r>
    </w:p>
    <w:p w14:paraId="22D7267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本项细化为：</w:t>
      </w:r>
    </w:p>
    <w:p w14:paraId="3676E02E">
      <w:pPr>
        <w:pageBreakBefore w:val="0"/>
        <w:kinsoku/>
        <w:wordWrap w:val="0"/>
        <w:bidi w:val="0"/>
        <w:spacing w:line="400" w:lineRule="atLeast"/>
        <w:ind w:firstLine="480" w:firstLineChars="200"/>
        <w:rPr>
          <w:rFonts w:hint="default" w:ascii="Times New Roman" w:hAnsi="Times New Roman" w:cs="Times New Roman"/>
          <w:sz w:val="24"/>
          <w:highlight w:val="none"/>
          <w:u w:val="single"/>
        </w:rPr>
      </w:pPr>
      <w:r>
        <w:rPr>
          <w:rFonts w:hint="default" w:ascii="Times New Roman" w:hAnsi="Times New Roman" w:cs="Times New Roman"/>
          <w:sz w:val="24"/>
          <w:highlight w:val="none"/>
        </w:rPr>
        <w:t>承包人无须向发包人提交预付款保函。发包人向承包人支付的预付款，应按照本合同第17.2.1项规定使用，承包人提交的履约保证金对预付款的正常使用承担保证责任。</w:t>
      </w:r>
    </w:p>
    <w:p w14:paraId="585A2671">
      <w:pPr>
        <w:pageBreakBefore w:val="0"/>
        <w:kinsoku/>
        <w:wordWrap w:val="0"/>
        <w:bidi w:val="0"/>
        <w:spacing w:line="400" w:lineRule="atLeast"/>
        <w:ind w:firstLine="420"/>
        <w:rPr>
          <w:rFonts w:hint="default" w:ascii="Times New Roman" w:hAnsi="Times New Roman" w:cs="Times New Roman"/>
          <w:sz w:val="24"/>
          <w:highlight w:val="none"/>
        </w:rPr>
      </w:pPr>
      <w:r>
        <w:rPr>
          <w:rFonts w:hint="default" w:ascii="Times New Roman" w:hAnsi="Times New Roman" w:cs="Times New Roman"/>
          <w:sz w:val="24"/>
          <w:highlight w:val="none"/>
        </w:rPr>
        <w:t xml:space="preserve">17.2.3 </w:t>
      </w:r>
      <w:r>
        <w:rPr>
          <w:rFonts w:hint="default" w:ascii="Times New Roman" w:hAnsi="Times New Roman" w:eastAsia="黑体" w:cs="Times New Roman"/>
          <w:sz w:val="24"/>
          <w:highlight w:val="none"/>
        </w:rPr>
        <w:t>预付款的扣回与还清</w:t>
      </w:r>
    </w:p>
    <w:p w14:paraId="11440069">
      <w:pPr>
        <w:pageBreakBefore w:val="0"/>
        <w:kinsoku/>
        <w:wordWrap w:val="0"/>
        <w:bidi w:val="0"/>
        <w:spacing w:line="400" w:lineRule="atLeast"/>
        <w:ind w:firstLine="420"/>
        <w:rPr>
          <w:rFonts w:hint="default" w:ascii="Times New Roman" w:hAnsi="Times New Roman" w:cs="Times New Roman"/>
          <w:sz w:val="24"/>
          <w:highlight w:val="none"/>
        </w:rPr>
      </w:pPr>
      <w:r>
        <w:rPr>
          <w:rFonts w:hint="default" w:ascii="Times New Roman" w:hAnsi="Times New Roman" w:cs="Times New Roman"/>
          <w:sz w:val="24"/>
          <w:highlight w:val="none"/>
        </w:rPr>
        <w:t>本项约定为：</w:t>
      </w:r>
    </w:p>
    <w:p w14:paraId="2EC3E28F">
      <w:pPr>
        <w:pageBreakBefore w:val="0"/>
        <w:kinsoku/>
        <w:wordWrap w:val="0"/>
        <w:bidi w:val="0"/>
        <w:spacing w:line="400" w:lineRule="atLeast"/>
        <w:ind w:firstLine="420"/>
        <w:rPr>
          <w:rFonts w:hint="default" w:ascii="Times New Roman" w:hAnsi="Times New Roman" w:cs="Times New Roman"/>
          <w:sz w:val="24"/>
          <w:highlight w:val="none"/>
        </w:rPr>
      </w:pPr>
      <w:r>
        <w:rPr>
          <w:rFonts w:hint="default" w:ascii="Times New Roman" w:hAnsi="Times New Roman" w:cs="Times New Roman"/>
          <w:sz w:val="24"/>
          <w:highlight w:val="none"/>
        </w:rPr>
        <w:t>（1）开工预付款在进度付款证书的累计金额未达到签约合同价的30%之前不予扣回，在达到签约合同价30%之后，开始按工程进度以固定比例（即每完成签约合同价的1%，扣回开工预付款的2%）分期从各月的进度付款证书中扣回，全部金额在进度付款证书的累计金额达到签约合同价的80%时扣完。</w:t>
      </w:r>
    </w:p>
    <w:p w14:paraId="50C6D9CE">
      <w:pPr>
        <w:pageBreakBefore w:val="0"/>
        <w:kinsoku/>
        <w:wordWrap w:val="0"/>
        <w:bidi w:val="0"/>
        <w:spacing w:line="400" w:lineRule="atLeast"/>
        <w:ind w:firstLine="420"/>
        <w:rPr>
          <w:rFonts w:hint="default" w:ascii="Times New Roman" w:hAnsi="Times New Roman" w:cs="Times New Roman"/>
          <w:sz w:val="24"/>
          <w:highlight w:val="none"/>
        </w:rPr>
      </w:pPr>
      <w:r>
        <w:rPr>
          <w:rFonts w:hint="default" w:ascii="Times New Roman" w:hAnsi="Times New Roman" w:cs="Times New Roman"/>
          <w:sz w:val="24"/>
          <w:highlight w:val="none"/>
        </w:rPr>
        <w:t>（2）当材料、设备已用于或安装在永久工程之中时，材料、设备预付款应从进度付款证书中扣回，扣回期不超过3个月。已经支付材料、设备预付款的材料、设备的所有权应属于发包人。</w:t>
      </w:r>
    </w:p>
    <w:p w14:paraId="761A54BA">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218" w:name="_Toc30179"/>
      <w:bookmarkStart w:id="1219" w:name="_Toc24114"/>
      <w:bookmarkStart w:id="1220" w:name="_Toc234833190"/>
      <w:bookmarkStart w:id="1221" w:name="_Toc7868"/>
      <w:r>
        <w:rPr>
          <w:rFonts w:hint="default" w:ascii="Times New Roman" w:hAnsi="Times New Roman" w:eastAsia="黑体" w:cs="Times New Roman"/>
          <w:b w:val="0"/>
          <w:sz w:val="24"/>
          <w:szCs w:val="24"/>
          <w:highlight w:val="none"/>
        </w:rPr>
        <w:t>17.3 工程进度付款</w:t>
      </w:r>
      <w:bookmarkEnd w:id="1218"/>
      <w:bookmarkEnd w:id="1219"/>
      <w:bookmarkEnd w:id="1220"/>
      <w:bookmarkEnd w:id="1221"/>
    </w:p>
    <w:p w14:paraId="47C488C4">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17.3.3 </w:t>
      </w:r>
      <w:r>
        <w:rPr>
          <w:rFonts w:hint="default" w:ascii="Times New Roman" w:hAnsi="Times New Roman" w:eastAsia="黑体" w:cs="Times New Roman"/>
          <w:sz w:val="24"/>
          <w:highlight w:val="none"/>
        </w:rPr>
        <w:t>进度付款证书和支付时间</w:t>
      </w:r>
    </w:p>
    <w:p w14:paraId="7F5B70A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本项（1）目补充：</w:t>
      </w:r>
    </w:p>
    <w:p w14:paraId="3DF953C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如果该付款周期应结算的价款经扣留和扣回后的款额少于项目专用合同条款数据表中列明的进度付款证书的最低金额，则该付款周期监理人可不核证支付，上述款额将按付款周期结转，直至累计应支付的款额达到项目专用合同条款数据表中列明的进度付款证书的最低金额为止。</w:t>
      </w:r>
    </w:p>
    <w:p w14:paraId="3027424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本项（2）目细化为：</w:t>
      </w:r>
    </w:p>
    <w:p w14:paraId="64BA330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发包人应在监理人收到进度付款申请单且承包人提交了合格的增值税专用发票后的28天内，将进度应付款支付给承包人。</w:t>
      </w:r>
    </w:p>
    <w:p w14:paraId="238E001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发包人不按期支付的，按项目专用合同条款数据表中约定的利率向承包人支付逾期付款违约金。违约金计算基数为发包人的全部未付款额，时间从应付而未付该款额之日算起（不计复利）。</w:t>
      </w:r>
    </w:p>
    <w:p w14:paraId="38D072F4">
      <w:pPr>
        <w:pageBreakBefore w:val="0"/>
        <w:widowControl/>
        <w:kinsoku/>
        <w:wordWrap w:val="0"/>
        <w:bidi w:val="0"/>
        <w:spacing w:line="42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本款补充第17.3.5项：</w:t>
      </w:r>
    </w:p>
    <w:p w14:paraId="379C9A44">
      <w:pPr>
        <w:pageBreakBefore w:val="0"/>
        <w:kinsoku/>
        <w:wordWrap w:val="0"/>
        <w:bidi w:val="0"/>
        <w:spacing w:line="42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 xml:space="preserve">17.3.5 </w:t>
      </w:r>
      <w:r>
        <w:rPr>
          <w:rFonts w:hint="default" w:ascii="Times New Roman" w:hAnsi="Times New Roman" w:eastAsia="黑体" w:cs="Times New Roman"/>
          <w:sz w:val="24"/>
          <w:highlight w:val="none"/>
        </w:rPr>
        <w:t>农民工工资保证金</w:t>
      </w:r>
    </w:p>
    <w:p w14:paraId="443C09AA">
      <w:pPr>
        <w:pageBreakBefore w:val="0"/>
        <w:widowControl/>
        <w:kinsoku/>
        <w:wordWrap w:val="0"/>
        <w:bidi w:val="0"/>
        <w:spacing w:line="42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（1）为确保施工过程中农民工工资实时、足额发放到位，承包人应按照项目专用合同条款约定的时间和金额缴存农民工工资保证金。</w:t>
      </w:r>
    </w:p>
    <w:p w14:paraId="35AC194D">
      <w:pPr>
        <w:pageBreakBefore w:val="0"/>
        <w:widowControl/>
        <w:kinsoku/>
        <w:wordWrap w:val="0"/>
        <w:bidi w:val="0"/>
        <w:spacing w:line="42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（2）农民工工资保证金可采用银行保函或现金、支票形式。采用银行保函时，出具保函的银行须具有相应担保能力，且按照发包人批准的格式出具，所需费用由承包人承担。</w:t>
      </w:r>
    </w:p>
    <w:p w14:paraId="3E74B81E">
      <w:pPr>
        <w:pageBreakBefore w:val="0"/>
        <w:widowControl/>
        <w:kinsoku/>
        <w:wordWrap w:val="0"/>
        <w:bidi w:val="0"/>
        <w:spacing w:line="42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（3）农民工工资保证金的扣留条件、返还时间按照项目专用合同条款的约定执行。</w:t>
      </w:r>
    </w:p>
    <w:p w14:paraId="7BA2CA83">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222" w:name="_Toc4893"/>
      <w:bookmarkStart w:id="1223" w:name="_Toc8483"/>
      <w:bookmarkStart w:id="1224" w:name="_Toc234833191"/>
      <w:bookmarkStart w:id="1225" w:name="_Toc29571"/>
      <w:r>
        <w:rPr>
          <w:rFonts w:hint="default" w:ascii="Times New Roman" w:hAnsi="Times New Roman" w:eastAsia="黑体" w:cs="Times New Roman"/>
          <w:b w:val="0"/>
          <w:sz w:val="24"/>
          <w:szCs w:val="24"/>
          <w:highlight w:val="none"/>
        </w:rPr>
        <w:t>17.4 质量保证金</w:t>
      </w:r>
      <w:bookmarkEnd w:id="1222"/>
      <w:bookmarkEnd w:id="1223"/>
      <w:bookmarkEnd w:id="1224"/>
      <w:bookmarkEnd w:id="1225"/>
    </w:p>
    <w:p w14:paraId="167FCCC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第17.4.1项、第17.4.2项细化为：</w:t>
      </w:r>
    </w:p>
    <w:p w14:paraId="7F318CD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17.4.1 交工验收证书签发后14天内，承包人应向发包人缴纳质量保证金。质量保证金可采用银行保函或现金、支票形式，金额应符合项目专用合同条款数据表的规定。采用银行保函时，出具保函的银行须具有相应担保能力，且按照发包人批准的格式出具，所需费用由承包人承担。</w:t>
      </w:r>
    </w:p>
    <w:p w14:paraId="4B69530D">
      <w:pPr>
        <w:pageBreakBefore w:val="0"/>
        <w:kinsoku/>
        <w:wordWrap w:val="0"/>
        <w:bidi w:val="0"/>
        <w:spacing w:line="400" w:lineRule="atLeast"/>
        <w:ind w:firstLine="480" w:firstLineChars="200"/>
        <w:rPr>
          <w:rFonts w:hint="default" w:ascii="Times New Roman" w:hAnsi="Times New Roman" w:eastAsia="宋体 ，Arial" w:cs="Times New Roman"/>
          <w:kern w:val="0"/>
          <w:sz w:val="24"/>
          <w:highlight w:val="none"/>
        </w:rPr>
      </w:pPr>
      <w:r>
        <w:rPr>
          <w:rFonts w:hint="default" w:ascii="Times New Roman" w:hAnsi="Times New Roman" w:cs="Times New Roman"/>
          <w:sz w:val="24"/>
          <w:highlight w:val="none"/>
        </w:rPr>
        <w:t>质量保证金采用现金、支票形式提交的，发包人应在项目专用合同条款数据表中明确是否</w:t>
      </w:r>
      <w:r>
        <w:rPr>
          <w:rFonts w:hint="default" w:ascii="Times New Roman" w:hAnsi="Times New Roman" w:eastAsia="宋体 ，Arial" w:cs="Times New Roman"/>
          <w:kern w:val="0"/>
          <w:sz w:val="24"/>
          <w:highlight w:val="none"/>
        </w:rPr>
        <w:t>计付利息以及利息的计算方式。</w:t>
      </w:r>
    </w:p>
    <w:p w14:paraId="1B8159E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17.4.2 在第1.1.4.5目约定的缺陷责任期满，且质量监督机构已按规定对工程质量检测鉴定合格，承包人向发包人申请到期应返还承包人剩余的质量保证金金额，发包人应在14天内会同承包人按照合同约定的内容核实承包人是否完成缺陷责任。如无异议，发包人应当在核实后将剩余保证金返还承包人。</w:t>
      </w:r>
    </w:p>
    <w:p w14:paraId="1564DCE4">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226" w:name="_Toc1942"/>
      <w:bookmarkStart w:id="1227" w:name="_Toc234833192"/>
      <w:bookmarkStart w:id="1228" w:name="_Toc10303"/>
      <w:bookmarkStart w:id="1229" w:name="_Toc1771"/>
      <w:r>
        <w:rPr>
          <w:rFonts w:hint="default" w:ascii="Times New Roman" w:hAnsi="Times New Roman" w:eastAsia="黑体" w:cs="Times New Roman"/>
          <w:b w:val="0"/>
          <w:sz w:val="24"/>
          <w:szCs w:val="24"/>
          <w:highlight w:val="none"/>
        </w:rPr>
        <w:t>17.5 交工结算</w:t>
      </w:r>
      <w:bookmarkEnd w:id="1226"/>
      <w:bookmarkEnd w:id="1227"/>
      <w:bookmarkEnd w:id="1228"/>
      <w:bookmarkEnd w:id="1229"/>
    </w:p>
    <w:p w14:paraId="16B43605">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17.5.1 </w:t>
      </w:r>
      <w:r>
        <w:rPr>
          <w:rFonts w:hint="default" w:ascii="Times New Roman" w:hAnsi="Times New Roman" w:eastAsia="黑体" w:cs="Times New Roman"/>
          <w:sz w:val="24"/>
          <w:highlight w:val="none"/>
        </w:rPr>
        <w:t>交工付款申请单</w:t>
      </w:r>
    </w:p>
    <w:p w14:paraId="0D9D2531">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本项（1）目约定为：</w:t>
      </w:r>
    </w:p>
    <w:p w14:paraId="290BFC0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承包人向监理人提交交工付款申请单（包括相关证明材料）的份数在项目专用合同条款数据表中约定；期限：交工验收证书签发后42天内。</w:t>
      </w:r>
    </w:p>
    <w:p w14:paraId="534B9128">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17.5.2 </w:t>
      </w:r>
      <w:r>
        <w:rPr>
          <w:rFonts w:hint="default" w:ascii="Times New Roman" w:hAnsi="Times New Roman" w:eastAsia="黑体" w:cs="Times New Roman"/>
          <w:sz w:val="24"/>
          <w:highlight w:val="none"/>
        </w:rPr>
        <w:t>交工付款证书及支付时间</w:t>
      </w:r>
    </w:p>
    <w:p w14:paraId="60F50549">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本项（2）目细化为：</w:t>
      </w:r>
    </w:p>
    <w:p w14:paraId="2D2ECFC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发包人应在监理人出具交工付款证书且承包人提交了合格的增值税专用发票后的14天内，将应支付款支付给承包人。发包人不按期支付的，按第17.3.3（2）目的约定，将逾期付款违约金支付给承包人。</w:t>
      </w:r>
    </w:p>
    <w:p w14:paraId="10E2D62E">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230" w:name="_Toc234833193"/>
      <w:bookmarkStart w:id="1231" w:name="_Toc16291"/>
      <w:bookmarkStart w:id="1232" w:name="_Toc19025"/>
      <w:bookmarkStart w:id="1233" w:name="_Toc11950"/>
      <w:r>
        <w:rPr>
          <w:rFonts w:hint="default" w:ascii="Times New Roman" w:hAnsi="Times New Roman" w:eastAsia="黑体" w:cs="Times New Roman"/>
          <w:b w:val="0"/>
          <w:sz w:val="24"/>
          <w:szCs w:val="24"/>
          <w:highlight w:val="none"/>
        </w:rPr>
        <w:t>17.6 最终结清</w:t>
      </w:r>
      <w:bookmarkEnd w:id="1230"/>
      <w:bookmarkEnd w:id="1231"/>
      <w:bookmarkEnd w:id="1232"/>
      <w:bookmarkEnd w:id="1233"/>
    </w:p>
    <w:p w14:paraId="64215896">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17.6.1 </w:t>
      </w:r>
      <w:r>
        <w:rPr>
          <w:rFonts w:hint="default" w:ascii="Times New Roman" w:hAnsi="Times New Roman" w:eastAsia="黑体" w:cs="Times New Roman"/>
          <w:sz w:val="24"/>
          <w:highlight w:val="none"/>
        </w:rPr>
        <w:t>最终结清申请单</w:t>
      </w:r>
    </w:p>
    <w:p w14:paraId="48B679AE">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本项（1）目约定为：</w:t>
      </w:r>
    </w:p>
    <w:p w14:paraId="2487B4B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承包人向监理人提交最终结清申请单（包括相关证明材料）的份数在项目专用合同条款数据表中约定；期限：缺陷责任期终止证书签发后28天内。</w:t>
      </w:r>
    </w:p>
    <w:p w14:paraId="12E171C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最终结清申请单中的总金额应认为是代表了根据合同规定应付给承包人的全部款项的最后结算。</w:t>
      </w:r>
    </w:p>
    <w:p w14:paraId="50DE826A">
      <w:pPr>
        <w:pageBreakBefore w:val="0"/>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 xml:space="preserve">17.6.2 </w:t>
      </w:r>
      <w:r>
        <w:rPr>
          <w:rFonts w:hint="default" w:ascii="Times New Roman" w:hAnsi="Times New Roman" w:eastAsia="黑体" w:cs="Times New Roman"/>
          <w:sz w:val="24"/>
          <w:highlight w:val="none"/>
        </w:rPr>
        <w:t>最终结清证书和支付时间</w:t>
      </w:r>
      <w:r>
        <w:rPr>
          <w:rFonts w:hint="default" w:ascii="Times New Roman" w:hAnsi="Times New Roman" w:cs="Times New Roman"/>
          <w:sz w:val="24"/>
          <w:highlight w:val="none"/>
        </w:rPr>
        <w:t xml:space="preserve"> </w:t>
      </w:r>
    </w:p>
    <w:p w14:paraId="550F2AA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本项（2）目细化为：</w:t>
      </w:r>
    </w:p>
    <w:p w14:paraId="0B3F7A4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（2）发包人应在监理人出具最终结清证书且承包人提交了合格的增值税专用发票后的14天内，将应支付款支付给承包人。发包人不按期支付的，按第17.3.3（2）目的约定，将逾期付款违约金支付给承包人。</w:t>
      </w:r>
    </w:p>
    <w:p w14:paraId="66D127E4">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1234" w:name="_Toc12621"/>
      <w:bookmarkStart w:id="1235" w:name="_Toc11323"/>
      <w:bookmarkStart w:id="1236" w:name="_Toc24563"/>
      <w:bookmarkStart w:id="1237" w:name="_Toc234833194"/>
      <w:r>
        <w:rPr>
          <w:rFonts w:hint="default" w:ascii="Times New Roman" w:hAnsi="Times New Roman" w:eastAsia="黑体" w:cs="Times New Roman"/>
          <w:b w:val="0"/>
          <w:sz w:val="28"/>
          <w:szCs w:val="28"/>
          <w:highlight w:val="none"/>
        </w:rPr>
        <w:t>18. 交工验收</w:t>
      </w:r>
      <w:bookmarkEnd w:id="1234"/>
      <w:bookmarkEnd w:id="1235"/>
      <w:bookmarkEnd w:id="1236"/>
      <w:bookmarkEnd w:id="1237"/>
    </w:p>
    <w:p w14:paraId="3933B08A">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238" w:name="_Toc234833195"/>
      <w:bookmarkStart w:id="1239" w:name="_Toc29033"/>
      <w:bookmarkStart w:id="1240" w:name="_Toc25433"/>
      <w:bookmarkStart w:id="1241" w:name="_Toc13694"/>
      <w:r>
        <w:rPr>
          <w:rFonts w:hint="default" w:ascii="Times New Roman" w:hAnsi="Times New Roman" w:eastAsia="黑体" w:cs="Times New Roman"/>
          <w:b w:val="0"/>
          <w:sz w:val="24"/>
          <w:szCs w:val="24"/>
          <w:highlight w:val="none"/>
        </w:rPr>
        <w:t>18.2 交工验收申请报告</w:t>
      </w:r>
      <w:bookmarkEnd w:id="1238"/>
      <w:bookmarkEnd w:id="1239"/>
      <w:bookmarkEnd w:id="1240"/>
      <w:bookmarkEnd w:id="1241"/>
    </w:p>
    <w:p w14:paraId="656FA70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本款第（2）项约定为：</w:t>
      </w:r>
    </w:p>
    <w:p w14:paraId="7C718E52">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竣工资料的内容：承包人应按照《公路工程竣（交）工验收办法》和相关规定编制竣工资料。</w:t>
      </w:r>
    </w:p>
    <w:p w14:paraId="696A1DC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竣工资料的份数在项目专用合同条款数据表中约定。</w:t>
      </w:r>
    </w:p>
    <w:p w14:paraId="21701521">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242" w:name="_Toc18368"/>
      <w:bookmarkStart w:id="1243" w:name="_Toc4025"/>
      <w:bookmarkStart w:id="1244" w:name="_Toc2589"/>
      <w:bookmarkStart w:id="1245" w:name="_Toc234833196"/>
      <w:r>
        <w:rPr>
          <w:rFonts w:hint="default" w:ascii="Times New Roman" w:hAnsi="Times New Roman" w:eastAsia="黑体" w:cs="Times New Roman"/>
          <w:b w:val="0"/>
          <w:sz w:val="24"/>
          <w:szCs w:val="24"/>
          <w:highlight w:val="none"/>
        </w:rPr>
        <w:t>18.3 验收</w:t>
      </w:r>
      <w:bookmarkEnd w:id="1242"/>
      <w:bookmarkEnd w:id="1243"/>
      <w:bookmarkEnd w:id="1244"/>
      <w:bookmarkEnd w:id="1245"/>
    </w:p>
    <w:p w14:paraId="0CBF871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第18.3.2项补充：</w:t>
      </w:r>
    </w:p>
    <w:p w14:paraId="12D95103">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交工验收由发包人主持，由发包人、监理人、质监、设计、施工、运营、管理养护等有关部门代表组成交工验收小组，对本项目的工程质量进行评定，并写出交工验收报告报交通运输主管部门备案。承包人应按发包人的要求提交竣工资料，完成交工验收准备工作。</w:t>
      </w:r>
    </w:p>
    <w:p w14:paraId="7FFDDD1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第18.3.5项约定为：</w:t>
      </w:r>
    </w:p>
    <w:p w14:paraId="3CDA084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经验收合格工程的实际交工日期，以最终提交交工验收申请报告的日期为准，并在交工验收证书中写明。</w:t>
      </w:r>
    </w:p>
    <w:p w14:paraId="469E35A3">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本款补充第18.3.7项：</w:t>
      </w:r>
    </w:p>
    <w:p w14:paraId="7683265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组织办理交工验收和签发交工验收证书的费用由发包人承担。但按照第18.3.4项规定达不到合格标准的交工验收费用由承包人承担。</w:t>
      </w:r>
    </w:p>
    <w:p w14:paraId="4DB31710">
      <w:pPr>
        <w:pageBreakBefore w:val="0"/>
        <w:kinsoku/>
        <w:wordWrap w:val="0"/>
        <w:bidi w:val="0"/>
        <w:spacing w:before="240" w:beforeLines="100" w:line="400" w:lineRule="atLeast"/>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本条补充第18.9款：</w:t>
      </w:r>
    </w:p>
    <w:p w14:paraId="448FB763">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246" w:name="_Toc25110"/>
      <w:bookmarkStart w:id="1247" w:name="_Toc15355"/>
      <w:bookmarkStart w:id="1248" w:name="_Toc21991"/>
      <w:bookmarkStart w:id="1249" w:name="_Toc234833197"/>
      <w:r>
        <w:rPr>
          <w:rFonts w:hint="default" w:ascii="Times New Roman" w:hAnsi="Times New Roman" w:eastAsia="黑体" w:cs="Times New Roman"/>
          <w:b w:val="0"/>
          <w:sz w:val="24"/>
          <w:szCs w:val="24"/>
          <w:highlight w:val="none"/>
        </w:rPr>
        <w:t>18.9 竣工文件</w:t>
      </w:r>
      <w:bookmarkEnd w:id="1246"/>
      <w:bookmarkEnd w:id="1247"/>
      <w:bookmarkEnd w:id="1248"/>
      <w:bookmarkEnd w:id="1249"/>
    </w:p>
    <w:p w14:paraId="65ECD86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承包人应按照《公路工程竣（交）工验收办法》的相关规定，在缺陷责任期内为竣工验收补充竣工资料，并在签发缺陷责任期终止证书之前提交。</w:t>
      </w:r>
    </w:p>
    <w:p w14:paraId="61AE954F">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1250" w:name="_Toc5229"/>
      <w:bookmarkStart w:id="1251" w:name="_Toc32487"/>
      <w:bookmarkStart w:id="1252" w:name="_Toc234833198"/>
      <w:bookmarkStart w:id="1253" w:name="_Toc11360"/>
      <w:r>
        <w:rPr>
          <w:rFonts w:hint="default" w:ascii="Times New Roman" w:hAnsi="Times New Roman" w:eastAsia="黑体" w:cs="Times New Roman"/>
          <w:b w:val="0"/>
          <w:sz w:val="28"/>
          <w:szCs w:val="28"/>
          <w:highlight w:val="none"/>
        </w:rPr>
        <w:t>19. 缺陷责任与保修责任</w:t>
      </w:r>
      <w:bookmarkEnd w:id="1250"/>
      <w:bookmarkEnd w:id="1251"/>
      <w:bookmarkEnd w:id="1252"/>
      <w:bookmarkEnd w:id="1253"/>
    </w:p>
    <w:p w14:paraId="5E935D2F">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254" w:name="_Toc13979"/>
      <w:bookmarkStart w:id="1255" w:name="_Toc2934"/>
      <w:bookmarkStart w:id="1256" w:name="_Toc28049"/>
      <w:bookmarkStart w:id="1257" w:name="_Toc234833199"/>
      <w:r>
        <w:rPr>
          <w:rFonts w:hint="default" w:ascii="Times New Roman" w:hAnsi="Times New Roman" w:eastAsia="黑体" w:cs="Times New Roman"/>
          <w:b w:val="0"/>
          <w:sz w:val="24"/>
          <w:szCs w:val="24"/>
          <w:highlight w:val="none"/>
        </w:rPr>
        <w:t>19.2 缺陷责任</w:t>
      </w:r>
      <w:bookmarkEnd w:id="1254"/>
      <w:bookmarkEnd w:id="1255"/>
      <w:bookmarkEnd w:id="1256"/>
      <w:bookmarkEnd w:id="1257"/>
    </w:p>
    <w:p w14:paraId="681ECEC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第19.2.2项补充：</w:t>
      </w:r>
    </w:p>
    <w:p w14:paraId="718B3AB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在缺陷责任期内，承包人应尽快完成在交工验收证书中写明的未完成工作，并完成对本工程缺陷的修复或监理人指令的修补工作。</w:t>
      </w:r>
    </w:p>
    <w:p w14:paraId="0AC520DD">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258" w:name="_Toc17860"/>
      <w:bookmarkStart w:id="1259" w:name="_Toc234833200"/>
      <w:bookmarkStart w:id="1260" w:name="_Toc2370"/>
      <w:bookmarkStart w:id="1261" w:name="_Toc17405"/>
      <w:r>
        <w:rPr>
          <w:rFonts w:hint="default" w:ascii="Times New Roman" w:hAnsi="Times New Roman" w:eastAsia="黑体" w:cs="Times New Roman"/>
          <w:b w:val="0"/>
          <w:sz w:val="24"/>
          <w:szCs w:val="24"/>
          <w:highlight w:val="none"/>
        </w:rPr>
        <w:t>19.5 承包人的进入权</w:t>
      </w:r>
      <w:bookmarkEnd w:id="1258"/>
      <w:bookmarkEnd w:id="1259"/>
      <w:bookmarkEnd w:id="1260"/>
      <w:bookmarkEnd w:id="1261"/>
      <w:r>
        <w:rPr>
          <w:rFonts w:hint="default" w:ascii="Times New Roman" w:hAnsi="Times New Roman" w:eastAsia="黑体" w:cs="Times New Roman"/>
          <w:b w:val="0"/>
          <w:sz w:val="24"/>
          <w:szCs w:val="24"/>
          <w:highlight w:val="none"/>
        </w:rPr>
        <w:t xml:space="preserve"> </w:t>
      </w:r>
    </w:p>
    <w:p w14:paraId="6BADF90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本款补充：</w:t>
      </w:r>
    </w:p>
    <w:p w14:paraId="4074F6E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承包人在缺陷修复施工过程中，应服从管养单位的有关安全管理规定，由于承包人自身原因造成的人员伤亡、设备和材料的损毁及罚款等责任由承包人自负。</w:t>
      </w:r>
    </w:p>
    <w:p w14:paraId="6022FAC0">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262" w:name="_Toc13835"/>
      <w:bookmarkStart w:id="1263" w:name="_Toc22662"/>
      <w:bookmarkStart w:id="1264" w:name="_Toc234833201"/>
      <w:bookmarkStart w:id="1265" w:name="_Toc31522"/>
      <w:r>
        <w:rPr>
          <w:rFonts w:hint="default" w:ascii="Times New Roman" w:hAnsi="Times New Roman" w:eastAsia="黑体" w:cs="Times New Roman"/>
          <w:b w:val="0"/>
          <w:sz w:val="24"/>
          <w:szCs w:val="24"/>
          <w:highlight w:val="none"/>
        </w:rPr>
        <w:t>19.7 保修责任</w:t>
      </w:r>
      <w:bookmarkEnd w:id="1262"/>
      <w:bookmarkEnd w:id="1263"/>
      <w:bookmarkEnd w:id="1264"/>
      <w:bookmarkEnd w:id="1265"/>
    </w:p>
    <w:p w14:paraId="3CE3DA0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本款细化为：</w:t>
      </w:r>
    </w:p>
    <w:p w14:paraId="188C943E">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保修期自实际交工日期起计算，具体期限在项目专用合同条款数据表中约定。保修期与缺陷责任期重叠的期间内，承包人的保修责任同缺陷责任。在缺陷责任期满后的保修期内，承包人可不在工地留有办事人员和机械设备，但必须随时与发包人保持联系，在保修期内承包人应对由于施工质量原因造成的损坏自费进行修复。</w:t>
      </w:r>
    </w:p>
    <w:p w14:paraId="308D602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（2）在全部工程交工验收前，已经发包人提前验收的单位工程，其保修期的起算日期相应提前。</w:t>
      </w:r>
    </w:p>
    <w:p w14:paraId="6154FC7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（3）工程保修期终止后28天内，监理人签发保修期终止证书。</w:t>
      </w:r>
    </w:p>
    <w:p w14:paraId="1F1C6F5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（4）若承包人不履行保修义务和责任，则承包人应承担由于违约造成的法律后果，并由发包人将其违约行为上报省级交通运输主管部门，作为不良记录纳入公路建设市场信用信息管理系统。</w:t>
      </w:r>
    </w:p>
    <w:p w14:paraId="726A61E1">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1266" w:name="_Toc234833202"/>
      <w:bookmarkStart w:id="1267" w:name="_Toc22022"/>
      <w:bookmarkStart w:id="1268" w:name="_Toc23441"/>
      <w:bookmarkStart w:id="1269" w:name="_Toc8873"/>
      <w:r>
        <w:rPr>
          <w:rFonts w:hint="default" w:ascii="Times New Roman" w:hAnsi="Times New Roman" w:eastAsia="黑体" w:cs="Times New Roman"/>
          <w:b w:val="0"/>
          <w:sz w:val="28"/>
          <w:szCs w:val="28"/>
          <w:highlight w:val="none"/>
        </w:rPr>
        <w:t>20. 保险</w:t>
      </w:r>
      <w:bookmarkEnd w:id="1266"/>
      <w:bookmarkEnd w:id="1267"/>
      <w:bookmarkEnd w:id="1268"/>
      <w:bookmarkEnd w:id="1269"/>
    </w:p>
    <w:p w14:paraId="65BF7E7E">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270" w:name="_Toc14288"/>
      <w:bookmarkStart w:id="1271" w:name="_Toc20820"/>
      <w:bookmarkStart w:id="1272" w:name="_Toc234833203"/>
      <w:bookmarkStart w:id="1273" w:name="_Toc27757"/>
      <w:r>
        <w:rPr>
          <w:rFonts w:hint="default" w:ascii="Times New Roman" w:hAnsi="Times New Roman" w:eastAsia="黑体" w:cs="Times New Roman"/>
          <w:b w:val="0"/>
          <w:sz w:val="24"/>
          <w:szCs w:val="24"/>
          <w:highlight w:val="none"/>
        </w:rPr>
        <w:t>20.1工程保险</w:t>
      </w:r>
      <w:bookmarkEnd w:id="1270"/>
      <w:bookmarkEnd w:id="1271"/>
      <w:bookmarkEnd w:id="1272"/>
      <w:bookmarkEnd w:id="1273"/>
    </w:p>
    <w:p w14:paraId="42304EC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本款约定为：</w:t>
      </w:r>
    </w:p>
    <w:p w14:paraId="4174E8C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建筑工程一切险的投保内容：为本合同工程的永久工程、临时工程和设备及已运至施工工地用于永久工程的材料和设备所投的保险。</w:t>
      </w:r>
    </w:p>
    <w:p w14:paraId="7266637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保险金额：工程量清单第100章（不含建筑工程一切险及第三者责任险的保险费）至第700章的合计金额。</w:t>
      </w:r>
    </w:p>
    <w:p w14:paraId="3332A27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保险费率：在项目专用合同条款数据表中约定。</w:t>
      </w:r>
    </w:p>
    <w:p w14:paraId="18C91AD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保险期限：开工日起直至本合同工程签发缺陷责任期终止证书止（即合同工期＋缺陷责任期）。</w:t>
      </w:r>
    </w:p>
    <w:p w14:paraId="24C98BCE">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承包人应以发包人和承包人的共同名义投保建筑工程一切险。建筑工程一切险的保险费由承包人报价时列入工程量清单第100章内。发包人在接到保险单后，将按照保险单的费用直接向承包人支付。</w:t>
      </w:r>
    </w:p>
    <w:p w14:paraId="4E0DF167">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274" w:name="_Toc6160"/>
      <w:bookmarkStart w:id="1275" w:name="_Toc234833204"/>
      <w:bookmarkStart w:id="1276" w:name="_Toc2970"/>
      <w:bookmarkStart w:id="1277" w:name="_Toc1174"/>
      <w:r>
        <w:rPr>
          <w:rFonts w:hint="default" w:ascii="Times New Roman" w:hAnsi="Times New Roman" w:eastAsia="黑体" w:cs="Times New Roman"/>
          <w:b w:val="0"/>
          <w:sz w:val="24"/>
          <w:szCs w:val="24"/>
          <w:highlight w:val="none"/>
        </w:rPr>
        <w:t>20.4 第三者责任险</w:t>
      </w:r>
      <w:bookmarkEnd w:id="1274"/>
      <w:bookmarkEnd w:id="1275"/>
      <w:bookmarkEnd w:id="1276"/>
      <w:bookmarkEnd w:id="1277"/>
    </w:p>
    <w:p w14:paraId="3CD3B746">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第20.4.2项补充：</w:t>
      </w:r>
    </w:p>
    <w:p w14:paraId="6F741B2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第三者责任险的保险费由承包人报价时列入工程量清单第100章内。发包人在接到保险单后，将按照保险单的费用直接向承包人支付。</w:t>
      </w:r>
    </w:p>
    <w:p w14:paraId="67DB1C4A">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278" w:name="_Toc13808"/>
      <w:bookmarkStart w:id="1279" w:name="_Toc29485"/>
      <w:bookmarkStart w:id="1280" w:name="_Toc5754"/>
      <w:bookmarkStart w:id="1281" w:name="_Toc234833205"/>
      <w:r>
        <w:rPr>
          <w:rFonts w:hint="default" w:ascii="Times New Roman" w:hAnsi="Times New Roman" w:eastAsia="黑体" w:cs="Times New Roman"/>
          <w:b w:val="0"/>
          <w:sz w:val="24"/>
          <w:szCs w:val="24"/>
          <w:highlight w:val="none"/>
        </w:rPr>
        <w:t>20.5 其他保险</w:t>
      </w:r>
      <w:bookmarkEnd w:id="1278"/>
      <w:bookmarkEnd w:id="1279"/>
      <w:bookmarkEnd w:id="1280"/>
      <w:bookmarkEnd w:id="1281"/>
    </w:p>
    <w:p w14:paraId="3859298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本款约定为：</w:t>
      </w:r>
    </w:p>
    <w:p w14:paraId="215EC40D">
      <w:pPr>
        <w:pageBreakBefore w:val="0"/>
        <w:kinsoku/>
        <w:wordWrap w:val="0"/>
        <w:bidi w:val="0"/>
        <w:spacing w:line="400" w:lineRule="atLeast"/>
        <w:ind w:firstLine="420"/>
        <w:rPr>
          <w:rFonts w:hint="default" w:ascii="Times New Roman" w:hAnsi="Times New Roman" w:cs="Times New Roman"/>
          <w:sz w:val="24"/>
          <w:highlight w:val="none"/>
        </w:rPr>
      </w:pPr>
      <w:r>
        <w:rPr>
          <w:rFonts w:hint="default" w:ascii="Times New Roman" w:hAnsi="Times New Roman" w:cs="Times New Roman"/>
          <w:sz w:val="24"/>
          <w:highlight w:val="none"/>
        </w:rPr>
        <w:t>承包人应为其施工设备等办理保险，其投保金额应足以现场重置。办理本款保险的一切费用均由承包人承担，并包括在工程量清单的单价及总额价中，发包人不单独支付。</w:t>
      </w:r>
    </w:p>
    <w:p w14:paraId="476A5351">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282" w:name="_Toc32143"/>
      <w:bookmarkStart w:id="1283" w:name="_Toc19524"/>
      <w:bookmarkStart w:id="1284" w:name="_Toc1959"/>
      <w:bookmarkStart w:id="1285" w:name="_Toc234833206"/>
      <w:r>
        <w:rPr>
          <w:rFonts w:hint="default" w:ascii="Times New Roman" w:hAnsi="Times New Roman" w:eastAsia="黑体" w:cs="Times New Roman"/>
          <w:b w:val="0"/>
          <w:sz w:val="24"/>
          <w:szCs w:val="24"/>
          <w:highlight w:val="none"/>
        </w:rPr>
        <w:t>20.6 对各项保险的一般要求</w:t>
      </w:r>
      <w:bookmarkEnd w:id="1282"/>
      <w:bookmarkEnd w:id="1283"/>
      <w:bookmarkEnd w:id="1284"/>
      <w:bookmarkEnd w:id="1285"/>
    </w:p>
    <w:p w14:paraId="7062388D">
      <w:pPr>
        <w:pageBreakBefore w:val="0"/>
        <w:kinsoku/>
        <w:wordWrap w:val="0"/>
        <w:bidi w:val="0"/>
        <w:spacing w:line="400" w:lineRule="atLeast"/>
        <w:ind w:firstLine="390"/>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20.6.1 保险凭证</w:t>
      </w:r>
    </w:p>
    <w:p w14:paraId="7A9DEB92">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本项约定为：</w:t>
      </w:r>
    </w:p>
    <w:p w14:paraId="6AAD77D2">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承包人向发包人提交各项保险生效的证据和保险单副本的期限：开工后56天内。</w:t>
      </w:r>
    </w:p>
    <w:p w14:paraId="25600536">
      <w:pPr>
        <w:pageBreakBefore w:val="0"/>
        <w:kinsoku/>
        <w:wordWrap w:val="0"/>
        <w:bidi w:val="0"/>
        <w:spacing w:line="400" w:lineRule="atLeast"/>
        <w:ind w:firstLine="390"/>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20.6.3 持续保险</w:t>
      </w:r>
    </w:p>
    <w:p w14:paraId="6E7872B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本项补充：</w:t>
      </w:r>
    </w:p>
    <w:p w14:paraId="23EC0E26">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在整个合同期内，承包人应按合同条款规定保证足够的保险额。</w:t>
      </w:r>
    </w:p>
    <w:p w14:paraId="08CC8C8A">
      <w:pPr>
        <w:pageBreakBefore w:val="0"/>
        <w:kinsoku/>
        <w:wordWrap w:val="0"/>
        <w:bidi w:val="0"/>
        <w:spacing w:line="400" w:lineRule="atLeast"/>
        <w:ind w:firstLine="390"/>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20.6.4 保险金不足的补偿</w:t>
      </w:r>
    </w:p>
    <w:p w14:paraId="1F505DC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本项细化为：</w:t>
      </w:r>
    </w:p>
    <w:p w14:paraId="48383E4E">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保险金不足以补偿损失的（包括免赔额和超过赔偿限额的部分），应由承包人和（或）发包人按合同约定负责补偿。</w:t>
      </w:r>
    </w:p>
    <w:p w14:paraId="1D1E68D2">
      <w:pPr>
        <w:pageBreakBefore w:val="0"/>
        <w:kinsoku/>
        <w:wordWrap w:val="0"/>
        <w:bidi w:val="0"/>
        <w:spacing w:line="400" w:lineRule="atLeast"/>
        <w:ind w:firstLine="390"/>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20.6.5 未按约定投保的补救</w:t>
      </w:r>
    </w:p>
    <w:p w14:paraId="2535A775">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本项（2）目细化为：</w:t>
      </w:r>
    </w:p>
    <w:p w14:paraId="6C46F08A">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2）由于负有投保义务的一方当事人未按合同约定办理某项保险，或未按保险单规定的条件和期限及时向保险人报告事故情况，或未按要求的保险期限进行投保，或未按要求投保足够的保险金额，导致受益人未能或未能全部得到保险人的赔偿，原应从该项保险得到的保险金应由负有投保义务的一方当事人支付。</w:t>
      </w:r>
    </w:p>
    <w:p w14:paraId="77B70C20">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1286" w:name="_Toc7497"/>
      <w:bookmarkStart w:id="1287" w:name="_Toc234833207"/>
      <w:bookmarkStart w:id="1288" w:name="_Toc23861"/>
      <w:bookmarkStart w:id="1289" w:name="_Toc10087"/>
      <w:r>
        <w:rPr>
          <w:rFonts w:hint="default" w:ascii="Times New Roman" w:hAnsi="Times New Roman" w:eastAsia="黑体" w:cs="Times New Roman"/>
          <w:b w:val="0"/>
          <w:sz w:val="28"/>
          <w:szCs w:val="28"/>
          <w:highlight w:val="none"/>
        </w:rPr>
        <w:t>21. 不可抗力</w:t>
      </w:r>
      <w:bookmarkEnd w:id="1286"/>
      <w:bookmarkEnd w:id="1287"/>
      <w:bookmarkEnd w:id="1288"/>
      <w:bookmarkEnd w:id="1289"/>
    </w:p>
    <w:p w14:paraId="459C5640">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290" w:name="_Toc1192"/>
      <w:bookmarkStart w:id="1291" w:name="_Toc30052"/>
      <w:bookmarkStart w:id="1292" w:name="_Toc234833208"/>
      <w:bookmarkStart w:id="1293" w:name="_Toc15082"/>
      <w:r>
        <w:rPr>
          <w:rFonts w:hint="default" w:ascii="Times New Roman" w:hAnsi="Times New Roman" w:eastAsia="黑体" w:cs="Times New Roman"/>
          <w:b w:val="0"/>
          <w:sz w:val="24"/>
          <w:szCs w:val="24"/>
          <w:highlight w:val="none"/>
        </w:rPr>
        <w:t>21.1 不可抗力的确认</w:t>
      </w:r>
      <w:bookmarkEnd w:id="1290"/>
      <w:bookmarkEnd w:id="1291"/>
      <w:bookmarkEnd w:id="1292"/>
      <w:bookmarkEnd w:id="1293"/>
    </w:p>
    <w:p w14:paraId="0E36801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第21.1.1项细化为：</w:t>
      </w:r>
    </w:p>
    <w:p w14:paraId="1351E3E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不可抗力是指承包人和发包人在订立合同时不可预见，在工程施工过程中不可避免发生并不能克服的自然灾害和社会性突发事件。包括但不限于：</w:t>
      </w:r>
    </w:p>
    <w:p w14:paraId="6642DEE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（1）地震、海啸、火山爆发、泥石流、暴雨（雪）、台风、龙卷风、水灾等自然灾害；</w:t>
      </w:r>
    </w:p>
    <w:p w14:paraId="1FEA62E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（2）战争、骚乱、暴动，但纯属承包人或其分包人派遣与雇用的人员由于本合同工程施工原因引起者除外；</w:t>
      </w:r>
    </w:p>
    <w:p w14:paraId="3909AB96">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（3）核反应、辐射或放射性污染；</w:t>
      </w:r>
    </w:p>
    <w:p w14:paraId="7C7998FE">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（4）空中飞行物体坠落或非发包人或承包人责任造成的爆炸、火灾；</w:t>
      </w:r>
    </w:p>
    <w:p w14:paraId="3AE21C1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（5）瘟疫；</w:t>
      </w:r>
    </w:p>
    <w:p w14:paraId="4B1240C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（6）项目专用合同条款约定的其他情形。</w:t>
      </w:r>
    </w:p>
    <w:p w14:paraId="60280E80">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294" w:name="_Toc32580"/>
      <w:bookmarkStart w:id="1295" w:name="_Toc26115"/>
      <w:bookmarkStart w:id="1296" w:name="_Toc234833209"/>
      <w:bookmarkStart w:id="1297" w:name="_Toc1492"/>
      <w:r>
        <w:rPr>
          <w:rFonts w:hint="default" w:ascii="Times New Roman" w:hAnsi="Times New Roman" w:eastAsia="黑体" w:cs="Times New Roman"/>
          <w:b w:val="0"/>
          <w:sz w:val="24"/>
          <w:szCs w:val="24"/>
          <w:highlight w:val="none"/>
        </w:rPr>
        <w:t>21.3 不可抗力后果及其处理</w:t>
      </w:r>
      <w:bookmarkEnd w:id="1294"/>
      <w:bookmarkEnd w:id="1295"/>
      <w:bookmarkEnd w:id="1296"/>
      <w:bookmarkEnd w:id="1297"/>
    </w:p>
    <w:p w14:paraId="7B1B4DA9">
      <w:pPr>
        <w:pageBreakBefore w:val="0"/>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 xml:space="preserve">21.3.4 </w:t>
      </w:r>
      <w:r>
        <w:rPr>
          <w:rFonts w:hint="default" w:ascii="Times New Roman" w:hAnsi="Times New Roman" w:eastAsia="黑体" w:cs="Times New Roman"/>
          <w:sz w:val="24"/>
          <w:highlight w:val="none"/>
        </w:rPr>
        <w:t>因不可抗力解除合同</w:t>
      </w:r>
    </w:p>
    <w:p w14:paraId="575D480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本项细化为：</w:t>
      </w:r>
    </w:p>
    <w:p w14:paraId="014A75B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合同一方当事人因不可抗力不能履行合同的，应当及时通知对方解除合同。合同解除后，承包人应按照第22.2.5项约定撤离施工场地。已经订货的材料、设备由订货方负责退货或解除订货合同，不能退还的货款和因退货、解除订货合同发生的费用，由发包人承担，因未及时退货造成的损失由责任方承担。合同解除后的付款，参照第22.2.4项约定，由监理人按第3.5款商定或确定，但由于解除合同应赔偿的承包人损失不予考虑。</w:t>
      </w:r>
    </w:p>
    <w:p w14:paraId="5DECBE57">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1298" w:name="_Toc24433"/>
      <w:bookmarkStart w:id="1299" w:name="_Toc234833210"/>
      <w:bookmarkStart w:id="1300" w:name="_Toc3129"/>
      <w:bookmarkStart w:id="1301" w:name="_Toc23055"/>
      <w:r>
        <w:rPr>
          <w:rFonts w:hint="default" w:ascii="Times New Roman" w:hAnsi="Times New Roman" w:eastAsia="黑体" w:cs="Times New Roman"/>
          <w:b w:val="0"/>
          <w:sz w:val="28"/>
          <w:szCs w:val="28"/>
          <w:highlight w:val="none"/>
        </w:rPr>
        <w:t>22. 违约</w:t>
      </w:r>
      <w:bookmarkEnd w:id="1298"/>
      <w:bookmarkEnd w:id="1299"/>
      <w:bookmarkEnd w:id="1300"/>
      <w:bookmarkEnd w:id="1301"/>
    </w:p>
    <w:p w14:paraId="4AABC70E">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302" w:name="_Toc26732"/>
      <w:bookmarkStart w:id="1303" w:name="_Toc7490"/>
      <w:bookmarkStart w:id="1304" w:name="_Toc6115"/>
      <w:bookmarkStart w:id="1305" w:name="_Toc234833211"/>
      <w:r>
        <w:rPr>
          <w:rFonts w:hint="default" w:ascii="Times New Roman" w:hAnsi="Times New Roman" w:eastAsia="黑体" w:cs="Times New Roman"/>
          <w:b w:val="0"/>
          <w:sz w:val="24"/>
          <w:szCs w:val="24"/>
          <w:highlight w:val="none"/>
        </w:rPr>
        <w:t>22.1 承包人违约</w:t>
      </w:r>
      <w:bookmarkEnd w:id="1302"/>
      <w:bookmarkEnd w:id="1303"/>
      <w:bookmarkEnd w:id="1304"/>
      <w:bookmarkEnd w:id="1305"/>
    </w:p>
    <w:p w14:paraId="371F4ED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22.1.1 </w:t>
      </w:r>
      <w:r>
        <w:rPr>
          <w:rFonts w:hint="default" w:ascii="Times New Roman" w:hAnsi="Times New Roman" w:eastAsia="黑体" w:cs="Times New Roman"/>
          <w:sz w:val="24"/>
          <w:highlight w:val="none"/>
        </w:rPr>
        <w:t>承包人违约的情形</w:t>
      </w:r>
    </w:p>
    <w:p w14:paraId="5BEB256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本项（2）目细化为：</w:t>
      </w:r>
    </w:p>
    <w:p w14:paraId="2FB0F29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（2）承包人违反第5.3款或第6.4款的约定，未经监理人批准，私自将已按合同约定进入施工场地的施工设备、临时设施、材料或工程设备撤离施工场地；</w:t>
      </w:r>
    </w:p>
    <w:p w14:paraId="15076EB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本项（7）目细化为：</w:t>
      </w:r>
    </w:p>
    <w:p w14:paraId="1AB68B1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（7）承包人未能按期开工；</w:t>
      </w:r>
    </w:p>
    <w:p w14:paraId="58C2F2D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（8）承包人违反第4.6款或第6.3款的规定，未按承诺或未按监理人的要求及时配备称职的主要管理人员、技术骨干或关键施工设备；</w:t>
      </w:r>
    </w:p>
    <w:p w14:paraId="6D5B854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（9）经监理人和发包人检查，发现承包人有安全问题或有违反安全管理规章制度的情况；</w:t>
      </w:r>
    </w:p>
    <w:p w14:paraId="177780B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（10）承包人不按合同约定履行义务的其他情况。</w:t>
      </w:r>
    </w:p>
    <w:p w14:paraId="3EF17845">
      <w:pPr>
        <w:pageBreakBefore w:val="0"/>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 xml:space="preserve">22.1.2 </w:t>
      </w:r>
      <w:r>
        <w:rPr>
          <w:rFonts w:hint="default" w:ascii="Times New Roman" w:hAnsi="Times New Roman" w:eastAsia="黑体" w:cs="Times New Roman"/>
          <w:sz w:val="24"/>
          <w:highlight w:val="none"/>
        </w:rPr>
        <w:t>对承包人违约的处理</w:t>
      </w:r>
    </w:p>
    <w:p w14:paraId="1790906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本项补充：</w:t>
      </w:r>
    </w:p>
    <w:p w14:paraId="369C0FC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承包人发生第22.1.1项约定的违约情况时，无论发包人是否解除合同，发包人均有权向承包人课以项目专用合同条款中规定的违约金，并由发包人将其违约行为上报省级交通运输主管部门，作为不良记录纳入公路建设市场信用信息管理系统。</w:t>
      </w:r>
    </w:p>
    <w:p w14:paraId="59804DFF">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306" w:name="_Toc3432"/>
      <w:bookmarkStart w:id="1307" w:name="_Toc32105"/>
      <w:bookmarkStart w:id="1308" w:name="_Toc30636"/>
      <w:bookmarkStart w:id="1309" w:name="_Toc234833212"/>
      <w:r>
        <w:rPr>
          <w:rFonts w:hint="default" w:ascii="Times New Roman" w:hAnsi="Times New Roman" w:eastAsia="黑体" w:cs="Times New Roman"/>
          <w:b w:val="0"/>
          <w:sz w:val="24"/>
          <w:szCs w:val="24"/>
          <w:highlight w:val="none"/>
        </w:rPr>
        <w:t>22.2 发包人违约</w:t>
      </w:r>
      <w:bookmarkEnd w:id="1306"/>
      <w:bookmarkEnd w:id="1307"/>
      <w:bookmarkEnd w:id="1308"/>
      <w:bookmarkEnd w:id="1309"/>
    </w:p>
    <w:p w14:paraId="78FD8F3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22.2.1</w:t>
      </w:r>
      <w:r>
        <w:rPr>
          <w:rFonts w:hint="default" w:ascii="Times New Roman" w:hAnsi="Times New Roman" w:eastAsia="黑体" w:cs="Times New Roman"/>
          <w:sz w:val="24"/>
          <w:highlight w:val="none"/>
        </w:rPr>
        <w:t>发包人违约的情形</w:t>
      </w:r>
    </w:p>
    <w:p w14:paraId="44A7BA9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本项（5）目细化为：</w:t>
      </w:r>
    </w:p>
    <w:p w14:paraId="3686254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（5）发包人无正当理由不按时返还履约保证金、质量保证金或农民工工资保证金的；</w:t>
      </w:r>
    </w:p>
    <w:p w14:paraId="4E295F7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（6）发包人不履行合同约定其他义务的。</w:t>
      </w:r>
    </w:p>
    <w:p w14:paraId="03136D64">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22.2.2 </w:t>
      </w:r>
      <w:r>
        <w:rPr>
          <w:rFonts w:hint="default" w:ascii="Times New Roman" w:hAnsi="Times New Roman" w:eastAsia="黑体" w:cs="Times New Roman"/>
          <w:sz w:val="24"/>
          <w:highlight w:val="none"/>
        </w:rPr>
        <w:t>承包人有权暂停施工</w:t>
      </w:r>
    </w:p>
    <w:p w14:paraId="19BA3E80">
      <w:pPr>
        <w:pageBreakBefore w:val="0"/>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本项细化为：</w:t>
      </w:r>
    </w:p>
    <w:p w14:paraId="6396882B">
      <w:pPr>
        <w:pageBreakBefore w:val="0"/>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发包人发生除第22.2.1（4）、（5）目以外的违约情况时，承包人可向发包人发出通知，要求发包人采取有效措施纠正违约行为。发包人收到承包人通知后的28天内仍不履行合同义务，承包人有权暂停施工，并通知监理人，发包人应承担由此增加的费用和（或）工期延误，并支付承包人合理利润。</w:t>
      </w:r>
    </w:p>
    <w:p w14:paraId="08566023">
      <w:pPr>
        <w:pageBreakBefore w:val="0"/>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发包人发生第22.2.1（5）目的违约情况时，承包人可向发包人发出通知，要求发包人采取有效措施纠正违约行为。发包人收到承包人通知后的28天内仍不返还履约保证金、质量保证金或农民工工资保证金的，发包人应按项目专用合同条款的约定向承包人支付逾期返还保证金的违约金。</w:t>
      </w:r>
    </w:p>
    <w:p w14:paraId="3593664D">
      <w:pPr>
        <w:pageBreakBefore w:val="0"/>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22.2.4</w:t>
      </w:r>
      <w:r>
        <w:rPr>
          <w:rFonts w:hint="default" w:ascii="Times New Roman" w:hAnsi="Times New Roman" w:eastAsia="黑体" w:cs="Times New Roman"/>
          <w:sz w:val="24"/>
          <w:highlight w:val="none"/>
        </w:rPr>
        <w:t xml:space="preserve"> 解除合同后的付款</w:t>
      </w:r>
    </w:p>
    <w:p w14:paraId="14CBB55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本项（2）目细化为：</w:t>
      </w:r>
    </w:p>
    <w:p w14:paraId="4640343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（2）承包人为该工程施工订购并已付款的材料、工程设备和其他物品的金额。发包人付款后，该材料、工程设备和其他物品归发包人所有；</w:t>
      </w:r>
    </w:p>
    <w:p w14:paraId="16A946B6">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1310" w:name="_Toc26966"/>
      <w:bookmarkStart w:id="1311" w:name="_Toc26887"/>
      <w:bookmarkStart w:id="1312" w:name="_Toc4428"/>
      <w:bookmarkStart w:id="1313" w:name="_Toc234833213"/>
      <w:r>
        <w:rPr>
          <w:rFonts w:hint="default" w:ascii="Times New Roman" w:hAnsi="Times New Roman" w:eastAsia="黑体" w:cs="Times New Roman"/>
          <w:b w:val="0"/>
          <w:sz w:val="28"/>
          <w:szCs w:val="28"/>
          <w:highlight w:val="none"/>
        </w:rPr>
        <w:t>23. 索赔</w:t>
      </w:r>
      <w:bookmarkEnd w:id="1310"/>
      <w:bookmarkEnd w:id="1311"/>
      <w:bookmarkEnd w:id="1312"/>
      <w:bookmarkEnd w:id="1313"/>
    </w:p>
    <w:p w14:paraId="468D39D0">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314" w:name="_Toc5503"/>
      <w:bookmarkStart w:id="1315" w:name="_Toc234833214"/>
      <w:bookmarkStart w:id="1316" w:name="_Toc1551"/>
      <w:bookmarkStart w:id="1317" w:name="_Toc13524"/>
      <w:r>
        <w:rPr>
          <w:rFonts w:hint="default" w:ascii="Times New Roman" w:hAnsi="Times New Roman" w:eastAsia="黑体" w:cs="Times New Roman"/>
          <w:b w:val="0"/>
          <w:sz w:val="24"/>
          <w:szCs w:val="24"/>
          <w:highlight w:val="none"/>
        </w:rPr>
        <w:t>23.1 承包人索赔的提出</w:t>
      </w:r>
      <w:bookmarkEnd w:id="1314"/>
      <w:bookmarkEnd w:id="1315"/>
      <w:bookmarkEnd w:id="1316"/>
      <w:bookmarkEnd w:id="1317"/>
    </w:p>
    <w:p w14:paraId="35C8070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本款第（4）项细化为：</w:t>
      </w:r>
    </w:p>
    <w:p w14:paraId="72072096">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（4）在索赔事件影响结束后的28天内，承包人应向监理人递交最终索赔通知书，说明最终要求索赔的追加付款金额和（或）延长的工期，并附必要的记录和证明材料。</w:t>
      </w:r>
    </w:p>
    <w:p w14:paraId="38E2ED8A">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318" w:name="_Toc12793"/>
      <w:bookmarkStart w:id="1319" w:name="_Toc13497"/>
      <w:bookmarkStart w:id="1320" w:name="_Toc234833215"/>
      <w:bookmarkStart w:id="1321" w:name="_Toc29342"/>
      <w:r>
        <w:rPr>
          <w:rFonts w:hint="default" w:ascii="Times New Roman" w:hAnsi="Times New Roman" w:eastAsia="黑体" w:cs="Times New Roman"/>
          <w:b w:val="0"/>
          <w:sz w:val="24"/>
          <w:szCs w:val="24"/>
          <w:highlight w:val="none"/>
        </w:rPr>
        <w:t>23.2 承包人索赔处理程序</w:t>
      </w:r>
      <w:bookmarkEnd w:id="1318"/>
      <w:bookmarkEnd w:id="1319"/>
      <w:bookmarkEnd w:id="1320"/>
      <w:bookmarkEnd w:id="1321"/>
    </w:p>
    <w:p w14:paraId="6F241FD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本款第（2）项细化为：</w:t>
      </w:r>
    </w:p>
    <w:p w14:paraId="1313E8A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监理人应按第3.5款商定或确定追加的付款和（或）延长的工期，并在收到上述索赔通知书或有关索赔的进一步证明材料后的42天内，将索赔处理结果报发包人批准后答复承包人。如果承包人提出的索赔要求未能遵守第23.1（2）~（4）项的规定，则承包人只限于索赔由监理人按当时记录予以核实的那部分款额和（或）工期延长天数。</w:t>
      </w:r>
    </w:p>
    <w:p w14:paraId="1AD61F7D">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1322" w:name="_Toc11561"/>
      <w:bookmarkStart w:id="1323" w:name="_Toc7522"/>
      <w:bookmarkStart w:id="1324" w:name="_Toc18247"/>
      <w:bookmarkStart w:id="1325" w:name="_Toc234833216"/>
      <w:r>
        <w:rPr>
          <w:rFonts w:hint="default" w:ascii="Times New Roman" w:hAnsi="Times New Roman" w:eastAsia="黑体" w:cs="Times New Roman"/>
          <w:b w:val="0"/>
          <w:sz w:val="28"/>
          <w:szCs w:val="28"/>
          <w:highlight w:val="none"/>
        </w:rPr>
        <w:t>24. 争议的解决</w:t>
      </w:r>
      <w:bookmarkEnd w:id="1322"/>
      <w:bookmarkEnd w:id="1323"/>
      <w:bookmarkEnd w:id="1324"/>
      <w:bookmarkEnd w:id="1325"/>
    </w:p>
    <w:p w14:paraId="4C1167B3">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326" w:name="_Toc15371"/>
      <w:bookmarkStart w:id="1327" w:name="_Toc18858"/>
      <w:bookmarkStart w:id="1328" w:name="_Toc234833217"/>
      <w:bookmarkStart w:id="1329" w:name="_Toc26371"/>
      <w:r>
        <w:rPr>
          <w:rFonts w:hint="default" w:ascii="Times New Roman" w:hAnsi="Times New Roman" w:eastAsia="黑体" w:cs="Times New Roman"/>
          <w:b w:val="0"/>
          <w:sz w:val="24"/>
          <w:szCs w:val="24"/>
          <w:highlight w:val="none"/>
        </w:rPr>
        <w:t>24.3 争议评审</w:t>
      </w:r>
      <w:bookmarkEnd w:id="1326"/>
      <w:bookmarkEnd w:id="1327"/>
      <w:bookmarkEnd w:id="1328"/>
      <w:bookmarkEnd w:id="1329"/>
    </w:p>
    <w:p w14:paraId="6B51804E">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第24.3.1项补充：</w:t>
      </w:r>
    </w:p>
    <w:p w14:paraId="7371282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争议评审组由3人或5人组成，专家的聘请方法可由发包人和承包人共同协商确定，亦可请政府主管部门推荐或通过合同争议调解机构聘请，并经双方认同。争议评审组成员应与合同双方均无利害关系。争议评审组的各项费用由发包人和承包人平均分担。</w:t>
      </w:r>
    </w:p>
    <w:p w14:paraId="3D8F7FF6">
      <w:pPr>
        <w:pageBreakBefore w:val="0"/>
        <w:kinsoku/>
        <w:wordWrap w:val="0"/>
        <w:bidi w:val="0"/>
        <w:spacing w:before="240" w:beforeLines="100" w:line="400" w:lineRule="atLeast"/>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本条补充第24.4款、第24.5款（适用于采用仲裁方式最终解决争议的项目）：</w:t>
      </w:r>
    </w:p>
    <w:p w14:paraId="49F0864A">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330" w:name="_Toc13339"/>
      <w:bookmarkStart w:id="1331" w:name="_Toc24846"/>
      <w:bookmarkStart w:id="1332" w:name="_Toc234833218"/>
      <w:bookmarkStart w:id="1333" w:name="_Toc32419"/>
      <w:r>
        <w:rPr>
          <w:rFonts w:hint="default" w:ascii="Times New Roman" w:hAnsi="Times New Roman" w:eastAsia="黑体" w:cs="Times New Roman"/>
          <w:b w:val="0"/>
          <w:sz w:val="24"/>
          <w:szCs w:val="24"/>
          <w:highlight w:val="none"/>
        </w:rPr>
        <w:t>24.4 仲裁</w:t>
      </w:r>
      <w:bookmarkEnd w:id="1330"/>
      <w:bookmarkEnd w:id="1331"/>
      <w:bookmarkEnd w:id="1332"/>
      <w:bookmarkEnd w:id="1333"/>
    </w:p>
    <w:p w14:paraId="7383E57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（1）对于未能友好解决或未能通过争议评审解决的争议，发包人或承包人任一方均有权提交给第24.1款约定的仲裁委员会仲裁。</w:t>
      </w:r>
    </w:p>
    <w:p w14:paraId="3DD02C3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仲裁可在交工之前或之后进行，但发包人、监理人和承包人各自的义务不得因在工程实施期间进行仲裁而有所改变。如果仲裁是在终止合同的情况下进行，则对合同工程应采取保护措施，措施费由败诉方承担。</w:t>
      </w:r>
    </w:p>
    <w:p w14:paraId="41D1A8D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（3）仲裁裁决是终局性的并对发包人和承包人双方具有约束力。</w:t>
      </w:r>
    </w:p>
    <w:p w14:paraId="5D36839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（4）全部仲裁费用应由败诉方承担；或按仲裁委员会裁决的比例分担。</w:t>
      </w:r>
    </w:p>
    <w:p w14:paraId="41D6648A">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334" w:name="_Toc2028"/>
      <w:bookmarkStart w:id="1335" w:name="_Toc234833219"/>
      <w:bookmarkStart w:id="1336" w:name="_Toc20967"/>
      <w:bookmarkStart w:id="1337" w:name="_Toc3644"/>
      <w:r>
        <w:rPr>
          <w:rFonts w:hint="default" w:ascii="Times New Roman" w:hAnsi="Times New Roman" w:eastAsia="黑体" w:cs="Times New Roman"/>
          <w:b w:val="0"/>
          <w:sz w:val="24"/>
          <w:szCs w:val="24"/>
          <w:highlight w:val="none"/>
        </w:rPr>
        <w:t>24.5 仲裁的执行</w:t>
      </w:r>
      <w:bookmarkEnd w:id="1334"/>
      <w:bookmarkEnd w:id="1335"/>
      <w:bookmarkEnd w:id="1336"/>
      <w:bookmarkEnd w:id="1337"/>
    </w:p>
    <w:p w14:paraId="490D9703">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（1）任何一方不履行仲裁机构的裁决的，对方可以向有管辖权的人民法院申请执行。</w:t>
      </w:r>
    </w:p>
    <w:p w14:paraId="274187E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任何一方提出证据证明裁决有《中华人民共和国仲裁法》第五十八条规定情形之一的，可以向仲裁委员会所在地的中级人民法院申请撤销裁决。人民法院认定执行该裁决违背社会公共利益的，裁定不予执行。仲裁裁决被人民法院裁定不予执行的，当事人可以根据双方达成的书面仲裁协议重新申请仲裁，也可以向人民法院起诉。</w:t>
      </w:r>
    </w:p>
    <w:p w14:paraId="5F8150AA">
      <w:pPr>
        <w:pStyle w:val="2"/>
        <w:pageBreakBefore w:val="0"/>
        <w:kinsoku/>
        <w:wordWrap w:val="0"/>
        <w:bidi w:val="0"/>
        <w:spacing w:before="240" w:after="240" w:line="380" w:lineRule="atLeast"/>
        <w:jc w:val="center"/>
        <w:rPr>
          <w:rFonts w:hint="default" w:ascii="Times New Roman" w:hAnsi="Times New Roman" w:eastAsia="黑体" w:cs="Times New Roman"/>
          <w:b w:val="0"/>
          <w:sz w:val="32"/>
          <w:szCs w:val="32"/>
          <w:highlight w:val="none"/>
        </w:rPr>
      </w:pPr>
      <w:r>
        <w:rPr>
          <w:rFonts w:hint="default" w:ascii="Times New Roman" w:hAnsi="Times New Roman" w:eastAsia="黑体" w:cs="Times New Roman"/>
          <w:sz w:val="24"/>
          <w:highlight w:val="none"/>
        </w:rPr>
        <w:br w:type="page"/>
      </w:r>
      <w:bookmarkStart w:id="1338" w:name="_Toc3230"/>
      <w:bookmarkStart w:id="1339" w:name="_Toc234833220"/>
      <w:bookmarkStart w:id="1340" w:name="_Toc5248"/>
      <w:r>
        <w:rPr>
          <w:rFonts w:hint="default" w:ascii="Times New Roman" w:hAnsi="Times New Roman" w:eastAsia="黑体" w:cs="Times New Roman"/>
          <w:b w:val="0"/>
          <w:sz w:val="32"/>
          <w:szCs w:val="32"/>
          <w:highlight w:val="none"/>
        </w:rPr>
        <w:t>B. 项目专用合同条款</w:t>
      </w:r>
      <w:bookmarkEnd w:id="1338"/>
      <w:bookmarkEnd w:id="1339"/>
      <w:bookmarkEnd w:id="1340"/>
    </w:p>
    <w:p w14:paraId="619E19A3">
      <w:pPr>
        <w:pageBreakBefore w:val="0"/>
        <w:kinsoku/>
        <w:wordWrap w:val="0"/>
        <w:bidi w:val="0"/>
        <w:spacing w:line="440" w:lineRule="exact"/>
        <w:rPr>
          <w:rFonts w:hint="default" w:ascii="Times New Roman" w:hAnsi="Times New Roman" w:eastAsia="黑体" w:cs="Times New Roman"/>
          <w:sz w:val="27"/>
          <w:szCs w:val="27"/>
          <w:highlight w:val="none"/>
        </w:rPr>
      </w:pPr>
    </w:p>
    <w:p w14:paraId="7AE21622">
      <w:pPr>
        <w:pStyle w:val="17"/>
        <w:pageBreakBefore w:val="0"/>
        <w:kinsoku/>
        <w:wordWrap w:val="0"/>
        <w:bidi w:val="0"/>
        <w:snapToGrid w:val="0"/>
        <w:spacing w:line="400" w:lineRule="atLeast"/>
        <w:ind w:left="0" w:leftChars="0"/>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说  明：</w:t>
      </w:r>
    </w:p>
    <w:p w14:paraId="61A3DCB6">
      <w:pPr>
        <w:pStyle w:val="17"/>
        <w:pageBreakBefore w:val="0"/>
        <w:kinsoku/>
        <w:wordWrap w:val="0"/>
        <w:bidi w:val="0"/>
        <w:snapToGrid w:val="0"/>
        <w:spacing w:line="400" w:lineRule="atLeast"/>
        <w:ind w:left="0" w:leftChars="0" w:firstLine="720" w:firstLineChars="300"/>
        <w:rPr>
          <w:rFonts w:hint="default" w:ascii="Times New Roman" w:hAnsi="Times New Roman" w:eastAsia="楷体_GB2312" w:cs="Times New Roman"/>
          <w:sz w:val="24"/>
          <w:highlight w:val="none"/>
        </w:rPr>
      </w:pPr>
      <w:r>
        <w:rPr>
          <w:rFonts w:hint="default" w:ascii="Times New Roman" w:hAnsi="Times New Roman" w:eastAsia="楷体_GB2312" w:cs="Times New Roman"/>
          <w:sz w:val="24"/>
          <w:highlight w:val="none"/>
        </w:rPr>
        <w:t>1.招标人在根据《</w:t>
      </w:r>
      <w:r>
        <w:rPr>
          <w:rFonts w:hint="default" w:ascii="Times New Roman" w:hAnsi="Times New Roman" w:eastAsia="楷体_GB2312" w:cs="Times New Roman"/>
          <w:sz w:val="24"/>
          <w:highlight w:val="none"/>
          <w:lang w:val="en-US" w:eastAsia="zh-CN"/>
        </w:rPr>
        <w:t>标准文件</w:t>
      </w:r>
      <w:r>
        <w:rPr>
          <w:rFonts w:hint="default" w:ascii="Times New Roman" w:hAnsi="Times New Roman" w:eastAsia="楷体_GB2312" w:cs="Times New Roman"/>
          <w:sz w:val="24"/>
          <w:highlight w:val="none"/>
        </w:rPr>
        <w:t>》编制项目招标文件中的</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项目专用合同条款</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时，可根据招标项目的具体特点和实际需要，对</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通用合同条款</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及</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公路工程专用合同条款</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进行补充和细化，除</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通用合同条款</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明确</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专用合同条款</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可作出不同约定以及</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公路工程专用合同条款</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明确</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项目专用合同条款</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可作出不同约定外，补充和细化的内容不得与</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通用合同条款</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及</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公路工程专用合同条款</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强制性规定相抵触。同时，补充、细化或约定的内容，不得违反法律、行政法规的强制性规定和平等、自愿、公平和诚实信用原则。</w:t>
      </w:r>
    </w:p>
    <w:p w14:paraId="319BF32D">
      <w:pPr>
        <w:pStyle w:val="17"/>
        <w:pageBreakBefore w:val="0"/>
        <w:kinsoku/>
        <w:wordWrap w:val="0"/>
        <w:bidi w:val="0"/>
        <w:snapToGrid w:val="0"/>
        <w:spacing w:line="400" w:lineRule="atLeast"/>
        <w:ind w:left="0" w:leftChars="0" w:firstLine="720" w:firstLineChars="300"/>
        <w:rPr>
          <w:rFonts w:hint="default" w:ascii="Times New Roman" w:hAnsi="Times New Roman" w:eastAsia="楷体_GB2312" w:cs="Times New Roman"/>
          <w:sz w:val="24"/>
          <w:highlight w:val="none"/>
        </w:rPr>
      </w:pPr>
      <w:r>
        <w:rPr>
          <w:rFonts w:hint="default" w:ascii="Times New Roman" w:hAnsi="Times New Roman" w:eastAsia="楷体_GB2312" w:cs="Times New Roman"/>
          <w:sz w:val="24"/>
          <w:highlight w:val="none"/>
        </w:rPr>
        <w:t>2.项目专用合同条款的编号应与通用合同条款和公路工程专用合同条款一致。</w:t>
      </w:r>
    </w:p>
    <w:p w14:paraId="1DA98288">
      <w:pPr>
        <w:pStyle w:val="17"/>
        <w:pageBreakBefore w:val="0"/>
        <w:kinsoku/>
        <w:wordWrap w:val="0"/>
        <w:bidi w:val="0"/>
        <w:snapToGrid w:val="0"/>
        <w:spacing w:line="400" w:lineRule="atLeast"/>
        <w:ind w:left="0" w:leftChars="0" w:firstLine="720" w:firstLineChars="300"/>
        <w:rPr>
          <w:rFonts w:hint="default" w:ascii="Times New Roman" w:hAnsi="Times New Roman" w:eastAsia="楷体_GB2312" w:cs="Times New Roman"/>
          <w:sz w:val="24"/>
          <w:highlight w:val="none"/>
        </w:rPr>
      </w:pPr>
      <w:r>
        <w:rPr>
          <w:rFonts w:hint="default" w:ascii="Times New Roman" w:hAnsi="Times New Roman" w:eastAsia="楷体_GB2312" w:cs="Times New Roman"/>
          <w:sz w:val="24"/>
          <w:highlight w:val="none"/>
        </w:rPr>
        <w:t>3.项目专用合同条款可对下列内容进行补充和细化：</w:t>
      </w:r>
    </w:p>
    <w:p w14:paraId="7AA608B6">
      <w:pPr>
        <w:pStyle w:val="17"/>
        <w:pageBreakBefore w:val="0"/>
        <w:kinsoku/>
        <w:wordWrap w:val="0"/>
        <w:bidi w:val="0"/>
        <w:snapToGrid w:val="0"/>
        <w:spacing w:line="400" w:lineRule="atLeast"/>
        <w:ind w:left="0" w:leftChars="0" w:firstLine="720" w:firstLineChars="300"/>
        <w:rPr>
          <w:rFonts w:hint="default" w:ascii="Times New Roman" w:hAnsi="Times New Roman" w:eastAsia="楷体_GB2312" w:cs="Times New Roman"/>
          <w:sz w:val="24"/>
          <w:highlight w:val="none"/>
        </w:rPr>
      </w:pPr>
      <w:r>
        <w:rPr>
          <w:rFonts w:hint="default" w:ascii="Times New Roman" w:hAnsi="Times New Roman" w:eastAsia="楷体_GB2312" w:cs="Times New Roman"/>
          <w:sz w:val="24"/>
          <w:highlight w:val="none"/>
        </w:rPr>
        <w:t>（1）</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通用合同条款</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中明确指出</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专用合同条款</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可对</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通用合同条款</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进行修改的内容（在</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通用合同条款</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中用</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应按合同约定</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应按专用合同条款约定</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除合同另有约定外</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除专用合同条款另有约定外</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在专用合同条款中约定</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等多种文字形式表达）；</w:t>
      </w:r>
    </w:p>
    <w:p w14:paraId="04516ED1">
      <w:pPr>
        <w:pStyle w:val="17"/>
        <w:pageBreakBefore w:val="0"/>
        <w:kinsoku/>
        <w:wordWrap w:val="0"/>
        <w:bidi w:val="0"/>
        <w:snapToGrid w:val="0"/>
        <w:spacing w:line="400" w:lineRule="atLeast"/>
        <w:ind w:left="0" w:leftChars="0" w:firstLine="720" w:firstLineChars="300"/>
        <w:rPr>
          <w:rFonts w:hint="default" w:ascii="Times New Roman" w:hAnsi="Times New Roman" w:eastAsia="楷体_GB2312" w:cs="Times New Roman"/>
          <w:sz w:val="24"/>
          <w:highlight w:val="none"/>
        </w:rPr>
      </w:pPr>
      <w:r>
        <w:rPr>
          <w:rFonts w:hint="default" w:ascii="Times New Roman" w:hAnsi="Times New Roman" w:eastAsia="楷体_GB2312" w:cs="Times New Roman"/>
          <w:sz w:val="24"/>
          <w:highlight w:val="none"/>
        </w:rPr>
        <w:t>（2）</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公路工程专用合同条款</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中明确指出</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项目专用合同条款</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可对</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公路工程专用合同条款</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进行修改的内容（在</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公路工程专用合同条款</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中用</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除项目专用合同条款另有约定外</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项目专用合同条款可能约定的</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项目专用合同条款约定的其他情形</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等多种文字形式表达）。</w:t>
      </w:r>
    </w:p>
    <w:p w14:paraId="253000C5">
      <w:pPr>
        <w:pStyle w:val="17"/>
        <w:pageBreakBefore w:val="0"/>
        <w:kinsoku/>
        <w:wordWrap w:val="0"/>
        <w:bidi w:val="0"/>
        <w:snapToGrid w:val="0"/>
        <w:spacing w:line="400" w:lineRule="atLeast"/>
        <w:ind w:left="0" w:leftChars="0" w:firstLine="720" w:firstLineChars="300"/>
        <w:rPr>
          <w:rFonts w:hint="default" w:ascii="Times New Roman" w:hAnsi="Times New Roman" w:eastAsia="楷体_GB2312" w:cs="Times New Roman"/>
          <w:sz w:val="24"/>
          <w:highlight w:val="none"/>
        </w:rPr>
      </w:pPr>
      <w:r>
        <w:rPr>
          <w:rFonts w:hint="default" w:ascii="Times New Roman" w:hAnsi="Times New Roman" w:eastAsia="楷体_GB2312" w:cs="Times New Roman"/>
          <w:sz w:val="24"/>
          <w:highlight w:val="none"/>
        </w:rPr>
        <w:t>（3）其他需要补充、细化的内容。</w:t>
      </w:r>
    </w:p>
    <w:p w14:paraId="2ADF315F">
      <w:pPr>
        <w:pStyle w:val="17"/>
        <w:pageBreakBefore w:val="0"/>
        <w:kinsoku/>
        <w:wordWrap w:val="0"/>
        <w:bidi w:val="0"/>
        <w:snapToGrid w:val="0"/>
        <w:spacing w:line="400" w:lineRule="atLeast"/>
        <w:ind w:left="0" w:leftChars="0" w:firstLine="720" w:firstLineChars="300"/>
        <w:rPr>
          <w:rFonts w:hint="default" w:ascii="Times New Roman" w:hAnsi="Times New Roman" w:eastAsia="黑体" w:cs="Times New Roman"/>
          <w:sz w:val="24"/>
          <w:highlight w:val="none"/>
        </w:rPr>
      </w:pPr>
    </w:p>
    <w:p w14:paraId="0C6E81B2">
      <w:pPr>
        <w:pStyle w:val="2"/>
        <w:pageBreakBefore w:val="0"/>
        <w:kinsoku/>
        <w:wordWrap w:val="0"/>
        <w:bidi w:val="0"/>
        <w:spacing w:before="240" w:after="240" w:line="380" w:lineRule="atLeast"/>
        <w:jc w:val="center"/>
        <w:rPr>
          <w:rFonts w:hint="default" w:ascii="Times New Roman" w:hAnsi="Times New Roman" w:eastAsia="黑体" w:cs="Times New Roman"/>
          <w:b w:val="0"/>
          <w:sz w:val="32"/>
          <w:szCs w:val="32"/>
          <w:highlight w:val="none"/>
        </w:rPr>
      </w:pPr>
      <w:r>
        <w:rPr>
          <w:rFonts w:hint="default" w:ascii="Times New Roman" w:hAnsi="Times New Roman" w:eastAsia="黑体" w:cs="Times New Roman"/>
          <w:sz w:val="28"/>
          <w:highlight w:val="none"/>
        </w:rPr>
        <w:br w:type="page"/>
      </w:r>
      <w:bookmarkStart w:id="1341" w:name="_Toc30237"/>
      <w:bookmarkStart w:id="1342" w:name="_Toc7284"/>
      <w:bookmarkStart w:id="1343" w:name="_Toc234833221"/>
      <w:bookmarkStart w:id="1344" w:name="_Toc28923"/>
      <w:r>
        <w:rPr>
          <w:rFonts w:hint="default" w:ascii="Times New Roman" w:hAnsi="Times New Roman" w:eastAsia="黑体" w:cs="Times New Roman"/>
          <w:b w:val="0"/>
          <w:sz w:val="32"/>
          <w:szCs w:val="32"/>
          <w:highlight w:val="none"/>
        </w:rPr>
        <w:t>项目专用合同条款数据表</w:t>
      </w:r>
      <w:bookmarkEnd w:id="1341"/>
      <w:bookmarkEnd w:id="1342"/>
      <w:bookmarkEnd w:id="1343"/>
      <w:bookmarkEnd w:id="1344"/>
    </w:p>
    <w:p w14:paraId="2C66CDF1">
      <w:pPr>
        <w:pStyle w:val="17"/>
        <w:pageBreakBefore w:val="0"/>
        <w:kinsoku/>
        <w:wordWrap w:val="0"/>
        <w:bidi w:val="0"/>
        <w:snapToGrid w:val="0"/>
        <w:spacing w:after="0" w:line="400" w:lineRule="atLeast"/>
        <w:ind w:left="660" w:leftChars="0" w:hanging="660" w:hangingChars="275"/>
        <w:rPr>
          <w:rFonts w:hint="default" w:ascii="Times New Roman" w:hAnsi="Times New Roman" w:cs="Times New Roman"/>
          <w:sz w:val="24"/>
          <w:highlight w:val="none"/>
        </w:rPr>
      </w:pPr>
      <w:r>
        <w:rPr>
          <w:rFonts w:hint="default" w:ascii="Times New Roman" w:hAnsi="Times New Roman" w:eastAsia="黑体" w:cs="Times New Roman"/>
          <w:sz w:val="24"/>
          <w:highlight w:val="none"/>
        </w:rPr>
        <w:t>说明：</w:t>
      </w:r>
      <w:r>
        <w:rPr>
          <w:rFonts w:hint="default" w:ascii="Times New Roman" w:hAnsi="Times New Roman" w:eastAsia="楷体_GB2312" w:cs="Times New Roman"/>
          <w:sz w:val="24"/>
          <w:highlight w:val="none"/>
        </w:rPr>
        <w:t>本数据表是项目专用合同条款中适用于本项目的信息和数据的归纳与提示，是项目专用合同条款的组成部分。第九章</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投标文件格式</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的投标函附录中的数据（供投标人确认）与本表所列有重复。编写招标文件的单位应仔细校核，不使数据出现差错或不一致。</w:t>
      </w:r>
    </w:p>
    <w:p w14:paraId="7FC450E3">
      <w:pPr>
        <w:spacing w:before="109" w:line="222" w:lineRule="auto"/>
        <w:ind w:left="838"/>
        <w:rPr>
          <w:rFonts w:ascii="楷体" w:hAnsi="楷体" w:eastAsia="楷体" w:cs="楷体"/>
          <w:sz w:val="23"/>
          <w:szCs w:val="23"/>
          <w:highlight w:val="none"/>
        </w:rPr>
      </w:pPr>
      <w:bookmarkStart w:id="1345" w:name="_Toc28935"/>
      <w:bookmarkStart w:id="1346" w:name="_Toc234833222"/>
      <w:bookmarkStart w:id="1347" w:name="_Toc1829"/>
    </w:p>
    <w:tbl>
      <w:tblPr>
        <w:tblStyle w:val="101"/>
        <w:tblW w:w="9435"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4"/>
        <w:gridCol w:w="1004"/>
        <w:gridCol w:w="7897"/>
      </w:tblGrid>
      <w:tr w14:paraId="02CBC6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7" w:hRule="atLeast"/>
        </w:trPr>
        <w:tc>
          <w:tcPr>
            <w:tcW w:w="534" w:type="dxa"/>
            <w:tcBorders>
              <w:left w:val="single" w:color="000000" w:sz="6" w:space="0"/>
            </w:tcBorders>
            <w:vAlign w:val="top"/>
          </w:tcPr>
          <w:p w14:paraId="21262F8F">
            <w:pPr>
              <w:spacing w:before="134" w:line="224" w:lineRule="auto"/>
              <w:ind w:left="54"/>
              <w:rPr>
                <w:rFonts w:ascii="黑体" w:hAnsi="黑体" w:eastAsia="黑体" w:cs="黑体"/>
                <w:sz w:val="20"/>
                <w:szCs w:val="20"/>
                <w:highlight w:val="none"/>
              </w:rPr>
            </w:pPr>
            <w:r>
              <w:rPr>
                <w:rFonts w:ascii="黑体" w:hAnsi="黑体" w:eastAsia="黑体" w:cs="黑体"/>
                <w:spacing w:val="5"/>
                <w:sz w:val="20"/>
                <w:szCs w:val="20"/>
                <w:highlight w:val="none"/>
              </w:rPr>
              <w:t>序</w:t>
            </w:r>
            <w:r>
              <w:rPr>
                <w:rFonts w:ascii="黑体" w:hAnsi="黑体" w:eastAsia="黑体" w:cs="黑体"/>
                <w:spacing w:val="4"/>
                <w:sz w:val="20"/>
                <w:szCs w:val="20"/>
                <w:highlight w:val="none"/>
              </w:rPr>
              <w:t>号</w:t>
            </w:r>
          </w:p>
        </w:tc>
        <w:tc>
          <w:tcPr>
            <w:tcW w:w="1004" w:type="dxa"/>
            <w:vAlign w:val="top"/>
          </w:tcPr>
          <w:p w14:paraId="1720952B">
            <w:pPr>
              <w:spacing w:before="134" w:line="224" w:lineRule="auto"/>
              <w:ind w:left="241"/>
              <w:rPr>
                <w:rFonts w:ascii="黑体" w:hAnsi="黑体" w:eastAsia="黑体" w:cs="黑体"/>
                <w:sz w:val="20"/>
                <w:szCs w:val="20"/>
                <w:highlight w:val="none"/>
              </w:rPr>
            </w:pPr>
            <w:r>
              <w:rPr>
                <w:rFonts w:ascii="黑体" w:hAnsi="黑体" w:eastAsia="黑体" w:cs="黑体"/>
                <w:spacing w:val="7"/>
                <w:sz w:val="20"/>
                <w:szCs w:val="20"/>
                <w:highlight w:val="none"/>
              </w:rPr>
              <w:t>条</w:t>
            </w:r>
            <w:r>
              <w:rPr>
                <w:rFonts w:ascii="黑体" w:hAnsi="黑体" w:eastAsia="黑体" w:cs="黑体"/>
                <w:spacing w:val="6"/>
                <w:sz w:val="20"/>
                <w:szCs w:val="20"/>
                <w:highlight w:val="none"/>
              </w:rPr>
              <w:t>目号</w:t>
            </w:r>
          </w:p>
        </w:tc>
        <w:tc>
          <w:tcPr>
            <w:tcW w:w="7897" w:type="dxa"/>
            <w:tcBorders>
              <w:right w:val="single" w:color="000000" w:sz="6" w:space="0"/>
            </w:tcBorders>
            <w:vAlign w:val="top"/>
          </w:tcPr>
          <w:p w14:paraId="4BFCAB44">
            <w:pPr>
              <w:spacing w:before="134" w:line="224" w:lineRule="auto"/>
              <w:ind w:left="3298"/>
              <w:rPr>
                <w:rFonts w:ascii="黑体" w:hAnsi="黑体" w:eastAsia="黑体" w:cs="黑体"/>
                <w:sz w:val="20"/>
                <w:szCs w:val="20"/>
                <w:highlight w:val="none"/>
              </w:rPr>
            </w:pPr>
            <w:r>
              <w:rPr>
                <w:rFonts w:ascii="黑体" w:hAnsi="黑体" w:eastAsia="黑体" w:cs="黑体"/>
                <w:spacing w:val="8"/>
                <w:sz w:val="20"/>
                <w:szCs w:val="20"/>
                <w:highlight w:val="none"/>
              </w:rPr>
              <w:t>信息或数据</w:t>
            </w:r>
          </w:p>
        </w:tc>
      </w:tr>
      <w:tr w14:paraId="43B517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0" w:hRule="atLeast"/>
        </w:trPr>
        <w:tc>
          <w:tcPr>
            <w:tcW w:w="534" w:type="dxa"/>
            <w:tcBorders>
              <w:left w:val="single" w:color="000000" w:sz="6" w:space="0"/>
            </w:tcBorders>
            <w:vAlign w:val="top"/>
          </w:tcPr>
          <w:p w14:paraId="0179A92C">
            <w:pPr>
              <w:spacing w:line="269" w:lineRule="auto"/>
              <w:rPr>
                <w:rFonts w:ascii="Arial"/>
                <w:sz w:val="21"/>
                <w:highlight w:val="none"/>
              </w:rPr>
            </w:pPr>
          </w:p>
          <w:p w14:paraId="7D4E7892">
            <w:pPr>
              <w:spacing w:before="57" w:line="195" w:lineRule="auto"/>
              <w:ind w:left="229"/>
              <w:rPr>
                <w:rFonts w:ascii="Times New Roman" w:hAnsi="Times New Roman" w:eastAsia="Times New Roman" w:cs="Times New Roman"/>
                <w:sz w:val="20"/>
                <w:szCs w:val="20"/>
                <w:highlight w:val="none"/>
              </w:rPr>
            </w:pPr>
            <w:r>
              <w:rPr>
                <w:rFonts w:ascii="Times New Roman" w:hAnsi="Times New Roman" w:eastAsia="Times New Roman" w:cs="Times New Roman"/>
                <w:sz w:val="20"/>
                <w:szCs w:val="20"/>
                <w:highlight w:val="none"/>
              </w:rPr>
              <w:t>1</w:t>
            </w:r>
          </w:p>
        </w:tc>
        <w:tc>
          <w:tcPr>
            <w:tcW w:w="1004" w:type="dxa"/>
            <w:vAlign w:val="top"/>
          </w:tcPr>
          <w:p w14:paraId="4E89C5CC">
            <w:pPr>
              <w:spacing w:line="269" w:lineRule="auto"/>
              <w:rPr>
                <w:rFonts w:ascii="Arial"/>
                <w:sz w:val="21"/>
                <w:highlight w:val="none"/>
              </w:rPr>
            </w:pPr>
          </w:p>
          <w:p w14:paraId="404D0480">
            <w:pPr>
              <w:spacing w:before="57" w:line="195" w:lineRule="auto"/>
              <w:ind w:left="283"/>
              <w:rPr>
                <w:rFonts w:ascii="Times New Roman" w:hAnsi="Times New Roman" w:eastAsia="Times New Roman" w:cs="Times New Roman"/>
                <w:sz w:val="20"/>
                <w:szCs w:val="20"/>
                <w:highlight w:val="none"/>
              </w:rPr>
            </w:pPr>
            <w:r>
              <w:rPr>
                <w:rFonts w:ascii="Times New Roman" w:hAnsi="Times New Roman" w:eastAsia="Times New Roman" w:cs="Times New Roman"/>
                <w:spacing w:val="1"/>
                <w:sz w:val="20"/>
                <w:szCs w:val="20"/>
                <w:highlight w:val="none"/>
              </w:rPr>
              <w:t>1.</w:t>
            </w:r>
            <w:r>
              <w:rPr>
                <w:rFonts w:ascii="Times New Roman" w:hAnsi="Times New Roman" w:eastAsia="Times New Roman" w:cs="Times New Roman"/>
                <w:sz w:val="20"/>
                <w:szCs w:val="20"/>
                <w:highlight w:val="none"/>
              </w:rPr>
              <w:t>1.2.2</w:t>
            </w:r>
          </w:p>
        </w:tc>
        <w:tc>
          <w:tcPr>
            <w:tcW w:w="7897" w:type="dxa"/>
            <w:tcBorders>
              <w:right w:val="single" w:color="000000" w:sz="6" w:space="0"/>
            </w:tcBorders>
            <w:vAlign w:val="top"/>
          </w:tcPr>
          <w:p w14:paraId="41AEC0FE">
            <w:pPr>
              <w:spacing w:before="138" w:line="228" w:lineRule="auto"/>
              <w:ind w:left="350"/>
              <w:rPr>
                <w:rFonts w:ascii="宋体" w:hAnsi="宋体" w:eastAsia="宋体" w:cs="宋体"/>
                <w:sz w:val="20"/>
                <w:szCs w:val="20"/>
                <w:highlight w:val="none"/>
              </w:rPr>
            </w:pPr>
            <w:r>
              <w:rPr>
                <w:rFonts w:ascii="宋体" w:hAnsi="宋体" w:eastAsia="宋体" w:cs="宋体"/>
                <w:spacing w:val="16"/>
                <w:sz w:val="20"/>
                <w:szCs w:val="20"/>
                <w:highlight w:val="none"/>
              </w:rPr>
              <w:t>发</w:t>
            </w:r>
            <w:r>
              <w:rPr>
                <w:rFonts w:ascii="宋体" w:hAnsi="宋体" w:eastAsia="宋体" w:cs="宋体"/>
                <w:spacing w:val="13"/>
                <w:sz w:val="20"/>
                <w:szCs w:val="20"/>
                <w:highlight w:val="none"/>
              </w:rPr>
              <w:t xml:space="preserve"> </w:t>
            </w:r>
            <w:r>
              <w:rPr>
                <w:rFonts w:ascii="宋体" w:hAnsi="宋体" w:eastAsia="宋体" w:cs="宋体"/>
                <w:spacing w:val="8"/>
                <w:sz w:val="20"/>
                <w:szCs w:val="20"/>
                <w:highlight w:val="none"/>
              </w:rPr>
              <w:t>包 人：</w:t>
            </w:r>
            <w:r>
              <w:rPr>
                <w:rFonts w:hint="eastAsia" w:ascii="宋体" w:hAnsi="宋体" w:cs="宋体"/>
                <w:spacing w:val="8"/>
                <w:sz w:val="20"/>
                <w:szCs w:val="20"/>
                <w:highlight w:val="none"/>
                <w:u w:val="single" w:color="auto"/>
                <w:lang w:val="en-US" w:eastAsia="zh-CN"/>
              </w:rPr>
              <w:t>大石桥</w:t>
            </w:r>
            <w:r>
              <w:rPr>
                <w:rFonts w:hint="eastAsia" w:ascii="宋体" w:hAnsi="宋体" w:cs="宋体"/>
                <w:spacing w:val="8"/>
                <w:sz w:val="20"/>
                <w:szCs w:val="20"/>
                <w:highlight w:val="none"/>
                <w:u w:val="single" w:color="auto"/>
                <w:lang w:eastAsia="zh-CN"/>
              </w:rPr>
              <w:t>市财政局</w:t>
            </w:r>
            <w:r>
              <w:rPr>
                <w:rFonts w:ascii="宋体" w:hAnsi="宋体" w:eastAsia="宋体" w:cs="宋体"/>
                <w:sz w:val="20"/>
                <w:szCs w:val="20"/>
                <w:highlight w:val="none"/>
                <w:u w:val="single" w:color="auto"/>
              </w:rPr>
              <w:t xml:space="preserve"> </w:t>
            </w:r>
          </w:p>
          <w:p w14:paraId="3678A9E1">
            <w:pPr>
              <w:spacing w:before="153" w:line="228" w:lineRule="auto"/>
              <w:ind w:left="318"/>
              <w:rPr>
                <w:rFonts w:hint="eastAsia" w:ascii="宋体" w:hAnsi="宋体" w:eastAsia="宋体" w:cs="宋体"/>
                <w:sz w:val="20"/>
                <w:szCs w:val="20"/>
                <w:highlight w:val="none"/>
                <w:lang w:eastAsia="zh-CN"/>
              </w:rPr>
            </w:pPr>
            <w:r>
              <w:rPr>
                <w:rFonts w:ascii="宋体" w:hAnsi="宋体" w:eastAsia="宋体" w:cs="宋体"/>
                <w:spacing w:val="9"/>
                <w:sz w:val="20"/>
                <w:szCs w:val="20"/>
                <w:highlight w:val="none"/>
              </w:rPr>
              <w:t>地</w:t>
            </w:r>
            <w:r>
              <w:rPr>
                <w:rFonts w:ascii="宋体" w:hAnsi="宋体" w:eastAsia="宋体" w:cs="宋体"/>
                <w:spacing w:val="5"/>
                <w:sz w:val="20"/>
                <w:szCs w:val="20"/>
                <w:highlight w:val="none"/>
              </w:rPr>
              <w:t xml:space="preserve">    址：</w:t>
            </w:r>
            <w:r>
              <w:rPr>
                <w:rFonts w:hint="eastAsia" w:ascii="宋体" w:hAnsi="宋体" w:cs="宋体"/>
                <w:spacing w:val="5"/>
                <w:sz w:val="20"/>
                <w:szCs w:val="20"/>
                <w:highlight w:val="none"/>
                <w:u w:val="single" w:color="auto"/>
                <w:lang w:eastAsia="zh-CN"/>
              </w:rPr>
              <w:t>大石桥市云桥广场西</w:t>
            </w:r>
          </w:p>
        </w:tc>
      </w:tr>
      <w:tr w14:paraId="1F6009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9" w:hRule="atLeast"/>
        </w:trPr>
        <w:tc>
          <w:tcPr>
            <w:tcW w:w="534" w:type="dxa"/>
            <w:tcBorders>
              <w:left w:val="single" w:color="000000" w:sz="6" w:space="0"/>
            </w:tcBorders>
            <w:vAlign w:val="top"/>
          </w:tcPr>
          <w:p w14:paraId="6571FC25">
            <w:pPr>
              <w:spacing w:line="468" w:lineRule="auto"/>
              <w:rPr>
                <w:rFonts w:ascii="Arial"/>
                <w:sz w:val="21"/>
                <w:highlight w:val="none"/>
              </w:rPr>
            </w:pPr>
          </w:p>
          <w:p w14:paraId="69040CEF">
            <w:pPr>
              <w:spacing w:before="57" w:line="195" w:lineRule="auto"/>
              <w:ind w:left="209"/>
              <w:rPr>
                <w:rFonts w:ascii="Times New Roman" w:hAnsi="Times New Roman" w:eastAsia="Times New Roman" w:cs="Times New Roman"/>
                <w:sz w:val="20"/>
                <w:szCs w:val="20"/>
                <w:highlight w:val="none"/>
              </w:rPr>
            </w:pPr>
            <w:r>
              <w:rPr>
                <w:rFonts w:ascii="Times New Roman" w:hAnsi="Times New Roman" w:eastAsia="Times New Roman" w:cs="Times New Roman"/>
                <w:sz w:val="20"/>
                <w:szCs w:val="20"/>
                <w:highlight w:val="none"/>
              </w:rPr>
              <w:t>2</w:t>
            </w:r>
          </w:p>
        </w:tc>
        <w:tc>
          <w:tcPr>
            <w:tcW w:w="1004" w:type="dxa"/>
            <w:vAlign w:val="top"/>
          </w:tcPr>
          <w:p w14:paraId="6690F93A">
            <w:pPr>
              <w:spacing w:line="468" w:lineRule="auto"/>
              <w:rPr>
                <w:rFonts w:ascii="Arial"/>
                <w:sz w:val="21"/>
                <w:highlight w:val="none"/>
              </w:rPr>
            </w:pPr>
          </w:p>
          <w:p w14:paraId="383B7085">
            <w:pPr>
              <w:spacing w:before="57" w:line="195" w:lineRule="auto"/>
              <w:ind w:left="283"/>
              <w:rPr>
                <w:rFonts w:ascii="Times New Roman" w:hAnsi="Times New Roman" w:eastAsia="Times New Roman" w:cs="Times New Roman"/>
                <w:sz w:val="20"/>
                <w:szCs w:val="20"/>
                <w:highlight w:val="none"/>
              </w:rPr>
            </w:pPr>
            <w:r>
              <w:rPr>
                <w:rFonts w:ascii="Times New Roman" w:hAnsi="Times New Roman" w:eastAsia="Times New Roman" w:cs="Times New Roman"/>
                <w:spacing w:val="1"/>
                <w:sz w:val="20"/>
                <w:szCs w:val="20"/>
                <w:highlight w:val="none"/>
              </w:rPr>
              <w:t>1.</w:t>
            </w:r>
            <w:r>
              <w:rPr>
                <w:rFonts w:ascii="Times New Roman" w:hAnsi="Times New Roman" w:eastAsia="Times New Roman" w:cs="Times New Roman"/>
                <w:sz w:val="20"/>
                <w:szCs w:val="20"/>
                <w:highlight w:val="none"/>
              </w:rPr>
              <w:t>1.2.6</w:t>
            </w:r>
          </w:p>
        </w:tc>
        <w:tc>
          <w:tcPr>
            <w:tcW w:w="7897" w:type="dxa"/>
            <w:tcBorders>
              <w:right w:val="single" w:color="000000" w:sz="6" w:space="0"/>
            </w:tcBorders>
            <w:vAlign w:val="top"/>
          </w:tcPr>
          <w:p w14:paraId="361689BC">
            <w:pPr>
              <w:spacing w:before="137" w:line="231" w:lineRule="auto"/>
              <w:ind w:left="318"/>
              <w:rPr>
                <w:rFonts w:ascii="宋体" w:hAnsi="宋体" w:eastAsia="宋体" w:cs="宋体"/>
                <w:sz w:val="20"/>
                <w:szCs w:val="20"/>
                <w:highlight w:val="none"/>
              </w:rPr>
            </w:pPr>
            <w:r>
              <w:rPr>
                <w:rFonts w:ascii="宋体" w:hAnsi="宋体" w:eastAsia="宋体" w:cs="宋体"/>
                <w:spacing w:val="6"/>
                <w:sz w:val="20"/>
                <w:szCs w:val="20"/>
                <w:highlight w:val="none"/>
              </w:rPr>
              <w:t>监</w:t>
            </w:r>
            <w:r>
              <w:rPr>
                <w:rFonts w:ascii="宋体" w:hAnsi="宋体" w:eastAsia="宋体" w:cs="宋体"/>
                <w:spacing w:val="5"/>
                <w:sz w:val="20"/>
                <w:szCs w:val="20"/>
                <w:highlight w:val="none"/>
              </w:rPr>
              <w:t xml:space="preserve"> 理 人：</w:t>
            </w:r>
          </w:p>
          <w:p w14:paraId="79013F11">
            <w:pPr>
              <w:spacing w:before="150" w:line="228" w:lineRule="auto"/>
              <w:ind w:left="318"/>
              <w:rPr>
                <w:rFonts w:ascii="宋体" w:hAnsi="宋体" w:eastAsia="宋体" w:cs="宋体"/>
                <w:sz w:val="20"/>
                <w:szCs w:val="20"/>
                <w:highlight w:val="none"/>
              </w:rPr>
            </w:pPr>
            <w:r>
              <w:rPr>
                <w:rFonts w:ascii="宋体" w:hAnsi="宋体" w:eastAsia="宋体" w:cs="宋体"/>
                <w:spacing w:val="-1"/>
                <w:sz w:val="20"/>
                <w:szCs w:val="20"/>
                <w:highlight w:val="none"/>
              </w:rPr>
              <w:t xml:space="preserve">地    址：                  </w:t>
            </w:r>
            <w:r>
              <w:rPr>
                <w:rFonts w:ascii="宋体" w:hAnsi="宋体" w:eastAsia="宋体" w:cs="宋体"/>
                <w:sz w:val="20"/>
                <w:szCs w:val="20"/>
                <w:highlight w:val="none"/>
              </w:rPr>
              <w:t xml:space="preserve">   邮政编码：</w:t>
            </w:r>
          </w:p>
          <w:p w14:paraId="107630B9">
            <w:pPr>
              <w:spacing w:before="154" w:line="227" w:lineRule="auto"/>
              <w:ind w:left="328"/>
              <w:rPr>
                <w:rFonts w:ascii="宋体" w:hAnsi="宋体" w:eastAsia="宋体" w:cs="宋体"/>
                <w:sz w:val="20"/>
                <w:szCs w:val="20"/>
                <w:highlight w:val="none"/>
              </w:rPr>
            </w:pPr>
            <w:r>
              <w:rPr>
                <w:rFonts w:ascii="宋体" w:hAnsi="宋体" w:eastAsia="宋体" w:cs="宋体"/>
                <w:spacing w:val="24"/>
                <w:sz w:val="20"/>
                <w:szCs w:val="20"/>
                <w:highlight w:val="none"/>
              </w:rPr>
              <w:t>(</w:t>
            </w:r>
            <w:r>
              <w:rPr>
                <w:rFonts w:ascii="宋体" w:hAnsi="宋体" w:eastAsia="宋体" w:cs="宋体"/>
                <w:spacing w:val="14"/>
                <w:sz w:val="20"/>
                <w:szCs w:val="20"/>
                <w:highlight w:val="none"/>
              </w:rPr>
              <w:t>发</w:t>
            </w:r>
            <w:r>
              <w:rPr>
                <w:rFonts w:ascii="宋体" w:hAnsi="宋体" w:eastAsia="宋体" w:cs="宋体"/>
                <w:spacing w:val="12"/>
                <w:sz w:val="20"/>
                <w:szCs w:val="20"/>
                <w:highlight w:val="none"/>
              </w:rPr>
              <w:t>包人将在签订合同协议书后，将上述信息书面通知承包人)</w:t>
            </w:r>
          </w:p>
        </w:tc>
      </w:tr>
      <w:tr w14:paraId="2806C7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 w:hRule="atLeast"/>
        </w:trPr>
        <w:tc>
          <w:tcPr>
            <w:tcW w:w="534" w:type="dxa"/>
            <w:tcBorders>
              <w:left w:val="single" w:color="000000" w:sz="6" w:space="0"/>
            </w:tcBorders>
            <w:vAlign w:val="top"/>
          </w:tcPr>
          <w:p w14:paraId="1BBAAC06">
            <w:pPr>
              <w:spacing w:before="131" w:line="195" w:lineRule="auto"/>
              <w:ind w:left="213"/>
              <w:rPr>
                <w:rFonts w:ascii="Times New Roman" w:hAnsi="Times New Roman" w:eastAsia="Times New Roman" w:cs="Times New Roman"/>
                <w:sz w:val="20"/>
                <w:szCs w:val="20"/>
                <w:highlight w:val="none"/>
              </w:rPr>
            </w:pPr>
            <w:r>
              <w:rPr>
                <w:rFonts w:ascii="Times New Roman" w:hAnsi="Times New Roman" w:eastAsia="Times New Roman" w:cs="Times New Roman"/>
                <w:sz w:val="20"/>
                <w:szCs w:val="20"/>
                <w:highlight w:val="none"/>
              </w:rPr>
              <w:t>3</w:t>
            </w:r>
          </w:p>
        </w:tc>
        <w:tc>
          <w:tcPr>
            <w:tcW w:w="1004" w:type="dxa"/>
            <w:vAlign w:val="top"/>
          </w:tcPr>
          <w:p w14:paraId="5AE8D278">
            <w:pPr>
              <w:spacing w:before="131" w:line="195" w:lineRule="auto"/>
              <w:ind w:left="230"/>
              <w:rPr>
                <w:rFonts w:ascii="Times New Roman" w:hAnsi="Times New Roman" w:eastAsia="Times New Roman" w:cs="Times New Roman"/>
                <w:sz w:val="20"/>
                <w:szCs w:val="20"/>
                <w:highlight w:val="none"/>
              </w:rPr>
            </w:pPr>
            <w:r>
              <w:rPr>
                <w:rFonts w:ascii="Times New Roman" w:hAnsi="Times New Roman" w:eastAsia="Times New Roman" w:cs="Times New Roman"/>
                <w:spacing w:val="1"/>
                <w:sz w:val="20"/>
                <w:szCs w:val="20"/>
                <w:highlight w:val="none"/>
              </w:rPr>
              <w:t>1.1.3.14</w:t>
            </w:r>
          </w:p>
        </w:tc>
        <w:tc>
          <w:tcPr>
            <w:tcW w:w="7897" w:type="dxa"/>
            <w:tcBorders>
              <w:right w:val="single" w:color="000000" w:sz="6" w:space="0"/>
            </w:tcBorders>
            <w:vAlign w:val="top"/>
          </w:tcPr>
          <w:p w14:paraId="3DEF7AD2">
            <w:pPr>
              <w:spacing w:before="138" w:line="227" w:lineRule="auto"/>
              <w:ind w:left="318"/>
              <w:rPr>
                <w:rFonts w:ascii="宋体" w:hAnsi="宋体" w:eastAsia="宋体" w:cs="宋体"/>
                <w:sz w:val="20"/>
                <w:szCs w:val="20"/>
                <w:highlight w:val="none"/>
              </w:rPr>
            </w:pPr>
            <w:r>
              <w:rPr>
                <w:rFonts w:ascii="宋体" w:hAnsi="宋体" w:eastAsia="宋体" w:cs="宋体"/>
                <w:spacing w:val="20"/>
                <w:sz w:val="20"/>
                <w:szCs w:val="20"/>
                <w:highlight w:val="none"/>
              </w:rPr>
              <w:t>本</w:t>
            </w:r>
            <w:r>
              <w:rPr>
                <w:rFonts w:ascii="宋体" w:hAnsi="宋体" w:eastAsia="宋体" w:cs="宋体"/>
                <w:spacing w:val="10"/>
                <w:sz w:val="20"/>
                <w:szCs w:val="20"/>
                <w:highlight w:val="none"/>
              </w:rPr>
              <w:t>工程的主体和关键性工作是指：</w:t>
            </w:r>
            <w:r>
              <w:rPr>
                <w:rFonts w:hint="eastAsia" w:ascii="宋体" w:hAnsi="宋体" w:cs="宋体"/>
                <w:spacing w:val="10"/>
                <w:sz w:val="20"/>
                <w:szCs w:val="20"/>
                <w:highlight w:val="none"/>
                <w:u w:val="single" w:color="auto"/>
                <w:lang w:eastAsia="zh-CN"/>
              </w:rPr>
              <w:t>村内道路建设</w:t>
            </w:r>
            <w:r>
              <w:rPr>
                <w:rFonts w:hint="eastAsia" w:ascii="宋体" w:hAnsi="宋体" w:cs="宋体"/>
                <w:spacing w:val="10"/>
                <w:sz w:val="20"/>
                <w:szCs w:val="20"/>
                <w:highlight w:val="none"/>
                <w:u w:val="single" w:color="auto"/>
                <w:lang w:val="en-US" w:eastAsia="zh-CN"/>
              </w:rPr>
              <w:t>工程</w:t>
            </w:r>
            <w:r>
              <w:rPr>
                <w:rFonts w:ascii="宋体" w:hAnsi="宋体" w:eastAsia="宋体" w:cs="宋体"/>
                <w:spacing w:val="10"/>
                <w:sz w:val="20"/>
                <w:szCs w:val="20"/>
                <w:highlight w:val="none"/>
                <w:u w:val="single" w:color="auto"/>
              </w:rPr>
              <w:t>。</w:t>
            </w:r>
          </w:p>
        </w:tc>
      </w:tr>
      <w:tr w14:paraId="4E0374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1" w:hRule="atLeast"/>
        </w:trPr>
        <w:tc>
          <w:tcPr>
            <w:tcW w:w="534" w:type="dxa"/>
            <w:tcBorders>
              <w:left w:val="single" w:color="000000" w:sz="6" w:space="0"/>
            </w:tcBorders>
            <w:vAlign w:val="top"/>
          </w:tcPr>
          <w:p w14:paraId="0755531E">
            <w:pPr>
              <w:spacing w:before="129" w:line="195" w:lineRule="auto"/>
              <w:ind w:left="208"/>
              <w:rPr>
                <w:rFonts w:ascii="Times New Roman" w:hAnsi="Times New Roman" w:eastAsia="Times New Roman" w:cs="Times New Roman"/>
                <w:sz w:val="20"/>
                <w:szCs w:val="20"/>
                <w:highlight w:val="none"/>
              </w:rPr>
            </w:pPr>
            <w:r>
              <w:rPr>
                <w:rFonts w:ascii="Times New Roman" w:hAnsi="Times New Roman" w:eastAsia="Times New Roman" w:cs="Times New Roman"/>
                <w:spacing w:val="1"/>
                <w:sz w:val="20"/>
                <w:szCs w:val="20"/>
                <w:highlight w:val="none"/>
              </w:rPr>
              <w:t>4</w:t>
            </w:r>
          </w:p>
        </w:tc>
        <w:tc>
          <w:tcPr>
            <w:tcW w:w="1004" w:type="dxa"/>
            <w:vAlign w:val="top"/>
          </w:tcPr>
          <w:p w14:paraId="76110DD6">
            <w:pPr>
              <w:spacing w:before="129" w:line="195" w:lineRule="auto"/>
              <w:ind w:left="283"/>
              <w:rPr>
                <w:rFonts w:ascii="Times New Roman" w:hAnsi="Times New Roman" w:eastAsia="Times New Roman" w:cs="Times New Roman"/>
                <w:sz w:val="20"/>
                <w:szCs w:val="20"/>
                <w:highlight w:val="none"/>
              </w:rPr>
            </w:pPr>
            <w:r>
              <w:rPr>
                <w:rFonts w:ascii="Times New Roman" w:hAnsi="Times New Roman" w:eastAsia="Times New Roman" w:cs="Times New Roman"/>
                <w:spacing w:val="1"/>
                <w:sz w:val="20"/>
                <w:szCs w:val="20"/>
                <w:highlight w:val="none"/>
              </w:rPr>
              <w:t>1.</w:t>
            </w:r>
            <w:r>
              <w:rPr>
                <w:rFonts w:ascii="Times New Roman" w:hAnsi="Times New Roman" w:eastAsia="Times New Roman" w:cs="Times New Roman"/>
                <w:sz w:val="20"/>
                <w:szCs w:val="20"/>
                <w:highlight w:val="none"/>
              </w:rPr>
              <w:t>1.4.5</w:t>
            </w:r>
          </w:p>
        </w:tc>
        <w:tc>
          <w:tcPr>
            <w:tcW w:w="7897" w:type="dxa"/>
            <w:tcBorders>
              <w:right w:val="single" w:color="000000" w:sz="6" w:space="0"/>
            </w:tcBorders>
            <w:vAlign w:val="top"/>
          </w:tcPr>
          <w:p w14:paraId="705EBBE5">
            <w:pPr>
              <w:spacing w:before="139" w:line="223" w:lineRule="auto"/>
              <w:ind w:left="346"/>
              <w:rPr>
                <w:rFonts w:ascii="宋体" w:hAnsi="宋体" w:eastAsia="宋体" w:cs="宋体"/>
                <w:sz w:val="20"/>
                <w:szCs w:val="20"/>
                <w:highlight w:val="none"/>
              </w:rPr>
            </w:pPr>
            <w:r>
              <w:rPr>
                <w:rFonts w:ascii="宋体" w:hAnsi="宋体" w:eastAsia="宋体" w:cs="宋体"/>
                <w:spacing w:val="8"/>
                <w:sz w:val="20"/>
                <w:szCs w:val="20"/>
                <w:highlight w:val="none"/>
              </w:rPr>
              <w:t>缺陷责任</w:t>
            </w:r>
            <w:r>
              <w:rPr>
                <w:rFonts w:ascii="宋体" w:hAnsi="宋体" w:eastAsia="宋体" w:cs="宋体"/>
                <w:spacing w:val="5"/>
                <w:sz w:val="20"/>
                <w:szCs w:val="20"/>
                <w:highlight w:val="none"/>
              </w:rPr>
              <w:t>期</w:t>
            </w:r>
            <w:r>
              <w:rPr>
                <w:rFonts w:ascii="宋体" w:hAnsi="宋体" w:eastAsia="宋体" w:cs="宋体"/>
                <w:spacing w:val="4"/>
                <w:sz w:val="20"/>
                <w:szCs w:val="20"/>
                <w:highlight w:val="none"/>
              </w:rPr>
              <w:t xml:space="preserve">： 自实际交工验收合格之日起计算 </w:t>
            </w:r>
            <w:r>
              <w:rPr>
                <w:rFonts w:hint="eastAsia" w:eastAsia="宋体" w:cs="Times New Roman"/>
                <w:spacing w:val="4"/>
                <w:sz w:val="20"/>
                <w:szCs w:val="20"/>
                <w:highlight w:val="none"/>
                <w:lang w:val="en-US" w:eastAsia="zh-CN"/>
              </w:rPr>
              <w:t>24</w:t>
            </w:r>
            <w:r>
              <w:rPr>
                <w:rFonts w:ascii="Times New Roman" w:hAnsi="Times New Roman" w:eastAsia="Times New Roman" w:cs="Times New Roman"/>
                <w:spacing w:val="4"/>
                <w:sz w:val="20"/>
                <w:szCs w:val="20"/>
                <w:highlight w:val="none"/>
              </w:rPr>
              <w:t xml:space="preserve">  </w:t>
            </w:r>
            <w:r>
              <w:rPr>
                <w:rFonts w:ascii="宋体" w:hAnsi="宋体" w:eastAsia="宋体" w:cs="宋体"/>
                <w:spacing w:val="4"/>
                <w:sz w:val="20"/>
                <w:szCs w:val="20"/>
                <w:highlight w:val="none"/>
              </w:rPr>
              <w:t>个月</w:t>
            </w:r>
          </w:p>
        </w:tc>
      </w:tr>
      <w:tr w14:paraId="582C08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17" w:hRule="atLeast"/>
        </w:trPr>
        <w:tc>
          <w:tcPr>
            <w:tcW w:w="534" w:type="dxa"/>
            <w:tcBorders>
              <w:left w:val="single" w:color="000000" w:sz="6" w:space="0"/>
            </w:tcBorders>
            <w:vAlign w:val="top"/>
          </w:tcPr>
          <w:p w14:paraId="0ABB19B8">
            <w:pPr>
              <w:spacing w:line="272" w:lineRule="auto"/>
              <w:rPr>
                <w:rFonts w:ascii="Arial"/>
                <w:sz w:val="21"/>
                <w:highlight w:val="none"/>
              </w:rPr>
            </w:pPr>
          </w:p>
          <w:p w14:paraId="4216DB51">
            <w:pPr>
              <w:spacing w:line="272" w:lineRule="auto"/>
              <w:rPr>
                <w:rFonts w:ascii="Arial"/>
                <w:sz w:val="21"/>
                <w:highlight w:val="none"/>
              </w:rPr>
            </w:pPr>
          </w:p>
          <w:p w14:paraId="3B9D3E40">
            <w:pPr>
              <w:spacing w:line="272" w:lineRule="auto"/>
              <w:rPr>
                <w:rFonts w:ascii="Arial"/>
                <w:sz w:val="21"/>
                <w:highlight w:val="none"/>
              </w:rPr>
            </w:pPr>
          </w:p>
          <w:p w14:paraId="417CA999">
            <w:pPr>
              <w:spacing w:line="272" w:lineRule="auto"/>
              <w:rPr>
                <w:rFonts w:ascii="Arial"/>
                <w:sz w:val="21"/>
                <w:highlight w:val="none"/>
              </w:rPr>
            </w:pPr>
          </w:p>
          <w:p w14:paraId="3C04F79A">
            <w:pPr>
              <w:spacing w:before="57" w:line="192" w:lineRule="auto"/>
              <w:ind w:left="214"/>
              <w:rPr>
                <w:rFonts w:ascii="Times New Roman" w:hAnsi="Times New Roman" w:eastAsia="Times New Roman" w:cs="Times New Roman"/>
                <w:sz w:val="20"/>
                <w:szCs w:val="20"/>
                <w:highlight w:val="none"/>
              </w:rPr>
            </w:pPr>
            <w:r>
              <w:rPr>
                <w:rFonts w:ascii="Times New Roman" w:hAnsi="Times New Roman" w:eastAsia="Times New Roman" w:cs="Times New Roman"/>
                <w:sz w:val="20"/>
                <w:szCs w:val="20"/>
                <w:highlight w:val="none"/>
              </w:rPr>
              <w:t>5</w:t>
            </w:r>
          </w:p>
        </w:tc>
        <w:tc>
          <w:tcPr>
            <w:tcW w:w="1004" w:type="dxa"/>
            <w:vAlign w:val="top"/>
          </w:tcPr>
          <w:p w14:paraId="4229C6AA">
            <w:pPr>
              <w:spacing w:line="271" w:lineRule="auto"/>
              <w:rPr>
                <w:rFonts w:ascii="Arial"/>
                <w:sz w:val="21"/>
                <w:highlight w:val="none"/>
              </w:rPr>
            </w:pPr>
          </w:p>
          <w:p w14:paraId="4A25D3E0">
            <w:pPr>
              <w:spacing w:line="271" w:lineRule="auto"/>
              <w:rPr>
                <w:rFonts w:ascii="Arial"/>
                <w:sz w:val="21"/>
                <w:highlight w:val="none"/>
              </w:rPr>
            </w:pPr>
          </w:p>
          <w:p w14:paraId="37B29DEA">
            <w:pPr>
              <w:spacing w:line="271" w:lineRule="auto"/>
              <w:rPr>
                <w:rFonts w:ascii="Arial"/>
                <w:sz w:val="21"/>
                <w:highlight w:val="none"/>
              </w:rPr>
            </w:pPr>
          </w:p>
          <w:p w14:paraId="73C3CCCA">
            <w:pPr>
              <w:spacing w:line="272" w:lineRule="auto"/>
              <w:rPr>
                <w:rFonts w:ascii="Arial"/>
                <w:sz w:val="21"/>
                <w:highlight w:val="none"/>
              </w:rPr>
            </w:pPr>
          </w:p>
          <w:p w14:paraId="501C6CEB">
            <w:pPr>
              <w:spacing w:before="57" w:line="198" w:lineRule="auto"/>
              <w:ind w:left="362"/>
              <w:rPr>
                <w:rFonts w:ascii="Times New Roman" w:hAnsi="Times New Roman" w:eastAsia="Times New Roman" w:cs="Times New Roman"/>
                <w:sz w:val="20"/>
                <w:szCs w:val="20"/>
                <w:highlight w:val="none"/>
              </w:rPr>
            </w:pPr>
            <w:r>
              <w:rPr>
                <w:rFonts w:ascii="Times New Roman" w:hAnsi="Times New Roman" w:eastAsia="Times New Roman" w:cs="Times New Roman"/>
                <w:spacing w:val="-2"/>
                <w:sz w:val="20"/>
                <w:szCs w:val="20"/>
                <w:highlight w:val="none"/>
              </w:rPr>
              <w:t>1</w:t>
            </w:r>
            <w:r>
              <w:rPr>
                <w:rFonts w:ascii="Times New Roman" w:hAnsi="Times New Roman" w:eastAsia="Times New Roman" w:cs="Times New Roman"/>
                <w:spacing w:val="-1"/>
                <w:sz w:val="20"/>
                <w:szCs w:val="20"/>
                <w:highlight w:val="none"/>
              </w:rPr>
              <w:t>.6.3</w:t>
            </w:r>
          </w:p>
        </w:tc>
        <w:tc>
          <w:tcPr>
            <w:tcW w:w="7897" w:type="dxa"/>
            <w:tcBorders>
              <w:right w:val="single" w:color="000000" w:sz="6" w:space="0"/>
            </w:tcBorders>
            <w:vAlign w:val="top"/>
          </w:tcPr>
          <w:p w14:paraId="36C2F89F">
            <w:pPr>
              <w:spacing w:before="1" w:line="368" w:lineRule="auto"/>
              <w:ind w:left="112" w:right="102" w:firstLine="204"/>
              <w:rPr>
                <w:rFonts w:ascii="宋体" w:hAnsi="宋体" w:eastAsia="宋体" w:cs="宋体"/>
                <w:sz w:val="20"/>
                <w:szCs w:val="20"/>
                <w:highlight w:val="none"/>
              </w:rPr>
            </w:pPr>
            <w:r>
              <w:rPr>
                <w:rFonts w:ascii="宋体" w:hAnsi="宋体" w:eastAsia="宋体" w:cs="宋体"/>
                <w:spacing w:val="22"/>
                <w:sz w:val="20"/>
                <w:szCs w:val="20"/>
                <w:highlight w:val="none"/>
              </w:rPr>
              <w:t>图</w:t>
            </w:r>
            <w:r>
              <w:rPr>
                <w:rFonts w:ascii="宋体" w:hAnsi="宋体" w:eastAsia="宋体" w:cs="宋体"/>
                <w:spacing w:val="16"/>
                <w:sz w:val="20"/>
                <w:szCs w:val="20"/>
                <w:highlight w:val="none"/>
              </w:rPr>
              <w:t>纸</w:t>
            </w:r>
            <w:r>
              <w:rPr>
                <w:rFonts w:ascii="宋体" w:hAnsi="宋体" w:eastAsia="宋体" w:cs="宋体"/>
                <w:spacing w:val="11"/>
                <w:sz w:val="20"/>
                <w:szCs w:val="20"/>
                <w:highlight w:val="none"/>
              </w:rPr>
              <w:t>需要修改和补充的，应由监理人取得发包人同意后，在该工程或工程相应</w:t>
            </w:r>
            <w:r>
              <w:rPr>
                <w:rFonts w:ascii="宋体" w:hAnsi="宋体" w:eastAsia="宋体" w:cs="宋体"/>
                <w:spacing w:val="12"/>
                <w:sz w:val="20"/>
                <w:szCs w:val="20"/>
                <w:highlight w:val="none"/>
              </w:rPr>
              <w:t>部</w:t>
            </w:r>
            <w:r>
              <w:rPr>
                <w:rFonts w:ascii="宋体" w:hAnsi="宋体" w:eastAsia="宋体" w:cs="宋体"/>
                <w:spacing w:val="6"/>
                <w:sz w:val="20"/>
                <w:szCs w:val="20"/>
                <w:highlight w:val="none"/>
              </w:rPr>
              <w:t>位施工前</w:t>
            </w:r>
            <w:r>
              <w:rPr>
                <w:rFonts w:ascii="Times New Roman" w:hAnsi="Times New Roman" w:eastAsia="Times New Roman" w:cs="Times New Roman"/>
                <w:spacing w:val="6"/>
                <w:sz w:val="20"/>
                <w:szCs w:val="20"/>
                <w:highlight w:val="none"/>
                <w:u w:val="single" w:color="auto"/>
              </w:rPr>
              <w:t xml:space="preserve">    7    </w:t>
            </w:r>
            <w:r>
              <w:rPr>
                <w:rFonts w:ascii="Times New Roman" w:hAnsi="Times New Roman" w:eastAsia="Times New Roman" w:cs="Times New Roman"/>
                <w:spacing w:val="6"/>
                <w:sz w:val="20"/>
                <w:szCs w:val="20"/>
                <w:highlight w:val="none"/>
              </w:rPr>
              <w:t xml:space="preserve"> </w:t>
            </w:r>
            <w:r>
              <w:rPr>
                <w:rFonts w:ascii="宋体" w:hAnsi="宋体" w:eastAsia="宋体" w:cs="宋体"/>
                <w:spacing w:val="6"/>
                <w:sz w:val="20"/>
                <w:szCs w:val="20"/>
                <w:highlight w:val="none"/>
              </w:rPr>
              <w:t>天签发图纸修改图给承包人。承包人应按修改或补充 (新增减工</w:t>
            </w:r>
            <w:r>
              <w:rPr>
                <w:rFonts w:ascii="宋体" w:hAnsi="宋体" w:eastAsia="宋体" w:cs="宋体"/>
                <w:sz w:val="20"/>
                <w:szCs w:val="20"/>
                <w:highlight w:val="none"/>
              </w:rPr>
              <w:t xml:space="preserve"> </w:t>
            </w:r>
            <w:r>
              <w:rPr>
                <w:rFonts w:ascii="宋体" w:hAnsi="宋体" w:eastAsia="宋体" w:cs="宋体"/>
                <w:spacing w:val="7"/>
                <w:sz w:val="20"/>
                <w:szCs w:val="20"/>
                <w:highlight w:val="none"/>
              </w:rPr>
              <w:t>程) 后的图纸施工。</w:t>
            </w:r>
          </w:p>
          <w:p w14:paraId="04651DD1">
            <w:pPr>
              <w:spacing w:before="1" w:line="368" w:lineRule="auto"/>
              <w:ind w:left="112" w:right="102" w:firstLine="204"/>
              <w:rPr>
                <w:rFonts w:ascii="宋体" w:hAnsi="宋体" w:eastAsia="宋体" w:cs="宋体"/>
                <w:sz w:val="20"/>
                <w:szCs w:val="20"/>
                <w:highlight w:val="none"/>
              </w:rPr>
            </w:pPr>
            <w:r>
              <w:rPr>
                <w:rFonts w:ascii="宋体" w:hAnsi="宋体" w:eastAsia="宋体" w:cs="宋体"/>
                <w:spacing w:val="15"/>
                <w:sz w:val="20"/>
                <w:szCs w:val="20"/>
                <w:highlight w:val="none"/>
              </w:rPr>
              <w:t>在</w:t>
            </w:r>
            <w:r>
              <w:rPr>
                <w:rFonts w:ascii="宋体" w:hAnsi="宋体" w:eastAsia="宋体" w:cs="宋体"/>
                <w:spacing w:val="12"/>
                <w:sz w:val="20"/>
                <w:szCs w:val="20"/>
                <w:highlight w:val="none"/>
              </w:rPr>
              <w:t>没有发包人及监理人共同批准的前提下，承包人不得对施工图的任何部分进行修改，否则按承包人违约处理，并由承包人承担由此产生的一切后果和经济</w:t>
            </w:r>
            <w:r>
              <w:rPr>
                <w:rFonts w:ascii="宋体" w:hAnsi="宋体" w:eastAsia="宋体" w:cs="宋体"/>
                <w:spacing w:val="10"/>
                <w:sz w:val="20"/>
                <w:szCs w:val="20"/>
                <w:highlight w:val="none"/>
              </w:rPr>
              <w:t>责</w:t>
            </w:r>
            <w:r>
              <w:rPr>
                <w:rFonts w:ascii="宋体" w:hAnsi="宋体" w:eastAsia="宋体" w:cs="宋体"/>
                <w:spacing w:val="1"/>
                <w:sz w:val="20"/>
                <w:szCs w:val="20"/>
                <w:highlight w:val="none"/>
              </w:rPr>
              <w:t>任</w:t>
            </w:r>
            <w:r>
              <w:rPr>
                <w:rFonts w:ascii="宋体" w:hAnsi="宋体" w:eastAsia="宋体" w:cs="宋体"/>
                <w:sz w:val="20"/>
                <w:szCs w:val="20"/>
                <w:highlight w:val="none"/>
              </w:rPr>
              <w:t>。</w:t>
            </w:r>
          </w:p>
        </w:tc>
      </w:tr>
      <w:tr w14:paraId="17CF16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0" w:hRule="atLeast"/>
        </w:trPr>
        <w:tc>
          <w:tcPr>
            <w:tcW w:w="534" w:type="dxa"/>
            <w:tcBorders>
              <w:left w:val="single" w:color="000000" w:sz="6" w:space="0"/>
            </w:tcBorders>
            <w:vAlign w:val="top"/>
          </w:tcPr>
          <w:p w14:paraId="6E894A95">
            <w:pPr>
              <w:spacing w:before="131" w:line="195" w:lineRule="auto"/>
              <w:ind w:left="213"/>
              <w:rPr>
                <w:rFonts w:ascii="Times New Roman" w:hAnsi="Times New Roman" w:eastAsia="Times New Roman" w:cs="Times New Roman"/>
                <w:sz w:val="20"/>
                <w:szCs w:val="20"/>
                <w:highlight w:val="none"/>
              </w:rPr>
            </w:pPr>
            <w:r>
              <w:rPr>
                <w:rFonts w:ascii="Times New Roman" w:hAnsi="Times New Roman" w:eastAsia="Times New Roman" w:cs="Times New Roman"/>
                <w:sz w:val="20"/>
                <w:szCs w:val="20"/>
                <w:highlight w:val="none"/>
              </w:rPr>
              <w:t>6</w:t>
            </w:r>
          </w:p>
        </w:tc>
        <w:tc>
          <w:tcPr>
            <w:tcW w:w="1004" w:type="dxa"/>
            <w:vAlign w:val="top"/>
          </w:tcPr>
          <w:p w14:paraId="278F167B">
            <w:pPr>
              <w:spacing w:before="131" w:line="198" w:lineRule="auto"/>
              <w:ind w:left="362"/>
              <w:rPr>
                <w:rFonts w:ascii="Times New Roman" w:hAnsi="Times New Roman" w:eastAsia="Times New Roman" w:cs="Times New Roman"/>
                <w:sz w:val="20"/>
                <w:szCs w:val="20"/>
                <w:highlight w:val="none"/>
              </w:rPr>
            </w:pPr>
            <w:r>
              <w:rPr>
                <w:rFonts w:ascii="Times New Roman" w:hAnsi="Times New Roman" w:eastAsia="Times New Roman" w:cs="Times New Roman"/>
                <w:spacing w:val="-2"/>
                <w:sz w:val="20"/>
                <w:szCs w:val="20"/>
                <w:highlight w:val="none"/>
              </w:rPr>
              <w:t>1</w:t>
            </w:r>
            <w:r>
              <w:rPr>
                <w:rFonts w:ascii="Times New Roman" w:hAnsi="Times New Roman" w:eastAsia="Times New Roman" w:cs="Times New Roman"/>
                <w:spacing w:val="-1"/>
                <w:sz w:val="20"/>
                <w:szCs w:val="20"/>
                <w:highlight w:val="none"/>
              </w:rPr>
              <w:t>.7.2</w:t>
            </w:r>
          </w:p>
        </w:tc>
        <w:tc>
          <w:tcPr>
            <w:tcW w:w="7897" w:type="dxa"/>
            <w:tcBorders>
              <w:right w:val="single" w:color="000000" w:sz="6" w:space="0"/>
            </w:tcBorders>
            <w:vAlign w:val="top"/>
          </w:tcPr>
          <w:p w14:paraId="36CCE454">
            <w:pPr>
              <w:spacing w:before="141" w:line="228" w:lineRule="auto"/>
              <w:ind w:left="347"/>
              <w:rPr>
                <w:rFonts w:ascii="宋体" w:hAnsi="宋体" w:eastAsia="宋体" w:cs="宋体"/>
                <w:sz w:val="20"/>
                <w:szCs w:val="20"/>
                <w:highlight w:val="none"/>
              </w:rPr>
            </w:pPr>
            <w:r>
              <w:rPr>
                <w:rFonts w:ascii="宋体" w:hAnsi="宋体" w:eastAsia="宋体" w:cs="宋体"/>
                <w:spacing w:val="6"/>
                <w:sz w:val="20"/>
                <w:szCs w:val="20"/>
                <w:highlight w:val="none"/>
              </w:rPr>
              <w:t>来往函件送达的期限：</w:t>
            </w:r>
            <w:r>
              <w:rPr>
                <w:rFonts w:ascii="宋体" w:hAnsi="宋体" w:eastAsia="宋体" w:cs="宋体"/>
                <w:spacing w:val="6"/>
                <w:sz w:val="20"/>
                <w:szCs w:val="20"/>
                <w:highlight w:val="none"/>
                <w:u w:val="single" w:color="auto"/>
              </w:rPr>
              <w:t xml:space="preserve"> 函件发出 </w:t>
            </w:r>
            <w:r>
              <w:rPr>
                <w:rFonts w:ascii="Times New Roman" w:hAnsi="Times New Roman" w:eastAsia="Times New Roman" w:cs="Times New Roman"/>
                <w:spacing w:val="6"/>
                <w:sz w:val="20"/>
                <w:szCs w:val="20"/>
                <w:highlight w:val="none"/>
                <w:u w:val="single" w:color="auto"/>
              </w:rPr>
              <w:t xml:space="preserve">24 </w:t>
            </w:r>
            <w:r>
              <w:rPr>
                <w:rFonts w:ascii="宋体" w:hAnsi="宋体" w:eastAsia="宋体" w:cs="宋体"/>
                <w:spacing w:val="6"/>
                <w:sz w:val="20"/>
                <w:szCs w:val="20"/>
                <w:highlight w:val="none"/>
                <w:u w:val="single" w:color="auto"/>
              </w:rPr>
              <w:t>小时</w:t>
            </w:r>
            <w:r>
              <w:rPr>
                <w:rFonts w:ascii="宋体" w:hAnsi="宋体" w:eastAsia="宋体" w:cs="宋体"/>
                <w:spacing w:val="3"/>
                <w:sz w:val="20"/>
                <w:szCs w:val="20"/>
                <w:highlight w:val="none"/>
                <w:u w:val="single" w:color="auto"/>
              </w:rPr>
              <w:t>内</w:t>
            </w:r>
            <w:r>
              <w:rPr>
                <w:rFonts w:ascii="宋体" w:hAnsi="宋体" w:eastAsia="宋体" w:cs="宋体"/>
                <w:sz w:val="20"/>
                <w:szCs w:val="20"/>
                <w:highlight w:val="none"/>
                <w:u w:val="single" w:color="auto"/>
              </w:rPr>
              <w:t xml:space="preserve"> </w:t>
            </w:r>
          </w:p>
        </w:tc>
      </w:tr>
      <w:tr w14:paraId="1CF64E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 w:hRule="atLeast"/>
        </w:trPr>
        <w:tc>
          <w:tcPr>
            <w:tcW w:w="534" w:type="dxa"/>
            <w:tcBorders>
              <w:left w:val="single" w:color="000000" w:sz="6" w:space="0"/>
            </w:tcBorders>
            <w:vAlign w:val="top"/>
          </w:tcPr>
          <w:p w14:paraId="6CB55419">
            <w:pPr>
              <w:spacing w:before="135" w:line="192" w:lineRule="auto"/>
              <w:ind w:left="212"/>
              <w:rPr>
                <w:rFonts w:ascii="Times New Roman" w:hAnsi="Times New Roman" w:eastAsia="Times New Roman" w:cs="Times New Roman"/>
                <w:sz w:val="20"/>
                <w:szCs w:val="20"/>
                <w:highlight w:val="none"/>
              </w:rPr>
            </w:pPr>
            <w:r>
              <w:rPr>
                <w:rFonts w:ascii="Times New Roman" w:hAnsi="Times New Roman" w:eastAsia="Times New Roman" w:cs="Times New Roman"/>
                <w:sz w:val="20"/>
                <w:szCs w:val="20"/>
                <w:highlight w:val="none"/>
              </w:rPr>
              <w:t>7</w:t>
            </w:r>
          </w:p>
        </w:tc>
        <w:tc>
          <w:tcPr>
            <w:tcW w:w="1004" w:type="dxa"/>
            <w:vAlign w:val="top"/>
          </w:tcPr>
          <w:p w14:paraId="28CFF5B6">
            <w:pPr>
              <w:spacing w:before="132" w:line="198" w:lineRule="auto"/>
              <w:ind w:left="421"/>
              <w:rPr>
                <w:rFonts w:ascii="Times New Roman" w:hAnsi="Times New Roman" w:eastAsia="Times New Roman" w:cs="Times New Roman"/>
                <w:sz w:val="20"/>
                <w:szCs w:val="20"/>
                <w:highlight w:val="none"/>
              </w:rPr>
            </w:pPr>
            <w:r>
              <w:rPr>
                <w:rFonts w:ascii="Times New Roman" w:hAnsi="Times New Roman" w:eastAsia="Times New Roman" w:cs="Times New Roman"/>
                <w:spacing w:val="4"/>
                <w:sz w:val="20"/>
                <w:szCs w:val="20"/>
                <w:highlight w:val="none"/>
              </w:rPr>
              <w:t>2.6</w:t>
            </w:r>
          </w:p>
        </w:tc>
        <w:tc>
          <w:tcPr>
            <w:tcW w:w="7897" w:type="dxa"/>
            <w:tcBorders>
              <w:right w:val="single" w:color="000000" w:sz="6" w:space="0"/>
            </w:tcBorders>
            <w:vAlign w:val="top"/>
          </w:tcPr>
          <w:p w14:paraId="6F4CC32F">
            <w:pPr>
              <w:spacing w:before="142" w:line="226" w:lineRule="auto"/>
              <w:ind w:left="318"/>
              <w:rPr>
                <w:rFonts w:ascii="宋体" w:hAnsi="宋体" w:eastAsia="宋体" w:cs="宋体"/>
                <w:sz w:val="20"/>
                <w:szCs w:val="20"/>
                <w:highlight w:val="none"/>
              </w:rPr>
            </w:pPr>
            <w:r>
              <w:rPr>
                <w:rFonts w:ascii="宋体" w:hAnsi="宋体" w:eastAsia="宋体" w:cs="宋体"/>
                <w:spacing w:val="9"/>
                <w:sz w:val="20"/>
                <w:szCs w:val="20"/>
                <w:highlight w:val="none"/>
              </w:rPr>
              <w:t>本工程资金来源</w:t>
            </w:r>
            <w:r>
              <w:rPr>
                <w:rFonts w:hint="eastAsia" w:ascii="宋体" w:hAnsi="宋体" w:eastAsia="宋体" w:cs="宋体"/>
                <w:spacing w:val="9"/>
                <w:sz w:val="20"/>
                <w:szCs w:val="20"/>
                <w:highlight w:val="none"/>
              </w:rPr>
              <w:t>省以上投资</w:t>
            </w:r>
            <w:r>
              <w:rPr>
                <w:rFonts w:ascii="宋体" w:hAnsi="宋体" w:eastAsia="宋体" w:cs="宋体"/>
                <w:spacing w:val="9"/>
                <w:sz w:val="20"/>
                <w:szCs w:val="20"/>
                <w:highlight w:val="none"/>
              </w:rPr>
              <w:t>和地方政府配套资金</w:t>
            </w:r>
            <w:r>
              <w:rPr>
                <w:rFonts w:ascii="宋体" w:hAnsi="宋体" w:eastAsia="宋体" w:cs="宋体"/>
                <w:spacing w:val="8"/>
                <w:sz w:val="20"/>
                <w:szCs w:val="20"/>
                <w:highlight w:val="none"/>
              </w:rPr>
              <w:t>。</w:t>
            </w:r>
          </w:p>
        </w:tc>
      </w:tr>
      <w:tr w14:paraId="75D2CE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0" w:hRule="atLeast"/>
        </w:trPr>
        <w:tc>
          <w:tcPr>
            <w:tcW w:w="534" w:type="dxa"/>
            <w:tcBorders>
              <w:left w:val="single" w:color="000000" w:sz="6" w:space="0"/>
            </w:tcBorders>
            <w:vAlign w:val="top"/>
          </w:tcPr>
          <w:p w14:paraId="56B48C28">
            <w:pPr>
              <w:spacing w:line="272" w:lineRule="auto"/>
              <w:rPr>
                <w:rFonts w:ascii="Arial"/>
                <w:sz w:val="21"/>
                <w:highlight w:val="none"/>
              </w:rPr>
            </w:pPr>
          </w:p>
          <w:p w14:paraId="3FE9BAE0">
            <w:pPr>
              <w:spacing w:before="58" w:line="195" w:lineRule="auto"/>
              <w:ind w:left="217"/>
              <w:rPr>
                <w:rFonts w:ascii="Times New Roman" w:hAnsi="Times New Roman" w:eastAsia="Times New Roman" w:cs="Times New Roman"/>
                <w:sz w:val="20"/>
                <w:szCs w:val="20"/>
                <w:highlight w:val="none"/>
              </w:rPr>
            </w:pPr>
            <w:r>
              <w:rPr>
                <w:rFonts w:ascii="Times New Roman" w:hAnsi="Times New Roman" w:eastAsia="Times New Roman" w:cs="Times New Roman"/>
                <w:sz w:val="20"/>
                <w:szCs w:val="20"/>
                <w:highlight w:val="none"/>
              </w:rPr>
              <w:t>8</w:t>
            </w:r>
          </w:p>
        </w:tc>
        <w:tc>
          <w:tcPr>
            <w:tcW w:w="1004" w:type="dxa"/>
            <w:vAlign w:val="top"/>
          </w:tcPr>
          <w:p w14:paraId="1DC412F4">
            <w:pPr>
              <w:spacing w:line="273" w:lineRule="auto"/>
              <w:rPr>
                <w:rFonts w:ascii="Arial"/>
                <w:sz w:val="21"/>
                <w:highlight w:val="none"/>
              </w:rPr>
            </w:pPr>
          </w:p>
          <w:p w14:paraId="0B69FE96">
            <w:pPr>
              <w:spacing w:before="57" w:line="195" w:lineRule="auto"/>
              <w:ind w:left="346"/>
              <w:rPr>
                <w:rFonts w:ascii="Times New Roman" w:hAnsi="Times New Roman" w:eastAsia="Times New Roman" w:cs="Times New Roman"/>
                <w:sz w:val="20"/>
                <w:szCs w:val="20"/>
                <w:highlight w:val="none"/>
              </w:rPr>
            </w:pPr>
            <w:r>
              <w:rPr>
                <w:rFonts w:ascii="Times New Roman" w:hAnsi="Times New Roman" w:eastAsia="Times New Roman" w:cs="Times New Roman"/>
                <w:spacing w:val="6"/>
                <w:sz w:val="20"/>
                <w:szCs w:val="20"/>
                <w:highlight w:val="none"/>
              </w:rPr>
              <w:t>3.1.1</w:t>
            </w:r>
          </w:p>
        </w:tc>
        <w:tc>
          <w:tcPr>
            <w:tcW w:w="7897" w:type="dxa"/>
            <w:tcBorders>
              <w:right w:val="single" w:color="000000" w:sz="6" w:space="0"/>
            </w:tcBorders>
            <w:vAlign w:val="top"/>
          </w:tcPr>
          <w:p w14:paraId="66312A43">
            <w:pPr>
              <w:spacing w:before="139" w:line="228" w:lineRule="auto"/>
              <w:ind w:left="318"/>
              <w:rPr>
                <w:rFonts w:ascii="宋体" w:hAnsi="宋体" w:eastAsia="宋体" w:cs="宋体"/>
                <w:sz w:val="20"/>
                <w:szCs w:val="20"/>
                <w:highlight w:val="none"/>
              </w:rPr>
            </w:pPr>
            <w:r>
              <w:rPr>
                <w:rFonts w:ascii="宋体" w:hAnsi="宋体" w:eastAsia="宋体" w:cs="宋体"/>
                <w:spacing w:val="10"/>
                <w:sz w:val="20"/>
                <w:szCs w:val="20"/>
                <w:highlight w:val="none"/>
              </w:rPr>
              <w:t>监</w:t>
            </w:r>
            <w:r>
              <w:rPr>
                <w:rFonts w:ascii="宋体" w:hAnsi="宋体" w:eastAsia="宋体" w:cs="宋体"/>
                <w:spacing w:val="9"/>
                <w:sz w:val="20"/>
                <w:szCs w:val="20"/>
                <w:highlight w:val="none"/>
              </w:rPr>
              <w:t>理人在行使下列权力前需要经发包人事先批准：</w:t>
            </w:r>
          </w:p>
          <w:p w14:paraId="792129D8">
            <w:pPr>
              <w:spacing w:before="153" w:line="228" w:lineRule="auto"/>
              <w:ind w:left="316"/>
              <w:rPr>
                <w:rFonts w:ascii="宋体" w:hAnsi="宋体" w:eastAsia="宋体" w:cs="宋体"/>
                <w:sz w:val="20"/>
                <w:szCs w:val="20"/>
                <w:highlight w:val="none"/>
              </w:rPr>
            </w:pPr>
            <w:r>
              <w:rPr>
                <w:rFonts w:ascii="宋体" w:hAnsi="宋体" w:eastAsia="宋体" w:cs="宋体"/>
                <w:spacing w:val="8"/>
                <w:sz w:val="20"/>
                <w:szCs w:val="20"/>
                <w:highlight w:val="none"/>
              </w:rPr>
              <w:t>(</w:t>
            </w:r>
            <w:r>
              <w:rPr>
                <w:rFonts w:ascii="Times New Roman" w:hAnsi="Times New Roman" w:eastAsia="Times New Roman" w:cs="Times New Roman"/>
                <w:spacing w:val="8"/>
                <w:sz w:val="20"/>
                <w:szCs w:val="20"/>
                <w:highlight w:val="none"/>
              </w:rPr>
              <w:t>6</w:t>
            </w:r>
            <w:r>
              <w:rPr>
                <w:rFonts w:ascii="宋体" w:hAnsi="宋体" w:eastAsia="宋体" w:cs="宋体"/>
                <w:spacing w:val="5"/>
                <w:sz w:val="20"/>
                <w:szCs w:val="20"/>
                <w:highlight w:val="none"/>
              </w:rPr>
              <w:t>)</w:t>
            </w:r>
            <w:r>
              <w:rPr>
                <w:rFonts w:ascii="宋体" w:hAnsi="宋体" w:eastAsia="宋体" w:cs="宋体"/>
                <w:spacing w:val="4"/>
                <w:sz w:val="20"/>
                <w:szCs w:val="20"/>
                <w:highlight w:val="none"/>
              </w:rPr>
              <w:t xml:space="preserve"> 监理人在行使根据第 </w:t>
            </w:r>
            <w:r>
              <w:rPr>
                <w:rFonts w:ascii="Times New Roman" w:hAnsi="Times New Roman" w:eastAsia="Times New Roman" w:cs="Times New Roman"/>
                <w:spacing w:val="4"/>
                <w:sz w:val="20"/>
                <w:szCs w:val="20"/>
                <w:highlight w:val="none"/>
              </w:rPr>
              <w:t xml:space="preserve">15.3 </w:t>
            </w:r>
            <w:r>
              <w:rPr>
                <w:rFonts w:ascii="宋体" w:hAnsi="宋体" w:eastAsia="宋体" w:cs="宋体"/>
                <w:spacing w:val="4"/>
                <w:sz w:val="20"/>
                <w:szCs w:val="20"/>
                <w:highlight w:val="none"/>
              </w:rPr>
              <w:t>款发出的变更指示前需要经发包人事先批准。</w:t>
            </w:r>
          </w:p>
        </w:tc>
      </w:tr>
      <w:tr w14:paraId="12D0AA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99" w:hRule="atLeast"/>
        </w:trPr>
        <w:tc>
          <w:tcPr>
            <w:tcW w:w="534" w:type="dxa"/>
            <w:tcBorders>
              <w:left w:val="single" w:color="000000" w:sz="6" w:space="0"/>
            </w:tcBorders>
            <w:vAlign w:val="top"/>
          </w:tcPr>
          <w:p w14:paraId="3666279F">
            <w:pPr>
              <w:spacing w:line="335" w:lineRule="auto"/>
              <w:rPr>
                <w:rFonts w:ascii="Arial"/>
                <w:sz w:val="21"/>
                <w:highlight w:val="none"/>
              </w:rPr>
            </w:pPr>
          </w:p>
          <w:p w14:paraId="3B94FEF6">
            <w:pPr>
              <w:spacing w:line="335" w:lineRule="auto"/>
              <w:rPr>
                <w:rFonts w:ascii="Arial"/>
                <w:sz w:val="21"/>
                <w:highlight w:val="none"/>
              </w:rPr>
            </w:pPr>
          </w:p>
          <w:p w14:paraId="02BB40B2">
            <w:pPr>
              <w:spacing w:before="57" w:line="195" w:lineRule="auto"/>
              <w:ind w:left="213"/>
              <w:rPr>
                <w:rFonts w:ascii="Times New Roman" w:hAnsi="Times New Roman" w:eastAsia="Times New Roman" w:cs="Times New Roman"/>
                <w:sz w:val="20"/>
                <w:szCs w:val="20"/>
                <w:highlight w:val="none"/>
              </w:rPr>
            </w:pPr>
            <w:r>
              <w:rPr>
                <w:rFonts w:ascii="Times New Roman" w:hAnsi="Times New Roman" w:eastAsia="Times New Roman" w:cs="Times New Roman"/>
                <w:sz w:val="20"/>
                <w:szCs w:val="20"/>
                <w:highlight w:val="none"/>
              </w:rPr>
              <w:t>9</w:t>
            </w:r>
          </w:p>
        </w:tc>
        <w:tc>
          <w:tcPr>
            <w:tcW w:w="1004" w:type="dxa"/>
            <w:vAlign w:val="top"/>
          </w:tcPr>
          <w:p w14:paraId="0BC08550">
            <w:pPr>
              <w:spacing w:line="313" w:lineRule="auto"/>
              <w:rPr>
                <w:rFonts w:ascii="Arial"/>
                <w:sz w:val="21"/>
                <w:highlight w:val="none"/>
              </w:rPr>
            </w:pPr>
          </w:p>
          <w:p w14:paraId="316D015B">
            <w:pPr>
              <w:spacing w:line="313" w:lineRule="auto"/>
              <w:rPr>
                <w:rFonts w:ascii="Arial"/>
                <w:sz w:val="21"/>
                <w:highlight w:val="none"/>
              </w:rPr>
            </w:pPr>
          </w:p>
          <w:p w14:paraId="4D384DB2">
            <w:pPr>
              <w:spacing w:before="65" w:line="231" w:lineRule="auto"/>
              <w:ind w:left="101"/>
              <w:rPr>
                <w:rFonts w:ascii="宋体" w:hAnsi="宋体" w:eastAsia="宋体" w:cs="宋体"/>
                <w:sz w:val="20"/>
                <w:szCs w:val="20"/>
                <w:highlight w:val="none"/>
              </w:rPr>
            </w:pPr>
            <w:r>
              <w:rPr>
                <w:rFonts w:ascii="Times New Roman" w:hAnsi="Times New Roman" w:eastAsia="Times New Roman" w:cs="Times New Roman"/>
                <w:spacing w:val="-6"/>
                <w:sz w:val="20"/>
                <w:szCs w:val="20"/>
                <w:highlight w:val="none"/>
              </w:rPr>
              <w:t>4</w:t>
            </w:r>
            <w:r>
              <w:rPr>
                <w:rFonts w:ascii="Times New Roman" w:hAnsi="Times New Roman" w:eastAsia="Times New Roman" w:cs="Times New Roman"/>
                <w:spacing w:val="-5"/>
                <w:sz w:val="20"/>
                <w:szCs w:val="20"/>
                <w:highlight w:val="none"/>
              </w:rPr>
              <w:t xml:space="preserve">. 1. 10 </w:t>
            </w:r>
            <w:r>
              <w:rPr>
                <w:rFonts w:ascii="宋体" w:hAnsi="宋体" w:eastAsia="宋体" w:cs="宋体"/>
                <w:spacing w:val="-5"/>
                <w:sz w:val="20"/>
                <w:szCs w:val="20"/>
                <w:highlight w:val="none"/>
              </w:rPr>
              <w:t>(</w:t>
            </w:r>
            <w:r>
              <w:rPr>
                <w:rFonts w:ascii="Times New Roman" w:hAnsi="Times New Roman" w:eastAsia="Times New Roman" w:cs="Times New Roman"/>
                <w:spacing w:val="-5"/>
                <w:sz w:val="20"/>
                <w:szCs w:val="20"/>
                <w:highlight w:val="none"/>
              </w:rPr>
              <w:t>1</w:t>
            </w:r>
            <w:r>
              <w:rPr>
                <w:rFonts w:ascii="宋体" w:hAnsi="宋体" w:eastAsia="宋体" w:cs="宋体"/>
                <w:spacing w:val="-5"/>
                <w:sz w:val="20"/>
                <w:szCs w:val="20"/>
                <w:highlight w:val="none"/>
              </w:rPr>
              <w:t>)</w:t>
            </w:r>
          </w:p>
        </w:tc>
        <w:tc>
          <w:tcPr>
            <w:tcW w:w="7897" w:type="dxa"/>
            <w:tcBorders>
              <w:right w:val="single" w:color="000000" w:sz="6" w:space="0"/>
            </w:tcBorders>
            <w:vAlign w:val="top"/>
          </w:tcPr>
          <w:p w14:paraId="03D484E2">
            <w:pPr>
              <w:spacing w:before="142" w:line="369" w:lineRule="auto"/>
              <w:ind w:left="107" w:right="99" w:firstLine="219"/>
              <w:rPr>
                <w:rFonts w:ascii="宋体" w:hAnsi="宋体" w:eastAsia="宋体" w:cs="宋体"/>
                <w:sz w:val="20"/>
                <w:szCs w:val="20"/>
                <w:highlight w:val="none"/>
              </w:rPr>
            </w:pPr>
            <w:r>
              <w:rPr>
                <w:rFonts w:ascii="宋体" w:hAnsi="宋体" w:eastAsia="宋体" w:cs="宋体"/>
                <w:spacing w:val="8"/>
                <w:sz w:val="20"/>
                <w:szCs w:val="20"/>
                <w:highlight w:val="none"/>
              </w:rPr>
              <w:t>临</w:t>
            </w:r>
            <w:r>
              <w:rPr>
                <w:rFonts w:ascii="宋体" w:hAnsi="宋体" w:eastAsia="宋体" w:cs="宋体"/>
                <w:spacing w:val="4"/>
                <w:sz w:val="20"/>
                <w:szCs w:val="20"/>
                <w:highlight w:val="none"/>
              </w:rPr>
              <w:t xml:space="preserve">时占地的租地费用实行总额包干，列入工程量清单第 </w:t>
            </w:r>
            <w:r>
              <w:rPr>
                <w:rFonts w:ascii="Times New Roman" w:hAnsi="Times New Roman" w:eastAsia="Times New Roman" w:cs="Times New Roman"/>
                <w:spacing w:val="4"/>
                <w:sz w:val="20"/>
                <w:szCs w:val="20"/>
                <w:highlight w:val="none"/>
              </w:rPr>
              <w:t xml:space="preserve">100 </w:t>
            </w:r>
            <w:r>
              <w:rPr>
                <w:rFonts w:ascii="宋体" w:hAnsi="宋体" w:eastAsia="宋体" w:cs="宋体"/>
                <w:spacing w:val="4"/>
                <w:sz w:val="20"/>
                <w:szCs w:val="20"/>
                <w:highlight w:val="none"/>
              </w:rPr>
              <w:t>章中由承包人按总额</w:t>
            </w:r>
            <w:r>
              <w:rPr>
                <w:rFonts w:ascii="宋体" w:hAnsi="宋体" w:eastAsia="宋体" w:cs="宋体"/>
                <w:sz w:val="20"/>
                <w:szCs w:val="20"/>
                <w:highlight w:val="none"/>
              </w:rPr>
              <w:t xml:space="preserve"> </w:t>
            </w:r>
            <w:r>
              <w:rPr>
                <w:rFonts w:ascii="宋体" w:hAnsi="宋体" w:eastAsia="宋体" w:cs="宋体"/>
                <w:spacing w:val="6"/>
                <w:sz w:val="20"/>
                <w:szCs w:val="20"/>
                <w:highlight w:val="none"/>
              </w:rPr>
              <w:t>报价。</w:t>
            </w:r>
            <w:r>
              <w:rPr>
                <w:rFonts w:ascii="宋体" w:hAnsi="宋体" w:eastAsia="宋体" w:cs="宋体"/>
                <w:spacing w:val="3"/>
                <w:sz w:val="20"/>
                <w:szCs w:val="20"/>
                <w:highlight w:val="none"/>
              </w:rPr>
              <w:t>临时占地费用计算方式：</w:t>
            </w:r>
            <w:r>
              <w:rPr>
                <w:rFonts w:ascii="宋体" w:hAnsi="宋体" w:eastAsia="宋体" w:cs="宋体"/>
                <w:spacing w:val="3"/>
                <w:sz w:val="20"/>
                <w:szCs w:val="20"/>
                <w:highlight w:val="none"/>
                <w:u w:val="single" w:color="auto"/>
              </w:rPr>
              <w:t xml:space="preserve">  参考《关于实施征地区片综合地价的通知》  (辽</w:t>
            </w:r>
            <w:r>
              <w:rPr>
                <w:rFonts w:ascii="宋体" w:hAnsi="宋体" w:eastAsia="宋体" w:cs="宋体"/>
                <w:sz w:val="20"/>
                <w:szCs w:val="20"/>
                <w:highlight w:val="none"/>
              </w:rPr>
              <w:t xml:space="preserve"> </w:t>
            </w:r>
            <w:r>
              <w:rPr>
                <w:rFonts w:ascii="宋体" w:hAnsi="宋体" w:eastAsia="宋体" w:cs="宋体"/>
                <w:spacing w:val="12"/>
                <w:sz w:val="20"/>
                <w:szCs w:val="20"/>
                <w:highlight w:val="none"/>
                <w:u w:val="single" w:color="auto"/>
              </w:rPr>
              <w:t>国土资发〔</w:t>
            </w:r>
            <w:r>
              <w:rPr>
                <w:rFonts w:ascii="Times New Roman" w:hAnsi="Times New Roman" w:eastAsia="Times New Roman" w:cs="Times New Roman"/>
                <w:spacing w:val="6"/>
                <w:sz w:val="20"/>
                <w:szCs w:val="20"/>
                <w:highlight w:val="none"/>
                <w:u w:val="single" w:color="auto"/>
              </w:rPr>
              <w:t>2015</w:t>
            </w:r>
            <w:r>
              <w:rPr>
                <w:rFonts w:ascii="宋体" w:hAnsi="宋体" w:eastAsia="宋体" w:cs="宋体"/>
                <w:spacing w:val="6"/>
                <w:sz w:val="20"/>
                <w:szCs w:val="20"/>
                <w:highlight w:val="none"/>
                <w:u w:val="single" w:color="auto"/>
              </w:rPr>
              <w:t>〕</w:t>
            </w:r>
            <w:r>
              <w:rPr>
                <w:rFonts w:ascii="Times New Roman" w:hAnsi="Times New Roman" w:eastAsia="Times New Roman" w:cs="Times New Roman"/>
                <w:spacing w:val="6"/>
                <w:sz w:val="20"/>
                <w:szCs w:val="20"/>
                <w:highlight w:val="none"/>
                <w:u w:val="single" w:color="auto"/>
              </w:rPr>
              <w:t xml:space="preserve">339 </w:t>
            </w:r>
            <w:r>
              <w:rPr>
                <w:rFonts w:ascii="宋体" w:hAnsi="宋体" w:eastAsia="宋体" w:cs="宋体"/>
                <w:spacing w:val="6"/>
                <w:sz w:val="20"/>
                <w:szCs w:val="20"/>
                <w:highlight w:val="none"/>
                <w:u w:val="single" w:color="auto"/>
              </w:rPr>
              <w:t>号) 以及项目所在地市县区政府公布的区片综合地价标准进</w:t>
            </w:r>
            <w:r>
              <w:rPr>
                <w:rFonts w:ascii="宋体" w:hAnsi="宋体" w:eastAsia="宋体" w:cs="宋体"/>
                <w:spacing w:val="2"/>
                <w:sz w:val="20"/>
                <w:szCs w:val="20"/>
                <w:highlight w:val="none"/>
                <w:u w:val="single" w:color="auto"/>
              </w:rPr>
              <w:t>行测算</w:t>
            </w:r>
            <w:r>
              <w:rPr>
                <w:rFonts w:ascii="宋体" w:hAnsi="宋体" w:eastAsia="宋体" w:cs="宋体"/>
                <w:spacing w:val="1"/>
                <w:sz w:val="20"/>
                <w:szCs w:val="20"/>
                <w:highlight w:val="none"/>
                <w:u w:val="single" w:color="auto"/>
              </w:rPr>
              <w:t>。</w:t>
            </w:r>
            <w:r>
              <w:rPr>
                <w:rFonts w:ascii="宋体" w:hAnsi="宋体" w:eastAsia="宋体" w:cs="宋体"/>
                <w:sz w:val="20"/>
                <w:szCs w:val="20"/>
                <w:highlight w:val="none"/>
                <w:u w:val="single" w:color="auto"/>
              </w:rPr>
              <w:t xml:space="preserve">   </w:t>
            </w:r>
          </w:p>
        </w:tc>
      </w:tr>
      <w:tr w14:paraId="732E34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4" w:hRule="atLeast"/>
        </w:trPr>
        <w:tc>
          <w:tcPr>
            <w:tcW w:w="534" w:type="dxa"/>
            <w:tcBorders>
              <w:left w:val="single" w:color="000000" w:sz="6" w:space="0"/>
            </w:tcBorders>
            <w:vAlign w:val="top"/>
          </w:tcPr>
          <w:p w14:paraId="4BC823E1">
            <w:pPr>
              <w:spacing w:line="253" w:lineRule="auto"/>
              <w:rPr>
                <w:rFonts w:ascii="Arial"/>
                <w:sz w:val="21"/>
                <w:highlight w:val="none"/>
              </w:rPr>
            </w:pPr>
          </w:p>
          <w:p w14:paraId="0D0CAA48">
            <w:pPr>
              <w:spacing w:line="253" w:lineRule="auto"/>
              <w:rPr>
                <w:rFonts w:ascii="Arial"/>
                <w:sz w:val="21"/>
                <w:highlight w:val="none"/>
              </w:rPr>
            </w:pPr>
          </w:p>
          <w:p w14:paraId="21153CE7">
            <w:pPr>
              <w:spacing w:line="254" w:lineRule="auto"/>
              <w:rPr>
                <w:rFonts w:ascii="Arial"/>
                <w:sz w:val="21"/>
                <w:highlight w:val="none"/>
              </w:rPr>
            </w:pPr>
          </w:p>
          <w:p w14:paraId="45E2C6EA">
            <w:pPr>
              <w:spacing w:line="254" w:lineRule="auto"/>
              <w:rPr>
                <w:rFonts w:ascii="Arial"/>
                <w:sz w:val="21"/>
                <w:highlight w:val="none"/>
              </w:rPr>
            </w:pPr>
          </w:p>
          <w:p w14:paraId="1E34709A">
            <w:pPr>
              <w:spacing w:line="254" w:lineRule="auto"/>
              <w:rPr>
                <w:rFonts w:ascii="Arial"/>
                <w:sz w:val="21"/>
                <w:highlight w:val="none"/>
              </w:rPr>
            </w:pPr>
          </w:p>
          <w:p w14:paraId="57D928A1">
            <w:pPr>
              <w:spacing w:before="57" w:line="195" w:lineRule="auto"/>
              <w:ind w:left="176"/>
              <w:rPr>
                <w:rFonts w:ascii="Times New Roman" w:hAnsi="Times New Roman" w:eastAsia="Times New Roman" w:cs="Times New Roman"/>
                <w:sz w:val="20"/>
                <w:szCs w:val="20"/>
                <w:highlight w:val="none"/>
              </w:rPr>
            </w:pPr>
            <w:r>
              <w:rPr>
                <w:rFonts w:ascii="Times New Roman" w:hAnsi="Times New Roman" w:eastAsia="Times New Roman" w:cs="Times New Roman"/>
                <w:spacing w:val="-8"/>
                <w:sz w:val="20"/>
                <w:szCs w:val="20"/>
                <w:highlight w:val="none"/>
              </w:rPr>
              <w:t>1</w:t>
            </w:r>
            <w:r>
              <w:rPr>
                <w:rFonts w:ascii="Times New Roman" w:hAnsi="Times New Roman" w:eastAsia="Times New Roman" w:cs="Times New Roman"/>
                <w:spacing w:val="-7"/>
                <w:sz w:val="20"/>
                <w:szCs w:val="20"/>
                <w:highlight w:val="none"/>
              </w:rPr>
              <w:t>0</w:t>
            </w:r>
          </w:p>
        </w:tc>
        <w:tc>
          <w:tcPr>
            <w:tcW w:w="1004" w:type="dxa"/>
            <w:vAlign w:val="top"/>
          </w:tcPr>
          <w:p w14:paraId="6FCB61EE">
            <w:pPr>
              <w:spacing w:line="244" w:lineRule="auto"/>
              <w:rPr>
                <w:rFonts w:ascii="Arial"/>
                <w:sz w:val="21"/>
                <w:highlight w:val="none"/>
              </w:rPr>
            </w:pPr>
          </w:p>
          <w:p w14:paraId="14A853B5">
            <w:pPr>
              <w:spacing w:line="244" w:lineRule="auto"/>
              <w:rPr>
                <w:rFonts w:ascii="Arial"/>
                <w:sz w:val="21"/>
                <w:highlight w:val="none"/>
              </w:rPr>
            </w:pPr>
          </w:p>
          <w:p w14:paraId="7CF2CD7E">
            <w:pPr>
              <w:spacing w:line="244" w:lineRule="auto"/>
              <w:rPr>
                <w:rFonts w:ascii="Arial"/>
                <w:sz w:val="21"/>
                <w:highlight w:val="none"/>
              </w:rPr>
            </w:pPr>
          </w:p>
          <w:p w14:paraId="32745D10">
            <w:pPr>
              <w:spacing w:line="245" w:lineRule="auto"/>
              <w:rPr>
                <w:rFonts w:ascii="Arial"/>
                <w:sz w:val="21"/>
                <w:highlight w:val="none"/>
              </w:rPr>
            </w:pPr>
          </w:p>
          <w:p w14:paraId="26474E51">
            <w:pPr>
              <w:spacing w:line="245" w:lineRule="auto"/>
              <w:rPr>
                <w:rFonts w:ascii="Arial"/>
                <w:sz w:val="21"/>
                <w:highlight w:val="none"/>
              </w:rPr>
            </w:pPr>
          </w:p>
          <w:p w14:paraId="2637097A">
            <w:pPr>
              <w:spacing w:before="65" w:line="231" w:lineRule="auto"/>
              <w:ind w:left="101"/>
              <w:rPr>
                <w:rFonts w:ascii="宋体" w:hAnsi="宋体" w:eastAsia="宋体" w:cs="宋体"/>
                <w:sz w:val="20"/>
                <w:szCs w:val="20"/>
                <w:highlight w:val="none"/>
              </w:rPr>
            </w:pPr>
            <w:r>
              <w:rPr>
                <w:rFonts w:ascii="Times New Roman" w:hAnsi="Times New Roman" w:eastAsia="Times New Roman" w:cs="Times New Roman"/>
                <w:spacing w:val="-6"/>
                <w:sz w:val="20"/>
                <w:szCs w:val="20"/>
                <w:highlight w:val="none"/>
              </w:rPr>
              <w:t>4</w:t>
            </w:r>
            <w:r>
              <w:rPr>
                <w:rFonts w:ascii="Times New Roman" w:hAnsi="Times New Roman" w:eastAsia="Times New Roman" w:cs="Times New Roman"/>
                <w:spacing w:val="-5"/>
                <w:sz w:val="20"/>
                <w:szCs w:val="20"/>
                <w:highlight w:val="none"/>
              </w:rPr>
              <w:t xml:space="preserve">. 1. 10 </w:t>
            </w:r>
            <w:r>
              <w:rPr>
                <w:rFonts w:ascii="宋体" w:hAnsi="宋体" w:eastAsia="宋体" w:cs="宋体"/>
                <w:spacing w:val="-5"/>
                <w:sz w:val="20"/>
                <w:szCs w:val="20"/>
                <w:highlight w:val="none"/>
              </w:rPr>
              <w:t>(</w:t>
            </w:r>
            <w:r>
              <w:rPr>
                <w:rFonts w:ascii="Times New Roman" w:hAnsi="Times New Roman" w:eastAsia="Times New Roman" w:cs="Times New Roman"/>
                <w:spacing w:val="-5"/>
                <w:sz w:val="20"/>
                <w:szCs w:val="20"/>
                <w:highlight w:val="none"/>
              </w:rPr>
              <w:t>3</w:t>
            </w:r>
            <w:r>
              <w:rPr>
                <w:rFonts w:ascii="宋体" w:hAnsi="宋体" w:eastAsia="宋体" w:cs="宋体"/>
                <w:spacing w:val="-5"/>
                <w:sz w:val="20"/>
                <w:szCs w:val="20"/>
                <w:highlight w:val="none"/>
              </w:rPr>
              <w:t>)</w:t>
            </w:r>
          </w:p>
        </w:tc>
        <w:tc>
          <w:tcPr>
            <w:tcW w:w="7897" w:type="dxa"/>
            <w:tcBorders>
              <w:right w:val="single" w:color="000000" w:sz="6" w:space="0"/>
            </w:tcBorders>
            <w:vAlign w:val="top"/>
          </w:tcPr>
          <w:p w14:paraId="56DCEC67">
            <w:pPr>
              <w:spacing w:before="1" w:line="368" w:lineRule="auto"/>
              <w:ind w:left="109" w:right="97" w:firstLine="206"/>
              <w:rPr>
                <w:rFonts w:ascii="宋体" w:hAnsi="宋体" w:eastAsia="宋体" w:cs="宋体"/>
                <w:sz w:val="20"/>
                <w:szCs w:val="20"/>
                <w:highlight w:val="none"/>
              </w:rPr>
            </w:pPr>
            <w:r>
              <w:rPr>
                <w:rFonts w:ascii="宋体" w:hAnsi="宋体" w:eastAsia="宋体" w:cs="宋体"/>
                <w:spacing w:val="6"/>
                <w:sz w:val="20"/>
                <w:szCs w:val="20"/>
                <w:highlight w:val="none"/>
              </w:rPr>
              <w:t>承包人</w:t>
            </w:r>
            <w:r>
              <w:rPr>
                <w:rFonts w:ascii="宋体" w:hAnsi="宋体" w:eastAsia="宋体" w:cs="宋体"/>
                <w:spacing w:val="3"/>
                <w:sz w:val="20"/>
                <w:szCs w:val="20"/>
                <w:highlight w:val="none"/>
              </w:rPr>
              <w:t>对于农民工工资的发放应严格遵守《保障农民工工资支付条例》  (国务院</w:t>
            </w:r>
            <w:r>
              <w:rPr>
                <w:rFonts w:ascii="宋体" w:hAnsi="宋体" w:eastAsia="宋体" w:cs="宋体"/>
                <w:sz w:val="20"/>
                <w:szCs w:val="20"/>
                <w:highlight w:val="none"/>
              </w:rPr>
              <w:t xml:space="preserve"> </w:t>
            </w:r>
            <w:r>
              <w:rPr>
                <w:rFonts w:ascii="宋体" w:hAnsi="宋体" w:eastAsia="宋体" w:cs="宋体"/>
                <w:spacing w:val="1"/>
                <w:sz w:val="20"/>
                <w:szCs w:val="20"/>
                <w:highlight w:val="none"/>
              </w:rPr>
              <w:t xml:space="preserve">令第 </w:t>
            </w:r>
            <w:r>
              <w:rPr>
                <w:rFonts w:ascii="Times New Roman" w:hAnsi="Times New Roman" w:eastAsia="Times New Roman" w:cs="Times New Roman"/>
                <w:spacing w:val="1"/>
                <w:sz w:val="20"/>
                <w:szCs w:val="20"/>
                <w:highlight w:val="none"/>
              </w:rPr>
              <w:t xml:space="preserve">724 </w:t>
            </w:r>
            <w:r>
              <w:rPr>
                <w:rFonts w:ascii="宋体" w:hAnsi="宋体" w:eastAsia="宋体" w:cs="宋体"/>
                <w:spacing w:val="1"/>
                <w:sz w:val="20"/>
                <w:szCs w:val="20"/>
                <w:highlight w:val="none"/>
              </w:rPr>
              <w:t>号</w:t>
            </w:r>
            <w:r>
              <w:rPr>
                <w:rFonts w:ascii="宋体" w:hAnsi="宋体" w:eastAsia="宋体" w:cs="宋体"/>
                <w:sz w:val="20"/>
                <w:szCs w:val="20"/>
                <w:highlight w:val="none"/>
              </w:rPr>
              <w:t>) 、《工程建设领域农民工工资保证金规定》 (人社部发〔</w:t>
            </w:r>
            <w:r>
              <w:rPr>
                <w:rFonts w:ascii="Times New Roman" w:hAnsi="Times New Roman" w:eastAsia="Times New Roman" w:cs="Times New Roman"/>
                <w:sz w:val="20"/>
                <w:szCs w:val="20"/>
                <w:highlight w:val="none"/>
              </w:rPr>
              <w:t>2021</w:t>
            </w:r>
            <w:r>
              <w:rPr>
                <w:rFonts w:ascii="宋体" w:hAnsi="宋体" w:eastAsia="宋体" w:cs="宋体"/>
                <w:sz w:val="20"/>
                <w:szCs w:val="20"/>
                <w:highlight w:val="none"/>
              </w:rPr>
              <w:t>〕</w:t>
            </w:r>
            <w:r>
              <w:rPr>
                <w:rFonts w:ascii="Times New Roman" w:hAnsi="Times New Roman" w:eastAsia="Times New Roman" w:cs="Times New Roman"/>
                <w:sz w:val="20"/>
                <w:szCs w:val="20"/>
                <w:highlight w:val="none"/>
              </w:rPr>
              <w:t xml:space="preserve">65 </w:t>
            </w:r>
            <w:r>
              <w:rPr>
                <w:rFonts w:ascii="宋体" w:hAnsi="宋体" w:eastAsia="宋体" w:cs="宋体"/>
                <w:sz w:val="20"/>
                <w:szCs w:val="20"/>
                <w:highlight w:val="none"/>
              </w:rPr>
              <w:t xml:space="preserve">号) </w:t>
            </w:r>
            <w:r>
              <w:rPr>
                <w:rFonts w:ascii="宋体" w:hAnsi="宋体" w:eastAsia="宋体" w:cs="宋体"/>
                <w:spacing w:val="5"/>
                <w:sz w:val="20"/>
                <w:szCs w:val="20"/>
                <w:highlight w:val="none"/>
              </w:rPr>
              <w:t>《</w:t>
            </w:r>
            <w:r>
              <w:rPr>
                <w:rFonts w:ascii="宋体" w:hAnsi="宋体" w:eastAsia="宋体" w:cs="宋体"/>
                <w:spacing w:val="3"/>
                <w:sz w:val="20"/>
                <w:szCs w:val="20"/>
                <w:highlight w:val="none"/>
              </w:rPr>
              <w:t>辽宁省公路水运工程建设领域农民工工资支付管理办法》 (辽交公水规〔</w:t>
            </w:r>
            <w:r>
              <w:rPr>
                <w:rFonts w:ascii="Times New Roman" w:hAnsi="Times New Roman" w:eastAsia="Times New Roman" w:cs="Times New Roman"/>
                <w:spacing w:val="3"/>
                <w:sz w:val="20"/>
                <w:szCs w:val="20"/>
                <w:highlight w:val="none"/>
              </w:rPr>
              <w:t>2020</w:t>
            </w:r>
            <w:r>
              <w:rPr>
                <w:rFonts w:ascii="宋体" w:hAnsi="宋体" w:eastAsia="宋体" w:cs="宋体"/>
                <w:spacing w:val="3"/>
                <w:sz w:val="20"/>
                <w:szCs w:val="20"/>
                <w:highlight w:val="none"/>
              </w:rPr>
              <w:t>〕</w:t>
            </w:r>
            <w:r>
              <w:rPr>
                <w:rFonts w:ascii="Times New Roman" w:hAnsi="Times New Roman" w:eastAsia="Times New Roman" w:cs="Times New Roman"/>
                <w:spacing w:val="3"/>
                <w:sz w:val="20"/>
                <w:szCs w:val="20"/>
                <w:highlight w:val="none"/>
              </w:rPr>
              <w:t>1</w:t>
            </w:r>
            <w:r>
              <w:rPr>
                <w:rFonts w:ascii="Times New Roman" w:hAnsi="Times New Roman" w:eastAsia="Times New Roman" w:cs="Times New Roman"/>
                <w:sz w:val="20"/>
                <w:szCs w:val="20"/>
                <w:highlight w:val="none"/>
              </w:rPr>
              <w:t xml:space="preserve">  </w:t>
            </w:r>
            <w:r>
              <w:rPr>
                <w:rFonts w:ascii="宋体" w:hAnsi="宋体" w:eastAsia="宋体" w:cs="宋体"/>
                <w:spacing w:val="8"/>
                <w:sz w:val="20"/>
                <w:szCs w:val="20"/>
                <w:highlight w:val="none"/>
              </w:rPr>
              <w:t xml:space="preserve">号) </w:t>
            </w:r>
            <w:r>
              <w:rPr>
                <w:rFonts w:ascii="宋体" w:hAnsi="宋体" w:eastAsia="宋体" w:cs="宋体"/>
                <w:spacing w:val="5"/>
                <w:sz w:val="20"/>
                <w:szCs w:val="20"/>
                <w:highlight w:val="none"/>
              </w:rPr>
              <w:t>、</w:t>
            </w:r>
            <w:r>
              <w:rPr>
                <w:rFonts w:ascii="宋体" w:hAnsi="宋体" w:eastAsia="宋体" w:cs="宋体"/>
                <w:spacing w:val="4"/>
                <w:sz w:val="20"/>
                <w:szCs w:val="20"/>
                <w:highlight w:val="none"/>
              </w:rPr>
              <w:t>《辽宁省建设领域农民工工资支付管理办法》  (辽人社规〔</w:t>
            </w:r>
            <w:r>
              <w:rPr>
                <w:rFonts w:ascii="Times New Roman" w:hAnsi="Times New Roman" w:eastAsia="Times New Roman" w:cs="Times New Roman"/>
                <w:spacing w:val="4"/>
                <w:sz w:val="20"/>
                <w:szCs w:val="20"/>
                <w:highlight w:val="none"/>
              </w:rPr>
              <w:t>2018</w:t>
            </w:r>
            <w:r>
              <w:rPr>
                <w:rFonts w:ascii="宋体" w:hAnsi="宋体" w:eastAsia="宋体" w:cs="宋体"/>
                <w:spacing w:val="4"/>
                <w:sz w:val="20"/>
                <w:szCs w:val="20"/>
                <w:highlight w:val="none"/>
              </w:rPr>
              <w:t>〕</w:t>
            </w:r>
            <w:r>
              <w:rPr>
                <w:rFonts w:ascii="Times New Roman" w:hAnsi="Times New Roman" w:eastAsia="Times New Roman" w:cs="Times New Roman"/>
                <w:spacing w:val="4"/>
                <w:sz w:val="20"/>
                <w:szCs w:val="20"/>
                <w:highlight w:val="none"/>
              </w:rPr>
              <w:t xml:space="preserve">3 </w:t>
            </w:r>
            <w:r>
              <w:rPr>
                <w:rFonts w:ascii="宋体" w:hAnsi="宋体" w:eastAsia="宋体" w:cs="宋体"/>
                <w:spacing w:val="4"/>
                <w:sz w:val="20"/>
                <w:szCs w:val="20"/>
                <w:highlight w:val="none"/>
              </w:rPr>
              <w:t>号) 、</w:t>
            </w:r>
            <w:r>
              <w:rPr>
                <w:rFonts w:ascii="宋体" w:hAnsi="宋体" w:eastAsia="宋体" w:cs="宋体"/>
                <w:sz w:val="20"/>
                <w:szCs w:val="20"/>
                <w:highlight w:val="none"/>
              </w:rPr>
              <w:t xml:space="preserve"> </w:t>
            </w:r>
            <w:r>
              <w:rPr>
                <w:rFonts w:ascii="宋体" w:hAnsi="宋体" w:eastAsia="宋体" w:cs="宋体"/>
                <w:spacing w:val="8"/>
                <w:sz w:val="20"/>
                <w:szCs w:val="20"/>
                <w:highlight w:val="none"/>
              </w:rPr>
              <w:t>《关于建</w:t>
            </w:r>
            <w:r>
              <w:rPr>
                <w:rFonts w:ascii="宋体" w:hAnsi="宋体" w:eastAsia="宋体" w:cs="宋体"/>
                <w:spacing w:val="7"/>
                <w:sz w:val="20"/>
                <w:szCs w:val="20"/>
                <w:highlight w:val="none"/>
              </w:rPr>
              <w:t>立</w:t>
            </w:r>
            <w:r>
              <w:rPr>
                <w:rFonts w:ascii="宋体" w:hAnsi="宋体" w:eastAsia="宋体" w:cs="宋体"/>
                <w:spacing w:val="4"/>
                <w:sz w:val="20"/>
                <w:szCs w:val="20"/>
                <w:highlight w:val="none"/>
              </w:rPr>
              <w:t>建设领域农民工工资保证金制度的通知》  (辽人社规〔</w:t>
            </w:r>
            <w:r>
              <w:rPr>
                <w:rFonts w:ascii="Times New Roman" w:hAnsi="Times New Roman" w:eastAsia="Times New Roman" w:cs="Times New Roman"/>
                <w:spacing w:val="4"/>
                <w:sz w:val="20"/>
                <w:szCs w:val="20"/>
                <w:highlight w:val="none"/>
              </w:rPr>
              <w:t>2018</w:t>
            </w:r>
            <w:r>
              <w:rPr>
                <w:rFonts w:ascii="宋体" w:hAnsi="宋体" w:eastAsia="宋体" w:cs="宋体"/>
                <w:spacing w:val="4"/>
                <w:sz w:val="20"/>
                <w:szCs w:val="20"/>
                <w:highlight w:val="none"/>
              </w:rPr>
              <w:t>〕</w:t>
            </w:r>
            <w:r>
              <w:rPr>
                <w:rFonts w:ascii="Times New Roman" w:hAnsi="Times New Roman" w:eastAsia="Times New Roman" w:cs="Times New Roman"/>
                <w:spacing w:val="4"/>
                <w:sz w:val="20"/>
                <w:szCs w:val="20"/>
                <w:highlight w:val="none"/>
              </w:rPr>
              <w:t xml:space="preserve">4 </w:t>
            </w:r>
            <w:r>
              <w:rPr>
                <w:rFonts w:ascii="宋体" w:hAnsi="宋体" w:eastAsia="宋体" w:cs="宋体"/>
                <w:spacing w:val="4"/>
                <w:sz w:val="20"/>
                <w:szCs w:val="20"/>
                <w:highlight w:val="none"/>
              </w:rPr>
              <w:t>号) 、</w:t>
            </w:r>
            <w:r>
              <w:rPr>
                <w:rFonts w:ascii="宋体" w:hAnsi="宋体" w:eastAsia="宋体" w:cs="宋体"/>
                <w:sz w:val="20"/>
                <w:szCs w:val="20"/>
                <w:highlight w:val="none"/>
              </w:rPr>
              <w:t xml:space="preserve"> </w:t>
            </w:r>
            <w:r>
              <w:rPr>
                <w:rFonts w:ascii="宋体" w:hAnsi="宋体" w:eastAsia="宋体" w:cs="宋体"/>
                <w:spacing w:val="-1"/>
                <w:sz w:val="20"/>
                <w:szCs w:val="20"/>
                <w:highlight w:val="none"/>
              </w:rPr>
              <w:t>《辽宁省工程建设领域农民</w:t>
            </w:r>
            <w:r>
              <w:rPr>
                <w:rFonts w:ascii="宋体" w:hAnsi="宋体" w:eastAsia="宋体" w:cs="宋体"/>
                <w:sz w:val="20"/>
                <w:szCs w:val="20"/>
                <w:highlight w:val="none"/>
              </w:rPr>
              <w:t>工工资专用账户管理暂行办法实施细则》(辽人社〔</w:t>
            </w:r>
            <w:r>
              <w:rPr>
                <w:rFonts w:ascii="Times New Roman" w:hAnsi="Times New Roman" w:eastAsia="Times New Roman" w:cs="Times New Roman"/>
                <w:sz w:val="20"/>
                <w:szCs w:val="20"/>
                <w:highlight w:val="none"/>
              </w:rPr>
              <w:t>2021</w:t>
            </w:r>
            <w:r>
              <w:rPr>
                <w:rFonts w:ascii="宋体" w:hAnsi="宋体" w:eastAsia="宋体" w:cs="宋体"/>
                <w:sz w:val="20"/>
                <w:szCs w:val="20"/>
                <w:highlight w:val="none"/>
              </w:rPr>
              <w:t>〕</w:t>
            </w:r>
            <w:r>
              <w:rPr>
                <w:rFonts w:ascii="Times New Roman" w:hAnsi="Times New Roman" w:eastAsia="Times New Roman" w:cs="Times New Roman"/>
                <w:spacing w:val="8"/>
                <w:sz w:val="20"/>
                <w:szCs w:val="20"/>
                <w:highlight w:val="none"/>
              </w:rPr>
              <w:t>3</w:t>
            </w:r>
            <w:r>
              <w:rPr>
                <w:rFonts w:ascii="Times New Roman" w:hAnsi="Times New Roman" w:eastAsia="Times New Roman" w:cs="Times New Roman"/>
                <w:spacing w:val="6"/>
                <w:sz w:val="20"/>
                <w:szCs w:val="20"/>
                <w:highlight w:val="none"/>
              </w:rPr>
              <w:t>1</w:t>
            </w:r>
            <w:r>
              <w:rPr>
                <w:rFonts w:ascii="Times New Roman" w:hAnsi="Times New Roman" w:eastAsia="Times New Roman" w:cs="Times New Roman"/>
                <w:spacing w:val="4"/>
                <w:sz w:val="20"/>
                <w:szCs w:val="20"/>
                <w:highlight w:val="none"/>
              </w:rPr>
              <w:t xml:space="preserve"> </w:t>
            </w:r>
            <w:r>
              <w:rPr>
                <w:rFonts w:ascii="宋体" w:hAnsi="宋体" w:eastAsia="宋体" w:cs="宋体"/>
                <w:spacing w:val="4"/>
                <w:sz w:val="20"/>
                <w:szCs w:val="20"/>
                <w:highlight w:val="none"/>
              </w:rPr>
              <w:t>号) 、《辽宁省工程建设领域农民工工资保证金实施办法》  (辽人社〔</w:t>
            </w:r>
            <w:r>
              <w:rPr>
                <w:rFonts w:ascii="Times New Roman" w:hAnsi="Times New Roman" w:eastAsia="Times New Roman" w:cs="Times New Roman"/>
                <w:spacing w:val="4"/>
                <w:sz w:val="20"/>
                <w:szCs w:val="20"/>
                <w:highlight w:val="none"/>
              </w:rPr>
              <w:t>2022</w:t>
            </w:r>
            <w:r>
              <w:rPr>
                <w:rFonts w:ascii="宋体" w:hAnsi="宋体" w:eastAsia="宋体" w:cs="宋体"/>
                <w:spacing w:val="4"/>
                <w:sz w:val="20"/>
                <w:szCs w:val="20"/>
                <w:highlight w:val="none"/>
              </w:rPr>
              <w:t>〕</w:t>
            </w:r>
            <w:r>
              <w:rPr>
                <w:rFonts w:ascii="Times New Roman" w:hAnsi="Times New Roman" w:eastAsia="Times New Roman" w:cs="Times New Roman"/>
                <w:spacing w:val="4"/>
                <w:sz w:val="20"/>
                <w:szCs w:val="20"/>
                <w:highlight w:val="none"/>
              </w:rPr>
              <w:t>5</w:t>
            </w:r>
            <w:r>
              <w:rPr>
                <w:rFonts w:ascii="宋体" w:hAnsi="宋体" w:eastAsia="宋体" w:cs="宋体"/>
                <w:spacing w:val="10"/>
                <w:sz w:val="20"/>
                <w:szCs w:val="20"/>
                <w:highlight w:val="none"/>
              </w:rPr>
              <w:t>号</w:t>
            </w:r>
            <w:r>
              <w:rPr>
                <w:rFonts w:ascii="宋体" w:hAnsi="宋体" w:eastAsia="宋体" w:cs="宋体"/>
                <w:spacing w:val="7"/>
                <w:sz w:val="20"/>
                <w:szCs w:val="20"/>
                <w:highlight w:val="none"/>
              </w:rPr>
              <w:t>)</w:t>
            </w:r>
            <w:r>
              <w:rPr>
                <w:rFonts w:ascii="宋体" w:hAnsi="宋体" w:eastAsia="宋体" w:cs="宋体"/>
                <w:spacing w:val="5"/>
                <w:sz w:val="20"/>
                <w:szCs w:val="20"/>
                <w:highlight w:val="none"/>
              </w:rPr>
              <w:t xml:space="preserve"> 等国家和项目所在省、市相关主管部门施行的规定，主要包括：</w:t>
            </w:r>
          </w:p>
          <w:p w14:paraId="3A4B27C2">
            <w:pPr>
              <w:spacing w:before="1" w:line="368" w:lineRule="auto"/>
              <w:ind w:left="109" w:right="97" w:firstLine="206"/>
              <w:rPr>
                <w:rFonts w:ascii="宋体" w:hAnsi="宋体" w:eastAsia="宋体" w:cs="宋体"/>
                <w:sz w:val="20"/>
                <w:szCs w:val="20"/>
                <w:highlight w:val="none"/>
              </w:rPr>
            </w:pPr>
            <w:r>
              <w:rPr>
                <w:rFonts w:ascii="Times New Roman" w:hAnsi="Times New Roman" w:eastAsia="Times New Roman" w:cs="Times New Roman"/>
                <w:sz w:val="20"/>
                <w:szCs w:val="20"/>
                <w:highlight w:val="none"/>
              </w:rPr>
              <w:t>a</w:t>
            </w:r>
            <w:r>
              <w:rPr>
                <w:rFonts w:ascii="宋体" w:hAnsi="宋体" w:eastAsia="宋体" w:cs="宋体"/>
                <w:spacing w:val="6"/>
                <w:sz w:val="20"/>
                <w:szCs w:val="20"/>
                <w:highlight w:val="none"/>
              </w:rPr>
              <w:t>、承包人 (</w:t>
            </w:r>
            <w:r>
              <w:rPr>
                <w:rFonts w:ascii="宋体" w:hAnsi="宋体" w:eastAsia="宋体" w:cs="宋体"/>
                <w:spacing w:val="4"/>
                <w:sz w:val="20"/>
                <w:szCs w:val="20"/>
                <w:highlight w:val="none"/>
              </w:rPr>
              <w:t>包</w:t>
            </w:r>
            <w:r>
              <w:rPr>
                <w:rFonts w:ascii="宋体" w:hAnsi="宋体" w:eastAsia="宋体" w:cs="宋体"/>
                <w:spacing w:val="3"/>
                <w:sz w:val="20"/>
                <w:szCs w:val="20"/>
                <w:highlight w:val="none"/>
              </w:rPr>
              <w:t>括其分包人) 应实行农民工劳动用工实名制管理，与招用的农民工</w:t>
            </w:r>
            <w:r>
              <w:rPr>
                <w:rFonts w:ascii="宋体" w:hAnsi="宋体" w:eastAsia="宋体" w:cs="宋体"/>
                <w:sz w:val="20"/>
                <w:szCs w:val="20"/>
                <w:highlight w:val="none"/>
              </w:rPr>
              <w:t xml:space="preserve"> </w:t>
            </w:r>
            <w:r>
              <w:rPr>
                <w:rFonts w:ascii="宋体" w:hAnsi="宋体" w:eastAsia="宋体" w:cs="宋体"/>
                <w:spacing w:val="10"/>
                <w:sz w:val="20"/>
                <w:szCs w:val="20"/>
                <w:highlight w:val="none"/>
              </w:rPr>
              <w:t>书</w:t>
            </w:r>
            <w:r>
              <w:rPr>
                <w:rFonts w:ascii="宋体" w:hAnsi="宋体" w:eastAsia="宋体" w:cs="宋体"/>
                <w:spacing w:val="6"/>
                <w:sz w:val="20"/>
                <w:szCs w:val="20"/>
                <w:highlight w:val="none"/>
              </w:rPr>
              <w:t>面约定或者通过依法制定的规章制度规定工资支付标准、支付时间、支付方式等</w:t>
            </w:r>
            <w:r>
              <w:rPr>
                <w:rFonts w:ascii="宋体" w:hAnsi="宋体" w:eastAsia="宋体" w:cs="宋体"/>
                <w:sz w:val="20"/>
                <w:szCs w:val="20"/>
                <w:highlight w:val="none"/>
              </w:rPr>
              <w:t xml:space="preserve"> </w:t>
            </w:r>
            <w:r>
              <w:rPr>
                <w:rFonts w:ascii="宋体" w:hAnsi="宋体" w:eastAsia="宋体" w:cs="宋体"/>
                <w:spacing w:val="10"/>
                <w:sz w:val="20"/>
                <w:szCs w:val="20"/>
                <w:highlight w:val="none"/>
              </w:rPr>
              <w:t>内容。承包人</w:t>
            </w:r>
            <w:r>
              <w:rPr>
                <w:rFonts w:ascii="宋体" w:hAnsi="宋体" w:eastAsia="宋体" w:cs="宋体"/>
                <w:spacing w:val="5"/>
                <w:sz w:val="20"/>
                <w:szCs w:val="20"/>
                <w:highlight w:val="none"/>
              </w:rPr>
              <w:t xml:space="preserve"> (包括其分包人) 应按照与农民工订立的劳动合同中约定的工资支付</w:t>
            </w:r>
            <w:r>
              <w:rPr>
                <w:rFonts w:ascii="宋体" w:hAnsi="宋体" w:eastAsia="宋体" w:cs="宋体"/>
                <w:spacing w:val="9"/>
                <w:sz w:val="20"/>
                <w:szCs w:val="20"/>
                <w:highlight w:val="none"/>
              </w:rPr>
              <w:t>周</w:t>
            </w:r>
            <w:r>
              <w:rPr>
                <w:rFonts w:ascii="宋体" w:hAnsi="宋体" w:eastAsia="宋体" w:cs="宋体"/>
                <w:spacing w:val="5"/>
                <w:sz w:val="20"/>
                <w:szCs w:val="20"/>
                <w:highlight w:val="none"/>
              </w:rPr>
              <w:t>期和具体支付日期足额支付工资。</w:t>
            </w:r>
          </w:p>
          <w:p w14:paraId="0218DE80">
            <w:pPr>
              <w:spacing w:before="1" w:line="368" w:lineRule="auto"/>
              <w:ind w:left="109" w:right="97" w:firstLine="206"/>
              <w:rPr>
                <w:rFonts w:ascii="宋体" w:hAnsi="宋体" w:eastAsia="宋体" w:cs="宋体"/>
                <w:sz w:val="20"/>
                <w:szCs w:val="20"/>
                <w:highlight w:val="none"/>
              </w:rPr>
            </w:pPr>
            <w:r>
              <w:rPr>
                <w:rFonts w:ascii="Times New Roman" w:hAnsi="Times New Roman" w:eastAsia="Times New Roman" w:cs="Times New Roman"/>
                <w:sz w:val="20"/>
                <w:szCs w:val="20"/>
                <w:highlight w:val="none"/>
              </w:rPr>
              <w:t>b</w:t>
            </w:r>
            <w:r>
              <w:rPr>
                <w:rFonts w:ascii="宋体" w:hAnsi="宋体" w:eastAsia="宋体" w:cs="宋体"/>
                <w:spacing w:val="6"/>
                <w:sz w:val="20"/>
                <w:szCs w:val="20"/>
                <w:highlight w:val="none"/>
              </w:rPr>
              <w:t>、农民工工资应</w:t>
            </w:r>
            <w:r>
              <w:rPr>
                <w:rFonts w:ascii="宋体" w:hAnsi="宋体" w:eastAsia="宋体" w:cs="宋体"/>
                <w:spacing w:val="3"/>
                <w:sz w:val="20"/>
                <w:szCs w:val="20"/>
                <w:highlight w:val="none"/>
              </w:rPr>
              <w:t>当以货币形式，通过银行转账或者现金支付给农民工本人，不得</w:t>
            </w:r>
            <w:r>
              <w:rPr>
                <w:rFonts w:ascii="宋体" w:hAnsi="宋体" w:eastAsia="宋体" w:cs="宋体"/>
                <w:spacing w:val="4"/>
                <w:sz w:val="20"/>
                <w:szCs w:val="20"/>
                <w:highlight w:val="none"/>
              </w:rPr>
              <w:t>以实物或者有价证券等其他形式替代</w:t>
            </w:r>
            <w:r>
              <w:rPr>
                <w:rFonts w:ascii="宋体" w:hAnsi="宋体" w:eastAsia="宋体" w:cs="宋体"/>
                <w:spacing w:val="1"/>
                <w:sz w:val="20"/>
                <w:szCs w:val="20"/>
                <w:highlight w:val="none"/>
              </w:rPr>
              <w:t>。</w:t>
            </w:r>
          </w:p>
          <w:p w14:paraId="1B7D20E2">
            <w:pPr>
              <w:spacing w:before="1" w:line="368" w:lineRule="auto"/>
              <w:ind w:left="109" w:right="97" w:firstLine="206"/>
              <w:rPr>
                <w:rFonts w:ascii="Times New Roman" w:hAnsi="Times New Roman" w:eastAsia="Times New Roman" w:cs="Times New Roman"/>
                <w:sz w:val="20"/>
                <w:szCs w:val="20"/>
                <w:highlight w:val="none"/>
              </w:rPr>
            </w:pPr>
            <w:r>
              <w:rPr>
                <w:rFonts w:ascii="Times New Roman" w:hAnsi="Times New Roman" w:eastAsia="Times New Roman" w:cs="Times New Roman"/>
                <w:position w:val="0"/>
                <w:sz w:val="20"/>
                <w:szCs w:val="20"/>
                <w:highlight w:val="none"/>
              </w:rPr>
              <w:t>c</w:t>
            </w:r>
            <w:r>
              <w:rPr>
                <w:rFonts w:ascii="Times New Roman" w:hAnsi="Times New Roman" w:eastAsia="Times New Roman" w:cs="Times New Roman"/>
                <w:spacing w:val="0"/>
                <w:position w:val="0"/>
                <w:sz w:val="20"/>
                <w:szCs w:val="20"/>
                <w:highlight w:val="none"/>
              </w:rPr>
              <w:t>、承包人在每次申报计量支付时，应将农民工工资款单独列项，项目管理法人将</w:t>
            </w:r>
          </w:p>
          <w:p w14:paraId="37868CBC">
            <w:pPr>
              <w:spacing w:before="1" w:line="368" w:lineRule="auto"/>
              <w:ind w:left="109" w:right="97" w:firstLine="206"/>
              <w:rPr>
                <w:rFonts w:ascii="Times New Roman" w:hAnsi="Times New Roman" w:eastAsia="Times New Roman" w:cs="Times New Roman"/>
                <w:sz w:val="20"/>
                <w:szCs w:val="20"/>
                <w:highlight w:val="none"/>
              </w:rPr>
            </w:pPr>
            <w:r>
              <w:rPr>
                <w:rFonts w:ascii="Times New Roman" w:hAnsi="Times New Roman" w:eastAsia="Times New Roman" w:cs="Times New Roman"/>
                <w:spacing w:val="0"/>
                <w:sz w:val="20"/>
                <w:szCs w:val="20"/>
                <w:highlight w:val="none"/>
              </w:rPr>
              <w:t>按照经审核后的数额将农民工工资拨付至承包人的农民工工资专用账户。</w:t>
            </w:r>
          </w:p>
          <w:p w14:paraId="3CCCAFED">
            <w:pPr>
              <w:spacing w:before="1" w:line="368" w:lineRule="auto"/>
              <w:ind w:left="109" w:right="97" w:firstLine="206"/>
              <w:rPr>
                <w:rFonts w:ascii="宋体" w:hAnsi="宋体" w:eastAsia="宋体" w:cs="宋体"/>
                <w:sz w:val="20"/>
                <w:szCs w:val="20"/>
                <w:highlight w:val="none"/>
              </w:rPr>
            </w:pPr>
            <w:r>
              <w:rPr>
                <w:rFonts w:ascii="Times New Roman" w:hAnsi="Times New Roman" w:eastAsia="Times New Roman" w:cs="Times New Roman"/>
                <w:sz w:val="20"/>
                <w:szCs w:val="20"/>
                <w:highlight w:val="none"/>
              </w:rPr>
              <w:t>d</w:t>
            </w:r>
            <w:r>
              <w:rPr>
                <w:rFonts w:ascii="宋体" w:hAnsi="宋体" w:eastAsia="宋体" w:cs="宋体"/>
                <w:spacing w:val="2"/>
                <w:sz w:val="20"/>
                <w:szCs w:val="20"/>
                <w:highlight w:val="none"/>
              </w:rPr>
              <w:t xml:space="preserve">、承包人应当按照工资支付周期编制书面工资支付台账，并至少保存 </w:t>
            </w:r>
            <w:r>
              <w:rPr>
                <w:rFonts w:ascii="Times New Roman" w:hAnsi="Times New Roman" w:eastAsia="Times New Roman" w:cs="Times New Roman"/>
                <w:spacing w:val="2"/>
                <w:sz w:val="20"/>
                <w:szCs w:val="20"/>
                <w:highlight w:val="none"/>
              </w:rPr>
              <w:t xml:space="preserve">3 </w:t>
            </w:r>
            <w:r>
              <w:rPr>
                <w:rFonts w:ascii="宋体" w:hAnsi="宋体" w:eastAsia="宋体" w:cs="宋体"/>
                <w:spacing w:val="2"/>
                <w:sz w:val="20"/>
                <w:szCs w:val="20"/>
                <w:highlight w:val="none"/>
              </w:rPr>
              <w:t>年</w:t>
            </w:r>
            <w:r>
              <w:rPr>
                <w:rFonts w:ascii="宋体" w:hAnsi="宋体" w:eastAsia="宋体" w:cs="宋体"/>
                <w:spacing w:val="1"/>
                <w:sz w:val="20"/>
                <w:szCs w:val="20"/>
                <w:highlight w:val="none"/>
              </w:rPr>
              <w:t>。</w:t>
            </w:r>
            <w:r>
              <w:rPr>
                <w:rFonts w:ascii="宋体" w:hAnsi="宋体" w:eastAsia="宋体" w:cs="宋体"/>
                <w:sz w:val="20"/>
                <w:szCs w:val="20"/>
                <w:highlight w:val="none"/>
              </w:rPr>
              <w:t>书面</w:t>
            </w:r>
            <w:r>
              <w:rPr>
                <w:rFonts w:ascii="宋体" w:hAnsi="宋体" w:eastAsia="宋体" w:cs="宋体"/>
                <w:spacing w:val="12"/>
                <w:sz w:val="20"/>
                <w:szCs w:val="20"/>
                <w:highlight w:val="none"/>
              </w:rPr>
              <w:t>工</w:t>
            </w:r>
            <w:r>
              <w:rPr>
                <w:rFonts w:ascii="宋体" w:hAnsi="宋体" w:eastAsia="宋体" w:cs="宋体"/>
                <w:spacing w:val="8"/>
                <w:sz w:val="20"/>
                <w:szCs w:val="20"/>
                <w:highlight w:val="none"/>
              </w:rPr>
              <w:t>资</w:t>
            </w:r>
            <w:r>
              <w:rPr>
                <w:rFonts w:ascii="宋体" w:hAnsi="宋体" w:eastAsia="宋体" w:cs="宋体"/>
                <w:spacing w:val="6"/>
                <w:sz w:val="20"/>
                <w:szCs w:val="20"/>
                <w:highlight w:val="none"/>
              </w:rPr>
              <w:t>支付台账应当包括用人单位名称，支付周期，支付日期，支付对象姓名、身份</w:t>
            </w:r>
            <w:r>
              <w:rPr>
                <w:rFonts w:ascii="宋体" w:hAnsi="宋体" w:eastAsia="宋体" w:cs="宋体"/>
                <w:spacing w:val="12"/>
                <w:sz w:val="20"/>
                <w:szCs w:val="20"/>
                <w:highlight w:val="none"/>
              </w:rPr>
              <w:t>证</w:t>
            </w:r>
            <w:r>
              <w:rPr>
                <w:rFonts w:ascii="宋体" w:hAnsi="宋体" w:eastAsia="宋体" w:cs="宋体"/>
                <w:spacing w:val="8"/>
                <w:sz w:val="20"/>
                <w:szCs w:val="20"/>
                <w:highlight w:val="none"/>
              </w:rPr>
              <w:t>号</w:t>
            </w:r>
            <w:r>
              <w:rPr>
                <w:rFonts w:ascii="宋体" w:hAnsi="宋体" w:eastAsia="宋体" w:cs="宋体"/>
                <w:spacing w:val="6"/>
                <w:sz w:val="20"/>
                <w:szCs w:val="20"/>
                <w:highlight w:val="none"/>
              </w:rPr>
              <w:t>码、联系方式，工作时间，应发工资项目及数额，代扣、代缴、扣除项目和数</w:t>
            </w:r>
            <w:r>
              <w:rPr>
                <w:rFonts w:ascii="宋体" w:hAnsi="宋体" w:eastAsia="宋体" w:cs="宋体"/>
                <w:spacing w:val="12"/>
                <w:sz w:val="20"/>
                <w:szCs w:val="20"/>
                <w:highlight w:val="none"/>
              </w:rPr>
              <w:t>额</w:t>
            </w:r>
            <w:r>
              <w:rPr>
                <w:rFonts w:ascii="宋体" w:hAnsi="宋体" w:eastAsia="宋体" w:cs="宋体"/>
                <w:spacing w:val="8"/>
                <w:sz w:val="20"/>
                <w:szCs w:val="20"/>
                <w:highlight w:val="none"/>
              </w:rPr>
              <w:t>，</w:t>
            </w:r>
            <w:r>
              <w:rPr>
                <w:rFonts w:ascii="宋体" w:hAnsi="宋体" w:eastAsia="宋体" w:cs="宋体"/>
                <w:spacing w:val="6"/>
                <w:sz w:val="20"/>
                <w:szCs w:val="20"/>
                <w:highlight w:val="none"/>
              </w:rPr>
              <w:t>实发工资数额，银行代发工资凭证或者农民工签字等内容。用人单位向农民工</w:t>
            </w:r>
            <w:r>
              <w:rPr>
                <w:rFonts w:ascii="宋体" w:hAnsi="宋体" w:eastAsia="宋体" w:cs="宋体"/>
                <w:spacing w:val="10"/>
                <w:sz w:val="20"/>
                <w:szCs w:val="20"/>
                <w:highlight w:val="none"/>
              </w:rPr>
              <w:t>支付</w:t>
            </w:r>
            <w:r>
              <w:rPr>
                <w:rFonts w:ascii="宋体" w:hAnsi="宋体" w:eastAsia="宋体" w:cs="宋体"/>
                <w:spacing w:val="5"/>
                <w:sz w:val="20"/>
                <w:szCs w:val="20"/>
                <w:highlight w:val="none"/>
              </w:rPr>
              <w:t>工资时，应当提供农民工本人的工资清单。</w:t>
            </w:r>
          </w:p>
          <w:p w14:paraId="4F874C05">
            <w:pPr>
              <w:spacing w:before="1" w:line="368" w:lineRule="auto"/>
              <w:ind w:left="109" w:right="97" w:firstLine="206"/>
              <w:rPr>
                <w:rFonts w:ascii="宋体" w:hAnsi="宋体" w:eastAsia="宋体" w:cs="宋体"/>
                <w:sz w:val="20"/>
                <w:szCs w:val="20"/>
                <w:highlight w:val="none"/>
              </w:rPr>
            </w:pPr>
            <w:r>
              <w:rPr>
                <w:rFonts w:ascii="Times New Roman" w:hAnsi="Times New Roman" w:eastAsia="Times New Roman" w:cs="Times New Roman"/>
                <w:sz w:val="20"/>
                <w:szCs w:val="20"/>
                <w:highlight w:val="none"/>
              </w:rPr>
              <w:t>e</w:t>
            </w:r>
            <w:r>
              <w:rPr>
                <w:rFonts w:ascii="宋体" w:hAnsi="宋体" w:eastAsia="宋体" w:cs="宋体"/>
                <w:spacing w:val="5"/>
                <w:sz w:val="20"/>
                <w:szCs w:val="20"/>
                <w:highlight w:val="none"/>
              </w:rPr>
              <w:t xml:space="preserve">、承包人应分解工程价款中的人工费用，在本合同签订后 </w:t>
            </w:r>
            <w:r>
              <w:rPr>
                <w:rFonts w:ascii="Times New Roman" w:hAnsi="Times New Roman" w:eastAsia="Times New Roman" w:cs="Times New Roman"/>
                <w:spacing w:val="5"/>
                <w:sz w:val="20"/>
                <w:szCs w:val="20"/>
                <w:highlight w:val="none"/>
              </w:rPr>
              <w:t xml:space="preserve">15 </w:t>
            </w:r>
            <w:r>
              <w:rPr>
                <w:rFonts w:ascii="宋体" w:hAnsi="宋体" w:eastAsia="宋体" w:cs="宋体"/>
                <w:spacing w:val="5"/>
                <w:sz w:val="20"/>
                <w:szCs w:val="20"/>
                <w:highlight w:val="none"/>
              </w:rPr>
              <w:t>日内按照有关规</w:t>
            </w:r>
            <w:r>
              <w:rPr>
                <w:rFonts w:ascii="宋体" w:hAnsi="宋体" w:eastAsia="宋体" w:cs="宋体"/>
                <w:sz w:val="20"/>
                <w:szCs w:val="20"/>
                <w:highlight w:val="none"/>
              </w:rPr>
              <w:t>定</w:t>
            </w:r>
            <w:r>
              <w:rPr>
                <w:rFonts w:ascii="宋体" w:hAnsi="宋体" w:eastAsia="宋体" w:cs="宋体"/>
                <w:spacing w:val="12"/>
                <w:sz w:val="20"/>
                <w:szCs w:val="20"/>
                <w:highlight w:val="none"/>
              </w:rPr>
              <w:t>开</w:t>
            </w:r>
            <w:r>
              <w:rPr>
                <w:rFonts w:ascii="宋体" w:hAnsi="宋体" w:eastAsia="宋体" w:cs="宋体"/>
                <w:spacing w:val="7"/>
                <w:sz w:val="20"/>
                <w:szCs w:val="20"/>
                <w:highlight w:val="none"/>
              </w:rPr>
              <w:t>设</w:t>
            </w:r>
            <w:r>
              <w:rPr>
                <w:rFonts w:ascii="宋体" w:hAnsi="宋体" w:eastAsia="宋体" w:cs="宋体"/>
                <w:spacing w:val="6"/>
                <w:sz w:val="20"/>
                <w:szCs w:val="20"/>
                <w:highlight w:val="none"/>
              </w:rPr>
              <w:t>农民工工资专用账户，专项用于支付本工程项目的农民工工资。开设、使用农</w:t>
            </w:r>
            <w:r>
              <w:rPr>
                <w:rFonts w:ascii="宋体" w:hAnsi="宋体" w:eastAsia="宋体" w:cs="宋体"/>
                <w:spacing w:val="12"/>
                <w:sz w:val="20"/>
                <w:szCs w:val="20"/>
                <w:highlight w:val="none"/>
              </w:rPr>
              <w:t>民</w:t>
            </w:r>
            <w:r>
              <w:rPr>
                <w:rFonts w:ascii="宋体" w:hAnsi="宋体" w:eastAsia="宋体" w:cs="宋体"/>
                <w:spacing w:val="7"/>
                <w:sz w:val="20"/>
                <w:szCs w:val="20"/>
                <w:highlight w:val="none"/>
              </w:rPr>
              <w:t>工</w:t>
            </w:r>
            <w:r>
              <w:rPr>
                <w:rFonts w:ascii="宋体" w:hAnsi="宋体" w:eastAsia="宋体" w:cs="宋体"/>
                <w:spacing w:val="6"/>
                <w:sz w:val="20"/>
                <w:szCs w:val="20"/>
                <w:highlight w:val="none"/>
              </w:rPr>
              <w:t>工资专用账户有关资料应当由承包人妥善保存备查。工程完工且未拖欠农民工</w:t>
            </w:r>
            <w:r>
              <w:rPr>
                <w:rFonts w:ascii="宋体" w:hAnsi="宋体" w:eastAsia="宋体" w:cs="宋体"/>
                <w:spacing w:val="2"/>
                <w:sz w:val="20"/>
                <w:szCs w:val="20"/>
                <w:highlight w:val="none"/>
              </w:rPr>
              <w:t xml:space="preserve">工资的，承包人公示 </w:t>
            </w:r>
            <w:r>
              <w:rPr>
                <w:rFonts w:ascii="Times New Roman" w:hAnsi="Times New Roman" w:eastAsia="Times New Roman" w:cs="Times New Roman"/>
                <w:spacing w:val="2"/>
                <w:sz w:val="20"/>
                <w:szCs w:val="20"/>
                <w:highlight w:val="none"/>
              </w:rPr>
              <w:t xml:space="preserve">30 </w:t>
            </w:r>
            <w:r>
              <w:rPr>
                <w:rFonts w:ascii="宋体" w:hAnsi="宋体" w:eastAsia="宋体" w:cs="宋体"/>
                <w:spacing w:val="2"/>
                <w:sz w:val="20"/>
                <w:szCs w:val="20"/>
                <w:highlight w:val="none"/>
              </w:rPr>
              <w:t>日后，可以申请注销农民工工资专用账户，账户内余</w:t>
            </w:r>
            <w:r>
              <w:rPr>
                <w:rFonts w:ascii="宋体" w:hAnsi="宋体" w:eastAsia="宋体" w:cs="宋体"/>
                <w:spacing w:val="1"/>
                <w:sz w:val="20"/>
                <w:szCs w:val="20"/>
                <w:highlight w:val="none"/>
              </w:rPr>
              <w:t>额</w:t>
            </w:r>
            <w:r>
              <w:rPr>
                <w:rFonts w:ascii="宋体" w:hAnsi="宋体" w:eastAsia="宋体" w:cs="宋体"/>
                <w:sz w:val="20"/>
                <w:szCs w:val="20"/>
                <w:highlight w:val="none"/>
              </w:rPr>
              <w:t>归承</w:t>
            </w:r>
            <w:r>
              <w:rPr>
                <w:rFonts w:ascii="宋体" w:hAnsi="宋体" w:eastAsia="宋体" w:cs="宋体"/>
                <w:spacing w:val="5"/>
                <w:sz w:val="20"/>
                <w:szCs w:val="20"/>
                <w:highlight w:val="none"/>
              </w:rPr>
              <w:t>包</w:t>
            </w:r>
            <w:r>
              <w:rPr>
                <w:rFonts w:ascii="宋体" w:hAnsi="宋体" w:eastAsia="宋体" w:cs="宋体"/>
                <w:spacing w:val="3"/>
                <w:sz w:val="20"/>
                <w:szCs w:val="20"/>
                <w:highlight w:val="none"/>
              </w:rPr>
              <w:t>人所有。</w:t>
            </w:r>
          </w:p>
          <w:p w14:paraId="6C961EDB">
            <w:pPr>
              <w:spacing w:before="1" w:line="368" w:lineRule="auto"/>
              <w:ind w:left="109" w:right="97" w:firstLine="206"/>
              <w:rPr>
                <w:rFonts w:ascii="宋体" w:hAnsi="宋体" w:eastAsia="宋体" w:cs="宋体"/>
                <w:sz w:val="20"/>
                <w:szCs w:val="20"/>
                <w:highlight w:val="none"/>
              </w:rPr>
            </w:pPr>
            <w:r>
              <w:rPr>
                <w:rFonts w:ascii="Times New Roman" w:hAnsi="Times New Roman" w:eastAsia="Times New Roman" w:cs="Times New Roman"/>
                <w:sz w:val="20"/>
                <w:szCs w:val="20"/>
                <w:highlight w:val="none"/>
              </w:rPr>
              <w:t>f</w:t>
            </w:r>
            <w:r>
              <w:rPr>
                <w:rFonts w:ascii="宋体" w:hAnsi="宋体" w:eastAsia="宋体" w:cs="宋体"/>
                <w:spacing w:val="7"/>
                <w:sz w:val="20"/>
                <w:szCs w:val="20"/>
                <w:highlight w:val="none"/>
              </w:rPr>
              <w:t>、</w:t>
            </w:r>
            <w:r>
              <w:rPr>
                <w:rFonts w:ascii="宋体" w:hAnsi="宋体" w:eastAsia="宋体" w:cs="宋体"/>
                <w:spacing w:val="4"/>
                <w:sz w:val="20"/>
                <w:szCs w:val="20"/>
                <w:highlight w:val="none"/>
              </w:rPr>
              <w:t>承包人 (包括其分包人) 应当依法与所招用的农民工订立劳动合同并进行用工</w:t>
            </w:r>
            <w:r>
              <w:rPr>
                <w:rFonts w:ascii="宋体" w:hAnsi="宋体" w:eastAsia="宋体" w:cs="宋体"/>
                <w:spacing w:val="9"/>
                <w:sz w:val="20"/>
                <w:szCs w:val="20"/>
                <w:highlight w:val="none"/>
              </w:rPr>
              <w:t>实</w:t>
            </w:r>
            <w:r>
              <w:rPr>
                <w:rFonts w:ascii="宋体" w:hAnsi="宋体" w:eastAsia="宋体" w:cs="宋体"/>
                <w:spacing w:val="6"/>
                <w:sz w:val="20"/>
                <w:szCs w:val="20"/>
                <w:highlight w:val="none"/>
              </w:rPr>
              <w:t>名登记，通过相应的管理服务信息平台 (如辽宁省建筑工人实名制信息管理服务平台、辽宁省欠薪预警信息系统) 进行用工实名登记、管理。未与承包人 (包括</w:t>
            </w:r>
            <w:r>
              <w:rPr>
                <w:rFonts w:ascii="宋体" w:hAnsi="宋体" w:eastAsia="宋体" w:cs="宋体"/>
                <w:spacing w:val="3"/>
                <w:sz w:val="20"/>
                <w:szCs w:val="20"/>
                <w:highlight w:val="none"/>
              </w:rPr>
              <w:t>其</w:t>
            </w:r>
            <w:r>
              <w:rPr>
                <w:rFonts w:ascii="宋体" w:hAnsi="宋体" w:eastAsia="宋体" w:cs="宋体"/>
                <w:spacing w:val="9"/>
                <w:sz w:val="20"/>
                <w:szCs w:val="20"/>
                <w:highlight w:val="none"/>
              </w:rPr>
              <w:t>分</w:t>
            </w:r>
            <w:r>
              <w:rPr>
                <w:rFonts w:ascii="宋体" w:hAnsi="宋体" w:eastAsia="宋体" w:cs="宋体"/>
                <w:spacing w:val="6"/>
                <w:sz w:val="20"/>
                <w:szCs w:val="20"/>
                <w:highlight w:val="none"/>
              </w:rPr>
              <w:t>包人) 订立劳动合同并进行用工实名登记的人员，不得进入项目现场施工。承包</w:t>
            </w:r>
            <w:r>
              <w:rPr>
                <w:rFonts w:ascii="宋体" w:hAnsi="宋体" w:eastAsia="宋体" w:cs="宋体"/>
                <w:spacing w:val="12"/>
                <w:sz w:val="20"/>
                <w:szCs w:val="20"/>
                <w:highlight w:val="none"/>
              </w:rPr>
              <w:t>人</w:t>
            </w:r>
            <w:r>
              <w:rPr>
                <w:rFonts w:ascii="宋体" w:hAnsi="宋体" w:eastAsia="宋体" w:cs="宋体"/>
                <w:spacing w:val="9"/>
                <w:sz w:val="20"/>
                <w:szCs w:val="20"/>
                <w:highlight w:val="none"/>
              </w:rPr>
              <w:t>对</w:t>
            </w:r>
            <w:r>
              <w:rPr>
                <w:rFonts w:ascii="宋体" w:hAnsi="宋体" w:eastAsia="宋体" w:cs="宋体"/>
                <w:spacing w:val="6"/>
                <w:sz w:val="20"/>
                <w:szCs w:val="20"/>
                <w:highlight w:val="none"/>
              </w:rPr>
              <w:t>工程进行分包的，应在工程项目部配备劳资专管员，对分包人劳动用工实施监</w:t>
            </w:r>
            <w:r>
              <w:rPr>
                <w:rFonts w:ascii="宋体" w:hAnsi="宋体" w:eastAsia="宋体" w:cs="宋体"/>
                <w:sz w:val="20"/>
                <w:szCs w:val="20"/>
                <w:highlight w:val="none"/>
              </w:rPr>
              <w:t xml:space="preserve"> </w:t>
            </w:r>
            <w:r>
              <w:rPr>
                <w:rFonts w:ascii="宋体" w:hAnsi="宋体" w:eastAsia="宋体" w:cs="宋体"/>
                <w:spacing w:val="12"/>
                <w:sz w:val="20"/>
                <w:szCs w:val="20"/>
                <w:highlight w:val="none"/>
              </w:rPr>
              <w:t>督</w:t>
            </w:r>
            <w:r>
              <w:rPr>
                <w:rFonts w:ascii="宋体" w:hAnsi="宋体" w:eastAsia="宋体" w:cs="宋体"/>
                <w:spacing w:val="9"/>
                <w:sz w:val="20"/>
                <w:szCs w:val="20"/>
                <w:highlight w:val="none"/>
              </w:rPr>
              <w:t>管</w:t>
            </w:r>
            <w:r>
              <w:rPr>
                <w:rFonts w:ascii="宋体" w:hAnsi="宋体" w:eastAsia="宋体" w:cs="宋体"/>
                <w:spacing w:val="6"/>
                <w:sz w:val="20"/>
                <w:szCs w:val="20"/>
                <w:highlight w:val="none"/>
              </w:rPr>
              <w:t>理，掌握施工现场用工、考勤、工资支付等情况，审核分包人编制的农民工工</w:t>
            </w:r>
            <w:r>
              <w:rPr>
                <w:rFonts w:ascii="宋体" w:hAnsi="宋体" w:eastAsia="宋体" w:cs="宋体"/>
                <w:spacing w:val="12"/>
                <w:sz w:val="20"/>
                <w:szCs w:val="20"/>
                <w:highlight w:val="none"/>
              </w:rPr>
              <w:t>资</w:t>
            </w:r>
            <w:r>
              <w:rPr>
                <w:rFonts w:ascii="宋体" w:hAnsi="宋体" w:eastAsia="宋体" w:cs="宋体"/>
                <w:spacing w:val="9"/>
                <w:sz w:val="20"/>
                <w:szCs w:val="20"/>
                <w:highlight w:val="none"/>
              </w:rPr>
              <w:t>支</w:t>
            </w:r>
            <w:r>
              <w:rPr>
                <w:rFonts w:ascii="宋体" w:hAnsi="宋体" w:eastAsia="宋体" w:cs="宋体"/>
                <w:spacing w:val="6"/>
                <w:sz w:val="20"/>
                <w:szCs w:val="20"/>
                <w:highlight w:val="none"/>
              </w:rPr>
              <w:t>付表。承包人应当建立用工管理台账，并保存至工程完工且工资全部结清后至</w:t>
            </w:r>
            <w:r>
              <w:rPr>
                <w:rFonts w:ascii="宋体" w:hAnsi="宋体" w:eastAsia="宋体" w:cs="宋体"/>
                <w:spacing w:val="-8"/>
                <w:sz w:val="20"/>
                <w:szCs w:val="20"/>
                <w:highlight w:val="none"/>
              </w:rPr>
              <w:t>少</w:t>
            </w:r>
            <w:r>
              <w:rPr>
                <w:rFonts w:ascii="宋体" w:hAnsi="宋体" w:eastAsia="宋体" w:cs="宋体"/>
                <w:spacing w:val="-6"/>
                <w:sz w:val="20"/>
                <w:szCs w:val="20"/>
                <w:highlight w:val="none"/>
              </w:rPr>
              <w:t xml:space="preserve"> </w:t>
            </w:r>
            <w:r>
              <w:rPr>
                <w:rFonts w:ascii="Times New Roman" w:hAnsi="Times New Roman" w:eastAsia="Times New Roman" w:cs="Times New Roman"/>
                <w:spacing w:val="-6"/>
                <w:sz w:val="20"/>
                <w:szCs w:val="20"/>
                <w:highlight w:val="none"/>
              </w:rPr>
              <w:t xml:space="preserve">3 </w:t>
            </w:r>
            <w:r>
              <w:rPr>
                <w:rFonts w:ascii="宋体" w:hAnsi="宋体" w:eastAsia="宋体" w:cs="宋体"/>
                <w:spacing w:val="-6"/>
                <w:sz w:val="20"/>
                <w:szCs w:val="20"/>
                <w:highlight w:val="none"/>
              </w:rPr>
              <w:t>年。</w:t>
            </w:r>
          </w:p>
          <w:p w14:paraId="140EE04D">
            <w:pPr>
              <w:spacing w:before="1" w:line="368" w:lineRule="auto"/>
              <w:ind w:left="109" w:right="97" w:firstLine="206"/>
              <w:rPr>
                <w:rFonts w:ascii="Times New Roman" w:hAnsi="Times New Roman" w:eastAsia="Times New Roman" w:cs="Times New Roman"/>
                <w:sz w:val="20"/>
                <w:szCs w:val="20"/>
                <w:highlight w:val="none"/>
              </w:rPr>
            </w:pPr>
            <w:r>
              <w:rPr>
                <w:rFonts w:ascii="Times New Roman" w:hAnsi="Times New Roman" w:eastAsia="Times New Roman" w:cs="Times New Roman"/>
                <w:position w:val="0"/>
                <w:sz w:val="20"/>
                <w:szCs w:val="20"/>
                <w:highlight w:val="none"/>
              </w:rPr>
              <w:t>g</w:t>
            </w:r>
            <w:r>
              <w:rPr>
                <w:rFonts w:ascii="Times New Roman" w:hAnsi="Times New Roman" w:eastAsia="Times New Roman" w:cs="Times New Roman"/>
                <w:spacing w:val="0"/>
                <w:position w:val="0"/>
                <w:sz w:val="20"/>
                <w:szCs w:val="20"/>
                <w:highlight w:val="none"/>
              </w:rPr>
              <w:t>、分包人 (如有) 拖欠农民工工资的，由承包人先行清偿，再依法进行追偿。因</w:t>
            </w:r>
          </w:p>
          <w:p w14:paraId="26CEA040">
            <w:pPr>
              <w:spacing w:before="1" w:line="368" w:lineRule="auto"/>
              <w:ind w:left="109" w:right="97" w:firstLine="206"/>
              <w:rPr>
                <w:rFonts w:ascii="Times New Roman" w:hAnsi="Times New Roman" w:eastAsia="Times New Roman" w:cs="Times New Roman"/>
                <w:sz w:val="20"/>
                <w:szCs w:val="20"/>
                <w:highlight w:val="none"/>
              </w:rPr>
            </w:pPr>
            <w:r>
              <w:rPr>
                <w:rFonts w:ascii="Times New Roman" w:hAnsi="Times New Roman" w:eastAsia="Times New Roman" w:cs="Times New Roman"/>
                <w:spacing w:val="0"/>
                <w:sz w:val="20"/>
                <w:szCs w:val="20"/>
                <w:highlight w:val="none"/>
              </w:rPr>
              <w:t>承包人转包导致拖欠农民工工资的，由承包人先行清偿，再依法进行追偿。</w:t>
            </w:r>
          </w:p>
          <w:p w14:paraId="1332A3FC">
            <w:pPr>
              <w:spacing w:before="1" w:line="368" w:lineRule="auto"/>
              <w:ind w:left="109" w:right="97" w:firstLine="206"/>
              <w:rPr>
                <w:rFonts w:ascii="宋体" w:hAnsi="宋体" w:eastAsia="宋体" w:cs="宋体"/>
                <w:sz w:val="20"/>
                <w:szCs w:val="20"/>
                <w:highlight w:val="none"/>
              </w:rPr>
            </w:pPr>
            <w:r>
              <w:rPr>
                <w:rFonts w:ascii="Times New Roman" w:hAnsi="Times New Roman" w:eastAsia="Times New Roman" w:cs="Times New Roman"/>
                <w:sz w:val="20"/>
                <w:szCs w:val="20"/>
                <w:highlight w:val="none"/>
              </w:rPr>
              <w:t>h</w:t>
            </w:r>
            <w:r>
              <w:rPr>
                <w:rFonts w:ascii="宋体" w:hAnsi="宋体" w:eastAsia="宋体" w:cs="宋体"/>
                <w:spacing w:val="6"/>
                <w:sz w:val="20"/>
                <w:szCs w:val="20"/>
                <w:highlight w:val="none"/>
              </w:rPr>
              <w:t>、承包人应当</w:t>
            </w:r>
            <w:r>
              <w:rPr>
                <w:rFonts w:ascii="宋体" w:hAnsi="宋体" w:eastAsia="宋体" w:cs="宋体"/>
                <w:spacing w:val="5"/>
                <w:sz w:val="20"/>
                <w:szCs w:val="20"/>
                <w:highlight w:val="none"/>
              </w:rPr>
              <w:t>按</w:t>
            </w:r>
            <w:r>
              <w:rPr>
                <w:rFonts w:ascii="宋体" w:hAnsi="宋体" w:eastAsia="宋体" w:cs="宋体"/>
                <w:spacing w:val="3"/>
                <w:sz w:val="20"/>
                <w:szCs w:val="20"/>
                <w:highlight w:val="none"/>
              </w:rPr>
              <w:t>照项目所在省、市的人力资源社会保障行政部门、交通运输主管</w:t>
            </w:r>
            <w:r>
              <w:rPr>
                <w:rFonts w:ascii="宋体" w:hAnsi="宋体" w:eastAsia="宋体" w:cs="宋体"/>
                <w:spacing w:val="8"/>
                <w:sz w:val="20"/>
                <w:szCs w:val="20"/>
                <w:highlight w:val="none"/>
              </w:rPr>
              <w:t>部</w:t>
            </w:r>
            <w:r>
              <w:rPr>
                <w:rFonts w:ascii="宋体" w:hAnsi="宋体" w:eastAsia="宋体" w:cs="宋体"/>
                <w:spacing w:val="5"/>
                <w:sz w:val="20"/>
                <w:szCs w:val="20"/>
                <w:highlight w:val="none"/>
              </w:rPr>
              <w:t>门等的有关规定存储工资保证金。</w:t>
            </w:r>
          </w:p>
          <w:p w14:paraId="3917CBB9">
            <w:pPr>
              <w:spacing w:before="1" w:line="368" w:lineRule="auto"/>
              <w:ind w:left="109" w:right="97" w:firstLine="206"/>
              <w:rPr>
                <w:rFonts w:ascii="宋体" w:hAnsi="宋体" w:eastAsia="宋体" w:cs="宋体"/>
                <w:sz w:val="20"/>
                <w:szCs w:val="20"/>
                <w:highlight w:val="none"/>
              </w:rPr>
            </w:pPr>
            <w:r>
              <w:rPr>
                <w:rFonts w:ascii="Times New Roman" w:hAnsi="Times New Roman" w:eastAsia="Times New Roman" w:cs="Times New Roman"/>
                <w:sz w:val="20"/>
                <w:szCs w:val="20"/>
                <w:highlight w:val="none"/>
              </w:rPr>
              <w:t>i</w:t>
            </w:r>
            <w:r>
              <w:rPr>
                <w:rFonts w:ascii="Times New Roman" w:hAnsi="Times New Roman" w:eastAsia="Times New Roman" w:cs="Times New Roman"/>
                <w:spacing w:val="6"/>
                <w:sz w:val="20"/>
                <w:szCs w:val="20"/>
                <w:highlight w:val="none"/>
              </w:rPr>
              <w:t xml:space="preserve"> </w:t>
            </w:r>
            <w:r>
              <w:rPr>
                <w:rFonts w:ascii="宋体" w:hAnsi="宋体" w:eastAsia="宋体" w:cs="宋体"/>
                <w:spacing w:val="6"/>
                <w:sz w:val="20"/>
                <w:szCs w:val="20"/>
                <w:highlight w:val="none"/>
              </w:rPr>
              <w:t>、</w:t>
            </w:r>
            <w:r>
              <w:rPr>
                <w:rFonts w:ascii="宋体" w:hAnsi="宋体" w:eastAsia="宋体" w:cs="宋体"/>
                <w:spacing w:val="3"/>
                <w:sz w:val="20"/>
                <w:szCs w:val="20"/>
                <w:highlight w:val="none"/>
              </w:rPr>
              <w:t>承包人应当在施工现场醒目位置设立维权信息告示牌，明示下列事项：①发包</w:t>
            </w:r>
            <w:r>
              <w:rPr>
                <w:rFonts w:ascii="宋体" w:hAnsi="宋体" w:eastAsia="宋体" w:cs="宋体"/>
                <w:spacing w:val="12"/>
                <w:sz w:val="20"/>
                <w:szCs w:val="20"/>
                <w:highlight w:val="none"/>
              </w:rPr>
              <w:t>人</w:t>
            </w:r>
            <w:r>
              <w:rPr>
                <w:rFonts w:ascii="宋体" w:hAnsi="宋体" w:eastAsia="宋体" w:cs="宋体"/>
                <w:spacing w:val="6"/>
                <w:sz w:val="20"/>
                <w:szCs w:val="20"/>
                <w:highlight w:val="none"/>
              </w:rPr>
              <w:t>、承包人及所在项目部、分包单位、相关行业工程建设主管部门、劳资专管员等</w:t>
            </w:r>
            <w:r>
              <w:rPr>
                <w:rFonts w:ascii="宋体" w:hAnsi="宋体" w:eastAsia="宋体" w:cs="宋体"/>
                <w:spacing w:val="12"/>
                <w:sz w:val="20"/>
                <w:szCs w:val="20"/>
                <w:highlight w:val="none"/>
              </w:rPr>
              <w:t>基</w:t>
            </w:r>
            <w:r>
              <w:rPr>
                <w:rFonts w:ascii="宋体" w:hAnsi="宋体" w:eastAsia="宋体" w:cs="宋体"/>
                <w:spacing w:val="8"/>
                <w:sz w:val="20"/>
                <w:szCs w:val="20"/>
                <w:highlight w:val="none"/>
              </w:rPr>
              <w:t>本</w:t>
            </w:r>
            <w:r>
              <w:rPr>
                <w:rFonts w:ascii="宋体" w:hAnsi="宋体" w:eastAsia="宋体" w:cs="宋体"/>
                <w:spacing w:val="6"/>
                <w:sz w:val="20"/>
                <w:szCs w:val="20"/>
                <w:highlight w:val="none"/>
              </w:rPr>
              <w:t>信息；②当地最低工资标准、工资支付日期等基本信息；③交通运输主管部门</w:t>
            </w:r>
            <w:r>
              <w:rPr>
                <w:rFonts w:ascii="宋体" w:hAnsi="宋体" w:eastAsia="宋体" w:cs="宋体"/>
                <w:spacing w:val="10"/>
                <w:sz w:val="20"/>
                <w:szCs w:val="20"/>
                <w:highlight w:val="none"/>
              </w:rPr>
              <w:t>和</w:t>
            </w:r>
            <w:r>
              <w:rPr>
                <w:rFonts w:ascii="宋体" w:hAnsi="宋体" w:eastAsia="宋体" w:cs="宋体"/>
                <w:spacing w:val="8"/>
                <w:sz w:val="20"/>
                <w:szCs w:val="20"/>
                <w:highlight w:val="none"/>
              </w:rPr>
              <w:t>劳</w:t>
            </w:r>
            <w:r>
              <w:rPr>
                <w:rFonts w:ascii="宋体" w:hAnsi="宋体" w:eastAsia="宋体" w:cs="宋体"/>
                <w:spacing w:val="5"/>
                <w:sz w:val="20"/>
                <w:szCs w:val="20"/>
                <w:highlight w:val="none"/>
              </w:rPr>
              <w:t>动保障监察投诉举报电话、劳动争议调解仲裁申请渠道、法律援助申请渠道、</w:t>
            </w:r>
            <w:r>
              <w:rPr>
                <w:rFonts w:ascii="宋体" w:hAnsi="宋体" w:eastAsia="宋体" w:cs="宋体"/>
                <w:spacing w:val="8"/>
                <w:sz w:val="20"/>
                <w:szCs w:val="20"/>
                <w:highlight w:val="none"/>
              </w:rPr>
              <w:t>公</w:t>
            </w:r>
            <w:r>
              <w:rPr>
                <w:rFonts w:ascii="宋体" w:hAnsi="宋体" w:eastAsia="宋体" w:cs="宋体"/>
                <w:spacing w:val="5"/>
                <w:sz w:val="20"/>
                <w:szCs w:val="20"/>
                <w:highlight w:val="none"/>
              </w:rPr>
              <w:t>共</w:t>
            </w:r>
            <w:r>
              <w:rPr>
                <w:rFonts w:ascii="宋体" w:hAnsi="宋体" w:eastAsia="宋体" w:cs="宋体"/>
                <w:spacing w:val="4"/>
                <w:sz w:val="20"/>
                <w:szCs w:val="20"/>
                <w:highlight w:val="none"/>
              </w:rPr>
              <w:t>法律服务热线等信息。</w:t>
            </w:r>
          </w:p>
          <w:p w14:paraId="21FACAD6">
            <w:pPr>
              <w:spacing w:before="1" w:line="368" w:lineRule="auto"/>
              <w:ind w:left="109" w:right="97" w:firstLine="206"/>
              <w:rPr>
                <w:rFonts w:ascii="Times New Roman" w:hAnsi="Times New Roman" w:eastAsia="Times New Roman" w:cs="Times New Roman"/>
                <w:sz w:val="20"/>
                <w:szCs w:val="20"/>
                <w:highlight w:val="none"/>
              </w:rPr>
            </w:pPr>
            <w:r>
              <w:rPr>
                <w:rFonts w:ascii="宋体" w:hAnsi="宋体" w:eastAsia="宋体" w:cs="宋体"/>
                <w:spacing w:val="12"/>
                <w:sz w:val="20"/>
                <w:szCs w:val="20"/>
                <w:highlight w:val="none"/>
              </w:rPr>
              <w:t>承</w:t>
            </w:r>
            <w:r>
              <w:rPr>
                <w:rFonts w:ascii="宋体" w:hAnsi="宋体" w:eastAsia="宋体" w:cs="宋体"/>
                <w:spacing w:val="10"/>
                <w:sz w:val="20"/>
                <w:szCs w:val="20"/>
                <w:highlight w:val="none"/>
              </w:rPr>
              <w:t>包</w:t>
            </w:r>
            <w:r>
              <w:rPr>
                <w:rFonts w:ascii="宋体" w:hAnsi="宋体" w:eastAsia="宋体" w:cs="宋体"/>
                <w:spacing w:val="6"/>
                <w:sz w:val="20"/>
                <w:szCs w:val="20"/>
                <w:highlight w:val="none"/>
              </w:rPr>
              <w:t>人在履行合同过程中出现拖欠或克扣农民工工资或与本工程有关的债务而导</w:t>
            </w:r>
            <w:r>
              <w:rPr>
                <w:rFonts w:ascii="宋体" w:hAnsi="宋体" w:eastAsia="宋体" w:cs="宋体"/>
                <w:spacing w:val="12"/>
                <w:sz w:val="20"/>
                <w:szCs w:val="20"/>
                <w:highlight w:val="none"/>
              </w:rPr>
              <w:t>致</w:t>
            </w:r>
            <w:r>
              <w:rPr>
                <w:rFonts w:ascii="宋体" w:hAnsi="宋体" w:eastAsia="宋体" w:cs="宋体"/>
                <w:spacing w:val="8"/>
                <w:sz w:val="20"/>
                <w:szCs w:val="20"/>
                <w:highlight w:val="none"/>
              </w:rPr>
              <w:t>阻</w:t>
            </w:r>
            <w:r>
              <w:rPr>
                <w:rFonts w:ascii="宋体" w:hAnsi="宋体" w:eastAsia="宋体" w:cs="宋体"/>
                <w:spacing w:val="6"/>
                <w:sz w:val="20"/>
                <w:szCs w:val="20"/>
                <w:highlight w:val="none"/>
              </w:rPr>
              <w:t>工、上访，经发包人、监理人及政府相关部门确认后，项目管理法人将停止对</w:t>
            </w:r>
            <w:r>
              <w:rPr>
                <w:rFonts w:ascii="宋体" w:hAnsi="宋体" w:eastAsia="宋体" w:cs="宋体"/>
                <w:spacing w:val="9"/>
                <w:sz w:val="20"/>
                <w:szCs w:val="20"/>
                <w:highlight w:val="none"/>
              </w:rPr>
              <w:t>承</w:t>
            </w:r>
            <w:r>
              <w:rPr>
                <w:rFonts w:ascii="宋体" w:hAnsi="宋体" w:eastAsia="宋体" w:cs="宋体"/>
                <w:spacing w:val="5"/>
                <w:sz w:val="20"/>
                <w:szCs w:val="20"/>
                <w:highlight w:val="none"/>
              </w:rPr>
              <w:t>包人的支付，直到其妥善处理为止。</w:t>
            </w:r>
          </w:p>
        </w:tc>
      </w:tr>
      <w:tr w14:paraId="11CC7D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64" w:hRule="atLeast"/>
        </w:trPr>
        <w:tc>
          <w:tcPr>
            <w:tcW w:w="534" w:type="dxa"/>
            <w:tcBorders>
              <w:left w:val="single" w:color="000000" w:sz="6" w:space="0"/>
            </w:tcBorders>
            <w:vAlign w:val="top"/>
          </w:tcPr>
          <w:p w14:paraId="4FA321E4">
            <w:pPr>
              <w:spacing w:line="252" w:lineRule="auto"/>
              <w:rPr>
                <w:rFonts w:ascii="Arial"/>
                <w:sz w:val="21"/>
                <w:highlight w:val="none"/>
              </w:rPr>
            </w:pPr>
          </w:p>
          <w:p w14:paraId="12D1ED40">
            <w:pPr>
              <w:spacing w:line="253" w:lineRule="auto"/>
              <w:rPr>
                <w:rFonts w:ascii="Arial"/>
                <w:sz w:val="21"/>
                <w:highlight w:val="none"/>
              </w:rPr>
            </w:pPr>
          </w:p>
          <w:p w14:paraId="20FDAEE6">
            <w:pPr>
              <w:spacing w:line="253" w:lineRule="auto"/>
              <w:rPr>
                <w:rFonts w:ascii="Arial"/>
                <w:sz w:val="21"/>
                <w:highlight w:val="none"/>
              </w:rPr>
            </w:pPr>
          </w:p>
          <w:p w14:paraId="71F9A6D1">
            <w:pPr>
              <w:spacing w:line="253" w:lineRule="auto"/>
              <w:rPr>
                <w:rFonts w:ascii="Arial"/>
                <w:sz w:val="21"/>
                <w:highlight w:val="none"/>
              </w:rPr>
            </w:pPr>
          </w:p>
          <w:p w14:paraId="570D53A9">
            <w:pPr>
              <w:spacing w:line="253" w:lineRule="auto"/>
              <w:rPr>
                <w:rFonts w:ascii="Arial"/>
                <w:sz w:val="21"/>
                <w:highlight w:val="none"/>
              </w:rPr>
            </w:pPr>
          </w:p>
          <w:p w14:paraId="719D6080">
            <w:pPr>
              <w:spacing w:before="57" w:line="195" w:lineRule="auto"/>
              <w:ind w:left="178" w:leftChars="0"/>
              <w:rPr>
                <w:rFonts w:ascii="Times New Roman" w:hAnsi="Times New Roman" w:eastAsia="Times New Roman" w:cs="Times New Roman"/>
                <w:spacing w:val="-8"/>
                <w:sz w:val="20"/>
                <w:szCs w:val="20"/>
                <w:highlight w:val="none"/>
              </w:rPr>
            </w:pPr>
            <w:r>
              <w:rPr>
                <w:rFonts w:ascii="Times New Roman" w:hAnsi="Times New Roman" w:eastAsia="Times New Roman" w:cs="Times New Roman"/>
                <w:spacing w:val="-11"/>
                <w:sz w:val="20"/>
                <w:szCs w:val="20"/>
                <w:highlight w:val="none"/>
              </w:rPr>
              <w:t>1</w:t>
            </w:r>
            <w:r>
              <w:rPr>
                <w:rFonts w:ascii="Times New Roman" w:hAnsi="Times New Roman" w:eastAsia="Times New Roman" w:cs="Times New Roman"/>
                <w:spacing w:val="-9"/>
                <w:sz w:val="20"/>
                <w:szCs w:val="20"/>
                <w:highlight w:val="none"/>
              </w:rPr>
              <w:t>1</w:t>
            </w:r>
          </w:p>
        </w:tc>
        <w:tc>
          <w:tcPr>
            <w:tcW w:w="1004" w:type="dxa"/>
            <w:vAlign w:val="top"/>
          </w:tcPr>
          <w:p w14:paraId="766DCDAC">
            <w:pPr>
              <w:spacing w:line="252" w:lineRule="auto"/>
              <w:rPr>
                <w:rFonts w:ascii="Arial"/>
                <w:sz w:val="21"/>
                <w:highlight w:val="none"/>
              </w:rPr>
            </w:pPr>
          </w:p>
          <w:p w14:paraId="4581E382">
            <w:pPr>
              <w:spacing w:line="252" w:lineRule="auto"/>
              <w:rPr>
                <w:rFonts w:ascii="Arial"/>
                <w:sz w:val="21"/>
                <w:highlight w:val="none"/>
              </w:rPr>
            </w:pPr>
          </w:p>
          <w:p w14:paraId="570F7F23">
            <w:pPr>
              <w:spacing w:line="253" w:lineRule="auto"/>
              <w:rPr>
                <w:rFonts w:ascii="Arial"/>
                <w:sz w:val="21"/>
                <w:highlight w:val="none"/>
              </w:rPr>
            </w:pPr>
          </w:p>
          <w:p w14:paraId="0CA6EB13">
            <w:pPr>
              <w:spacing w:line="253" w:lineRule="auto"/>
              <w:rPr>
                <w:rFonts w:ascii="Arial"/>
                <w:sz w:val="21"/>
                <w:highlight w:val="none"/>
              </w:rPr>
            </w:pPr>
          </w:p>
          <w:p w14:paraId="0EB6DA5B">
            <w:pPr>
              <w:spacing w:line="253" w:lineRule="auto"/>
              <w:rPr>
                <w:rFonts w:ascii="Arial"/>
                <w:sz w:val="21"/>
                <w:highlight w:val="none"/>
              </w:rPr>
            </w:pPr>
          </w:p>
          <w:p w14:paraId="1F6436BE">
            <w:pPr>
              <w:spacing w:before="58" w:line="198" w:lineRule="auto"/>
              <w:ind w:left="420" w:leftChars="0"/>
              <w:rPr>
                <w:rFonts w:ascii="Times New Roman" w:hAnsi="Times New Roman" w:eastAsia="Times New Roman" w:cs="Times New Roman"/>
                <w:spacing w:val="-6"/>
                <w:sz w:val="20"/>
                <w:szCs w:val="20"/>
                <w:highlight w:val="none"/>
              </w:rPr>
            </w:pPr>
            <w:r>
              <w:rPr>
                <w:rFonts w:ascii="Times New Roman" w:hAnsi="Times New Roman" w:eastAsia="Times New Roman" w:cs="Times New Roman"/>
                <w:spacing w:val="3"/>
                <w:sz w:val="20"/>
                <w:szCs w:val="20"/>
                <w:highlight w:val="none"/>
              </w:rPr>
              <w:t>4.2</w:t>
            </w:r>
          </w:p>
        </w:tc>
        <w:tc>
          <w:tcPr>
            <w:tcW w:w="7897" w:type="dxa"/>
            <w:tcBorders>
              <w:right w:val="single" w:color="000000" w:sz="6" w:space="0"/>
            </w:tcBorders>
            <w:vAlign w:val="top"/>
          </w:tcPr>
          <w:p w14:paraId="14745049">
            <w:pPr>
              <w:spacing w:before="1" w:line="368" w:lineRule="auto"/>
              <w:ind w:left="109" w:right="97" w:firstLine="206"/>
              <w:rPr>
                <w:rFonts w:ascii="宋体" w:hAnsi="宋体" w:eastAsia="宋体" w:cs="宋体"/>
                <w:sz w:val="20"/>
                <w:szCs w:val="20"/>
                <w:highlight w:val="none"/>
              </w:rPr>
            </w:pPr>
            <w:r>
              <w:rPr>
                <w:rFonts w:ascii="宋体" w:hAnsi="宋体" w:eastAsia="宋体" w:cs="宋体"/>
                <w:spacing w:val="6"/>
                <w:sz w:val="20"/>
                <w:szCs w:val="20"/>
                <w:highlight w:val="none"/>
              </w:rPr>
              <w:t>履约保证金</w:t>
            </w:r>
            <w:r>
              <w:rPr>
                <w:rFonts w:ascii="宋体" w:hAnsi="宋体" w:eastAsia="宋体" w:cs="宋体"/>
                <w:spacing w:val="4"/>
                <w:sz w:val="20"/>
                <w:szCs w:val="20"/>
                <w:highlight w:val="none"/>
              </w:rPr>
              <w:t>额</w:t>
            </w:r>
            <w:r>
              <w:rPr>
                <w:rFonts w:ascii="宋体" w:hAnsi="宋体" w:eastAsia="宋体" w:cs="宋体"/>
                <w:spacing w:val="3"/>
                <w:sz w:val="20"/>
                <w:szCs w:val="20"/>
                <w:highlight w:val="none"/>
              </w:rPr>
              <w:t>度为</w:t>
            </w:r>
            <w:r>
              <w:rPr>
                <w:rFonts w:ascii="宋体" w:hAnsi="宋体" w:eastAsia="宋体" w:cs="宋体"/>
                <w:spacing w:val="3"/>
                <w:sz w:val="20"/>
                <w:szCs w:val="20"/>
                <w:highlight w:val="none"/>
                <w:u w:val="single" w:color="auto"/>
              </w:rPr>
              <w:t xml:space="preserve"> </w:t>
            </w:r>
            <w:r>
              <w:rPr>
                <w:rFonts w:hint="eastAsia" w:ascii="宋体" w:hAnsi="宋体" w:cs="宋体"/>
                <w:spacing w:val="3"/>
                <w:sz w:val="20"/>
                <w:szCs w:val="20"/>
                <w:highlight w:val="none"/>
                <w:u w:val="single" w:color="auto"/>
                <w:lang w:val="en-US" w:eastAsia="zh-CN"/>
              </w:rPr>
              <w:t>合同额5%</w:t>
            </w:r>
            <w:r>
              <w:rPr>
                <w:rFonts w:ascii="Times New Roman" w:hAnsi="Times New Roman" w:eastAsia="Times New Roman" w:cs="Times New Roman"/>
                <w:spacing w:val="3"/>
                <w:sz w:val="20"/>
                <w:szCs w:val="20"/>
                <w:highlight w:val="none"/>
                <w:u w:val="single" w:color="auto"/>
              </w:rPr>
              <w:t xml:space="preserve">   </w:t>
            </w:r>
            <w:r>
              <w:rPr>
                <w:rFonts w:ascii="宋体" w:hAnsi="宋体" w:eastAsia="宋体" w:cs="宋体"/>
                <w:spacing w:val="3"/>
                <w:sz w:val="20"/>
                <w:szCs w:val="20"/>
                <w:highlight w:val="none"/>
              </w:rPr>
              <w:t>。</w:t>
            </w:r>
          </w:p>
          <w:p w14:paraId="422C4A9F">
            <w:pPr>
              <w:spacing w:before="1" w:line="368" w:lineRule="auto"/>
              <w:ind w:left="109" w:right="97" w:firstLine="206"/>
              <w:rPr>
                <w:rFonts w:ascii="宋体" w:hAnsi="宋体" w:eastAsia="宋体" w:cs="宋体"/>
                <w:sz w:val="20"/>
                <w:szCs w:val="20"/>
                <w:highlight w:val="none"/>
              </w:rPr>
            </w:pPr>
            <w:r>
              <w:rPr>
                <w:rFonts w:ascii="宋体" w:hAnsi="宋体" w:eastAsia="宋体" w:cs="宋体"/>
                <w:spacing w:val="12"/>
                <w:sz w:val="20"/>
                <w:szCs w:val="20"/>
                <w:highlight w:val="none"/>
              </w:rPr>
              <w:t>承</w:t>
            </w:r>
            <w:r>
              <w:rPr>
                <w:rFonts w:ascii="宋体" w:hAnsi="宋体" w:eastAsia="宋体" w:cs="宋体"/>
                <w:spacing w:val="10"/>
                <w:sz w:val="20"/>
                <w:szCs w:val="20"/>
                <w:highlight w:val="none"/>
              </w:rPr>
              <w:t>包</w:t>
            </w:r>
            <w:r>
              <w:rPr>
                <w:rFonts w:ascii="宋体" w:hAnsi="宋体" w:eastAsia="宋体" w:cs="宋体"/>
                <w:spacing w:val="6"/>
                <w:sz w:val="20"/>
                <w:szCs w:val="20"/>
                <w:highlight w:val="none"/>
              </w:rPr>
              <w:t>人应保证其履约保证金在发包人签发工程交工验收证书且承包人按照合同约</w:t>
            </w:r>
            <w:r>
              <w:rPr>
                <w:rFonts w:ascii="宋体" w:hAnsi="宋体" w:eastAsia="宋体" w:cs="宋体"/>
                <w:sz w:val="20"/>
                <w:szCs w:val="20"/>
                <w:highlight w:val="none"/>
              </w:rPr>
              <w:t xml:space="preserve"> </w:t>
            </w:r>
            <w:r>
              <w:rPr>
                <w:rFonts w:ascii="宋体" w:hAnsi="宋体" w:eastAsia="宋体" w:cs="宋体"/>
                <w:spacing w:val="2"/>
                <w:sz w:val="20"/>
                <w:szCs w:val="20"/>
                <w:highlight w:val="none"/>
              </w:rPr>
              <w:t xml:space="preserve">定缴纳质量保证金前一直有效。发包人应在收到承包人缴纳的质量保证金后 </w:t>
            </w:r>
            <w:r>
              <w:rPr>
                <w:rFonts w:ascii="Times New Roman" w:hAnsi="Times New Roman" w:eastAsia="Times New Roman" w:cs="Times New Roman"/>
                <w:spacing w:val="2"/>
                <w:sz w:val="20"/>
                <w:szCs w:val="20"/>
                <w:highlight w:val="none"/>
              </w:rPr>
              <w:t>28</w:t>
            </w:r>
            <w:r>
              <w:rPr>
                <w:rFonts w:ascii="宋体" w:hAnsi="宋体" w:eastAsia="宋体" w:cs="宋体"/>
                <w:spacing w:val="2"/>
                <w:sz w:val="20"/>
                <w:szCs w:val="20"/>
                <w:highlight w:val="none"/>
              </w:rPr>
              <w:t>天</w:t>
            </w:r>
            <w:r>
              <w:rPr>
                <w:rFonts w:ascii="宋体" w:hAnsi="宋体" w:eastAsia="宋体" w:cs="宋体"/>
                <w:sz w:val="20"/>
                <w:szCs w:val="20"/>
                <w:highlight w:val="none"/>
              </w:rPr>
              <w:t>内</w:t>
            </w:r>
            <w:r>
              <w:rPr>
                <w:rFonts w:ascii="宋体" w:hAnsi="宋体" w:eastAsia="宋体" w:cs="宋体"/>
                <w:spacing w:val="8"/>
                <w:sz w:val="20"/>
                <w:szCs w:val="20"/>
                <w:highlight w:val="none"/>
              </w:rPr>
              <w:t>将</w:t>
            </w:r>
            <w:r>
              <w:rPr>
                <w:rFonts w:ascii="宋体" w:hAnsi="宋体" w:eastAsia="宋体" w:cs="宋体"/>
                <w:spacing w:val="5"/>
                <w:sz w:val="20"/>
                <w:szCs w:val="20"/>
                <w:highlight w:val="none"/>
              </w:rPr>
              <w:t>履约保证金退还给承包人。</w:t>
            </w:r>
          </w:p>
          <w:p w14:paraId="370CBD8D">
            <w:pPr>
              <w:spacing w:before="1" w:line="368" w:lineRule="auto"/>
              <w:ind w:left="109" w:leftChars="0" w:right="97" w:firstLine="206"/>
              <w:rPr>
                <w:rFonts w:ascii="宋体" w:hAnsi="宋体" w:eastAsia="宋体" w:cs="宋体"/>
                <w:spacing w:val="9"/>
                <w:sz w:val="20"/>
                <w:szCs w:val="20"/>
                <w:highlight w:val="none"/>
              </w:rPr>
            </w:pPr>
            <w:r>
              <w:rPr>
                <w:rFonts w:ascii="宋体" w:hAnsi="宋体" w:eastAsia="宋体" w:cs="宋体"/>
                <w:spacing w:val="12"/>
                <w:sz w:val="20"/>
                <w:szCs w:val="20"/>
                <w:highlight w:val="none"/>
              </w:rPr>
              <w:t>承</w:t>
            </w:r>
            <w:r>
              <w:rPr>
                <w:rFonts w:ascii="宋体" w:hAnsi="宋体" w:eastAsia="宋体" w:cs="宋体"/>
                <w:spacing w:val="10"/>
                <w:sz w:val="20"/>
                <w:szCs w:val="20"/>
                <w:highlight w:val="none"/>
              </w:rPr>
              <w:t>包</w:t>
            </w:r>
            <w:r>
              <w:rPr>
                <w:rFonts w:ascii="宋体" w:hAnsi="宋体" w:eastAsia="宋体" w:cs="宋体"/>
                <w:spacing w:val="6"/>
                <w:sz w:val="20"/>
                <w:szCs w:val="20"/>
                <w:highlight w:val="none"/>
              </w:rPr>
              <w:t>人拒绝按照本合同约定缴纳质量保证金的，发包人有权从应付工程款中扣留</w:t>
            </w:r>
            <w:r>
              <w:rPr>
                <w:rFonts w:ascii="宋体" w:hAnsi="宋体" w:eastAsia="宋体" w:cs="宋体"/>
                <w:spacing w:val="12"/>
                <w:sz w:val="20"/>
                <w:szCs w:val="20"/>
                <w:highlight w:val="none"/>
              </w:rPr>
              <w:t>相</w:t>
            </w:r>
            <w:r>
              <w:rPr>
                <w:rFonts w:ascii="宋体" w:hAnsi="宋体" w:eastAsia="宋体" w:cs="宋体"/>
                <w:spacing w:val="8"/>
                <w:sz w:val="20"/>
                <w:szCs w:val="20"/>
                <w:highlight w:val="none"/>
              </w:rPr>
              <w:t>应</w:t>
            </w:r>
            <w:r>
              <w:rPr>
                <w:rFonts w:ascii="宋体" w:hAnsi="宋体" w:eastAsia="宋体" w:cs="宋体"/>
                <w:spacing w:val="6"/>
                <w:sz w:val="20"/>
                <w:szCs w:val="20"/>
                <w:highlight w:val="none"/>
              </w:rPr>
              <w:t>金额作为质量保证金，或者直接将履约保证金金额用于保证承包人在缺陷责任</w:t>
            </w:r>
            <w:r>
              <w:rPr>
                <w:rFonts w:ascii="宋体" w:hAnsi="宋体" w:eastAsia="宋体" w:cs="宋体"/>
                <w:spacing w:val="8"/>
                <w:sz w:val="20"/>
                <w:szCs w:val="20"/>
                <w:highlight w:val="none"/>
              </w:rPr>
              <w:t>期</w:t>
            </w:r>
            <w:r>
              <w:rPr>
                <w:rFonts w:ascii="宋体" w:hAnsi="宋体" w:eastAsia="宋体" w:cs="宋体"/>
                <w:spacing w:val="7"/>
                <w:sz w:val="20"/>
                <w:szCs w:val="20"/>
                <w:highlight w:val="none"/>
              </w:rPr>
              <w:t>内</w:t>
            </w:r>
            <w:r>
              <w:rPr>
                <w:rFonts w:ascii="宋体" w:hAnsi="宋体" w:eastAsia="宋体" w:cs="宋体"/>
                <w:spacing w:val="4"/>
                <w:sz w:val="20"/>
                <w:szCs w:val="20"/>
                <w:highlight w:val="none"/>
              </w:rPr>
              <w:t>履行缺陷修复义务。</w:t>
            </w:r>
          </w:p>
        </w:tc>
      </w:tr>
      <w:tr w14:paraId="6E6672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64" w:hRule="atLeast"/>
        </w:trPr>
        <w:tc>
          <w:tcPr>
            <w:tcW w:w="534" w:type="dxa"/>
            <w:tcBorders>
              <w:left w:val="single" w:color="000000" w:sz="6" w:space="0"/>
            </w:tcBorders>
            <w:vAlign w:val="top"/>
          </w:tcPr>
          <w:p w14:paraId="38DDD3F8">
            <w:pPr>
              <w:spacing w:line="266" w:lineRule="auto"/>
              <w:rPr>
                <w:rFonts w:ascii="Arial"/>
                <w:sz w:val="21"/>
                <w:highlight w:val="none"/>
              </w:rPr>
            </w:pPr>
          </w:p>
          <w:p w14:paraId="402B2F6B">
            <w:pPr>
              <w:spacing w:line="266" w:lineRule="auto"/>
              <w:rPr>
                <w:rFonts w:ascii="Arial"/>
                <w:sz w:val="21"/>
                <w:highlight w:val="none"/>
              </w:rPr>
            </w:pPr>
          </w:p>
          <w:p w14:paraId="2A22D099">
            <w:pPr>
              <w:spacing w:line="266" w:lineRule="auto"/>
              <w:rPr>
                <w:rFonts w:ascii="Arial"/>
                <w:sz w:val="21"/>
                <w:highlight w:val="none"/>
              </w:rPr>
            </w:pPr>
          </w:p>
          <w:p w14:paraId="642B42C8">
            <w:pPr>
              <w:spacing w:line="266" w:lineRule="auto"/>
              <w:rPr>
                <w:rFonts w:ascii="Arial"/>
                <w:sz w:val="21"/>
                <w:highlight w:val="none"/>
              </w:rPr>
            </w:pPr>
          </w:p>
          <w:p w14:paraId="100A7D6B">
            <w:pPr>
              <w:spacing w:line="266" w:lineRule="auto"/>
              <w:rPr>
                <w:rFonts w:ascii="Arial"/>
                <w:sz w:val="21"/>
                <w:highlight w:val="none"/>
              </w:rPr>
            </w:pPr>
          </w:p>
          <w:p w14:paraId="49822B13">
            <w:pPr>
              <w:spacing w:line="266" w:lineRule="auto"/>
              <w:rPr>
                <w:rFonts w:ascii="Arial"/>
                <w:sz w:val="21"/>
                <w:highlight w:val="none"/>
              </w:rPr>
            </w:pPr>
          </w:p>
          <w:p w14:paraId="0E80A78A">
            <w:pPr>
              <w:spacing w:line="266" w:lineRule="auto"/>
              <w:rPr>
                <w:rFonts w:ascii="Arial"/>
                <w:sz w:val="21"/>
                <w:highlight w:val="none"/>
              </w:rPr>
            </w:pPr>
          </w:p>
          <w:p w14:paraId="042079BC">
            <w:pPr>
              <w:spacing w:before="57" w:line="195" w:lineRule="auto"/>
              <w:ind w:left="176" w:leftChars="0"/>
              <w:rPr>
                <w:rFonts w:ascii="Times New Roman" w:hAnsi="Times New Roman" w:eastAsia="Times New Roman" w:cs="Times New Roman"/>
                <w:spacing w:val="-8"/>
                <w:sz w:val="20"/>
                <w:szCs w:val="20"/>
                <w:highlight w:val="none"/>
              </w:rPr>
            </w:pPr>
            <w:r>
              <w:rPr>
                <w:rFonts w:ascii="Times New Roman" w:hAnsi="Times New Roman" w:eastAsia="Times New Roman" w:cs="Times New Roman"/>
                <w:spacing w:val="-8"/>
                <w:sz w:val="20"/>
                <w:szCs w:val="20"/>
                <w:highlight w:val="none"/>
              </w:rPr>
              <w:t>1</w:t>
            </w:r>
            <w:r>
              <w:rPr>
                <w:rFonts w:ascii="Times New Roman" w:hAnsi="Times New Roman" w:eastAsia="Times New Roman" w:cs="Times New Roman"/>
                <w:spacing w:val="-7"/>
                <w:sz w:val="20"/>
                <w:szCs w:val="20"/>
                <w:highlight w:val="none"/>
              </w:rPr>
              <w:t>2</w:t>
            </w:r>
          </w:p>
        </w:tc>
        <w:tc>
          <w:tcPr>
            <w:tcW w:w="1004" w:type="dxa"/>
            <w:vAlign w:val="top"/>
          </w:tcPr>
          <w:p w14:paraId="42191E76">
            <w:pPr>
              <w:spacing w:line="265" w:lineRule="auto"/>
              <w:rPr>
                <w:rFonts w:ascii="Arial"/>
                <w:sz w:val="21"/>
                <w:highlight w:val="none"/>
              </w:rPr>
            </w:pPr>
          </w:p>
          <w:p w14:paraId="3A78922A">
            <w:pPr>
              <w:spacing w:line="266" w:lineRule="auto"/>
              <w:rPr>
                <w:rFonts w:ascii="Arial"/>
                <w:sz w:val="21"/>
                <w:highlight w:val="none"/>
              </w:rPr>
            </w:pPr>
          </w:p>
          <w:p w14:paraId="5FA5C78F">
            <w:pPr>
              <w:spacing w:line="266" w:lineRule="auto"/>
              <w:rPr>
                <w:rFonts w:ascii="Arial"/>
                <w:sz w:val="21"/>
                <w:highlight w:val="none"/>
              </w:rPr>
            </w:pPr>
          </w:p>
          <w:p w14:paraId="7F0A9695">
            <w:pPr>
              <w:spacing w:line="266" w:lineRule="auto"/>
              <w:rPr>
                <w:rFonts w:ascii="Arial"/>
                <w:sz w:val="21"/>
                <w:highlight w:val="none"/>
              </w:rPr>
            </w:pPr>
          </w:p>
          <w:p w14:paraId="1A446496">
            <w:pPr>
              <w:spacing w:line="266" w:lineRule="auto"/>
              <w:rPr>
                <w:rFonts w:ascii="Arial"/>
                <w:sz w:val="21"/>
                <w:highlight w:val="none"/>
              </w:rPr>
            </w:pPr>
          </w:p>
          <w:p w14:paraId="497CA1CD">
            <w:pPr>
              <w:spacing w:line="266" w:lineRule="auto"/>
              <w:rPr>
                <w:rFonts w:ascii="Arial"/>
                <w:sz w:val="21"/>
                <w:highlight w:val="none"/>
              </w:rPr>
            </w:pPr>
          </w:p>
          <w:p w14:paraId="43C80DF2">
            <w:pPr>
              <w:spacing w:line="266" w:lineRule="auto"/>
              <w:rPr>
                <w:rFonts w:ascii="Arial"/>
                <w:sz w:val="21"/>
                <w:highlight w:val="none"/>
              </w:rPr>
            </w:pPr>
          </w:p>
          <w:p w14:paraId="2AB78202">
            <w:pPr>
              <w:spacing w:before="58" w:line="198" w:lineRule="auto"/>
              <w:ind w:left="341" w:leftChars="0"/>
              <w:rPr>
                <w:rFonts w:ascii="Times New Roman" w:hAnsi="Times New Roman" w:eastAsia="Times New Roman" w:cs="Times New Roman"/>
                <w:spacing w:val="-6"/>
                <w:sz w:val="20"/>
                <w:szCs w:val="20"/>
                <w:highlight w:val="none"/>
              </w:rPr>
            </w:pPr>
            <w:r>
              <w:rPr>
                <w:rFonts w:ascii="Times New Roman" w:hAnsi="Times New Roman" w:eastAsia="Times New Roman" w:cs="Times New Roman"/>
                <w:spacing w:val="3"/>
                <w:sz w:val="20"/>
                <w:szCs w:val="20"/>
                <w:highlight w:val="none"/>
              </w:rPr>
              <w:t>4.3.4</w:t>
            </w:r>
          </w:p>
        </w:tc>
        <w:tc>
          <w:tcPr>
            <w:tcW w:w="7897" w:type="dxa"/>
            <w:tcBorders>
              <w:right w:val="single" w:color="000000" w:sz="6" w:space="0"/>
            </w:tcBorders>
            <w:vAlign w:val="top"/>
          </w:tcPr>
          <w:p w14:paraId="099E8EDA">
            <w:pPr>
              <w:spacing w:before="140" w:line="228" w:lineRule="auto"/>
              <w:ind w:left="310"/>
              <w:rPr>
                <w:rFonts w:ascii="宋体" w:hAnsi="宋体" w:eastAsia="宋体" w:cs="宋体"/>
                <w:sz w:val="20"/>
                <w:szCs w:val="20"/>
                <w:highlight w:val="none"/>
              </w:rPr>
            </w:pPr>
            <w:r>
              <w:rPr>
                <w:rFonts w:ascii="Times New Roman" w:hAnsi="Times New Roman" w:eastAsia="Times New Roman" w:cs="Times New Roman"/>
                <w:spacing w:val="3"/>
                <w:sz w:val="20"/>
                <w:szCs w:val="20"/>
                <w:highlight w:val="none"/>
              </w:rPr>
              <w:t xml:space="preserve">4.3.4  </w:t>
            </w:r>
            <w:r>
              <w:rPr>
                <w:rFonts w:ascii="宋体" w:hAnsi="宋体" w:eastAsia="宋体" w:cs="宋体"/>
                <w:spacing w:val="3"/>
                <w:sz w:val="20"/>
                <w:szCs w:val="20"/>
                <w:highlight w:val="none"/>
              </w:rPr>
              <w:t>劳务分</w:t>
            </w:r>
            <w:r>
              <w:rPr>
                <w:rFonts w:ascii="宋体" w:hAnsi="宋体" w:eastAsia="宋体" w:cs="宋体"/>
                <w:spacing w:val="1"/>
                <w:sz w:val="20"/>
                <w:szCs w:val="20"/>
                <w:highlight w:val="none"/>
              </w:rPr>
              <w:t>包</w:t>
            </w:r>
          </w:p>
          <w:p w14:paraId="712DBF63">
            <w:pPr>
              <w:spacing w:before="154" w:line="227" w:lineRule="auto"/>
              <w:ind w:left="316"/>
              <w:rPr>
                <w:rFonts w:ascii="宋体" w:hAnsi="宋体" w:eastAsia="宋体" w:cs="宋体"/>
                <w:sz w:val="20"/>
                <w:szCs w:val="20"/>
                <w:highlight w:val="none"/>
              </w:rPr>
            </w:pPr>
            <w:r>
              <w:rPr>
                <w:rFonts w:ascii="宋体" w:hAnsi="宋体" w:eastAsia="宋体" w:cs="宋体"/>
                <w:spacing w:val="4"/>
                <w:sz w:val="20"/>
                <w:szCs w:val="20"/>
                <w:highlight w:val="none"/>
              </w:rPr>
              <w:t>本</w:t>
            </w:r>
            <w:r>
              <w:rPr>
                <w:rFonts w:ascii="宋体" w:hAnsi="宋体" w:eastAsia="宋体" w:cs="宋体"/>
                <w:spacing w:val="3"/>
                <w:sz w:val="20"/>
                <w:szCs w:val="20"/>
                <w:highlight w:val="none"/>
              </w:rPr>
              <w:t>项补充：</w:t>
            </w:r>
          </w:p>
          <w:p w14:paraId="440C31DE">
            <w:pPr>
              <w:spacing w:before="154" w:line="369" w:lineRule="auto"/>
              <w:ind w:left="108" w:right="99" w:firstLine="217"/>
              <w:rPr>
                <w:rFonts w:ascii="宋体" w:hAnsi="宋体" w:eastAsia="宋体" w:cs="宋体"/>
                <w:sz w:val="20"/>
                <w:szCs w:val="20"/>
                <w:highlight w:val="none"/>
              </w:rPr>
            </w:pPr>
            <w:r>
              <w:rPr>
                <w:rFonts w:ascii="宋体" w:hAnsi="宋体" w:eastAsia="宋体" w:cs="宋体"/>
                <w:spacing w:val="10"/>
                <w:sz w:val="20"/>
                <w:szCs w:val="20"/>
                <w:highlight w:val="none"/>
              </w:rPr>
              <w:t>(</w:t>
            </w:r>
            <w:r>
              <w:rPr>
                <w:rFonts w:ascii="Times New Roman" w:hAnsi="Times New Roman" w:eastAsia="Times New Roman" w:cs="Times New Roman"/>
                <w:spacing w:val="10"/>
                <w:sz w:val="20"/>
                <w:szCs w:val="20"/>
                <w:highlight w:val="none"/>
              </w:rPr>
              <w:t>5</w:t>
            </w:r>
            <w:r>
              <w:rPr>
                <w:rFonts w:ascii="宋体" w:hAnsi="宋体" w:eastAsia="宋体" w:cs="宋体"/>
                <w:spacing w:val="10"/>
                <w:sz w:val="20"/>
                <w:szCs w:val="20"/>
                <w:highlight w:val="none"/>
              </w:rPr>
              <w:t xml:space="preserve">) </w:t>
            </w:r>
            <w:r>
              <w:rPr>
                <w:rFonts w:ascii="宋体" w:hAnsi="宋体" w:eastAsia="宋体" w:cs="宋体"/>
                <w:spacing w:val="8"/>
                <w:sz w:val="20"/>
                <w:szCs w:val="20"/>
                <w:highlight w:val="none"/>
              </w:rPr>
              <w:t>劳</w:t>
            </w:r>
            <w:r>
              <w:rPr>
                <w:rFonts w:ascii="宋体" w:hAnsi="宋体" w:eastAsia="宋体" w:cs="宋体"/>
                <w:spacing w:val="5"/>
                <w:sz w:val="20"/>
                <w:szCs w:val="20"/>
                <w:highlight w:val="none"/>
              </w:rPr>
              <w:t>务分包合同应当包括以下内容：劳务合同期限、工作内容和工作时间、劳</w:t>
            </w:r>
            <w:r>
              <w:rPr>
                <w:rFonts w:ascii="宋体" w:hAnsi="宋体" w:eastAsia="宋体" w:cs="宋体"/>
                <w:spacing w:val="9"/>
                <w:sz w:val="20"/>
                <w:szCs w:val="20"/>
                <w:highlight w:val="none"/>
              </w:rPr>
              <w:t>动</w:t>
            </w:r>
            <w:r>
              <w:rPr>
                <w:rFonts w:ascii="宋体" w:hAnsi="宋体" w:eastAsia="宋体" w:cs="宋体"/>
                <w:spacing w:val="6"/>
                <w:sz w:val="20"/>
                <w:szCs w:val="20"/>
                <w:highlight w:val="none"/>
              </w:rPr>
              <w:t>保护和劳动条件、劳务报酬 (在劳动合同中要明确工资以货币形式按月支付，并约定支付的时间、标准和支付方式) 、劳动纪律 (在劳动合同中明确要求农民工</w:t>
            </w:r>
            <w:r>
              <w:rPr>
                <w:rFonts w:ascii="宋体" w:hAnsi="宋体" w:eastAsia="宋体" w:cs="宋体"/>
                <w:spacing w:val="3"/>
                <w:sz w:val="20"/>
                <w:szCs w:val="20"/>
                <w:highlight w:val="none"/>
              </w:rPr>
              <w:t>遵</w:t>
            </w:r>
            <w:r>
              <w:rPr>
                <w:rFonts w:ascii="宋体" w:hAnsi="宋体" w:eastAsia="宋体" w:cs="宋体"/>
                <w:spacing w:val="12"/>
                <w:sz w:val="20"/>
                <w:szCs w:val="20"/>
                <w:highlight w:val="none"/>
              </w:rPr>
              <w:t>守</w:t>
            </w:r>
            <w:r>
              <w:rPr>
                <w:rFonts w:ascii="宋体" w:hAnsi="宋体" w:eastAsia="宋体" w:cs="宋体"/>
                <w:spacing w:val="9"/>
                <w:sz w:val="20"/>
                <w:szCs w:val="20"/>
                <w:highlight w:val="none"/>
              </w:rPr>
              <w:t>的</w:t>
            </w:r>
            <w:r>
              <w:rPr>
                <w:rFonts w:ascii="宋体" w:hAnsi="宋体" w:eastAsia="宋体" w:cs="宋体"/>
                <w:spacing w:val="6"/>
                <w:sz w:val="20"/>
                <w:szCs w:val="20"/>
                <w:highlight w:val="none"/>
              </w:rPr>
              <w:t>用人单位依法制定的有关规章制度，用人单位应当在签订劳动合同前告知农民工) 、违反劳务合同的责任 (劳务合同中应当约定违约责任，一方违反劳务合同</w:t>
            </w:r>
            <w:r>
              <w:rPr>
                <w:rFonts w:ascii="宋体" w:hAnsi="宋体" w:eastAsia="宋体" w:cs="宋体"/>
                <w:spacing w:val="3"/>
                <w:sz w:val="20"/>
                <w:szCs w:val="20"/>
                <w:highlight w:val="none"/>
              </w:rPr>
              <w:t>给</w:t>
            </w:r>
            <w:r>
              <w:rPr>
                <w:rFonts w:ascii="宋体" w:hAnsi="宋体" w:eastAsia="宋体" w:cs="宋体"/>
                <w:spacing w:val="10"/>
                <w:sz w:val="20"/>
                <w:szCs w:val="20"/>
                <w:highlight w:val="none"/>
              </w:rPr>
              <w:t>对方造</w:t>
            </w:r>
            <w:r>
              <w:rPr>
                <w:rFonts w:ascii="宋体" w:hAnsi="宋体" w:eastAsia="宋体" w:cs="宋体"/>
                <w:spacing w:val="5"/>
                <w:sz w:val="20"/>
                <w:szCs w:val="20"/>
                <w:highlight w:val="none"/>
              </w:rPr>
              <w:t>成经济损失的，要按《劳动法》等有关法律规定承担赔偿责任) 。</w:t>
            </w:r>
          </w:p>
          <w:p w14:paraId="77C85A24">
            <w:pPr>
              <w:spacing w:line="400" w:lineRule="exact"/>
              <w:ind w:left="325"/>
              <w:rPr>
                <w:rFonts w:ascii="宋体" w:hAnsi="宋体" w:eastAsia="宋体" w:cs="宋体"/>
                <w:sz w:val="20"/>
                <w:szCs w:val="20"/>
                <w:highlight w:val="none"/>
              </w:rPr>
            </w:pPr>
            <w:r>
              <w:rPr>
                <w:rFonts w:ascii="宋体" w:hAnsi="宋体" w:eastAsia="宋体" w:cs="宋体"/>
                <w:spacing w:val="10"/>
                <w:position w:val="15"/>
                <w:sz w:val="20"/>
                <w:szCs w:val="20"/>
                <w:highlight w:val="none"/>
              </w:rPr>
              <w:t>(</w:t>
            </w:r>
            <w:r>
              <w:rPr>
                <w:rFonts w:ascii="Times New Roman" w:hAnsi="Times New Roman" w:eastAsia="Times New Roman" w:cs="Times New Roman"/>
                <w:spacing w:val="10"/>
                <w:position w:val="15"/>
                <w:sz w:val="20"/>
                <w:szCs w:val="20"/>
                <w:highlight w:val="none"/>
              </w:rPr>
              <w:t>6</w:t>
            </w:r>
            <w:r>
              <w:rPr>
                <w:rFonts w:ascii="宋体" w:hAnsi="宋体" w:eastAsia="宋体" w:cs="宋体"/>
                <w:spacing w:val="10"/>
                <w:position w:val="15"/>
                <w:sz w:val="20"/>
                <w:szCs w:val="20"/>
                <w:highlight w:val="none"/>
              </w:rPr>
              <w:t>) 发</w:t>
            </w:r>
            <w:r>
              <w:rPr>
                <w:rFonts w:ascii="宋体" w:hAnsi="宋体" w:eastAsia="宋体" w:cs="宋体"/>
                <w:spacing w:val="5"/>
                <w:position w:val="15"/>
                <w:sz w:val="20"/>
                <w:szCs w:val="20"/>
                <w:highlight w:val="none"/>
              </w:rPr>
              <w:t>包人批准的劳务分包并不免除本合同规定的承包人的任何责任或义务，发</w:t>
            </w:r>
          </w:p>
          <w:p w14:paraId="16EA4D20">
            <w:pPr>
              <w:spacing w:line="224" w:lineRule="auto"/>
              <w:ind w:left="109" w:leftChars="0"/>
              <w:rPr>
                <w:rFonts w:ascii="宋体" w:hAnsi="宋体" w:eastAsia="宋体" w:cs="宋体"/>
                <w:spacing w:val="9"/>
                <w:sz w:val="20"/>
                <w:szCs w:val="20"/>
                <w:highlight w:val="none"/>
              </w:rPr>
            </w:pPr>
            <w:r>
              <w:rPr>
                <w:rFonts w:ascii="宋体" w:hAnsi="宋体" w:eastAsia="宋体" w:cs="宋体"/>
                <w:spacing w:val="10"/>
                <w:sz w:val="20"/>
                <w:szCs w:val="20"/>
                <w:highlight w:val="none"/>
              </w:rPr>
              <w:t>包人对承</w:t>
            </w:r>
            <w:r>
              <w:rPr>
                <w:rFonts w:ascii="宋体" w:hAnsi="宋体" w:eastAsia="宋体" w:cs="宋体"/>
                <w:spacing w:val="7"/>
                <w:sz w:val="20"/>
                <w:szCs w:val="20"/>
                <w:highlight w:val="none"/>
              </w:rPr>
              <w:t>包</w:t>
            </w:r>
            <w:r>
              <w:rPr>
                <w:rFonts w:ascii="宋体" w:hAnsi="宋体" w:eastAsia="宋体" w:cs="宋体"/>
                <w:spacing w:val="5"/>
                <w:sz w:val="20"/>
                <w:szCs w:val="20"/>
                <w:highlight w:val="none"/>
              </w:rPr>
              <w:t>人与劳务分包人之间的法律与经济纠纷不承担任何责任和义务。</w:t>
            </w:r>
          </w:p>
        </w:tc>
      </w:tr>
      <w:tr w14:paraId="2B2280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534" w:type="dxa"/>
            <w:tcBorders>
              <w:left w:val="single" w:color="000000" w:sz="6" w:space="0"/>
            </w:tcBorders>
            <w:vAlign w:val="top"/>
          </w:tcPr>
          <w:p w14:paraId="21290D49">
            <w:pPr>
              <w:spacing w:line="267" w:lineRule="auto"/>
              <w:rPr>
                <w:rFonts w:ascii="Arial"/>
                <w:sz w:val="21"/>
                <w:highlight w:val="none"/>
              </w:rPr>
            </w:pPr>
          </w:p>
          <w:p w14:paraId="21B3D4C8">
            <w:pPr>
              <w:spacing w:line="267" w:lineRule="auto"/>
              <w:rPr>
                <w:rFonts w:ascii="Arial"/>
                <w:sz w:val="21"/>
                <w:highlight w:val="none"/>
              </w:rPr>
            </w:pPr>
          </w:p>
          <w:p w14:paraId="09C07C2C">
            <w:pPr>
              <w:spacing w:line="267" w:lineRule="auto"/>
              <w:rPr>
                <w:rFonts w:ascii="Arial"/>
                <w:sz w:val="21"/>
                <w:highlight w:val="none"/>
              </w:rPr>
            </w:pPr>
          </w:p>
          <w:p w14:paraId="621C82A0">
            <w:pPr>
              <w:spacing w:line="268" w:lineRule="auto"/>
              <w:rPr>
                <w:rFonts w:ascii="Arial"/>
                <w:sz w:val="21"/>
                <w:highlight w:val="none"/>
              </w:rPr>
            </w:pPr>
          </w:p>
          <w:p w14:paraId="4D296BCC">
            <w:pPr>
              <w:spacing w:before="57" w:line="195" w:lineRule="auto"/>
              <w:ind w:left="176" w:leftChars="0"/>
              <w:rPr>
                <w:rFonts w:ascii="Times New Roman" w:hAnsi="Times New Roman" w:eastAsia="Times New Roman" w:cs="Times New Roman"/>
                <w:spacing w:val="-8"/>
                <w:sz w:val="20"/>
                <w:szCs w:val="20"/>
                <w:highlight w:val="none"/>
              </w:rPr>
            </w:pPr>
            <w:r>
              <w:rPr>
                <w:rFonts w:ascii="Times New Roman" w:hAnsi="Times New Roman" w:eastAsia="Times New Roman" w:cs="Times New Roman"/>
                <w:spacing w:val="-8"/>
                <w:sz w:val="20"/>
                <w:szCs w:val="20"/>
                <w:highlight w:val="none"/>
              </w:rPr>
              <w:t>1</w:t>
            </w:r>
            <w:r>
              <w:rPr>
                <w:rFonts w:ascii="Times New Roman" w:hAnsi="Times New Roman" w:eastAsia="Times New Roman" w:cs="Times New Roman"/>
                <w:spacing w:val="-7"/>
                <w:sz w:val="20"/>
                <w:szCs w:val="20"/>
                <w:highlight w:val="none"/>
              </w:rPr>
              <w:t>3</w:t>
            </w:r>
          </w:p>
        </w:tc>
        <w:tc>
          <w:tcPr>
            <w:tcW w:w="1004" w:type="dxa"/>
            <w:vAlign w:val="top"/>
          </w:tcPr>
          <w:p w14:paraId="6810BC93">
            <w:pPr>
              <w:spacing w:line="267" w:lineRule="auto"/>
              <w:rPr>
                <w:rFonts w:ascii="Arial"/>
                <w:sz w:val="21"/>
                <w:highlight w:val="none"/>
              </w:rPr>
            </w:pPr>
          </w:p>
          <w:p w14:paraId="34D33432">
            <w:pPr>
              <w:spacing w:line="267" w:lineRule="auto"/>
              <w:rPr>
                <w:rFonts w:ascii="Arial"/>
                <w:sz w:val="21"/>
                <w:highlight w:val="none"/>
              </w:rPr>
            </w:pPr>
          </w:p>
          <w:p w14:paraId="67826E46">
            <w:pPr>
              <w:spacing w:line="267" w:lineRule="auto"/>
              <w:rPr>
                <w:rFonts w:ascii="Arial"/>
                <w:sz w:val="21"/>
                <w:highlight w:val="none"/>
              </w:rPr>
            </w:pPr>
          </w:p>
          <w:p w14:paraId="4D28DD5A">
            <w:pPr>
              <w:spacing w:line="268" w:lineRule="auto"/>
              <w:rPr>
                <w:rFonts w:ascii="Arial"/>
                <w:sz w:val="21"/>
                <w:highlight w:val="none"/>
              </w:rPr>
            </w:pPr>
          </w:p>
          <w:p w14:paraId="31A8741C">
            <w:pPr>
              <w:spacing w:before="57" w:line="198" w:lineRule="auto"/>
              <w:ind w:left="420" w:leftChars="0"/>
              <w:rPr>
                <w:rFonts w:ascii="Times New Roman" w:hAnsi="Times New Roman" w:eastAsia="Times New Roman" w:cs="Times New Roman"/>
                <w:spacing w:val="-6"/>
                <w:sz w:val="20"/>
                <w:szCs w:val="20"/>
                <w:highlight w:val="none"/>
              </w:rPr>
            </w:pPr>
            <w:r>
              <w:rPr>
                <w:rFonts w:ascii="Times New Roman" w:hAnsi="Times New Roman" w:eastAsia="Times New Roman" w:cs="Times New Roman"/>
                <w:spacing w:val="5"/>
                <w:sz w:val="20"/>
                <w:szCs w:val="20"/>
                <w:highlight w:val="none"/>
              </w:rPr>
              <w:t>4</w:t>
            </w:r>
            <w:r>
              <w:rPr>
                <w:rFonts w:ascii="Times New Roman" w:hAnsi="Times New Roman" w:eastAsia="Times New Roman" w:cs="Times New Roman"/>
                <w:spacing w:val="3"/>
                <w:sz w:val="20"/>
                <w:szCs w:val="20"/>
                <w:highlight w:val="none"/>
              </w:rPr>
              <w:t>.3</w:t>
            </w:r>
          </w:p>
        </w:tc>
        <w:tc>
          <w:tcPr>
            <w:tcW w:w="7897" w:type="dxa"/>
            <w:tcBorders>
              <w:right w:val="single" w:color="000000" w:sz="6" w:space="0"/>
            </w:tcBorders>
            <w:vAlign w:val="top"/>
          </w:tcPr>
          <w:p w14:paraId="0A8A4781">
            <w:pPr>
              <w:spacing w:before="142" w:line="227" w:lineRule="auto"/>
              <w:ind w:left="316"/>
              <w:rPr>
                <w:rFonts w:ascii="宋体" w:hAnsi="宋体" w:eastAsia="宋体" w:cs="宋体"/>
                <w:sz w:val="20"/>
                <w:szCs w:val="20"/>
                <w:highlight w:val="none"/>
              </w:rPr>
            </w:pPr>
            <w:r>
              <w:rPr>
                <w:rFonts w:ascii="宋体" w:hAnsi="宋体" w:eastAsia="宋体" w:cs="宋体"/>
                <w:spacing w:val="4"/>
                <w:sz w:val="20"/>
                <w:szCs w:val="20"/>
                <w:highlight w:val="none"/>
              </w:rPr>
              <w:t>本</w:t>
            </w:r>
            <w:r>
              <w:rPr>
                <w:rFonts w:ascii="宋体" w:hAnsi="宋体" w:eastAsia="宋体" w:cs="宋体"/>
                <w:spacing w:val="3"/>
                <w:sz w:val="20"/>
                <w:szCs w:val="20"/>
                <w:highlight w:val="none"/>
              </w:rPr>
              <w:t>款补充：</w:t>
            </w:r>
          </w:p>
          <w:p w14:paraId="20CCCB93">
            <w:pPr>
              <w:spacing w:before="153" w:line="369" w:lineRule="auto"/>
              <w:ind w:left="110" w:right="99" w:firstLine="200"/>
              <w:rPr>
                <w:rFonts w:ascii="宋体" w:hAnsi="宋体" w:eastAsia="宋体" w:cs="宋体"/>
                <w:sz w:val="20"/>
                <w:szCs w:val="20"/>
                <w:highlight w:val="none"/>
              </w:rPr>
            </w:pPr>
            <w:r>
              <w:rPr>
                <w:rFonts w:ascii="Times New Roman" w:hAnsi="Times New Roman" w:eastAsia="Times New Roman" w:cs="Times New Roman"/>
                <w:spacing w:val="6"/>
                <w:sz w:val="20"/>
                <w:szCs w:val="20"/>
                <w:highlight w:val="none"/>
              </w:rPr>
              <w:t>4</w:t>
            </w:r>
            <w:r>
              <w:rPr>
                <w:rFonts w:ascii="Times New Roman" w:hAnsi="Times New Roman" w:eastAsia="Times New Roman" w:cs="Times New Roman"/>
                <w:spacing w:val="3"/>
                <w:sz w:val="20"/>
                <w:szCs w:val="20"/>
                <w:highlight w:val="none"/>
              </w:rPr>
              <w:t xml:space="preserve">.3.8  </w:t>
            </w:r>
            <w:r>
              <w:rPr>
                <w:rFonts w:ascii="宋体" w:hAnsi="宋体" w:eastAsia="宋体" w:cs="宋体"/>
                <w:spacing w:val="3"/>
                <w:sz w:val="20"/>
                <w:szCs w:val="20"/>
                <w:highlight w:val="none"/>
              </w:rPr>
              <w:t>本项目的分包合同及劳动合同应按照发包人的要求，按照住房和城乡建设部</w:t>
            </w:r>
            <w:r>
              <w:rPr>
                <w:rFonts w:ascii="宋体" w:hAnsi="宋体" w:eastAsia="宋体" w:cs="宋体"/>
                <w:spacing w:val="12"/>
                <w:sz w:val="20"/>
                <w:szCs w:val="20"/>
                <w:highlight w:val="none"/>
              </w:rPr>
              <w:t>和</w:t>
            </w:r>
            <w:r>
              <w:rPr>
                <w:rFonts w:ascii="宋体" w:hAnsi="宋体" w:eastAsia="宋体" w:cs="宋体"/>
                <w:spacing w:val="7"/>
                <w:sz w:val="20"/>
                <w:szCs w:val="20"/>
                <w:highlight w:val="none"/>
              </w:rPr>
              <w:t>劳</w:t>
            </w:r>
            <w:r>
              <w:rPr>
                <w:rFonts w:ascii="宋体" w:hAnsi="宋体" w:eastAsia="宋体" w:cs="宋体"/>
                <w:spacing w:val="6"/>
                <w:sz w:val="20"/>
                <w:szCs w:val="20"/>
                <w:highlight w:val="none"/>
              </w:rPr>
              <w:t>动社会保障部的示范合同文本，或交通运输主管部门颁发的示范合同文本编制</w:t>
            </w:r>
            <w:r>
              <w:rPr>
                <w:rFonts w:ascii="宋体" w:hAnsi="宋体" w:eastAsia="宋体" w:cs="宋体"/>
                <w:spacing w:val="3"/>
                <w:sz w:val="20"/>
                <w:szCs w:val="20"/>
                <w:highlight w:val="none"/>
              </w:rPr>
              <w:t>并签订。</w:t>
            </w:r>
          </w:p>
          <w:p w14:paraId="2577715B">
            <w:pPr>
              <w:spacing w:line="400" w:lineRule="exact"/>
              <w:ind w:left="310"/>
              <w:rPr>
                <w:rFonts w:ascii="宋体" w:hAnsi="宋体" w:eastAsia="宋体" w:cs="宋体"/>
                <w:spacing w:val="9"/>
                <w:sz w:val="20"/>
                <w:szCs w:val="20"/>
                <w:highlight w:val="none"/>
              </w:rPr>
            </w:pPr>
            <w:r>
              <w:rPr>
                <w:rFonts w:ascii="Times New Roman" w:hAnsi="Times New Roman" w:eastAsia="Times New Roman" w:cs="Times New Roman"/>
                <w:spacing w:val="4"/>
                <w:position w:val="14"/>
                <w:sz w:val="20"/>
                <w:szCs w:val="20"/>
                <w:highlight w:val="none"/>
              </w:rPr>
              <w:t xml:space="preserve">4.3.9  </w:t>
            </w:r>
            <w:r>
              <w:rPr>
                <w:rFonts w:ascii="宋体" w:hAnsi="宋体" w:eastAsia="宋体" w:cs="宋体"/>
                <w:spacing w:val="4"/>
                <w:position w:val="14"/>
                <w:sz w:val="20"/>
                <w:szCs w:val="20"/>
                <w:highlight w:val="none"/>
              </w:rPr>
              <w:t xml:space="preserve">承包人的分包应符合本项目招标文件第二章“投标人须知”第 </w:t>
            </w:r>
            <w:r>
              <w:rPr>
                <w:rFonts w:ascii="Times New Roman" w:hAnsi="Times New Roman" w:eastAsia="Times New Roman" w:cs="Times New Roman"/>
                <w:spacing w:val="4"/>
                <w:position w:val="14"/>
                <w:sz w:val="20"/>
                <w:szCs w:val="20"/>
                <w:highlight w:val="none"/>
              </w:rPr>
              <w:t xml:space="preserve">1. 11 </w:t>
            </w:r>
            <w:r>
              <w:rPr>
                <w:rFonts w:ascii="宋体" w:hAnsi="宋体" w:eastAsia="宋体" w:cs="宋体"/>
                <w:spacing w:val="4"/>
                <w:position w:val="14"/>
                <w:sz w:val="20"/>
                <w:szCs w:val="20"/>
                <w:highlight w:val="none"/>
              </w:rPr>
              <w:t>款的</w:t>
            </w:r>
            <w:r>
              <w:rPr>
                <w:rFonts w:ascii="宋体" w:hAnsi="宋体" w:eastAsia="宋体" w:cs="宋体"/>
                <w:spacing w:val="1"/>
                <w:position w:val="14"/>
                <w:sz w:val="20"/>
                <w:szCs w:val="20"/>
                <w:highlight w:val="none"/>
              </w:rPr>
              <w:t>规</w:t>
            </w:r>
            <w:r>
              <w:rPr>
                <w:rFonts w:hint="eastAsia" w:ascii="宋体" w:hAnsi="宋体" w:cs="宋体"/>
                <w:spacing w:val="1"/>
                <w:position w:val="14"/>
                <w:sz w:val="20"/>
                <w:szCs w:val="20"/>
                <w:highlight w:val="none"/>
                <w:lang w:eastAsia="zh-CN"/>
              </w:rPr>
              <w:t>定。</w:t>
            </w:r>
          </w:p>
        </w:tc>
      </w:tr>
      <w:tr w14:paraId="2EE505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64" w:hRule="atLeast"/>
        </w:trPr>
        <w:tc>
          <w:tcPr>
            <w:tcW w:w="534" w:type="dxa"/>
            <w:tcBorders>
              <w:left w:val="single" w:color="000000" w:sz="6" w:space="0"/>
            </w:tcBorders>
            <w:vAlign w:val="top"/>
          </w:tcPr>
          <w:p w14:paraId="1ADFF222">
            <w:pPr>
              <w:spacing w:line="289" w:lineRule="auto"/>
              <w:rPr>
                <w:rFonts w:ascii="Arial"/>
                <w:sz w:val="21"/>
                <w:highlight w:val="none"/>
              </w:rPr>
            </w:pPr>
          </w:p>
          <w:p w14:paraId="4DE11BAC">
            <w:pPr>
              <w:spacing w:line="290" w:lineRule="auto"/>
              <w:rPr>
                <w:rFonts w:ascii="Arial"/>
                <w:sz w:val="21"/>
                <w:highlight w:val="none"/>
              </w:rPr>
            </w:pPr>
          </w:p>
          <w:p w14:paraId="2EC7C2E3">
            <w:pPr>
              <w:spacing w:line="290" w:lineRule="auto"/>
              <w:rPr>
                <w:rFonts w:ascii="Arial"/>
                <w:sz w:val="21"/>
                <w:highlight w:val="none"/>
              </w:rPr>
            </w:pPr>
          </w:p>
          <w:p w14:paraId="664B6866">
            <w:pPr>
              <w:spacing w:before="58" w:line="195" w:lineRule="auto"/>
              <w:ind w:left="176" w:leftChars="0"/>
              <w:rPr>
                <w:rFonts w:ascii="Times New Roman" w:hAnsi="Times New Roman" w:eastAsia="Times New Roman" w:cs="Times New Roman"/>
                <w:spacing w:val="-8"/>
                <w:sz w:val="20"/>
                <w:szCs w:val="20"/>
                <w:highlight w:val="none"/>
              </w:rPr>
            </w:pPr>
            <w:r>
              <w:rPr>
                <w:rFonts w:ascii="Times New Roman" w:hAnsi="Times New Roman" w:eastAsia="Times New Roman" w:cs="Times New Roman"/>
                <w:spacing w:val="-8"/>
                <w:sz w:val="20"/>
                <w:szCs w:val="20"/>
                <w:highlight w:val="none"/>
              </w:rPr>
              <w:t>1</w:t>
            </w:r>
            <w:r>
              <w:rPr>
                <w:rFonts w:ascii="Times New Roman" w:hAnsi="Times New Roman" w:eastAsia="Times New Roman" w:cs="Times New Roman"/>
                <w:spacing w:val="-7"/>
                <w:sz w:val="20"/>
                <w:szCs w:val="20"/>
                <w:highlight w:val="none"/>
              </w:rPr>
              <w:t>4</w:t>
            </w:r>
          </w:p>
        </w:tc>
        <w:tc>
          <w:tcPr>
            <w:tcW w:w="1004" w:type="dxa"/>
            <w:vAlign w:val="top"/>
          </w:tcPr>
          <w:p w14:paraId="688962C9">
            <w:pPr>
              <w:spacing w:line="289" w:lineRule="auto"/>
              <w:rPr>
                <w:rFonts w:ascii="Arial"/>
                <w:sz w:val="21"/>
                <w:highlight w:val="none"/>
              </w:rPr>
            </w:pPr>
          </w:p>
          <w:p w14:paraId="0ED865EE">
            <w:pPr>
              <w:spacing w:line="290" w:lineRule="auto"/>
              <w:rPr>
                <w:rFonts w:ascii="Arial"/>
                <w:sz w:val="21"/>
                <w:highlight w:val="none"/>
              </w:rPr>
            </w:pPr>
          </w:p>
          <w:p w14:paraId="6BF981F3">
            <w:pPr>
              <w:spacing w:line="290" w:lineRule="auto"/>
              <w:rPr>
                <w:rFonts w:ascii="Arial"/>
                <w:sz w:val="21"/>
                <w:highlight w:val="none"/>
              </w:rPr>
            </w:pPr>
          </w:p>
          <w:p w14:paraId="1D4CF663">
            <w:pPr>
              <w:spacing w:before="58" w:line="198" w:lineRule="auto"/>
              <w:ind w:left="420" w:leftChars="0"/>
              <w:rPr>
                <w:rFonts w:ascii="Times New Roman" w:hAnsi="Times New Roman" w:eastAsia="Times New Roman" w:cs="Times New Roman"/>
                <w:spacing w:val="5"/>
                <w:sz w:val="20"/>
                <w:szCs w:val="20"/>
                <w:highlight w:val="none"/>
              </w:rPr>
            </w:pPr>
            <w:r>
              <w:rPr>
                <w:rFonts w:ascii="Times New Roman" w:hAnsi="Times New Roman" w:eastAsia="Times New Roman" w:cs="Times New Roman"/>
                <w:spacing w:val="5"/>
                <w:sz w:val="20"/>
                <w:szCs w:val="20"/>
                <w:highlight w:val="none"/>
              </w:rPr>
              <w:t>4</w:t>
            </w:r>
            <w:r>
              <w:rPr>
                <w:rFonts w:ascii="Times New Roman" w:hAnsi="Times New Roman" w:eastAsia="Times New Roman" w:cs="Times New Roman"/>
                <w:spacing w:val="4"/>
                <w:sz w:val="20"/>
                <w:szCs w:val="20"/>
                <w:highlight w:val="none"/>
              </w:rPr>
              <w:t>.9</w:t>
            </w:r>
          </w:p>
        </w:tc>
        <w:tc>
          <w:tcPr>
            <w:tcW w:w="7897" w:type="dxa"/>
            <w:tcBorders>
              <w:right w:val="single" w:color="000000" w:sz="6" w:space="0"/>
            </w:tcBorders>
            <w:vAlign w:val="top"/>
          </w:tcPr>
          <w:p w14:paraId="12026C7F">
            <w:pPr>
              <w:spacing w:before="142" w:line="369" w:lineRule="auto"/>
              <w:ind w:left="110" w:leftChars="0" w:right="47" w:firstLine="208"/>
              <w:rPr>
                <w:rFonts w:ascii="宋体" w:hAnsi="宋体" w:eastAsia="宋体" w:cs="宋体"/>
                <w:spacing w:val="-3"/>
                <w:sz w:val="20"/>
                <w:szCs w:val="20"/>
                <w:highlight w:val="none"/>
              </w:rPr>
            </w:pPr>
            <w:r>
              <w:rPr>
                <w:rFonts w:ascii="宋体" w:hAnsi="宋体" w:eastAsia="宋体" w:cs="宋体"/>
                <w:spacing w:val="12"/>
                <w:sz w:val="20"/>
                <w:szCs w:val="20"/>
                <w:highlight w:val="none"/>
              </w:rPr>
              <w:t>工</w:t>
            </w:r>
            <w:r>
              <w:rPr>
                <w:rFonts w:ascii="宋体" w:hAnsi="宋体" w:eastAsia="宋体" w:cs="宋体"/>
                <w:spacing w:val="8"/>
                <w:sz w:val="20"/>
                <w:szCs w:val="20"/>
                <w:highlight w:val="none"/>
              </w:rPr>
              <w:t>程</w:t>
            </w:r>
            <w:r>
              <w:rPr>
                <w:rFonts w:ascii="宋体" w:hAnsi="宋体" w:eastAsia="宋体" w:cs="宋体"/>
                <w:spacing w:val="6"/>
                <w:sz w:val="20"/>
                <w:szCs w:val="20"/>
                <w:highlight w:val="none"/>
              </w:rPr>
              <w:t>价款应专款专用：经发包人提出申请后，发包人按合同约定支付给承包人的</w:t>
            </w:r>
            <w:r>
              <w:rPr>
                <w:rFonts w:ascii="宋体" w:hAnsi="宋体" w:eastAsia="宋体" w:cs="宋体"/>
                <w:spacing w:val="4"/>
                <w:sz w:val="20"/>
                <w:szCs w:val="20"/>
                <w:highlight w:val="none"/>
              </w:rPr>
              <w:t>各</w:t>
            </w:r>
            <w:r>
              <w:rPr>
                <w:rFonts w:ascii="宋体" w:hAnsi="宋体" w:eastAsia="宋体" w:cs="宋体"/>
                <w:spacing w:val="2"/>
                <w:sz w:val="20"/>
                <w:szCs w:val="20"/>
                <w:highlight w:val="none"/>
              </w:rPr>
              <w:t>项价款应专用于合同工程。发包人支付的工程进度款应为本工程的专款专用资金，</w:t>
            </w:r>
            <w:r>
              <w:rPr>
                <w:rFonts w:ascii="宋体" w:hAnsi="宋体" w:eastAsia="宋体" w:cs="宋体"/>
                <w:spacing w:val="12"/>
                <w:sz w:val="20"/>
                <w:szCs w:val="20"/>
                <w:highlight w:val="none"/>
              </w:rPr>
              <w:t>不</w:t>
            </w:r>
            <w:r>
              <w:rPr>
                <w:rFonts w:ascii="宋体" w:hAnsi="宋体" w:eastAsia="宋体" w:cs="宋体"/>
                <w:spacing w:val="7"/>
                <w:sz w:val="20"/>
                <w:szCs w:val="20"/>
                <w:highlight w:val="none"/>
              </w:rPr>
              <w:t>得</w:t>
            </w:r>
            <w:r>
              <w:rPr>
                <w:rFonts w:ascii="宋体" w:hAnsi="宋体" w:eastAsia="宋体" w:cs="宋体"/>
                <w:spacing w:val="6"/>
                <w:sz w:val="20"/>
                <w:szCs w:val="20"/>
                <w:highlight w:val="none"/>
              </w:rPr>
              <w:t>转移或用于其他工程。发包人及其派出机构有权不定期对承包人工程资金使用</w:t>
            </w:r>
            <w:r>
              <w:rPr>
                <w:rFonts w:ascii="宋体" w:hAnsi="宋体" w:eastAsia="宋体" w:cs="宋体"/>
                <w:spacing w:val="12"/>
                <w:sz w:val="20"/>
                <w:szCs w:val="20"/>
                <w:highlight w:val="none"/>
              </w:rPr>
              <w:t>情</w:t>
            </w:r>
            <w:r>
              <w:rPr>
                <w:rFonts w:ascii="宋体" w:hAnsi="宋体" w:eastAsia="宋体" w:cs="宋体"/>
                <w:spacing w:val="7"/>
                <w:sz w:val="20"/>
                <w:szCs w:val="20"/>
                <w:highlight w:val="none"/>
              </w:rPr>
              <w:t>况</w:t>
            </w:r>
            <w:r>
              <w:rPr>
                <w:rFonts w:ascii="宋体" w:hAnsi="宋体" w:eastAsia="宋体" w:cs="宋体"/>
                <w:spacing w:val="6"/>
                <w:sz w:val="20"/>
                <w:szCs w:val="20"/>
                <w:highlight w:val="none"/>
              </w:rPr>
              <w:t>进行检查，发现问题及时责令承包人限期改正，否则，将终止支付，直至承包人</w:t>
            </w:r>
            <w:r>
              <w:rPr>
                <w:rFonts w:ascii="宋体" w:hAnsi="宋体" w:eastAsia="宋体" w:cs="宋体"/>
                <w:spacing w:val="4"/>
                <w:sz w:val="20"/>
                <w:szCs w:val="20"/>
                <w:highlight w:val="none"/>
              </w:rPr>
              <w:t>改</w:t>
            </w:r>
            <w:r>
              <w:rPr>
                <w:rFonts w:ascii="宋体" w:hAnsi="宋体" w:eastAsia="宋体" w:cs="宋体"/>
                <w:spacing w:val="3"/>
                <w:sz w:val="20"/>
                <w:szCs w:val="20"/>
                <w:highlight w:val="none"/>
              </w:rPr>
              <w:t>正为止。</w:t>
            </w:r>
          </w:p>
        </w:tc>
      </w:tr>
      <w:tr w14:paraId="094387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64" w:hRule="atLeast"/>
        </w:trPr>
        <w:tc>
          <w:tcPr>
            <w:tcW w:w="534" w:type="dxa"/>
            <w:tcBorders>
              <w:left w:val="single" w:color="000000" w:sz="6" w:space="0"/>
            </w:tcBorders>
            <w:vAlign w:val="top"/>
          </w:tcPr>
          <w:p w14:paraId="2AD6AA43">
            <w:pPr>
              <w:spacing w:line="252" w:lineRule="auto"/>
              <w:rPr>
                <w:rFonts w:ascii="Arial"/>
                <w:sz w:val="21"/>
                <w:highlight w:val="none"/>
              </w:rPr>
            </w:pPr>
          </w:p>
          <w:p w14:paraId="692204CD">
            <w:pPr>
              <w:spacing w:line="253" w:lineRule="auto"/>
              <w:rPr>
                <w:rFonts w:ascii="Arial"/>
                <w:sz w:val="21"/>
                <w:highlight w:val="none"/>
              </w:rPr>
            </w:pPr>
          </w:p>
          <w:p w14:paraId="77B87BCE">
            <w:pPr>
              <w:spacing w:line="253" w:lineRule="auto"/>
              <w:rPr>
                <w:rFonts w:ascii="Arial"/>
                <w:sz w:val="21"/>
                <w:highlight w:val="none"/>
              </w:rPr>
            </w:pPr>
          </w:p>
          <w:p w14:paraId="724F8CF4">
            <w:pPr>
              <w:spacing w:line="253" w:lineRule="auto"/>
              <w:rPr>
                <w:rFonts w:ascii="Arial"/>
                <w:sz w:val="21"/>
                <w:highlight w:val="none"/>
              </w:rPr>
            </w:pPr>
          </w:p>
          <w:p w14:paraId="5C858972">
            <w:pPr>
              <w:spacing w:line="253" w:lineRule="auto"/>
              <w:rPr>
                <w:rFonts w:ascii="Arial"/>
                <w:sz w:val="21"/>
                <w:highlight w:val="none"/>
              </w:rPr>
            </w:pPr>
          </w:p>
          <w:p w14:paraId="6F7AC450">
            <w:pPr>
              <w:spacing w:before="57" w:line="195" w:lineRule="auto"/>
              <w:ind w:left="176" w:leftChars="0"/>
              <w:rPr>
                <w:rFonts w:ascii="Times New Roman" w:hAnsi="Times New Roman" w:eastAsia="Times New Roman" w:cs="Times New Roman"/>
                <w:spacing w:val="-8"/>
                <w:sz w:val="20"/>
                <w:szCs w:val="20"/>
                <w:highlight w:val="none"/>
              </w:rPr>
            </w:pPr>
            <w:r>
              <w:rPr>
                <w:rFonts w:ascii="Times New Roman" w:hAnsi="Times New Roman" w:eastAsia="Times New Roman" w:cs="Times New Roman"/>
                <w:spacing w:val="-8"/>
                <w:sz w:val="20"/>
                <w:szCs w:val="20"/>
                <w:highlight w:val="none"/>
              </w:rPr>
              <w:t>1</w:t>
            </w:r>
            <w:r>
              <w:rPr>
                <w:rFonts w:ascii="Times New Roman" w:hAnsi="Times New Roman" w:eastAsia="Times New Roman" w:cs="Times New Roman"/>
                <w:spacing w:val="-7"/>
                <w:sz w:val="20"/>
                <w:szCs w:val="20"/>
                <w:highlight w:val="none"/>
              </w:rPr>
              <w:t>5</w:t>
            </w:r>
          </w:p>
        </w:tc>
        <w:tc>
          <w:tcPr>
            <w:tcW w:w="1004" w:type="dxa"/>
            <w:vAlign w:val="top"/>
          </w:tcPr>
          <w:p w14:paraId="26764E81">
            <w:pPr>
              <w:spacing w:line="252" w:lineRule="auto"/>
              <w:rPr>
                <w:rFonts w:ascii="Arial"/>
                <w:sz w:val="21"/>
                <w:highlight w:val="none"/>
              </w:rPr>
            </w:pPr>
          </w:p>
          <w:p w14:paraId="6B0CA958">
            <w:pPr>
              <w:spacing w:line="253" w:lineRule="auto"/>
              <w:rPr>
                <w:rFonts w:ascii="Arial"/>
                <w:sz w:val="21"/>
                <w:highlight w:val="none"/>
              </w:rPr>
            </w:pPr>
          </w:p>
          <w:p w14:paraId="15B13FA0">
            <w:pPr>
              <w:spacing w:line="253" w:lineRule="auto"/>
              <w:rPr>
                <w:rFonts w:ascii="Arial"/>
                <w:sz w:val="21"/>
                <w:highlight w:val="none"/>
              </w:rPr>
            </w:pPr>
          </w:p>
          <w:p w14:paraId="3796C406">
            <w:pPr>
              <w:spacing w:line="253" w:lineRule="auto"/>
              <w:rPr>
                <w:rFonts w:ascii="Arial"/>
                <w:sz w:val="21"/>
                <w:highlight w:val="none"/>
              </w:rPr>
            </w:pPr>
          </w:p>
          <w:p w14:paraId="2F5227A8">
            <w:pPr>
              <w:spacing w:line="253" w:lineRule="auto"/>
              <w:rPr>
                <w:rFonts w:ascii="Arial"/>
                <w:sz w:val="21"/>
                <w:highlight w:val="none"/>
              </w:rPr>
            </w:pPr>
          </w:p>
          <w:p w14:paraId="69BD1B5E">
            <w:pPr>
              <w:spacing w:before="57" w:line="195" w:lineRule="auto"/>
              <w:ind w:left="367" w:leftChars="0"/>
              <w:rPr>
                <w:rFonts w:ascii="Times New Roman" w:hAnsi="Times New Roman" w:eastAsia="Times New Roman" w:cs="Times New Roman"/>
                <w:spacing w:val="5"/>
                <w:sz w:val="20"/>
                <w:szCs w:val="20"/>
                <w:highlight w:val="none"/>
              </w:rPr>
            </w:pPr>
            <w:r>
              <w:rPr>
                <w:rFonts w:ascii="Times New Roman" w:hAnsi="Times New Roman" w:eastAsia="Times New Roman" w:cs="Times New Roman"/>
                <w:spacing w:val="-10"/>
                <w:sz w:val="20"/>
                <w:szCs w:val="20"/>
                <w:highlight w:val="none"/>
              </w:rPr>
              <w:t>4</w:t>
            </w:r>
            <w:r>
              <w:rPr>
                <w:rFonts w:ascii="Times New Roman" w:hAnsi="Times New Roman" w:eastAsia="Times New Roman" w:cs="Times New Roman"/>
                <w:spacing w:val="-7"/>
                <w:sz w:val="20"/>
                <w:szCs w:val="20"/>
                <w:highlight w:val="none"/>
              </w:rPr>
              <w:t>. 13</w:t>
            </w:r>
          </w:p>
        </w:tc>
        <w:tc>
          <w:tcPr>
            <w:tcW w:w="7897" w:type="dxa"/>
            <w:tcBorders>
              <w:right w:val="single" w:color="000000" w:sz="6" w:space="0"/>
            </w:tcBorders>
            <w:vAlign w:val="top"/>
          </w:tcPr>
          <w:p w14:paraId="1D31B5B8">
            <w:pPr>
              <w:spacing w:before="159" w:line="369" w:lineRule="auto"/>
              <w:ind w:left="109" w:leftChars="0" w:right="102" w:firstLine="420"/>
              <w:rPr>
                <w:rFonts w:ascii="宋体" w:hAnsi="宋体" w:eastAsia="宋体" w:cs="宋体"/>
                <w:spacing w:val="-3"/>
                <w:sz w:val="20"/>
                <w:szCs w:val="20"/>
                <w:highlight w:val="none"/>
              </w:rPr>
            </w:pPr>
            <w:r>
              <w:rPr>
                <w:rFonts w:ascii="宋体" w:hAnsi="宋体" w:eastAsia="宋体" w:cs="宋体"/>
                <w:spacing w:val="18"/>
                <w:sz w:val="20"/>
                <w:szCs w:val="20"/>
                <w:highlight w:val="none"/>
              </w:rPr>
              <w:t>承</w:t>
            </w:r>
            <w:r>
              <w:rPr>
                <w:rFonts w:ascii="宋体" w:hAnsi="宋体" w:eastAsia="宋体" w:cs="宋体"/>
                <w:spacing w:val="12"/>
                <w:sz w:val="20"/>
                <w:szCs w:val="20"/>
                <w:highlight w:val="none"/>
              </w:rPr>
              <w:t>包人为国有控股或参股企业的，承包人应按规定在项目现场设立基层党组</w:t>
            </w:r>
            <w:r>
              <w:rPr>
                <w:rFonts w:ascii="宋体" w:hAnsi="宋体" w:eastAsia="宋体" w:cs="宋体"/>
                <w:spacing w:val="14"/>
                <w:sz w:val="20"/>
                <w:szCs w:val="20"/>
                <w:highlight w:val="none"/>
              </w:rPr>
              <w:t>织</w:t>
            </w:r>
            <w:r>
              <w:rPr>
                <w:rFonts w:ascii="宋体" w:hAnsi="宋体" w:eastAsia="宋体" w:cs="宋体"/>
                <w:spacing w:val="12"/>
                <w:sz w:val="20"/>
                <w:szCs w:val="20"/>
                <w:highlight w:val="none"/>
              </w:rPr>
              <w:t>。承包人为非国有控股或参股企业的</w:t>
            </w:r>
            <w:r>
              <w:rPr>
                <w:rFonts w:hint="eastAsia" w:ascii="宋体" w:hAnsi="宋体" w:cs="宋体"/>
                <w:spacing w:val="12"/>
                <w:sz w:val="20"/>
                <w:szCs w:val="20"/>
                <w:highlight w:val="none"/>
                <w:lang w:eastAsia="zh-CN"/>
              </w:rPr>
              <w:t>，</w:t>
            </w:r>
            <w:r>
              <w:rPr>
                <w:rFonts w:ascii="宋体" w:hAnsi="宋体" w:eastAsia="宋体" w:cs="宋体"/>
                <w:spacing w:val="12"/>
                <w:sz w:val="20"/>
                <w:szCs w:val="20"/>
                <w:highlight w:val="none"/>
              </w:rPr>
              <w:t>承包人应创造条件使党员能够参加党组</w:t>
            </w:r>
            <w:r>
              <w:rPr>
                <w:rFonts w:ascii="宋体" w:hAnsi="宋体" w:eastAsia="宋体" w:cs="宋体"/>
                <w:spacing w:val="14"/>
                <w:sz w:val="20"/>
                <w:szCs w:val="20"/>
                <w:highlight w:val="none"/>
              </w:rPr>
              <w:t>织</w:t>
            </w:r>
            <w:r>
              <w:rPr>
                <w:rFonts w:ascii="宋体" w:hAnsi="宋体" w:eastAsia="宋体" w:cs="宋体"/>
                <w:spacing w:val="12"/>
                <w:sz w:val="20"/>
                <w:szCs w:val="20"/>
                <w:highlight w:val="none"/>
              </w:rPr>
              <w:t>生活并接受相应管理。承包人应在项目现场设立基层党组织，积极组织党员学</w:t>
            </w:r>
            <w:r>
              <w:rPr>
                <w:rFonts w:ascii="宋体" w:hAnsi="宋体" w:eastAsia="宋体" w:cs="宋体"/>
                <w:spacing w:val="22"/>
                <w:sz w:val="20"/>
                <w:szCs w:val="20"/>
                <w:highlight w:val="none"/>
              </w:rPr>
              <w:t>习</w:t>
            </w:r>
            <w:r>
              <w:rPr>
                <w:rFonts w:ascii="宋体" w:hAnsi="宋体" w:eastAsia="宋体" w:cs="宋体"/>
                <w:spacing w:val="13"/>
                <w:sz w:val="20"/>
                <w:szCs w:val="20"/>
                <w:highlight w:val="none"/>
              </w:rPr>
              <w:t>，</w:t>
            </w:r>
            <w:r>
              <w:rPr>
                <w:rFonts w:ascii="宋体" w:hAnsi="宋体" w:eastAsia="宋体" w:cs="宋体"/>
                <w:spacing w:val="11"/>
                <w:sz w:val="20"/>
                <w:szCs w:val="20"/>
                <w:highlight w:val="none"/>
              </w:rPr>
              <w:t>承办党建工作室 (党员之家) ，建立党建工作制度、明确“两学一做”常态</w:t>
            </w:r>
            <w:r>
              <w:rPr>
                <w:rFonts w:ascii="宋体" w:hAnsi="宋体" w:eastAsia="宋体" w:cs="宋体"/>
                <w:spacing w:val="14"/>
                <w:sz w:val="20"/>
                <w:szCs w:val="20"/>
                <w:highlight w:val="none"/>
              </w:rPr>
              <w:t>化</w:t>
            </w:r>
            <w:r>
              <w:rPr>
                <w:rFonts w:ascii="宋体" w:hAnsi="宋体" w:eastAsia="宋体" w:cs="宋体"/>
                <w:spacing w:val="12"/>
                <w:sz w:val="20"/>
                <w:szCs w:val="20"/>
                <w:highlight w:val="none"/>
              </w:rPr>
              <w:t>制度化建设目标和任务、明确党组织机构设置、党组织负责人及党务工作人员</w:t>
            </w:r>
            <w:r>
              <w:rPr>
                <w:rFonts w:ascii="宋体" w:hAnsi="宋体" w:eastAsia="宋体" w:cs="宋体"/>
                <w:spacing w:val="14"/>
                <w:sz w:val="20"/>
                <w:szCs w:val="20"/>
                <w:highlight w:val="none"/>
              </w:rPr>
              <w:t>配</w:t>
            </w:r>
            <w:r>
              <w:rPr>
                <w:rFonts w:ascii="宋体" w:hAnsi="宋体" w:eastAsia="宋体" w:cs="宋体"/>
                <w:spacing w:val="12"/>
                <w:sz w:val="20"/>
                <w:szCs w:val="20"/>
                <w:highlight w:val="none"/>
              </w:rPr>
              <w:t>备情况，编制党务工作开展预案，并按照预案要求在项目实施过程中同步开展党</w:t>
            </w:r>
            <w:r>
              <w:rPr>
                <w:rFonts w:ascii="宋体" w:hAnsi="宋体" w:eastAsia="宋体" w:cs="宋体"/>
                <w:spacing w:val="9"/>
                <w:sz w:val="20"/>
                <w:szCs w:val="20"/>
                <w:highlight w:val="none"/>
              </w:rPr>
              <w:t>务工作，充分发挥基层党组织在项目实施中的作用。</w:t>
            </w:r>
          </w:p>
        </w:tc>
      </w:tr>
      <w:tr w14:paraId="01AAE1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64" w:hRule="atLeast"/>
        </w:trPr>
        <w:tc>
          <w:tcPr>
            <w:tcW w:w="534" w:type="dxa"/>
            <w:tcBorders>
              <w:left w:val="single" w:color="000000" w:sz="6" w:space="0"/>
            </w:tcBorders>
            <w:vAlign w:val="top"/>
          </w:tcPr>
          <w:p w14:paraId="76BCB88F">
            <w:pPr>
              <w:spacing w:line="241" w:lineRule="auto"/>
              <w:rPr>
                <w:rFonts w:ascii="Arial"/>
                <w:sz w:val="21"/>
                <w:highlight w:val="none"/>
              </w:rPr>
            </w:pPr>
          </w:p>
          <w:p w14:paraId="2696FC5C">
            <w:pPr>
              <w:spacing w:line="241" w:lineRule="auto"/>
              <w:rPr>
                <w:rFonts w:ascii="Arial"/>
                <w:sz w:val="21"/>
                <w:highlight w:val="none"/>
              </w:rPr>
            </w:pPr>
          </w:p>
          <w:p w14:paraId="05182175">
            <w:pPr>
              <w:spacing w:line="241" w:lineRule="auto"/>
              <w:rPr>
                <w:rFonts w:ascii="Arial"/>
                <w:sz w:val="21"/>
                <w:highlight w:val="none"/>
              </w:rPr>
            </w:pPr>
          </w:p>
          <w:p w14:paraId="4CFB6F66">
            <w:pPr>
              <w:spacing w:line="241" w:lineRule="auto"/>
              <w:rPr>
                <w:rFonts w:ascii="Arial"/>
                <w:sz w:val="21"/>
                <w:highlight w:val="none"/>
              </w:rPr>
            </w:pPr>
          </w:p>
          <w:p w14:paraId="44612258">
            <w:pPr>
              <w:spacing w:line="241" w:lineRule="auto"/>
              <w:rPr>
                <w:rFonts w:ascii="Arial"/>
                <w:sz w:val="21"/>
                <w:highlight w:val="none"/>
              </w:rPr>
            </w:pPr>
          </w:p>
          <w:p w14:paraId="5528966D">
            <w:pPr>
              <w:spacing w:line="241" w:lineRule="auto"/>
              <w:rPr>
                <w:rFonts w:ascii="Arial"/>
                <w:sz w:val="21"/>
                <w:highlight w:val="none"/>
              </w:rPr>
            </w:pPr>
          </w:p>
          <w:p w14:paraId="7FEB38EE">
            <w:pPr>
              <w:spacing w:line="242" w:lineRule="auto"/>
              <w:rPr>
                <w:rFonts w:ascii="Arial"/>
                <w:sz w:val="21"/>
                <w:highlight w:val="none"/>
              </w:rPr>
            </w:pPr>
          </w:p>
          <w:p w14:paraId="38B2AD89">
            <w:pPr>
              <w:spacing w:line="242" w:lineRule="auto"/>
              <w:rPr>
                <w:rFonts w:ascii="Arial"/>
                <w:sz w:val="21"/>
                <w:highlight w:val="none"/>
              </w:rPr>
            </w:pPr>
          </w:p>
          <w:p w14:paraId="7A756E28">
            <w:pPr>
              <w:spacing w:line="242" w:lineRule="auto"/>
              <w:rPr>
                <w:rFonts w:ascii="Arial"/>
                <w:sz w:val="21"/>
                <w:highlight w:val="none"/>
              </w:rPr>
            </w:pPr>
          </w:p>
          <w:p w14:paraId="4FF9754F">
            <w:pPr>
              <w:spacing w:line="242" w:lineRule="auto"/>
              <w:rPr>
                <w:rFonts w:ascii="Arial"/>
                <w:sz w:val="21"/>
                <w:highlight w:val="none"/>
              </w:rPr>
            </w:pPr>
          </w:p>
          <w:p w14:paraId="5C349223">
            <w:pPr>
              <w:spacing w:line="242" w:lineRule="auto"/>
              <w:rPr>
                <w:rFonts w:ascii="Arial"/>
                <w:sz w:val="21"/>
                <w:highlight w:val="none"/>
              </w:rPr>
            </w:pPr>
          </w:p>
          <w:p w14:paraId="41452875">
            <w:pPr>
              <w:spacing w:before="57" w:line="195" w:lineRule="auto"/>
              <w:ind w:left="176" w:leftChars="0"/>
              <w:rPr>
                <w:rFonts w:ascii="Times New Roman" w:hAnsi="Times New Roman" w:eastAsia="Times New Roman" w:cs="Times New Roman"/>
                <w:spacing w:val="-8"/>
                <w:sz w:val="20"/>
                <w:szCs w:val="20"/>
                <w:highlight w:val="none"/>
              </w:rPr>
            </w:pPr>
            <w:r>
              <w:rPr>
                <w:rFonts w:ascii="Times New Roman" w:hAnsi="Times New Roman" w:eastAsia="Times New Roman" w:cs="Times New Roman"/>
                <w:spacing w:val="-8"/>
                <w:sz w:val="20"/>
                <w:szCs w:val="20"/>
                <w:highlight w:val="none"/>
              </w:rPr>
              <w:t>1</w:t>
            </w:r>
            <w:r>
              <w:rPr>
                <w:rFonts w:ascii="Times New Roman" w:hAnsi="Times New Roman" w:eastAsia="Times New Roman" w:cs="Times New Roman"/>
                <w:spacing w:val="-7"/>
                <w:sz w:val="20"/>
                <w:szCs w:val="20"/>
                <w:highlight w:val="none"/>
              </w:rPr>
              <w:t>6</w:t>
            </w:r>
          </w:p>
        </w:tc>
        <w:tc>
          <w:tcPr>
            <w:tcW w:w="1004" w:type="dxa"/>
            <w:vAlign w:val="top"/>
          </w:tcPr>
          <w:p w14:paraId="54F58786">
            <w:pPr>
              <w:spacing w:line="241" w:lineRule="auto"/>
              <w:rPr>
                <w:rFonts w:ascii="Arial"/>
                <w:sz w:val="21"/>
                <w:highlight w:val="none"/>
              </w:rPr>
            </w:pPr>
          </w:p>
          <w:p w14:paraId="22E1568D">
            <w:pPr>
              <w:spacing w:line="241" w:lineRule="auto"/>
              <w:rPr>
                <w:rFonts w:ascii="Arial"/>
                <w:sz w:val="21"/>
                <w:highlight w:val="none"/>
              </w:rPr>
            </w:pPr>
          </w:p>
          <w:p w14:paraId="6E0233F4">
            <w:pPr>
              <w:spacing w:line="241" w:lineRule="auto"/>
              <w:rPr>
                <w:rFonts w:ascii="Arial"/>
                <w:sz w:val="21"/>
                <w:highlight w:val="none"/>
              </w:rPr>
            </w:pPr>
          </w:p>
          <w:p w14:paraId="2C96819C">
            <w:pPr>
              <w:spacing w:line="241" w:lineRule="auto"/>
              <w:rPr>
                <w:rFonts w:ascii="Arial"/>
                <w:sz w:val="21"/>
                <w:highlight w:val="none"/>
              </w:rPr>
            </w:pPr>
          </w:p>
          <w:p w14:paraId="4068CF43">
            <w:pPr>
              <w:spacing w:line="241" w:lineRule="auto"/>
              <w:rPr>
                <w:rFonts w:ascii="Arial"/>
                <w:sz w:val="21"/>
                <w:highlight w:val="none"/>
              </w:rPr>
            </w:pPr>
          </w:p>
          <w:p w14:paraId="03C8798C">
            <w:pPr>
              <w:spacing w:line="241" w:lineRule="auto"/>
              <w:rPr>
                <w:rFonts w:ascii="Arial"/>
                <w:sz w:val="21"/>
                <w:highlight w:val="none"/>
              </w:rPr>
            </w:pPr>
          </w:p>
          <w:p w14:paraId="08F2F7B6">
            <w:pPr>
              <w:spacing w:line="242" w:lineRule="auto"/>
              <w:rPr>
                <w:rFonts w:ascii="Arial"/>
                <w:sz w:val="21"/>
                <w:highlight w:val="none"/>
              </w:rPr>
            </w:pPr>
          </w:p>
          <w:p w14:paraId="19EDEEDE">
            <w:pPr>
              <w:spacing w:line="242" w:lineRule="auto"/>
              <w:rPr>
                <w:rFonts w:ascii="Arial"/>
                <w:sz w:val="21"/>
                <w:highlight w:val="none"/>
              </w:rPr>
            </w:pPr>
          </w:p>
          <w:p w14:paraId="4CAA5B89">
            <w:pPr>
              <w:spacing w:line="242" w:lineRule="auto"/>
              <w:rPr>
                <w:rFonts w:ascii="Arial"/>
                <w:sz w:val="21"/>
                <w:highlight w:val="none"/>
              </w:rPr>
            </w:pPr>
          </w:p>
          <w:p w14:paraId="75DC5958">
            <w:pPr>
              <w:spacing w:line="242" w:lineRule="auto"/>
              <w:rPr>
                <w:rFonts w:ascii="Arial"/>
                <w:sz w:val="21"/>
                <w:highlight w:val="none"/>
              </w:rPr>
            </w:pPr>
          </w:p>
          <w:p w14:paraId="0E1B1148">
            <w:pPr>
              <w:spacing w:line="242" w:lineRule="auto"/>
              <w:rPr>
                <w:rFonts w:ascii="Arial"/>
                <w:sz w:val="21"/>
                <w:highlight w:val="none"/>
              </w:rPr>
            </w:pPr>
          </w:p>
          <w:p w14:paraId="2505E04A">
            <w:pPr>
              <w:spacing w:before="58" w:line="195" w:lineRule="auto"/>
              <w:ind w:left="348" w:leftChars="0"/>
              <w:rPr>
                <w:rFonts w:ascii="Times New Roman" w:hAnsi="Times New Roman" w:eastAsia="Times New Roman" w:cs="Times New Roman"/>
                <w:spacing w:val="5"/>
                <w:sz w:val="20"/>
                <w:szCs w:val="20"/>
                <w:highlight w:val="none"/>
              </w:rPr>
            </w:pPr>
            <w:r>
              <w:rPr>
                <w:rFonts w:ascii="Times New Roman" w:hAnsi="Times New Roman" w:eastAsia="Times New Roman" w:cs="Times New Roman"/>
                <w:spacing w:val="-7"/>
                <w:sz w:val="20"/>
                <w:szCs w:val="20"/>
                <w:highlight w:val="none"/>
              </w:rPr>
              <w:t>5. 1.2</w:t>
            </w:r>
          </w:p>
        </w:tc>
        <w:tc>
          <w:tcPr>
            <w:tcW w:w="7897" w:type="dxa"/>
            <w:tcBorders>
              <w:right w:val="single" w:color="000000" w:sz="6" w:space="0"/>
            </w:tcBorders>
            <w:vAlign w:val="top"/>
          </w:tcPr>
          <w:p w14:paraId="69714F4B">
            <w:pPr>
              <w:spacing w:before="140" w:line="369" w:lineRule="auto"/>
              <w:ind w:left="108" w:right="99" w:firstLine="427"/>
              <w:rPr>
                <w:rFonts w:ascii="宋体" w:hAnsi="宋体" w:eastAsia="宋体" w:cs="宋体"/>
                <w:sz w:val="20"/>
                <w:szCs w:val="20"/>
                <w:highlight w:val="none"/>
              </w:rPr>
            </w:pPr>
            <w:r>
              <w:rPr>
                <w:rFonts w:ascii="Times New Roman" w:hAnsi="Times New Roman" w:eastAsia="Times New Roman" w:cs="Times New Roman"/>
                <w:spacing w:val="3"/>
                <w:sz w:val="20"/>
                <w:szCs w:val="20"/>
                <w:highlight w:val="none"/>
              </w:rPr>
              <w:t>1</w:t>
            </w:r>
            <w:r>
              <w:rPr>
                <w:rFonts w:ascii="宋体" w:hAnsi="宋体" w:eastAsia="宋体" w:cs="宋体"/>
                <w:spacing w:val="3"/>
                <w:sz w:val="20"/>
                <w:szCs w:val="20"/>
                <w:highlight w:val="none"/>
              </w:rPr>
              <w:t>、为确保本合同工程的施工质量，在合同履行过程中，发包人将结合国</w:t>
            </w:r>
            <w:r>
              <w:rPr>
                <w:rFonts w:ascii="宋体" w:hAnsi="宋体" w:eastAsia="宋体" w:cs="宋体"/>
                <w:spacing w:val="2"/>
                <w:sz w:val="20"/>
                <w:szCs w:val="20"/>
                <w:highlight w:val="none"/>
              </w:rPr>
              <w:t>内</w:t>
            </w:r>
            <w:r>
              <w:rPr>
                <w:rFonts w:ascii="宋体" w:hAnsi="宋体" w:eastAsia="宋体" w:cs="宋体"/>
                <w:sz w:val="20"/>
                <w:szCs w:val="20"/>
                <w:highlight w:val="none"/>
              </w:rPr>
              <w:t xml:space="preserve">工程 </w:t>
            </w:r>
            <w:r>
              <w:rPr>
                <w:rFonts w:ascii="宋体" w:hAnsi="宋体" w:eastAsia="宋体" w:cs="宋体"/>
                <w:spacing w:val="12"/>
                <w:sz w:val="20"/>
                <w:szCs w:val="20"/>
                <w:highlight w:val="none"/>
              </w:rPr>
              <w:t>施</w:t>
            </w:r>
            <w:r>
              <w:rPr>
                <w:rFonts w:ascii="宋体" w:hAnsi="宋体" w:eastAsia="宋体" w:cs="宋体"/>
                <w:spacing w:val="9"/>
                <w:sz w:val="20"/>
                <w:szCs w:val="20"/>
                <w:highlight w:val="none"/>
              </w:rPr>
              <w:t>工</w:t>
            </w:r>
            <w:r>
              <w:rPr>
                <w:rFonts w:ascii="宋体" w:hAnsi="宋体" w:eastAsia="宋体" w:cs="宋体"/>
                <w:spacing w:val="6"/>
                <w:sz w:val="20"/>
                <w:szCs w:val="20"/>
                <w:highlight w:val="none"/>
              </w:rPr>
              <w:t>现状，以及工程实际需要，对部分施工流程或工艺等提出特殊的设备要求，承包人应予实施，由此所增加的设备购置费或租赁费用 (合同另有约定除外) 发包</w:t>
            </w:r>
            <w:r>
              <w:rPr>
                <w:rFonts w:ascii="宋体" w:hAnsi="宋体" w:eastAsia="宋体" w:cs="宋体"/>
                <w:spacing w:val="3"/>
                <w:sz w:val="20"/>
                <w:szCs w:val="20"/>
                <w:highlight w:val="none"/>
              </w:rPr>
              <w:t>人</w:t>
            </w:r>
            <w:r>
              <w:rPr>
                <w:rFonts w:ascii="宋体" w:hAnsi="宋体" w:eastAsia="宋体" w:cs="宋体"/>
                <w:spacing w:val="4"/>
                <w:sz w:val="20"/>
                <w:szCs w:val="20"/>
                <w:highlight w:val="none"/>
              </w:rPr>
              <w:t>不另行支付。</w:t>
            </w:r>
          </w:p>
          <w:p w14:paraId="64EEDC82">
            <w:pPr>
              <w:spacing w:before="1" w:line="369" w:lineRule="auto"/>
              <w:ind w:left="109" w:right="99" w:firstLine="406"/>
              <w:rPr>
                <w:rFonts w:ascii="宋体" w:hAnsi="宋体" w:eastAsia="宋体" w:cs="宋体"/>
                <w:sz w:val="20"/>
                <w:szCs w:val="20"/>
                <w:highlight w:val="none"/>
              </w:rPr>
            </w:pPr>
            <w:r>
              <w:rPr>
                <w:rFonts w:ascii="Times New Roman" w:hAnsi="Times New Roman" w:eastAsia="Times New Roman" w:cs="Times New Roman"/>
                <w:spacing w:val="6"/>
                <w:sz w:val="20"/>
                <w:szCs w:val="20"/>
                <w:highlight w:val="none"/>
              </w:rPr>
              <w:t>2</w:t>
            </w:r>
            <w:r>
              <w:rPr>
                <w:rFonts w:ascii="宋体" w:hAnsi="宋体" w:eastAsia="宋体" w:cs="宋体"/>
                <w:spacing w:val="6"/>
                <w:sz w:val="20"/>
                <w:szCs w:val="20"/>
                <w:highlight w:val="none"/>
              </w:rPr>
              <w:t>、为保</w:t>
            </w:r>
            <w:r>
              <w:rPr>
                <w:rFonts w:ascii="宋体" w:hAnsi="宋体" w:eastAsia="宋体" w:cs="宋体"/>
                <w:spacing w:val="4"/>
                <w:sz w:val="20"/>
                <w:szCs w:val="20"/>
                <w:highlight w:val="none"/>
              </w:rPr>
              <w:t>证</w:t>
            </w:r>
            <w:r>
              <w:rPr>
                <w:rFonts w:ascii="宋体" w:hAnsi="宋体" w:eastAsia="宋体" w:cs="宋体"/>
                <w:spacing w:val="3"/>
                <w:sz w:val="20"/>
                <w:szCs w:val="20"/>
                <w:highlight w:val="none"/>
              </w:rPr>
              <w:t>工程质量，对于本项目所需的主要工程材料，承包人应选择信誉良好</w:t>
            </w:r>
            <w:r>
              <w:rPr>
                <w:rFonts w:ascii="宋体" w:hAnsi="宋体" w:eastAsia="宋体" w:cs="宋体"/>
                <w:spacing w:val="12"/>
                <w:sz w:val="20"/>
                <w:szCs w:val="20"/>
                <w:highlight w:val="none"/>
              </w:rPr>
              <w:t>的</w:t>
            </w:r>
            <w:r>
              <w:rPr>
                <w:rFonts w:ascii="宋体" w:hAnsi="宋体" w:eastAsia="宋体" w:cs="宋体"/>
                <w:spacing w:val="8"/>
                <w:sz w:val="20"/>
                <w:szCs w:val="20"/>
                <w:highlight w:val="none"/>
              </w:rPr>
              <w:t>材</w:t>
            </w:r>
            <w:r>
              <w:rPr>
                <w:rFonts w:ascii="宋体" w:hAnsi="宋体" w:eastAsia="宋体" w:cs="宋体"/>
                <w:spacing w:val="6"/>
                <w:sz w:val="20"/>
                <w:szCs w:val="20"/>
                <w:highlight w:val="none"/>
              </w:rPr>
              <w:t>料供应商或制造商或加工生产商。在与主要工程材料供应商或制造商或加工生</w:t>
            </w:r>
            <w:r>
              <w:rPr>
                <w:rFonts w:ascii="宋体" w:hAnsi="宋体" w:eastAsia="宋体" w:cs="宋体"/>
                <w:spacing w:val="12"/>
                <w:sz w:val="20"/>
                <w:szCs w:val="20"/>
                <w:highlight w:val="none"/>
              </w:rPr>
              <w:t>产</w:t>
            </w:r>
            <w:r>
              <w:rPr>
                <w:rFonts w:ascii="宋体" w:hAnsi="宋体" w:eastAsia="宋体" w:cs="宋体"/>
                <w:spacing w:val="8"/>
                <w:sz w:val="20"/>
                <w:szCs w:val="20"/>
                <w:highlight w:val="none"/>
              </w:rPr>
              <w:t>商</w:t>
            </w:r>
            <w:r>
              <w:rPr>
                <w:rFonts w:ascii="宋体" w:hAnsi="宋体" w:eastAsia="宋体" w:cs="宋体"/>
                <w:spacing w:val="6"/>
                <w:sz w:val="20"/>
                <w:szCs w:val="20"/>
                <w:highlight w:val="none"/>
              </w:rPr>
              <w:t>签订供货合同前，承包人必须将供应商或制造商或加工生产商的名单、相应资</w:t>
            </w:r>
            <w:r>
              <w:rPr>
                <w:rFonts w:ascii="宋体" w:hAnsi="宋体" w:eastAsia="宋体" w:cs="宋体"/>
                <w:spacing w:val="12"/>
                <w:sz w:val="20"/>
                <w:szCs w:val="20"/>
                <w:highlight w:val="none"/>
              </w:rPr>
              <w:t>格</w:t>
            </w:r>
            <w:r>
              <w:rPr>
                <w:rFonts w:ascii="宋体" w:hAnsi="宋体" w:eastAsia="宋体" w:cs="宋体"/>
                <w:spacing w:val="8"/>
                <w:sz w:val="20"/>
                <w:szCs w:val="20"/>
                <w:highlight w:val="none"/>
              </w:rPr>
              <w:t>、</w:t>
            </w:r>
            <w:r>
              <w:rPr>
                <w:rFonts w:ascii="宋体" w:hAnsi="宋体" w:eastAsia="宋体" w:cs="宋体"/>
                <w:spacing w:val="6"/>
                <w:sz w:val="20"/>
                <w:szCs w:val="20"/>
                <w:highlight w:val="none"/>
              </w:rPr>
              <w:t>材料品质报告等送发包人审查批准后，方可将主要工程材料用于实体工程，否</w:t>
            </w:r>
            <w:r>
              <w:rPr>
                <w:rFonts w:ascii="宋体" w:hAnsi="宋体" w:eastAsia="宋体" w:cs="宋体"/>
                <w:spacing w:val="12"/>
                <w:sz w:val="20"/>
                <w:szCs w:val="20"/>
                <w:highlight w:val="none"/>
              </w:rPr>
              <w:t>则</w:t>
            </w:r>
            <w:r>
              <w:rPr>
                <w:rFonts w:ascii="宋体" w:hAnsi="宋体" w:eastAsia="宋体" w:cs="宋体"/>
                <w:spacing w:val="8"/>
                <w:sz w:val="20"/>
                <w:szCs w:val="20"/>
                <w:highlight w:val="none"/>
              </w:rPr>
              <w:t>发</w:t>
            </w:r>
            <w:r>
              <w:rPr>
                <w:rFonts w:ascii="宋体" w:hAnsi="宋体" w:eastAsia="宋体" w:cs="宋体"/>
                <w:spacing w:val="6"/>
                <w:sz w:val="20"/>
                <w:szCs w:val="20"/>
                <w:highlight w:val="none"/>
              </w:rPr>
              <w:t>包人将视其为不合格工程并要求承包人返工重作或进行补救处理，由此造成的</w:t>
            </w:r>
            <w:r>
              <w:rPr>
                <w:rFonts w:ascii="宋体" w:hAnsi="宋体" w:eastAsia="宋体" w:cs="宋体"/>
                <w:spacing w:val="5"/>
                <w:sz w:val="20"/>
                <w:szCs w:val="20"/>
                <w:highlight w:val="none"/>
              </w:rPr>
              <w:t>费用增加和 (或) 工期延误由承包人承担</w:t>
            </w:r>
            <w:r>
              <w:rPr>
                <w:rFonts w:ascii="宋体" w:hAnsi="宋体" w:eastAsia="宋体" w:cs="宋体"/>
                <w:spacing w:val="2"/>
                <w:sz w:val="20"/>
                <w:szCs w:val="20"/>
                <w:highlight w:val="none"/>
              </w:rPr>
              <w:t>。</w:t>
            </w:r>
          </w:p>
          <w:p w14:paraId="5DB88539">
            <w:pPr>
              <w:spacing w:before="1" w:line="368" w:lineRule="auto"/>
              <w:ind w:left="132" w:right="151" w:firstLine="386"/>
              <w:rPr>
                <w:rFonts w:ascii="宋体" w:hAnsi="宋体" w:eastAsia="宋体" w:cs="宋体"/>
                <w:sz w:val="20"/>
                <w:szCs w:val="20"/>
                <w:highlight w:val="none"/>
              </w:rPr>
            </w:pPr>
            <w:r>
              <w:rPr>
                <w:rFonts w:ascii="宋体" w:hAnsi="宋体" w:eastAsia="宋体" w:cs="宋体"/>
                <w:spacing w:val="8"/>
                <w:sz w:val="20"/>
                <w:szCs w:val="20"/>
                <w:highlight w:val="none"/>
              </w:rPr>
              <w:t>承包人应与供</w:t>
            </w:r>
            <w:r>
              <w:rPr>
                <w:rFonts w:ascii="宋体" w:hAnsi="宋体" w:eastAsia="宋体" w:cs="宋体"/>
                <w:spacing w:val="7"/>
                <w:sz w:val="20"/>
                <w:szCs w:val="20"/>
                <w:highlight w:val="none"/>
              </w:rPr>
              <w:t>应</w:t>
            </w:r>
            <w:r>
              <w:rPr>
                <w:rFonts w:ascii="宋体" w:hAnsi="宋体" w:eastAsia="宋体" w:cs="宋体"/>
                <w:spacing w:val="4"/>
                <w:sz w:val="20"/>
                <w:szCs w:val="20"/>
                <w:highlight w:val="none"/>
              </w:rPr>
              <w:t>商或制造商或加工生产商签订供货合同，明确双方的责权利，</w:t>
            </w:r>
            <w:r>
              <w:rPr>
                <w:rFonts w:ascii="宋体" w:hAnsi="宋体" w:eastAsia="宋体" w:cs="宋体"/>
                <w:sz w:val="20"/>
                <w:szCs w:val="20"/>
                <w:highlight w:val="none"/>
              </w:rPr>
              <w:t xml:space="preserve"> </w:t>
            </w:r>
            <w:r>
              <w:rPr>
                <w:rFonts w:ascii="宋体" w:hAnsi="宋体" w:eastAsia="宋体" w:cs="宋体"/>
                <w:spacing w:val="8"/>
                <w:sz w:val="20"/>
                <w:szCs w:val="20"/>
                <w:highlight w:val="none"/>
              </w:rPr>
              <w:t>以及供</w:t>
            </w:r>
            <w:r>
              <w:rPr>
                <w:rFonts w:ascii="宋体" w:hAnsi="宋体" w:eastAsia="宋体" w:cs="宋体"/>
                <w:spacing w:val="4"/>
                <w:sz w:val="20"/>
                <w:szCs w:val="20"/>
                <w:highlight w:val="none"/>
              </w:rPr>
              <w:t>货方的供货时间与供货质量的保证措施和要求。</w:t>
            </w:r>
          </w:p>
          <w:p w14:paraId="04AB0AF6">
            <w:pPr>
              <w:spacing w:line="400" w:lineRule="exact"/>
              <w:ind w:left="520"/>
              <w:rPr>
                <w:rFonts w:ascii="宋体" w:hAnsi="宋体" w:eastAsia="宋体" w:cs="宋体"/>
                <w:sz w:val="20"/>
                <w:szCs w:val="20"/>
                <w:highlight w:val="none"/>
              </w:rPr>
            </w:pPr>
            <w:r>
              <w:rPr>
                <w:rFonts w:ascii="Times New Roman" w:hAnsi="Times New Roman" w:eastAsia="Times New Roman" w:cs="Times New Roman"/>
                <w:spacing w:val="6"/>
                <w:position w:val="15"/>
                <w:sz w:val="20"/>
                <w:szCs w:val="20"/>
                <w:highlight w:val="none"/>
              </w:rPr>
              <w:t>3</w:t>
            </w:r>
            <w:r>
              <w:rPr>
                <w:rFonts w:ascii="宋体" w:hAnsi="宋体" w:eastAsia="宋体" w:cs="宋体"/>
                <w:spacing w:val="6"/>
                <w:position w:val="15"/>
                <w:sz w:val="20"/>
                <w:szCs w:val="20"/>
                <w:highlight w:val="none"/>
              </w:rPr>
              <w:t>、</w:t>
            </w:r>
            <w:r>
              <w:rPr>
                <w:rFonts w:ascii="宋体" w:hAnsi="宋体" w:eastAsia="宋体" w:cs="宋体"/>
                <w:spacing w:val="5"/>
                <w:position w:val="15"/>
                <w:sz w:val="20"/>
                <w:szCs w:val="20"/>
                <w:highlight w:val="none"/>
              </w:rPr>
              <w:t>经</w:t>
            </w:r>
            <w:r>
              <w:rPr>
                <w:rFonts w:ascii="宋体" w:hAnsi="宋体" w:eastAsia="宋体" w:cs="宋体"/>
                <w:spacing w:val="3"/>
                <w:position w:val="15"/>
                <w:sz w:val="20"/>
                <w:szCs w:val="20"/>
                <w:highlight w:val="none"/>
              </w:rPr>
              <w:t>监理人鉴定质量不合格并令其清除出场的材料，其费用均应由承包人自行</w:t>
            </w:r>
          </w:p>
          <w:p w14:paraId="663D2244">
            <w:pPr>
              <w:spacing w:before="1" w:line="224" w:lineRule="auto"/>
              <w:ind w:left="117" w:leftChars="0"/>
              <w:rPr>
                <w:rFonts w:ascii="宋体" w:hAnsi="宋体" w:eastAsia="宋体" w:cs="宋体"/>
                <w:spacing w:val="-3"/>
                <w:sz w:val="20"/>
                <w:szCs w:val="20"/>
                <w:highlight w:val="none"/>
              </w:rPr>
            </w:pPr>
            <w:r>
              <w:rPr>
                <w:rFonts w:ascii="宋体" w:hAnsi="宋体" w:eastAsia="宋体" w:cs="宋体"/>
                <w:spacing w:val="-1"/>
                <w:sz w:val="20"/>
                <w:szCs w:val="20"/>
                <w:highlight w:val="none"/>
              </w:rPr>
              <w:t>负</w:t>
            </w:r>
            <w:r>
              <w:rPr>
                <w:rFonts w:ascii="宋体" w:hAnsi="宋体" w:eastAsia="宋体" w:cs="宋体"/>
                <w:sz w:val="20"/>
                <w:szCs w:val="20"/>
                <w:highlight w:val="none"/>
              </w:rPr>
              <w:t>责。</w:t>
            </w:r>
          </w:p>
        </w:tc>
      </w:tr>
      <w:tr w14:paraId="04D39D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7" w:hRule="atLeast"/>
        </w:trPr>
        <w:tc>
          <w:tcPr>
            <w:tcW w:w="534" w:type="dxa"/>
            <w:tcBorders>
              <w:left w:val="single" w:color="000000" w:sz="6" w:space="0"/>
            </w:tcBorders>
            <w:vAlign w:val="top"/>
          </w:tcPr>
          <w:p w14:paraId="7FD303CA">
            <w:pPr>
              <w:spacing w:line="272" w:lineRule="auto"/>
              <w:rPr>
                <w:rFonts w:ascii="Arial"/>
                <w:sz w:val="21"/>
                <w:highlight w:val="none"/>
              </w:rPr>
            </w:pPr>
          </w:p>
          <w:p w14:paraId="34E5B983">
            <w:pPr>
              <w:spacing w:before="57" w:line="195" w:lineRule="auto"/>
              <w:ind w:left="176" w:leftChars="0"/>
              <w:rPr>
                <w:rFonts w:ascii="Times New Roman" w:hAnsi="Times New Roman" w:eastAsia="Times New Roman" w:cs="Times New Roman"/>
                <w:spacing w:val="-8"/>
                <w:sz w:val="20"/>
                <w:szCs w:val="20"/>
                <w:highlight w:val="none"/>
              </w:rPr>
            </w:pPr>
            <w:r>
              <w:rPr>
                <w:rFonts w:ascii="Times New Roman" w:hAnsi="Times New Roman" w:eastAsia="Times New Roman" w:cs="Times New Roman"/>
                <w:spacing w:val="-8"/>
                <w:sz w:val="20"/>
                <w:szCs w:val="20"/>
                <w:highlight w:val="none"/>
              </w:rPr>
              <w:t>1</w:t>
            </w:r>
            <w:r>
              <w:rPr>
                <w:rFonts w:ascii="Times New Roman" w:hAnsi="Times New Roman" w:eastAsia="Times New Roman" w:cs="Times New Roman"/>
                <w:spacing w:val="-7"/>
                <w:sz w:val="20"/>
                <w:szCs w:val="20"/>
                <w:highlight w:val="none"/>
              </w:rPr>
              <w:t>7</w:t>
            </w:r>
          </w:p>
        </w:tc>
        <w:tc>
          <w:tcPr>
            <w:tcW w:w="1004" w:type="dxa"/>
            <w:vAlign w:val="top"/>
          </w:tcPr>
          <w:p w14:paraId="01B4FBDA">
            <w:pPr>
              <w:spacing w:line="272" w:lineRule="auto"/>
              <w:rPr>
                <w:rFonts w:ascii="Arial"/>
                <w:sz w:val="21"/>
                <w:highlight w:val="none"/>
              </w:rPr>
            </w:pPr>
          </w:p>
          <w:p w14:paraId="5EC8B1CA">
            <w:pPr>
              <w:spacing w:before="57" w:line="195" w:lineRule="auto"/>
              <w:ind w:left="348" w:leftChars="0"/>
              <w:rPr>
                <w:rFonts w:ascii="Times New Roman" w:hAnsi="Times New Roman" w:eastAsia="Times New Roman" w:cs="Times New Roman"/>
                <w:spacing w:val="5"/>
                <w:sz w:val="20"/>
                <w:szCs w:val="20"/>
                <w:highlight w:val="none"/>
              </w:rPr>
            </w:pPr>
            <w:r>
              <w:rPr>
                <w:rFonts w:ascii="Times New Roman" w:hAnsi="Times New Roman" w:eastAsia="Times New Roman" w:cs="Times New Roman"/>
                <w:spacing w:val="-6"/>
                <w:sz w:val="20"/>
                <w:szCs w:val="20"/>
                <w:highlight w:val="none"/>
              </w:rPr>
              <w:t>5</w:t>
            </w:r>
            <w:r>
              <w:rPr>
                <w:rFonts w:ascii="Times New Roman" w:hAnsi="Times New Roman" w:eastAsia="Times New Roman" w:cs="Times New Roman"/>
                <w:spacing w:val="-4"/>
                <w:sz w:val="20"/>
                <w:szCs w:val="20"/>
                <w:highlight w:val="none"/>
              </w:rPr>
              <w:t>.</w:t>
            </w:r>
            <w:r>
              <w:rPr>
                <w:rFonts w:ascii="Times New Roman" w:hAnsi="Times New Roman" w:eastAsia="Times New Roman" w:cs="Times New Roman"/>
                <w:spacing w:val="-3"/>
                <w:sz w:val="20"/>
                <w:szCs w:val="20"/>
                <w:highlight w:val="none"/>
              </w:rPr>
              <w:t>2. 1</w:t>
            </w:r>
          </w:p>
        </w:tc>
        <w:tc>
          <w:tcPr>
            <w:tcW w:w="7897" w:type="dxa"/>
            <w:tcBorders>
              <w:right w:val="single" w:color="000000" w:sz="6" w:space="0"/>
            </w:tcBorders>
            <w:vAlign w:val="top"/>
          </w:tcPr>
          <w:p w14:paraId="1CA938F0">
            <w:pPr>
              <w:spacing w:before="141" w:line="227" w:lineRule="auto"/>
              <w:ind w:left="350"/>
              <w:rPr>
                <w:rFonts w:ascii="宋体" w:hAnsi="宋体" w:eastAsia="宋体" w:cs="宋体"/>
                <w:sz w:val="20"/>
                <w:szCs w:val="20"/>
                <w:highlight w:val="none"/>
              </w:rPr>
            </w:pPr>
            <w:r>
              <w:rPr>
                <w:rFonts w:ascii="宋体" w:hAnsi="宋体" w:eastAsia="宋体" w:cs="宋体"/>
                <w:spacing w:val="16"/>
                <w:sz w:val="20"/>
                <w:szCs w:val="20"/>
                <w:highlight w:val="none"/>
              </w:rPr>
              <w:t>发</w:t>
            </w:r>
            <w:r>
              <w:rPr>
                <w:rFonts w:ascii="宋体" w:hAnsi="宋体" w:eastAsia="宋体" w:cs="宋体"/>
                <w:spacing w:val="13"/>
                <w:sz w:val="20"/>
                <w:szCs w:val="20"/>
                <w:highlight w:val="none"/>
              </w:rPr>
              <w:t>包</w:t>
            </w:r>
            <w:r>
              <w:rPr>
                <w:rFonts w:ascii="宋体" w:hAnsi="宋体" w:eastAsia="宋体" w:cs="宋体"/>
                <w:spacing w:val="8"/>
                <w:sz w:val="20"/>
                <w:szCs w:val="20"/>
                <w:highlight w:val="none"/>
              </w:rPr>
              <w:t>人是否提供材料或工程设备：</w:t>
            </w:r>
            <w:r>
              <w:rPr>
                <w:rFonts w:ascii="宋体" w:hAnsi="宋体" w:eastAsia="宋体" w:cs="宋体"/>
                <w:spacing w:val="8"/>
                <w:sz w:val="20"/>
                <w:szCs w:val="20"/>
                <w:highlight w:val="none"/>
                <w:u w:val="single" w:color="auto"/>
              </w:rPr>
              <w:t xml:space="preserve">  否</w:t>
            </w:r>
            <w:r>
              <w:rPr>
                <w:rFonts w:ascii="宋体" w:hAnsi="宋体" w:eastAsia="宋体" w:cs="宋体"/>
                <w:sz w:val="20"/>
                <w:szCs w:val="20"/>
                <w:highlight w:val="none"/>
                <w:u w:val="single" w:color="auto"/>
              </w:rPr>
              <w:t xml:space="preserve">  </w:t>
            </w:r>
          </w:p>
          <w:p w14:paraId="5FFA8584">
            <w:pPr>
              <w:spacing w:before="117" w:line="276" w:lineRule="exact"/>
              <w:ind w:left="350" w:leftChars="0"/>
              <w:rPr>
                <w:rFonts w:ascii="宋体" w:hAnsi="宋体" w:eastAsia="宋体" w:cs="宋体"/>
                <w:spacing w:val="-3"/>
                <w:sz w:val="20"/>
                <w:szCs w:val="20"/>
                <w:highlight w:val="none"/>
              </w:rPr>
            </w:pPr>
            <w:r>
              <w:rPr>
                <w:rFonts w:ascii="宋体" w:hAnsi="宋体" w:eastAsia="宋体" w:cs="宋体"/>
                <w:spacing w:val="10"/>
                <w:position w:val="1"/>
                <w:sz w:val="20"/>
                <w:szCs w:val="20"/>
                <w:highlight w:val="none"/>
              </w:rPr>
              <w:t>如</w:t>
            </w:r>
            <w:r>
              <w:rPr>
                <w:rFonts w:ascii="宋体" w:hAnsi="宋体" w:eastAsia="宋体" w:cs="宋体"/>
                <w:spacing w:val="8"/>
                <w:position w:val="1"/>
                <w:sz w:val="20"/>
                <w:szCs w:val="20"/>
                <w:highlight w:val="none"/>
              </w:rPr>
              <w:t>发</w:t>
            </w:r>
            <w:r>
              <w:rPr>
                <w:rFonts w:ascii="宋体" w:hAnsi="宋体" w:eastAsia="宋体" w:cs="宋体"/>
                <w:spacing w:val="5"/>
                <w:position w:val="1"/>
                <w:sz w:val="20"/>
                <w:szCs w:val="20"/>
                <w:highlight w:val="none"/>
              </w:rPr>
              <w:t xml:space="preserve">包人负责提供部分材料或工程设备，相关规定如下：  </w:t>
            </w:r>
            <w:r>
              <w:rPr>
                <w:rFonts w:ascii="Times New Roman" w:hAnsi="Times New Roman" w:eastAsia="Times New Roman" w:cs="Times New Roman"/>
                <w:spacing w:val="5"/>
                <w:position w:val="1"/>
                <w:sz w:val="20"/>
                <w:szCs w:val="20"/>
                <w:highlight w:val="none"/>
              </w:rPr>
              <w:t>/</w:t>
            </w:r>
          </w:p>
        </w:tc>
      </w:tr>
      <w:tr w14:paraId="6C435B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534" w:type="dxa"/>
            <w:tcBorders>
              <w:left w:val="single" w:color="000000" w:sz="6" w:space="0"/>
            </w:tcBorders>
            <w:vAlign w:val="top"/>
          </w:tcPr>
          <w:p w14:paraId="6B751F37">
            <w:pPr>
              <w:spacing w:line="292" w:lineRule="auto"/>
              <w:rPr>
                <w:rFonts w:ascii="Arial"/>
                <w:sz w:val="21"/>
                <w:highlight w:val="none"/>
              </w:rPr>
            </w:pPr>
          </w:p>
          <w:p w14:paraId="50CCFDDC">
            <w:pPr>
              <w:spacing w:before="57" w:line="195" w:lineRule="auto"/>
              <w:ind w:left="176" w:leftChars="0"/>
              <w:rPr>
                <w:rFonts w:ascii="Times New Roman" w:hAnsi="Times New Roman" w:eastAsia="Times New Roman" w:cs="Times New Roman"/>
                <w:spacing w:val="-8"/>
                <w:sz w:val="20"/>
                <w:szCs w:val="20"/>
                <w:highlight w:val="none"/>
              </w:rPr>
            </w:pPr>
            <w:r>
              <w:rPr>
                <w:rFonts w:ascii="Times New Roman" w:hAnsi="Times New Roman" w:eastAsia="Times New Roman" w:cs="Times New Roman"/>
                <w:spacing w:val="-8"/>
                <w:sz w:val="20"/>
                <w:szCs w:val="20"/>
                <w:highlight w:val="none"/>
              </w:rPr>
              <w:t>1</w:t>
            </w:r>
            <w:r>
              <w:rPr>
                <w:rFonts w:ascii="Times New Roman" w:hAnsi="Times New Roman" w:eastAsia="Times New Roman" w:cs="Times New Roman"/>
                <w:spacing w:val="-7"/>
                <w:sz w:val="20"/>
                <w:szCs w:val="20"/>
                <w:highlight w:val="none"/>
              </w:rPr>
              <w:t>8</w:t>
            </w:r>
          </w:p>
        </w:tc>
        <w:tc>
          <w:tcPr>
            <w:tcW w:w="1004" w:type="dxa"/>
            <w:vAlign w:val="top"/>
          </w:tcPr>
          <w:p w14:paraId="0BF5B60A">
            <w:pPr>
              <w:spacing w:line="292" w:lineRule="auto"/>
              <w:rPr>
                <w:rFonts w:ascii="Arial"/>
                <w:sz w:val="21"/>
                <w:highlight w:val="none"/>
              </w:rPr>
            </w:pPr>
          </w:p>
          <w:p w14:paraId="0263D7E4">
            <w:pPr>
              <w:spacing w:before="58" w:line="195" w:lineRule="auto"/>
              <w:ind w:left="426" w:leftChars="0"/>
              <w:rPr>
                <w:rFonts w:ascii="Times New Roman" w:hAnsi="Times New Roman" w:eastAsia="Times New Roman" w:cs="Times New Roman"/>
                <w:spacing w:val="-6"/>
                <w:sz w:val="20"/>
                <w:szCs w:val="20"/>
                <w:highlight w:val="none"/>
              </w:rPr>
            </w:pPr>
            <w:r>
              <w:rPr>
                <w:rFonts w:ascii="Times New Roman" w:hAnsi="Times New Roman" w:eastAsia="Times New Roman" w:cs="Times New Roman"/>
                <w:spacing w:val="1"/>
                <w:sz w:val="20"/>
                <w:szCs w:val="20"/>
                <w:highlight w:val="none"/>
              </w:rPr>
              <w:t>6.2</w:t>
            </w:r>
          </w:p>
        </w:tc>
        <w:tc>
          <w:tcPr>
            <w:tcW w:w="7897" w:type="dxa"/>
            <w:tcBorders>
              <w:right w:val="single" w:color="000000" w:sz="6" w:space="0"/>
            </w:tcBorders>
            <w:vAlign w:val="top"/>
          </w:tcPr>
          <w:p w14:paraId="02C162B9">
            <w:pPr>
              <w:spacing w:before="159" w:line="227" w:lineRule="auto"/>
              <w:ind w:left="321"/>
              <w:rPr>
                <w:rFonts w:ascii="宋体" w:hAnsi="宋体" w:eastAsia="宋体" w:cs="宋体"/>
                <w:sz w:val="20"/>
                <w:szCs w:val="20"/>
                <w:highlight w:val="none"/>
              </w:rPr>
            </w:pPr>
            <w:r>
              <w:rPr>
                <w:rFonts w:ascii="宋体" w:hAnsi="宋体" w:eastAsia="宋体" w:cs="宋体"/>
                <w:spacing w:val="9"/>
                <w:sz w:val="20"/>
                <w:szCs w:val="20"/>
                <w:highlight w:val="none"/>
              </w:rPr>
              <w:t>发包人是否提供施工设备和临时设施：</w:t>
            </w:r>
            <w:r>
              <w:rPr>
                <w:rFonts w:ascii="宋体" w:hAnsi="宋体" w:eastAsia="宋体" w:cs="宋体"/>
                <w:spacing w:val="9"/>
                <w:sz w:val="20"/>
                <w:szCs w:val="20"/>
                <w:highlight w:val="none"/>
                <w:u w:val="single" w:color="auto"/>
              </w:rPr>
              <w:t xml:space="preserve">  </w:t>
            </w:r>
            <w:r>
              <w:rPr>
                <w:rFonts w:ascii="宋体" w:hAnsi="宋体" w:eastAsia="宋体" w:cs="宋体"/>
                <w:spacing w:val="6"/>
                <w:sz w:val="20"/>
                <w:szCs w:val="20"/>
                <w:highlight w:val="none"/>
                <w:u w:val="single" w:color="auto"/>
              </w:rPr>
              <w:t>否</w:t>
            </w:r>
            <w:r>
              <w:rPr>
                <w:rFonts w:ascii="宋体" w:hAnsi="宋体" w:eastAsia="宋体" w:cs="宋体"/>
                <w:sz w:val="20"/>
                <w:szCs w:val="20"/>
                <w:highlight w:val="none"/>
                <w:u w:val="single" w:color="auto"/>
              </w:rPr>
              <w:t xml:space="preserve">  </w:t>
            </w:r>
          </w:p>
          <w:p w14:paraId="64D8F05D">
            <w:pPr>
              <w:spacing w:before="117" w:line="272" w:lineRule="auto"/>
              <w:ind w:left="321" w:leftChars="0"/>
              <w:rPr>
                <w:rFonts w:ascii="宋体" w:hAnsi="宋体" w:eastAsia="宋体" w:cs="宋体"/>
                <w:spacing w:val="10"/>
                <w:position w:val="1"/>
                <w:sz w:val="20"/>
                <w:szCs w:val="20"/>
                <w:highlight w:val="none"/>
              </w:rPr>
            </w:pPr>
            <w:r>
              <w:rPr>
                <w:rFonts w:ascii="宋体" w:hAnsi="宋体" w:eastAsia="宋体" w:cs="宋体"/>
                <w:spacing w:val="16"/>
                <w:sz w:val="20"/>
                <w:szCs w:val="20"/>
                <w:highlight w:val="none"/>
              </w:rPr>
              <w:t>如</w:t>
            </w:r>
            <w:r>
              <w:rPr>
                <w:rFonts w:ascii="宋体" w:hAnsi="宋体" w:eastAsia="宋体" w:cs="宋体"/>
                <w:spacing w:val="15"/>
                <w:sz w:val="20"/>
                <w:szCs w:val="20"/>
                <w:highlight w:val="none"/>
              </w:rPr>
              <w:t>发</w:t>
            </w:r>
            <w:r>
              <w:rPr>
                <w:rFonts w:ascii="宋体" w:hAnsi="宋体" w:eastAsia="宋体" w:cs="宋体"/>
                <w:spacing w:val="8"/>
                <w:sz w:val="20"/>
                <w:szCs w:val="20"/>
                <w:highlight w:val="none"/>
              </w:rPr>
              <w:t>包人负责提供部分施工设备和临时设施，相关规定如下：</w:t>
            </w:r>
            <w:r>
              <w:rPr>
                <w:rFonts w:ascii="Times New Roman" w:hAnsi="Times New Roman" w:eastAsia="Times New Roman" w:cs="Times New Roman"/>
                <w:spacing w:val="8"/>
                <w:sz w:val="20"/>
                <w:szCs w:val="20"/>
                <w:highlight w:val="none"/>
                <w:u w:val="single" w:color="auto"/>
              </w:rPr>
              <w:t xml:space="preserve">    /</w:t>
            </w:r>
            <w:r>
              <w:rPr>
                <w:rFonts w:ascii="Times New Roman" w:hAnsi="Times New Roman" w:eastAsia="Times New Roman" w:cs="Times New Roman"/>
                <w:sz w:val="20"/>
                <w:szCs w:val="20"/>
                <w:highlight w:val="none"/>
                <w:u w:val="single" w:color="auto"/>
              </w:rPr>
              <w:t xml:space="preserve">    </w:t>
            </w:r>
          </w:p>
        </w:tc>
      </w:tr>
      <w:tr w14:paraId="696501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7" w:hRule="atLeast"/>
        </w:trPr>
        <w:tc>
          <w:tcPr>
            <w:tcW w:w="534" w:type="dxa"/>
            <w:tcBorders>
              <w:left w:val="single" w:color="000000" w:sz="6" w:space="0"/>
            </w:tcBorders>
            <w:vAlign w:val="top"/>
          </w:tcPr>
          <w:p w14:paraId="171F8891">
            <w:pPr>
              <w:spacing w:line="273" w:lineRule="auto"/>
              <w:rPr>
                <w:rFonts w:ascii="Arial"/>
                <w:sz w:val="21"/>
                <w:highlight w:val="none"/>
              </w:rPr>
            </w:pPr>
          </w:p>
          <w:p w14:paraId="05B3708D">
            <w:pPr>
              <w:spacing w:before="57" w:line="195" w:lineRule="auto"/>
              <w:ind w:left="176" w:leftChars="0"/>
              <w:rPr>
                <w:rFonts w:ascii="Times New Roman" w:hAnsi="Times New Roman" w:eastAsia="Times New Roman" w:cs="Times New Roman"/>
                <w:spacing w:val="-8"/>
                <w:sz w:val="20"/>
                <w:szCs w:val="20"/>
                <w:highlight w:val="none"/>
              </w:rPr>
            </w:pPr>
            <w:r>
              <w:rPr>
                <w:rFonts w:ascii="Times New Roman" w:hAnsi="Times New Roman" w:eastAsia="Times New Roman" w:cs="Times New Roman"/>
                <w:spacing w:val="-8"/>
                <w:sz w:val="20"/>
                <w:szCs w:val="20"/>
                <w:highlight w:val="none"/>
              </w:rPr>
              <w:t>1</w:t>
            </w:r>
            <w:r>
              <w:rPr>
                <w:rFonts w:ascii="Times New Roman" w:hAnsi="Times New Roman" w:eastAsia="Times New Roman" w:cs="Times New Roman"/>
                <w:spacing w:val="-7"/>
                <w:sz w:val="20"/>
                <w:szCs w:val="20"/>
                <w:highlight w:val="none"/>
              </w:rPr>
              <w:t>9</w:t>
            </w:r>
          </w:p>
        </w:tc>
        <w:tc>
          <w:tcPr>
            <w:tcW w:w="1004" w:type="dxa"/>
            <w:vAlign w:val="top"/>
          </w:tcPr>
          <w:p w14:paraId="005FEA02">
            <w:pPr>
              <w:spacing w:line="273" w:lineRule="auto"/>
              <w:rPr>
                <w:rFonts w:ascii="Arial"/>
                <w:sz w:val="21"/>
                <w:highlight w:val="none"/>
              </w:rPr>
            </w:pPr>
          </w:p>
          <w:p w14:paraId="0F241314">
            <w:pPr>
              <w:spacing w:before="58" w:line="195" w:lineRule="auto"/>
              <w:ind w:left="350" w:leftChars="0"/>
              <w:rPr>
                <w:rFonts w:ascii="Times New Roman" w:hAnsi="Times New Roman" w:eastAsia="Times New Roman" w:cs="Times New Roman"/>
                <w:spacing w:val="-6"/>
                <w:sz w:val="20"/>
                <w:szCs w:val="20"/>
                <w:highlight w:val="none"/>
              </w:rPr>
            </w:pPr>
            <w:r>
              <w:rPr>
                <w:rFonts w:ascii="Times New Roman" w:hAnsi="Times New Roman" w:eastAsia="Times New Roman" w:cs="Times New Roman"/>
                <w:spacing w:val="6"/>
                <w:sz w:val="20"/>
                <w:szCs w:val="20"/>
                <w:highlight w:val="none"/>
              </w:rPr>
              <w:t>8</w:t>
            </w:r>
            <w:r>
              <w:rPr>
                <w:rFonts w:ascii="Times New Roman" w:hAnsi="Times New Roman" w:eastAsia="Times New Roman" w:cs="Times New Roman"/>
                <w:spacing w:val="5"/>
                <w:sz w:val="20"/>
                <w:szCs w:val="20"/>
                <w:highlight w:val="none"/>
              </w:rPr>
              <w:t>.1.1</w:t>
            </w:r>
          </w:p>
        </w:tc>
        <w:tc>
          <w:tcPr>
            <w:tcW w:w="7897" w:type="dxa"/>
            <w:tcBorders>
              <w:right w:val="single" w:color="000000" w:sz="6" w:space="0"/>
            </w:tcBorders>
            <w:vAlign w:val="top"/>
          </w:tcPr>
          <w:p w14:paraId="4F10CAB6">
            <w:pPr>
              <w:spacing w:before="104" w:line="321" w:lineRule="auto"/>
              <w:ind w:left="318" w:leftChars="0" w:right="938" w:rightChars="0" w:firstLine="32" w:firstLineChars="0"/>
              <w:rPr>
                <w:rFonts w:ascii="宋体" w:hAnsi="宋体" w:eastAsia="宋体" w:cs="宋体"/>
                <w:spacing w:val="10"/>
                <w:position w:val="1"/>
                <w:sz w:val="20"/>
                <w:szCs w:val="20"/>
                <w:highlight w:val="none"/>
              </w:rPr>
            </w:pPr>
            <w:r>
              <w:rPr>
                <w:rFonts w:ascii="宋体" w:hAnsi="宋体" w:eastAsia="宋体" w:cs="宋体"/>
                <w:spacing w:val="8"/>
                <w:sz w:val="20"/>
                <w:szCs w:val="20"/>
                <w:highlight w:val="none"/>
              </w:rPr>
              <w:t>发包人提供测量基准点、基准线和水准点及其书面资料的期限：</w:t>
            </w:r>
            <w:r>
              <w:rPr>
                <w:rFonts w:ascii="Times New Roman" w:hAnsi="Times New Roman" w:eastAsia="Times New Roman" w:cs="Times New Roman"/>
                <w:spacing w:val="8"/>
                <w:sz w:val="20"/>
                <w:szCs w:val="20"/>
                <w:highlight w:val="none"/>
                <w:u w:val="single" w:color="auto"/>
              </w:rPr>
              <w:t xml:space="preserve">    /   </w:t>
            </w:r>
            <w:r>
              <w:rPr>
                <w:rFonts w:ascii="Times New Roman" w:hAnsi="Times New Roman" w:eastAsia="Times New Roman" w:cs="Times New Roman"/>
                <w:spacing w:val="1"/>
                <w:sz w:val="20"/>
                <w:szCs w:val="20"/>
                <w:highlight w:val="none"/>
                <w:u w:val="single" w:color="auto"/>
              </w:rPr>
              <w:t xml:space="preserve"> </w:t>
            </w:r>
            <w:r>
              <w:rPr>
                <w:rFonts w:ascii="Times New Roman" w:hAnsi="Times New Roman" w:eastAsia="Times New Roman" w:cs="Times New Roman"/>
                <w:sz w:val="20"/>
                <w:szCs w:val="20"/>
                <w:highlight w:val="none"/>
              </w:rPr>
              <w:t xml:space="preserve"> </w:t>
            </w:r>
            <w:r>
              <w:rPr>
                <w:rFonts w:ascii="宋体" w:hAnsi="宋体" w:eastAsia="宋体" w:cs="宋体"/>
                <w:spacing w:val="16"/>
                <w:sz w:val="20"/>
                <w:szCs w:val="20"/>
                <w:highlight w:val="none"/>
              </w:rPr>
              <w:t>承</w:t>
            </w:r>
            <w:r>
              <w:rPr>
                <w:rFonts w:ascii="宋体" w:hAnsi="宋体" w:eastAsia="宋体" w:cs="宋体"/>
                <w:spacing w:val="10"/>
                <w:sz w:val="20"/>
                <w:szCs w:val="20"/>
                <w:highlight w:val="none"/>
              </w:rPr>
              <w:t>包</w:t>
            </w:r>
            <w:r>
              <w:rPr>
                <w:rFonts w:ascii="宋体" w:hAnsi="宋体" w:eastAsia="宋体" w:cs="宋体"/>
                <w:spacing w:val="8"/>
                <w:sz w:val="20"/>
                <w:szCs w:val="20"/>
                <w:highlight w:val="none"/>
              </w:rPr>
              <w:t>人将施工控制网资料报送监理人审批的期限：</w:t>
            </w:r>
            <w:r>
              <w:rPr>
                <w:rFonts w:ascii="Times New Roman" w:hAnsi="Times New Roman" w:eastAsia="Times New Roman" w:cs="Times New Roman"/>
                <w:spacing w:val="8"/>
                <w:sz w:val="20"/>
                <w:szCs w:val="20"/>
                <w:highlight w:val="none"/>
                <w:u w:val="single" w:color="auto"/>
              </w:rPr>
              <w:t xml:space="preserve">    /</w:t>
            </w:r>
            <w:r>
              <w:rPr>
                <w:rFonts w:ascii="Times New Roman" w:hAnsi="Times New Roman" w:eastAsia="Times New Roman" w:cs="Times New Roman"/>
                <w:sz w:val="20"/>
                <w:szCs w:val="20"/>
                <w:highlight w:val="none"/>
                <w:u w:val="single" w:color="auto"/>
              </w:rPr>
              <w:t xml:space="preserve">    </w:t>
            </w:r>
          </w:p>
        </w:tc>
      </w:tr>
      <w:tr w14:paraId="72D6CA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534" w:type="dxa"/>
            <w:tcBorders>
              <w:left w:val="single" w:color="000000" w:sz="6" w:space="0"/>
            </w:tcBorders>
            <w:vAlign w:val="top"/>
          </w:tcPr>
          <w:p w14:paraId="4FD361EF">
            <w:pPr>
              <w:spacing w:before="132" w:line="195" w:lineRule="auto"/>
              <w:ind w:left="156" w:leftChars="0"/>
              <w:rPr>
                <w:rFonts w:ascii="Times New Roman" w:hAnsi="Times New Roman" w:eastAsia="Times New Roman" w:cs="Times New Roman"/>
                <w:spacing w:val="-8"/>
                <w:sz w:val="20"/>
                <w:szCs w:val="20"/>
                <w:highlight w:val="none"/>
              </w:rPr>
            </w:pPr>
            <w:r>
              <w:rPr>
                <w:rFonts w:ascii="Times New Roman" w:hAnsi="Times New Roman" w:eastAsia="Times New Roman" w:cs="Times New Roman"/>
                <w:spacing w:val="3"/>
                <w:sz w:val="20"/>
                <w:szCs w:val="20"/>
                <w:highlight w:val="none"/>
              </w:rPr>
              <w:t>2</w:t>
            </w:r>
            <w:r>
              <w:rPr>
                <w:rFonts w:ascii="Times New Roman" w:hAnsi="Times New Roman" w:eastAsia="Times New Roman" w:cs="Times New Roman"/>
                <w:spacing w:val="2"/>
                <w:sz w:val="20"/>
                <w:szCs w:val="20"/>
                <w:highlight w:val="none"/>
              </w:rPr>
              <w:t>0</w:t>
            </w:r>
          </w:p>
        </w:tc>
        <w:tc>
          <w:tcPr>
            <w:tcW w:w="1004" w:type="dxa"/>
            <w:vAlign w:val="top"/>
          </w:tcPr>
          <w:p w14:paraId="6BFB490F">
            <w:pPr>
              <w:spacing w:before="95" w:line="231" w:lineRule="auto"/>
              <w:ind w:left="129" w:leftChars="0"/>
              <w:rPr>
                <w:rFonts w:ascii="Times New Roman" w:hAnsi="Times New Roman" w:eastAsia="Times New Roman" w:cs="Times New Roman"/>
                <w:spacing w:val="-6"/>
                <w:sz w:val="20"/>
                <w:szCs w:val="20"/>
                <w:highlight w:val="none"/>
              </w:rPr>
            </w:pPr>
            <w:r>
              <w:rPr>
                <w:rFonts w:ascii="Times New Roman" w:hAnsi="Times New Roman" w:eastAsia="Times New Roman" w:cs="Times New Roman"/>
                <w:spacing w:val="-1"/>
                <w:sz w:val="20"/>
                <w:szCs w:val="20"/>
                <w:highlight w:val="none"/>
              </w:rPr>
              <w:t>11</w:t>
            </w:r>
            <w:r>
              <w:rPr>
                <w:rFonts w:ascii="Times New Roman" w:hAnsi="Times New Roman" w:eastAsia="Times New Roman" w:cs="Times New Roman"/>
                <w:sz w:val="20"/>
                <w:szCs w:val="20"/>
                <w:highlight w:val="none"/>
              </w:rPr>
              <w:t xml:space="preserve">.5  </w:t>
            </w:r>
            <w:r>
              <w:rPr>
                <w:rFonts w:ascii="宋体" w:hAnsi="宋体" w:eastAsia="宋体" w:cs="宋体"/>
                <w:sz w:val="20"/>
                <w:szCs w:val="20"/>
                <w:highlight w:val="none"/>
              </w:rPr>
              <w:t>(</w:t>
            </w:r>
            <w:r>
              <w:rPr>
                <w:rFonts w:ascii="Times New Roman" w:hAnsi="Times New Roman" w:eastAsia="Times New Roman" w:cs="Times New Roman"/>
                <w:sz w:val="20"/>
                <w:szCs w:val="20"/>
                <w:highlight w:val="none"/>
              </w:rPr>
              <w:t>3</w:t>
            </w:r>
            <w:r>
              <w:rPr>
                <w:rFonts w:ascii="宋体" w:hAnsi="宋体" w:eastAsia="宋体" w:cs="宋体"/>
                <w:sz w:val="20"/>
                <w:szCs w:val="20"/>
                <w:highlight w:val="none"/>
              </w:rPr>
              <w:t>)</w:t>
            </w:r>
          </w:p>
        </w:tc>
        <w:tc>
          <w:tcPr>
            <w:tcW w:w="7897" w:type="dxa"/>
            <w:tcBorders>
              <w:right w:val="single" w:color="000000" w:sz="6" w:space="0"/>
            </w:tcBorders>
            <w:vAlign w:val="top"/>
          </w:tcPr>
          <w:p w14:paraId="68F0117F">
            <w:pPr>
              <w:spacing w:before="104" w:line="273" w:lineRule="auto"/>
              <w:ind w:left="316" w:leftChars="0"/>
              <w:rPr>
                <w:rFonts w:ascii="宋体" w:hAnsi="宋体" w:eastAsia="宋体" w:cs="宋体"/>
                <w:spacing w:val="10"/>
                <w:position w:val="1"/>
                <w:sz w:val="20"/>
                <w:szCs w:val="20"/>
                <w:highlight w:val="none"/>
              </w:rPr>
            </w:pPr>
            <w:r>
              <w:rPr>
                <w:rFonts w:ascii="宋体" w:hAnsi="宋体" w:eastAsia="宋体" w:cs="宋体"/>
                <w:spacing w:val="12"/>
                <w:sz w:val="20"/>
                <w:szCs w:val="20"/>
                <w:highlight w:val="none"/>
              </w:rPr>
              <w:t>逾期</w:t>
            </w:r>
            <w:r>
              <w:rPr>
                <w:rFonts w:ascii="宋体" w:hAnsi="宋体" w:eastAsia="宋体" w:cs="宋体"/>
                <w:spacing w:val="7"/>
                <w:sz w:val="20"/>
                <w:szCs w:val="20"/>
                <w:highlight w:val="none"/>
              </w:rPr>
              <w:t>交</w:t>
            </w:r>
            <w:r>
              <w:rPr>
                <w:rFonts w:ascii="宋体" w:hAnsi="宋体" w:eastAsia="宋体" w:cs="宋体"/>
                <w:spacing w:val="6"/>
                <w:sz w:val="20"/>
                <w:szCs w:val="20"/>
                <w:highlight w:val="none"/>
              </w:rPr>
              <w:t>工违约金：</w:t>
            </w:r>
            <w:r>
              <w:rPr>
                <w:rFonts w:ascii="Times New Roman" w:hAnsi="Times New Roman" w:eastAsia="Times New Roman" w:cs="Times New Roman"/>
                <w:spacing w:val="6"/>
                <w:sz w:val="20"/>
                <w:szCs w:val="20"/>
                <w:highlight w:val="none"/>
                <w:u w:val="single" w:color="auto"/>
              </w:rPr>
              <w:t xml:space="preserve">    2 </w:t>
            </w:r>
            <w:r>
              <w:rPr>
                <w:rFonts w:ascii="宋体" w:hAnsi="宋体" w:eastAsia="宋体" w:cs="宋体"/>
                <w:spacing w:val="6"/>
                <w:sz w:val="20"/>
                <w:szCs w:val="20"/>
                <w:highlight w:val="none"/>
                <w:u w:val="single" w:color="auto"/>
              </w:rPr>
              <w:t xml:space="preserve">万 </w:t>
            </w:r>
            <w:r>
              <w:rPr>
                <w:rFonts w:ascii="宋体" w:hAnsi="宋体" w:eastAsia="宋体" w:cs="宋体"/>
                <w:spacing w:val="6"/>
                <w:sz w:val="20"/>
                <w:szCs w:val="20"/>
                <w:highlight w:val="none"/>
              </w:rPr>
              <w:t>元</w:t>
            </w:r>
            <w:r>
              <w:rPr>
                <w:rFonts w:ascii="Times New Roman" w:hAnsi="Times New Roman" w:eastAsia="Times New Roman" w:cs="Times New Roman"/>
                <w:spacing w:val="6"/>
                <w:sz w:val="20"/>
                <w:szCs w:val="20"/>
                <w:highlight w:val="none"/>
              </w:rPr>
              <w:t>/</w:t>
            </w:r>
            <w:r>
              <w:rPr>
                <w:rFonts w:ascii="宋体" w:hAnsi="宋体" w:eastAsia="宋体" w:cs="宋体"/>
                <w:spacing w:val="6"/>
                <w:sz w:val="20"/>
                <w:szCs w:val="20"/>
                <w:highlight w:val="none"/>
              </w:rPr>
              <w:t>天</w:t>
            </w:r>
          </w:p>
        </w:tc>
      </w:tr>
      <w:tr w14:paraId="606072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8" w:hRule="atLeast"/>
        </w:trPr>
        <w:tc>
          <w:tcPr>
            <w:tcW w:w="534" w:type="dxa"/>
            <w:tcBorders>
              <w:left w:val="single" w:color="000000" w:sz="6" w:space="0"/>
            </w:tcBorders>
            <w:vAlign w:val="top"/>
          </w:tcPr>
          <w:p w14:paraId="3E3CCA2D">
            <w:pPr>
              <w:spacing w:before="133" w:line="195" w:lineRule="auto"/>
              <w:ind w:left="156" w:leftChars="0"/>
              <w:rPr>
                <w:rFonts w:ascii="Times New Roman" w:hAnsi="Times New Roman" w:eastAsia="Times New Roman" w:cs="Times New Roman"/>
                <w:spacing w:val="-8"/>
                <w:sz w:val="20"/>
                <w:szCs w:val="20"/>
                <w:highlight w:val="none"/>
              </w:rPr>
            </w:pPr>
            <w:r>
              <w:rPr>
                <w:rFonts w:ascii="Times New Roman" w:hAnsi="Times New Roman" w:eastAsia="Times New Roman" w:cs="Times New Roman"/>
                <w:spacing w:val="3"/>
                <w:sz w:val="20"/>
                <w:szCs w:val="20"/>
                <w:highlight w:val="none"/>
              </w:rPr>
              <w:t>2</w:t>
            </w:r>
            <w:r>
              <w:rPr>
                <w:rFonts w:ascii="Times New Roman" w:hAnsi="Times New Roman" w:eastAsia="Times New Roman" w:cs="Times New Roman"/>
                <w:spacing w:val="2"/>
                <w:sz w:val="20"/>
                <w:szCs w:val="20"/>
                <w:highlight w:val="none"/>
              </w:rPr>
              <w:t>1</w:t>
            </w:r>
          </w:p>
        </w:tc>
        <w:tc>
          <w:tcPr>
            <w:tcW w:w="1004" w:type="dxa"/>
            <w:vAlign w:val="top"/>
          </w:tcPr>
          <w:p w14:paraId="2D04DAB0">
            <w:pPr>
              <w:spacing w:before="96" w:line="231" w:lineRule="auto"/>
              <w:ind w:left="129" w:leftChars="0"/>
              <w:rPr>
                <w:rFonts w:ascii="Times New Roman" w:hAnsi="Times New Roman" w:eastAsia="Times New Roman" w:cs="Times New Roman"/>
                <w:spacing w:val="-6"/>
                <w:sz w:val="20"/>
                <w:szCs w:val="20"/>
                <w:highlight w:val="none"/>
              </w:rPr>
            </w:pPr>
            <w:r>
              <w:rPr>
                <w:rFonts w:ascii="Times New Roman" w:hAnsi="Times New Roman" w:eastAsia="Times New Roman" w:cs="Times New Roman"/>
                <w:spacing w:val="-1"/>
                <w:sz w:val="20"/>
                <w:szCs w:val="20"/>
                <w:highlight w:val="none"/>
              </w:rPr>
              <w:t>11</w:t>
            </w:r>
            <w:r>
              <w:rPr>
                <w:rFonts w:ascii="Times New Roman" w:hAnsi="Times New Roman" w:eastAsia="Times New Roman" w:cs="Times New Roman"/>
                <w:sz w:val="20"/>
                <w:szCs w:val="20"/>
                <w:highlight w:val="none"/>
              </w:rPr>
              <w:t xml:space="preserve">.5  </w:t>
            </w:r>
            <w:r>
              <w:rPr>
                <w:rFonts w:ascii="宋体" w:hAnsi="宋体" w:eastAsia="宋体" w:cs="宋体"/>
                <w:sz w:val="20"/>
                <w:szCs w:val="20"/>
                <w:highlight w:val="none"/>
              </w:rPr>
              <w:t>(</w:t>
            </w:r>
            <w:r>
              <w:rPr>
                <w:rFonts w:ascii="Times New Roman" w:hAnsi="Times New Roman" w:eastAsia="Times New Roman" w:cs="Times New Roman"/>
                <w:sz w:val="20"/>
                <w:szCs w:val="20"/>
                <w:highlight w:val="none"/>
              </w:rPr>
              <w:t>3</w:t>
            </w:r>
            <w:r>
              <w:rPr>
                <w:rFonts w:ascii="宋体" w:hAnsi="宋体" w:eastAsia="宋体" w:cs="宋体"/>
                <w:sz w:val="20"/>
                <w:szCs w:val="20"/>
                <w:highlight w:val="none"/>
              </w:rPr>
              <w:t>)</w:t>
            </w:r>
          </w:p>
        </w:tc>
        <w:tc>
          <w:tcPr>
            <w:tcW w:w="7897" w:type="dxa"/>
            <w:tcBorders>
              <w:right w:val="single" w:color="000000" w:sz="6" w:space="0"/>
            </w:tcBorders>
            <w:vAlign w:val="top"/>
          </w:tcPr>
          <w:p w14:paraId="44FE3CB5">
            <w:pPr>
              <w:spacing w:before="105" w:line="272" w:lineRule="auto"/>
              <w:ind w:left="316" w:leftChars="0"/>
              <w:rPr>
                <w:rFonts w:ascii="宋体" w:hAnsi="宋体" w:eastAsia="宋体" w:cs="宋体"/>
                <w:spacing w:val="10"/>
                <w:position w:val="1"/>
                <w:sz w:val="20"/>
                <w:szCs w:val="20"/>
                <w:highlight w:val="none"/>
              </w:rPr>
            </w:pPr>
            <w:r>
              <w:rPr>
                <w:rFonts w:ascii="宋体" w:hAnsi="宋体" w:eastAsia="宋体" w:cs="宋体"/>
                <w:spacing w:val="8"/>
                <w:sz w:val="20"/>
                <w:szCs w:val="20"/>
                <w:highlight w:val="none"/>
              </w:rPr>
              <w:t>逾期交工违约金限额：</w:t>
            </w:r>
            <w:r>
              <w:rPr>
                <w:rFonts w:ascii="Times New Roman" w:hAnsi="Times New Roman" w:eastAsia="Times New Roman" w:cs="Times New Roman"/>
                <w:spacing w:val="8"/>
                <w:sz w:val="20"/>
                <w:szCs w:val="20"/>
                <w:highlight w:val="none"/>
                <w:u w:val="single" w:color="auto"/>
              </w:rPr>
              <w:t xml:space="preserve">  10 </w:t>
            </w:r>
            <w:r>
              <w:rPr>
                <w:rFonts w:hint="eastAsia" w:eastAsia="宋体" w:cs="Times New Roman"/>
                <w:spacing w:val="8"/>
                <w:sz w:val="20"/>
                <w:szCs w:val="20"/>
                <w:highlight w:val="none"/>
                <w:u w:val="single" w:color="auto"/>
                <w:lang w:val="en-US" w:eastAsia="zh-CN"/>
              </w:rPr>
              <w:t xml:space="preserve">  </w:t>
            </w:r>
            <w:r>
              <w:rPr>
                <w:rFonts w:ascii="Times New Roman" w:hAnsi="Times New Roman" w:eastAsia="Times New Roman" w:cs="Times New Roman"/>
                <w:spacing w:val="8"/>
                <w:sz w:val="20"/>
                <w:szCs w:val="20"/>
                <w:highlight w:val="none"/>
              </w:rPr>
              <w:t>%</w:t>
            </w:r>
            <w:r>
              <w:rPr>
                <w:rFonts w:hint="eastAsia" w:eastAsia="宋体" w:cs="Times New Roman"/>
                <w:spacing w:val="8"/>
                <w:sz w:val="20"/>
                <w:szCs w:val="20"/>
                <w:highlight w:val="none"/>
                <w:lang w:val="en-US" w:eastAsia="zh-CN"/>
              </w:rPr>
              <w:t xml:space="preserve">  </w:t>
            </w:r>
            <w:r>
              <w:rPr>
                <w:rFonts w:ascii="宋体" w:hAnsi="宋体" w:eastAsia="宋体" w:cs="宋体"/>
                <w:spacing w:val="8"/>
                <w:sz w:val="20"/>
                <w:szCs w:val="20"/>
                <w:highlight w:val="none"/>
              </w:rPr>
              <w:t>签约合同价</w:t>
            </w:r>
          </w:p>
        </w:tc>
      </w:tr>
      <w:tr w14:paraId="714D65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5" w:hRule="atLeast"/>
        </w:trPr>
        <w:tc>
          <w:tcPr>
            <w:tcW w:w="534" w:type="dxa"/>
            <w:tcBorders>
              <w:left w:val="single" w:color="000000" w:sz="6" w:space="0"/>
            </w:tcBorders>
            <w:vAlign w:val="top"/>
          </w:tcPr>
          <w:p w14:paraId="71E56F9D">
            <w:pPr>
              <w:spacing w:before="133" w:line="195" w:lineRule="auto"/>
              <w:ind w:left="156" w:leftChars="0"/>
              <w:rPr>
                <w:rFonts w:ascii="Times New Roman" w:hAnsi="Times New Roman" w:eastAsia="Times New Roman" w:cs="Times New Roman"/>
                <w:spacing w:val="-8"/>
                <w:sz w:val="20"/>
                <w:szCs w:val="20"/>
                <w:highlight w:val="none"/>
              </w:rPr>
            </w:pPr>
            <w:r>
              <w:rPr>
                <w:rFonts w:ascii="Times New Roman" w:hAnsi="Times New Roman" w:eastAsia="Times New Roman" w:cs="Times New Roman"/>
                <w:spacing w:val="3"/>
                <w:sz w:val="20"/>
                <w:szCs w:val="20"/>
                <w:highlight w:val="none"/>
              </w:rPr>
              <w:t>2</w:t>
            </w:r>
            <w:r>
              <w:rPr>
                <w:rFonts w:ascii="Times New Roman" w:hAnsi="Times New Roman" w:eastAsia="Times New Roman" w:cs="Times New Roman"/>
                <w:spacing w:val="2"/>
                <w:sz w:val="20"/>
                <w:szCs w:val="20"/>
                <w:highlight w:val="none"/>
              </w:rPr>
              <w:t>2</w:t>
            </w:r>
          </w:p>
        </w:tc>
        <w:tc>
          <w:tcPr>
            <w:tcW w:w="1004" w:type="dxa"/>
            <w:vAlign w:val="top"/>
          </w:tcPr>
          <w:p w14:paraId="76F9AB1B">
            <w:pPr>
              <w:spacing w:before="133" w:line="198" w:lineRule="auto"/>
              <w:ind w:left="391" w:leftChars="0"/>
              <w:rPr>
                <w:rFonts w:ascii="Times New Roman" w:hAnsi="Times New Roman" w:eastAsia="Times New Roman" w:cs="Times New Roman"/>
                <w:spacing w:val="-6"/>
                <w:sz w:val="20"/>
                <w:szCs w:val="20"/>
                <w:highlight w:val="none"/>
              </w:rPr>
            </w:pPr>
            <w:r>
              <w:rPr>
                <w:rFonts w:ascii="Times New Roman" w:hAnsi="Times New Roman" w:eastAsia="Times New Roman" w:cs="Times New Roman"/>
                <w:spacing w:val="-3"/>
                <w:sz w:val="20"/>
                <w:szCs w:val="20"/>
                <w:highlight w:val="none"/>
              </w:rPr>
              <w:t>1</w:t>
            </w:r>
            <w:r>
              <w:rPr>
                <w:rFonts w:ascii="Times New Roman" w:hAnsi="Times New Roman" w:eastAsia="Times New Roman" w:cs="Times New Roman"/>
                <w:spacing w:val="-2"/>
                <w:sz w:val="20"/>
                <w:szCs w:val="20"/>
                <w:highlight w:val="none"/>
              </w:rPr>
              <w:t>1.6</w:t>
            </w:r>
          </w:p>
        </w:tc>
        <w:tc>
          <w:tcPr>
            <w:tcW w:w="7897" w:type="dxa"/>
            <w:tcBorders>
              <w:right w:val="single" w:color="000000" w:sz="6" w:space="0"/>
            </w:tcBorders>
            <w:vAlign w:val="top"/>
          </w:tcPr>
          <w:p w14:paraId="32F29881">
            <w:pPr>
              <w:spacing w:before="105" w:line="276" w:lineRule="exact"/>
              <w:ind w:left="318" w:leftChars="0"/>
              <w:rPr>
                <w:rFonts w:ascii="宋体" w:hAnsi="宋体" w:eastAsia="宋体" w:cs="宋体"/>
                <w:spacing w:val="10"/>
                <w:position w:val="1"/>
                <w:sz w:val="20"/>
                <w:szCs w:val="20"/>
                <w:highlight w:val="none"/>
              </w:rPr>
            </w:pPr>
            <w:r>
              <w:rPr>
                <w:rFonts w:ascii="宋体" w:hAnsi="宋体" w:eastAsia="宋体" w:cs="宋体"/>
                <w:spacing w:val="4"/>
                <w:position w:val="1"/>
                <w:sz w:val="20"/>
                <w:szCs w:val="20"/>
                <w:highlight w:val="none"/>
              </w:rPr>
              <w:t>提前完工</w:t>
            </w:r>
            <w:r>
              <w:rPr>
                <w:rFonts w:ascii="宋体" w:hAnsi="宋体" w:eastAsia="宋体" w:cs="宋体"/>
                <w:spacing w:val="3"/>
                <w:position w:val="1"/>
                <w:sz w:val="20"/>
                <w:szCs w:val="20"/>
                <w:highlight w:val="none"/>
              </w:rPr>
              <w:t>的</w:t>
            </w:r>
            <w:r>
              <w:rPr>
                <w:rFonts w:ascii="宋体" w:hAnsi="宋体" w:eastAsia="宋体" w:cs="宋体"/>
                <w:spacing w:val="2"/>
                <w:position w:val="1"/>
                <w:sz w:val="20"/>
                <w:szCs w:val="20"/>
                <w:highlight w:val="none"/>
              </w:rPr>
              <w:t xml:space="preserve">奖金，规定为：   </w:t>
            </w:r>
            <w:r>
              <w:rPr>
                <w:rFonts w:ascii="Times New Roman" w:hAnsi="Times New Roman" w:eastAsia="Times New Roman" w:cs="Times New Roman"/>
                <w:spacing w:val="2"/>
                <w:position w:val="1"/>
                <w:sz w:val="20"/>
                <w:szCs w:val="20"/>
                <w:highlight w:val="none"/>
              </w:rPr>
              <w:t xml:space="preserve">/    </w:t>
            </w:r>
            <w:r>
              <w:rPr>
                <w:rFonts w:ascii="宋体" w:hAnsi="宋体" w:eastAsia="宋体" w:cs="宋体"/>
                <w:spacing w:val="2"/>
                <w:position w:val="1"/>
                <w:sz w:val="20"/>
                <w:szCs w:val="20"/>
                <w:highlight w:val="none"/>
              </w:rPr>
              <w:t>元</w:t>
            </w:r>
            <w:r>
              <w:rPr>
                <w:rFonts w:ascii="Times New Roman" w:hAnsi="Times New Roman" w:eastAsia="Times New Roman" w:cs="Times New Roman"/>
                <w:spacing w:val="2"/>
                <w:position w:val="1"/>
                <w:sz w:val="20"/>
                <w:szCs w:val="20"/>
                <w:highlight w:val="none"/>
              </w:rPr>
              <w:t>/</w:t>
            </w:r>
            <w:r>
              <w:rPr>
                <w:rFonts w:ascii="宋体" w:hAnsi="宋体" w:eastAsia="宋体" w:cs="宋体"/>
                <w:spacing w:val="2"/>
                <w:position w:val="1"/>
                <w:sz w:val="20"/>
                <w:szCs w:val="20"/>
                <w:highlight w:val="none"/>
              </w:rPr>
              <w:t>天</w:t>
            </w:r>
          </w:p>
        </w:tc>
      </w:tr>
      <w:tr w14:paraId="76F8B0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7" w:hRule="atLeast"/>
        </w:trPr>
        <w:tc>
          <w:tcPr>
            <w:tcW w:w="534" w:type="dxa"/>
            <w:tcBorders>
              <w:left w:val="single" w:color="000000" w:sz="6" w:space="0"/>
            </w:tcBorders>
            <w:vAlign w:val="top"/>
          </w:tcPr>
          <w:p w14:paraId="5D1DD4CD">
            <w:pPr>
              <w:spacing w:before="153" w:line="195" w:lineRule="auto"/>
              <w:ind w:left="156" w:leftChars="0"/>
              <w:rPr>
                <w:rFonts w:ascii="Times New Roman" w:hAnsi="Times New Roman" w:eastAsia="Times New Roman" w:cs="Times New Roman"/>
                <w:spacing w:val="-8"/>
                <w:sz w:val="20"/>
                <w:szCs w:val="20"/>
                <w:highlight w:val="none"/>
              </w:rPr>
            </w:pPr>
            <w:r>
              <w:rPr>
                <w:rFonts w:ascii="Times New Roman" w:hAnsi="Times New Roman" w:eastAsia="Times New Roman" w:cs="Times New Roman"/>
                <w:spacing w:val="3"/>
                <w:sz w:val="20"/>
                <w:szCs w:val="20"/>
                <w:highlight w:val="none"/>
              </w:rPr>
              <w:t>2</w:t>
            </w:r>
            <w:r>
              <w:rPr>
                <w:rFonts w:ascii="Times New Roman" w:hAnsi="Times New Roman" w:eastAsia="Times New Roman" w:cs="Times New Roman"/>
                <w:spacing w:val="2"/>
                <w:sz w:val="20"/>
                <w:szCs w:val="20"/>
                <w:highlight w:val="none"/>
              </w:rPr>
              <w:t>3</w:t>
            </w:r>
          </w:p>
        </w:tc>
        <w:tc>
          <w:tcPr>
            <w:tcW w:w="1004" w:type="dxa"/>
            <w:vAlign w:val="top"/>
          </w:tcPr>
          <w:p w14:paraId="735B5F20">
            <w:pPr>
              <w:spacing w:before="153" w:line="198" w:lineRule="auto"/>
              <w:ind w:left="391" w:leftChars="0"/>
              <w:rPr>
                <w:rFonts w:ascii="Times New Roman" w:hAnsi="Times New Roman" w:eastAsia="Times New Roman" w:cs="Times New Roman"/>
                <w:spacing w:val="-6"/>
                <w:sz w:val="20"/>
                <w:szCs w:val="20"/>
                <w:highlight w:val="none"/>
              </w:rPr>
            </w:pPr>
            <w:r>
              <w:rPr>
                <w:rFonts w:ascii="Times New Roman" w:hAnsi="Times New Roman" w:eastAsia="Times New Roman" w:cs="Times New Roman"/>
                <w:spacing w:val="-3"/>
                <w:sz w:val="20"/>
                <w:szCs w:val="20"/>
                <w:highlight w:val="none"/>
              </w:rPr>
              <w:t>1</w:t>
            </w:r>
            <w:r>
              <w:rPr>
                <w:rFonts w:ascii="Times New Roman" w:hAnsi="Times New Roman" w:eastAsia="Times New Roman" w:cs="Times New Roman"/>
                <w:spacing w:val="-2"/>
                <w:sz w:val="20"/>
                <w:szCs w:val="20"/>
                <w:highlight w:val="none"/>
              </w:rPr>
              <w:t>1.6</w:t>
            </w:r>
          </w:p>
        </w:tc>
        <w:tc>
          <w:tcPr>
            <w:tcW w:w="7897" w:type="dxa"/>
            <w:tcBorders>
              <w:right w:val="single" w:color="000000" w:sz="6" w:space="0"/>
            </w:tcBorders>
            <w:vAlign w:val="top"/>
          </w:tcPr>
          <w:p w14:paraId="09064676">
            <w:pPr>
              <w:spacing w:before="122" w:line="277" w:lineRule="exact"/>
              <w:ind w:left="318" w:leftChars="0"/>
              <w:rPr>
                <w:rFonts w:ascii="宋体" w:hAnsi="宋体" w:eastAsia="宋体" w:cs="宋体"/>
                <w:spacing w:val="10"/>
                <w:position w:val="1"/>
                <w:sz w:val="20"/>
                <w:szCs w:val="20"/>
                <w:highlight w:val="none"/>
              </w:rPr>
            </w:pPr>
            <w:r>
              <w:rPr>
                <w:rFonts w:ascii="宋体" w:hAnsi="宋体" w:eastAsia="宋体" w:cs="宋体"/>
                <w:spacing w:val="4"/>
                <w:position w:val="1"/>
                <w:sz w:val="20"/>
                <w:szCs w:val="20"/>
                <w:highlight w:val="none"/>
              </w:rPr>
              <w:t xml:space="preserve">提前完工的奖金限额，规定为：   </w:t>
            </w:r>
            <w:r>
              <w:rPr>
                <w:rFonts w:ascii="Times New Roman" w:hAnsi="Times New Roman" w:eastAsia="Times New Roman" w:cs="Times New Roman"/>
                <w:spacing w:val="4"/>
                <w:position w:val="1"/>
                <w:sz w:val="20"/>
                <w:szCs w:val="20"/>
                <w:highlight w:val="none"/>
              </w:rPr>
              <w:t>/    %</w:t>
            </w:r>
            <w:r>
              <w:rPr>
                <w:rFonts w:ascii="宋体" w:hAnsi="宋体" w:eastAsia="宋体" w:cs="宋体"/>
                <w:spacing w:val="4"/>
                <w:position w:val="1"/>
                <w:sz w:val="20"/>
                <w:szCs w:val="20"/>
                <w:highlight w:val="none"/>
              </w:rPr>
              <w:t>签约合同</w:t>
            </w:r>
            <w:r>
              <w:rPr>
                <w:rFonts w:ascii="宋体" w:hAnsi="宋体" w:eastAsia="宋体" w:cs="宋体"/>
                <w:spacing w:val="2"/>
                <w:position w:val="1"/>
                <w:sz w:val="20"/>
                <w:szCs w:val="20"/>
                <w:highlight w:val="none"/>
              </w:rPr>
              <w:t>价</w:t>
            </w:r>
          </w:p>
        </w:tc>
      </w:tr>
      <w:tr w14:paraId="64F0C2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5" w:hRule="atLeast"/>
        </w:trPr>
        <w:tc>
          <w:tcPr>
            <w:tcW w:w="534" w:type="dxa"/>
            <w:tcBorders>
              <w:left w:val="single" w:color="000000" w:sz="6" w:space="0"/>
            </w:tcBorders>
            <w:vAlign w:val="top"/>
          </w:tcPr>
          <w:p w14:paraId="221E9EBA">
            <w:pPr>
              <w:spacing w:line="293" w:lineRule="auto"/>
              <w:rPr>
                <w:rFonts w:ascii="Arial"/>
                <w:sz w:val="21"/>
                <w:highlight w:val="none"/>
              </w:rPr>
            </w:pPr>
          </w:p>
          <w:p w14:paraId="7BE8CBA9">
            <w:pPr>
              <w:spacing w:before="58" w:line="195" w:lineRule="auto"/>
              <w:ind w:left="156" w:leftChars="0"/>
              <w:rPr>
                <w:rFonts w:ascii="Times New Roman" w:hAnsi="Times New Roman" w:eastAsia="Times New Roman" w:cs="Times New Roman"/>
                <w:spacing w:val="-8"/>
                <w:sz w:val="20"/>
                <w:szCs w:val="20"/>
                <w:highlight w:val="none"/>
              </w:rPr>
            </w:pPr>
            <w:r>
              <w:rPr>
                <w:rFonts w:ascii="Times New Roman" w:hAnsi="Times New Roman" w:eastAsia="Times New Roman" w:cs="Times New Roman"/>
                <w:spacing w:val="3"/>
                <w:sz w:val="20"/>
                <w:szCs w:val="20"/>
                <w:highlight w:val="none"/>
              </w:rPr>
              <w:t>2</w:t>
            </w:r>
            <w:r>
              <w:rPr>
                <w:rFonts w:ascii="Times New Roman" w:hAnsi="Times New Roman" w:eastAsia="Times New Roman" w:cs="Times New Roman"/>
                <w:spacing w:val="2"/>
                <w:sz w:val="20"/>
                <w:szCs w:val="20"/>
                <w:highlight w:val="none"/>
              </w:rPr>
              <w:t>4</w:t>
            </w:r>
          </w:p>
        </w:tc>
        <w:tc>
          <w:tcPr>
            <w:tcW w:w="1004" w:type="dxa"/>
            <w:vAlign w:val="top"/>
          </w:tcPr>
          <w:p w14:paraId="73DC79C4">
            <w:pPr>
              <w:spacing w:line="293" w:lineRule="auto"/>
              <w:rPr>
                <w:rFonts w:ascii="Arial"/>
                <w:sz w:val="21"/>
                <w:highlight w:val="none"/>
              </w:rPr>
            </w:pPr>
          </w:p>
          <w:p w14:paraId="596ACA97">
            <w:pPr>
              <w:spacing w:before="58" w:line="198" w:lineRule="auto"/>
              <w:ind w:left="389" w:leftChars="0"/>
              <w:rPr>
                <w:rFonts w:ascii="Times New Roman" w:hAnsi="Times New Roman" w:eastAsia="Times New Roman" w:cs="Times New Roman"/>
                <w:spacing w:val="-6"/>
                <w:sz w:val="20"/>
                <w:szCs w:val="20"/>
                <w:highlight w:val="none"/>
              </w:rPr>
            </w:pPr>
            <w:r>
              <w:rPr>
                <w:rFonts w:ascii="Times New Roman" w:hAnsi="Times New Roman" w:eastAsia="Times New Roman" w:cs="Times New Roman"/>
                <w:spacing w:val="-1"/>
                <w:sz w:val="20"/>
                <w:szCs w:val="20"/>
                <w:highlight w:val="none"/>
              </w:rPr>
              <w:t>14.6</w:t>
            </w:r>
          </w:p>
        </w:tc>
        <w:tc>
          <w:tcPr>
            <w:tcW w:w="7897" w:type="dxa"/>
            <w:tcBorders>
              <w:right w:val="single" w:color="000000" w:sz="6" w:space="0"/>
            </w:tcBorders>
            <w:vAlign w:val="top"/>
          </w:tcPr>
          <w:p w14:paraId="01915B9A">
            <w:pPr>
              <w:spacing w:before="161" w:line="400" w:lineRule="exact"/>
              <w:ind w:left="318"/>
              <w:rPr>
                <w:rFonts w:ascii="宋体" w:hAnsi="宋体" w:eastAsia="宋体" w:cs="宋体"/>
                <w:spacing w:val="10"/>
                <w:position w:val="1"/>
                <w:sz w:val="20"/>
                <w:szCs w:val="20"/>
                <w:highlight w:val="none"/>
              </w:rPr>
            </w:pPr>
            <w:r>
              <w:rPr>
                <w:rFonts w:ascii="宋体" w:hAnsi="宋体" w:eastAsia="宋体" w:cs="宋体"/>
                <w:spacing w:val="14"/>
                <w:position w:val="15"/>
                <w:sz w:val="20"/>
                <w:szCs w:val="20"/>
                <w:highlight w:val="none"/>
              </w:rPr>
              <w:t>承</w:t>
            </w:r>
            <w:r>
              <w:rPr>
                <w:rFonts w:ascii="宋体" w:hAnsi="宋体" w:eastAsia="宋体" w:cs="宋体"/>
                <w:spacing w:val="12"/>
                <w:position w:val="15"/>
                <w:sz w:val="20"/>
                <w:szCs w:val="20"/>
                <w:highlight w:val="none"/>
              </w:rPr>
              <w:t>包人设立试验室的相关要求：必须满足《辽宁省公路水运工程建设项目工地</w:t>
            </w:r>
            <w:r>
              <w:rPr>
                <w:rFonts w:hint="eastAsia" w:ascii="宋体" w:hAnsi="宋体" w:eastAsia="宋体" w:cs="宋体"/>
                <w:spacing w:val="12"/>
                <w:position w:val="15"/>
                <w:sz w:val="20"/>
                <w:szCs w:val="20"/>
                <w:highlight w:val="none"/>
              </w:rPr>
              <w:t xml:space="preserve">试验室备案管理标准》  (辽交工监市发〔2013〕133 号) </w:t>
            </w:r>
            <w:r>
              <w:rPr>
                <w:rFonts w:ascii="宋体" w:hAnsi="宋体" w:eastAsia="宋体" w:cs="宋体"/>
                <w:spacing w:val="4"/>
                <w:sz w:val="20"/>
                <w:szCs w:val="20"/>
                <w:highlight w:val="none"/>
              </w:rPr>
              <w:t>。</w:t>
            </w:r>
          </w:p>
        </w:tc>
      </w:tr>
      <w:tr w14:paraId="276336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64" w:hRule="atLeast"/>
        </w:trPr>
        <w:tc>
          <w:tcPr>
            <w:tcW w:w="534" w:type="dxa"/>
            <w:tcBorders>
              <w:left w:val="single" w:color="000000" w:sz="6" w:space="0"/>
            </w:tcBorders>
            <w:vAlign w:val="top"/>
          </w:tcPr>
          <w:p w14:paraId="316ADE92">
            <w:pPr>
              <w:spacing w:line="266" w:lineRule="auto"/>
              <w:rPr>
                <w:rFonts w:ascii="Arial"/>
                <w:sz w:val="21"/>
                <w:highlight w:val="none"/>
              </w:rPr>
            </w:pPr>
          </w:p>
          <w:p w14:paraId="2982D2C6">
            <w:pPr>
              <w:spacing w:line="266" w:lineRule="auto"/>
              <w:rPr>
                <w:rFonts w:ascii="Arial"/>
                <w:sz w:val="21"/>
                <w:highlight w:val="none"/>
              </w:rPr>
            </w:pPr>
          </w:p>
          <w:p w14:paraId="7D00776F">
            <w:pPr>
              <w:spacing w:line="267" w:lineRule="auto"/>
              <w:rPr>
                <w:rFonts w:ascii="Arial"/>
                <w:sz w:val="21"/>
                <w:highlight w:val="none"/>
              </w:rPr>
            </w:pPr>
          </w:p>
          <w:p w14:paraId="67F62152">
            <w:pPr>
              <w:spacing w:line="267" w:lineRule="auto"/>
              <w:rPr>
                <w:rFonts w:ascii="Arial"/>
                <w:sz w:val="21"/>
                <w:highlight w:val="none"/>
              </w:rPr>
            </w:pPr>
          </w:p>
          <w:p w14:paraId="54B45929">
            <w:pPr>
              <w:spacing w:before="57" w:line="195" w:lineRule="auto"/>
              <w:ind w:left="156" w:leftChars="0"/>
              <w:rPr>
                <w:rFonts w:ascii="Times New Roman" w:hAnsi="Times New Roman" w:eastAsia="Times New Roman" w:cs="Times New Roman"/>
                <w:spacing w:val="-8"/>
                <w:sz w:val="20"/>
                <w:szCs w:val="20"/>
                <w:highlight w:val="none"/>
              </w:rPr>
            </w:pPr>
            <w:r>
              <w:rPr>
                <w:rFonts w:ascii="Times New Roman" w:hAnsi="Times New Roman" w:eastAsia="Times New Roman" w:cs="Times New Roman"/>
                <w:spacing w:val="3"/>
                <w:sz w:val="20"/>
                <w:szCs w:val="20"/>
                <w:highlight w:val="none"/>
              </w:rPr>
              <w:t>2</w:t>
            </w:r>
            <w:r>
              <w:rPr>
                <w:rFonts w:ascii="Times New Roman" w:hAnsi="Times New Roman" w:eastAsia="Times New Roman" w:cs="Times New Roman"/>
                <w:spacing w:val="2"/>
                <w:sz w:val="20"/>
                <w:szCs w:val="20"/>
                <w:highlight w:val="none"/>
              </w:rPr>
              <w:t>5</w:t>
            </w:r>
          </w:p>
        </w:tc>
        <w:tc>
          <w:tcPr>
            <w:tcW w:w="1004" w:type="dxa"/>
            <w:vAlign w:val="top"/>
          </w:tcPr>
          <w:p w14:paraId="4D2E142D">
            <w:pPr>
              <w:spacing w:line="266" w:lineRule="auto"/>
              <w:rPr>
                <w:rFonts w:ascii="Arial"/>
                <w:sz w:val="21"/>
                <w:highlight w:val="none"/>
              </w:rPr>
            </w:pPr>
          </w:p>
          <w:p w14:paraId="05972FD2">
            <w:pPr>
              <w:spacing w:line="266" w:lineRule="auto"/>
              <w:rPr>
                <w:rFonts w:ascii="Arial"/>
                <w:sz w:val="21"/>
                <w:highlight w:val="none"/>
              </w:rPr>
            </w:pPr>
          </w:p>
          <w:p w14:paraId="142FDB7C">
            <w:pPr>
              <w:spacing w:line="267" w:lineRule="auto"/>
              <w:rPr>
                <w:rFonts w:ascii="Arial"/>
                <w:sz w:val="21"/>
                <w:highlight w:val="none"/>
              </w:rPr>
            </w:pPr>
          </w:p>
          <w:p w14:paraId="131338D1">
            <w:pPr>
              <w:spacing w:line="267" w:lineRule="auto"/>
              <w:rPr>
                <w:rFonts w:ascii="Arial"/>
                <w:sz w:val="21"/>
                <w:highlight w:val="none"/>
              </w:rPr>
            </w:pPr>
          </w:p>
          <w:p w14:paraId="5F049AB4">
            <w:pPr>
              <w:spacing w:before="58" w:line="195" w:lineRule="auto"/>
              <w:ind w:left="389" w:leftChars="0"/>
              <w:rPr>
                <w:rFonts w:ascii="Times New Roman" w:hAnsi="Times New Roman" w:eastAsia="Times New Roman" w:cs="Times New Roman"/>
                <w:spacing w:val="-6"/>
                <w:sz w:val="20"/>
                <w:szCs w:val="20"/>
                <w:highlight w:val="none"/>
              </w:rPr>
            </w:pPr>
            <w:r>
              <w:rPr>
                <w:rFonts w:ascii="Times New Roman" w:hAnsi="Times New Roman" w:eastAsia="Times New Roman" w:cs="Times New Roman"/>
                <w:spacing w:val="-3"/>
                <w:sz w:val="20"/>
                <w:szCs w:val="20"/>
                <w:highlight w:val="none"/>
              </w:rPr>
              <w:t>1</w:t>
            </w:r>
            <w:r>
              <w:rPr>
                <w:rFonts w:ascii="Times New Roman" w:hAnsi="Times New Roman" w:eastAsia="Times New Roman" w:cs="Times New Roman"/>
                <w:spacing w:val="-2"/>
                <w:sz w:val="20"/>
                <w:szCs w:val="20"/>
                <w:highlight w:val="none"/>
              </w:rPr>
              <w:t>5.2</w:t>
            </w:r>
          </w:p>
        </w:tc>
        <w:tc>
          <w:tcPr>
            <w:tcW w:w="7897" w:type="dxa"/>
            <w:tcBorders>
              <w:right w:val="single" w:color="000000" w:sz="6" w:space="0"/>
            </w:tcBorders>
            <w:vAlign w:val="top"/>
          </w:tcPr>
          <w:p w14:paraId="22720DB5">
            <w:pPr>
              <w:spacing w:before="1" w:line="368" w:lineRule="auto"/>
              <w:ind w:left="109" w:right="102" w:firstLine="207"/>
              <w:rPr>
                <w:rFonts w:ascii="宋体" w:hAnsi="宋体" w:eastAsia="宋体" w:cs="宋体"/>
                <w:sz w:val="20"/>
                <w:szCs w:val="20"/>
                <w:highlight w:val="none"/>
              </w:rPr>
            </w:pPr>
            <w:r>
              <w:rPr>
                <w:rFonts w:ascii="宋体" w:hAnsi="宋体" w:eastAsia="宋体" w:cs="宋体"/>
                <w:spacing w:val="22"/>
                <w:sz w:val="20"/>
                <w:szCs w:val="20"/>
                <w:highlight w:val="none"/>
              </w:rPr>
              <w:t>出</w:t>
            </w:r>
            <w:r>
              <w:rPr>
                <w:rFonts w:ascii="宋体" w:hAnsi="宋体" w:eastAsia="宋体" w:cs="宋体"/>
                <w:spacing w:val="18"/>
                <w:sz w:val="20"/>
                <w:szCs w:val="20"/>
                <w:highlight w:val="none"/>
              </w:rPr>
              <w:t>现</w:t>
            </w:r>
            <w:r>
              <w:rPr>
                <w:rFonts w:ascii="宋体" w:hAnsi="宋体" w:eastAsia="宋体" w:cs="宋体"/>
                <w:spacing w:val="11"/>
                <w:sz w:val="20"/>
                <w:szCs w:val="20"/>
                <w:highlight w:val="none"/>
              </w:rPr>
              <w:t>施工图设计文件本身存在错误和缺陷，导致施工图设计文件必须修改和补</w:t>
            </w:r>
            <w:r>
              <w:rPr>
                <w:rFonts w:ascii="宋体" w:hAnsi="宋体" w:eastAsia="宋体" w:cs="宋体"/>
                <w:spacing w:val="12"/>
                <w:sz w:val="20"/>
                <w:szCs w:val="20"/>
                <w:highlight w:val="none"/>
              </w:rPr>
              <w:t>充所导致的变更，仅当发包人对上述变更批准同意后，方可作为本合同工程的</w:t>
            </w:r>
            <w:r>
              <w:rPr>
                <w:rFonts w:ascii="宋体" w:hAnsi="宋体" w:eastAsia="宋体" w:cs="宋体"/>
                <w:spacing w:val="11"/>
                <w:sz w:val="20"/>
                <w:szCs w:val="20"/>
                <w:highlight w:val="none"/>
              </w:rPr>
              <w:t>变</w:t>
            </w:r>
            <w:r>
              <w:rPr>
                <w:rFonts w:ascii="宋体" w:hAnsi="宋体" w:eastAsia="宋体" w:cs="宋体"/>
                <w:spacing w:val="6"/>
                <w:sz w:val="20"/>
                <w:szCs w:val="20"/>
                <w:highlight w:val="none"/>
              </w:rPr>
              <w:t>更</w:t>
            </w:r>
            <w:r>
              <w:rPr>
                <w:rFonts w:ascii="宋体" w:hAnsi="宋体" w:eastAsia="宋体" w:cs="宋体"/>
                <w:spacing w:val="4"/>
                <w:sz w:val="20"/>
                <w:szCs w:val="20"/>
                <w:highlight w:val="none"/>
              </w:rPr>
              <w:t>情形。</w:t>
            </w:r>
          </w:p>
          <w:p w14:paraId="27F2F884">
            <w:pPr>
              <w:spacing w:before="1" w:line="368" w:lineRule="auto"/>
              <w:ind w:left="109" w:leftChars="0" w:right="102" w:firstLine="207"/>
              <w:rPr>
                <w:rFonts w:ascii="宋体" w:hAnsi="宋体" w:eastAsia="宋体" w:cs="宋体"/>
                <w:spacing w:val="10"/>
                <w:position w:val="1"/>
                <w:sz w:val="20"/>
                <w:szCs w:val="20"/>
                <w:highlight w:val="none"/>
              </w:rPr>
            </w:pPr>
            <w:r>
              <w:rPr>
                <w:rFonts w:ascii="宋体" w:hAnsi="宋体" w:eastAsia="宋体" w:cs="宋体"/>
                <w:spacing w:val="15"/>
                <w:sz w:val="20"/>
                <w:szCs w:val="20"/>
                <w:highlight w:val="none"/>
              </w:rPr>
              <w:t>在</w:t>
            </w:r>
            <w:r>
              <w:rPr>
                <w:rFonts w:ascii="宋体" w:hAnsi="宋体" w:eastAsia="宋体" w:cs="宋体"/>
                <w:spacing w:val="8"/>
                <w:sz w:val="20"/>
                <w:szCs w:val="20"/>
                <w:highlight w:val="none"/>
              </w:rPr>
              <w:t xml:space="preserve">履行合同过程中，经发包人同意，监理人可按第 </w:t>
            </w:r>
            <w:r>
              <w:rPr>
                <w:rFonts w:ascii="Times New Roman" w:hAnsi="Times New Roman" w:eastAsia="Times New Roman" w:cs="Times New Roman"/>
                <w:spacing w:val="8"/>
                <w:sz w:val="20"/>
                <w:szCs w:val="20"/>
                <w:highlight w:val="none"/>
              </w:rPr>
              <w:t xml:space="preserve">15.3 </w:t>
            </w:r>
            <w:r>
              <w:rPr>
                <w:rFonts w:ascii="宋体" w:hAnsi="宋体" w:eastAsia="宋体" w:cs="宋体"/>
                <w:spacing w:val="8"/>
                <w:sz w:val="20"/>
                <w:szCs w:val="20"/>
                <w:highlight w:val="none"/>
              </w:rPr>
              <w:t>款约定的变更程序向承</w:t>
            </w:r>
            <w:r>
              <w:rPr>
                <w:rFonts w:ascii="宋体" w:hAnsi="宋体" w:eastAsia="宋体" w:cs="宋体"/>
                <w:spacing w:val="14"/>
                <w:sz w:val="20"/>
                <w:szCs w:val="20"/>
                <w:highlight w:val="none"/>
              </w:rPr>
              <w:t>包</w:t>
            </w:r>
            <w:r>
              <w:rPr>
                <w:rFonts w:ascii="宋体" w:hAnsi="宋体" w:eastAsia="宋体" w:cs="宋体"/>
                <w:spacing w:val="12"/>
                <w:sz w:val="20"/>
                <w:szCs w:val="20"/>
                <w:highlight w:val="none"/>
              </w:rPr>
              <w:t>人作出变更指示，承包人应遵照执行。没有监理人的变更指示，承包人不得擅</w:t>
            </w:r>
            <w:r>
              <w:rPr>
                <w:rFonts w:ascii="宋体" w:hAnsi="宋体" w:eastAsia="宋体" w:cs="宋体"/>
                <w:spacing w:val="-5"/>
                <w:sz w:val="20"/>
                <w:szCs w:val="20"/>
                <w:highlight w:val="none"/>
              </w:rPr>
              <w:t>自</w:t>
            </w:r>
            <w:r>
              <w:rPr>
                <w:rFonts w:ascii="宋体" w:hAnsi="宋体" w:eastAsia="宋体" w:cs="宋体"/>
                <w:spacing w:val="-3"/>
                <w:sz w:val="20"/>
                <w:szCs w:val="20"/>
                <w:highlight w:val="none"/>
              </w:rPr>
              <w:t>变更。</w:t>
            </w:r>
          </w:p>
        </w:tc>
      </w:tr>
      <w:tr w14:paraId="0D5259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4" w:hRule="atLeast"/>
        </w:trPr>
        <w:tc>
          <w:tcPr>
            <w:tcW w:w="534" w:type="dxa"/>
            <w:tcBorders>
              <w:left w:val="single" w:color="000000" w:sz="6" w:space="0"/>
            </w:tcBorders>
            <w:vAlign w:val="top"/>
          </w:tcPr>
          <w:p w14:paraId="112CF204">
            <w:pPr>
              <w:spacing w:line="270" w:lineRule="auto"/>
              <w:rPr>
                <w:rFonts w:ascii="Arial"/>
                <w:sz w:val="21"/>
                <w:highlight w:val="none"/>
              </w:rPr>
            </w:pPr>
          </w:p>
          <w:p w14:paraId="7DF828C6">
            <w:pPr>
              <w:spacing w:before="57" w:line="195" w:lineRule="auto"/>
              <w:ind w:left="156" w:leftChars="0"/>
              <w:rPr>
                <w:rFonts w:ascii="Times New Roman" w:hAnsi="Times New Roman" w:eastAsia="Times New Roman" w:cs="Times New Roman"/>
                <w:spacing w:val="-8"/>
                <w:sz w:val="20"/>
                <w:szCs w:val="20"/>
                <w:highlight w:val="none"/>
              </w:rPr>
            </w:pPr>
            <w:r>
              <w:rPr>
                <w:rFonts w:ascii="Times New Roman" w:hAnsi="Times New Roman" w:eastAsia="Times New Roman" w:cs="Times New Roman"/>
                <w:spacing w:val="3"/>
                <w:sz w:val="20"/>
                <w:szCs w:val="20"/>
                <w:highlight w:val="none"/>
              </w:rPr>
              <w:t>2</w:t>
            </w:r>
            <w:r>
              <w:rPr>
                <w:rFonts w:ascii="Times New Roman" w:hAnsi="Times New Roman" w:eastAsia="Times New Roman" w:cs="Times New Roman"/>
                <w:spacing w:val="2"/>
                <w:sz w:val="20"/>
                <w:szCs w:val="20"/>
                <w:highlight w:val="none"/>
              </w:rPr>
              <w:t>6</w:t>
            </w:r>
          </w:p>
        </w:tc>
        <w:tc>
          <w:tcPr>
            <w:tcW w:w="1004" w:type="dxa"/>
            <w:vAlign w:val="top"/>
          </w:tcPr>
          <w:p w14:paraId="4E5651E0">
            <w:pPr>
              <w:spacing w:line="270" w:lineRule="auto"/>
              <w:rPr>
                <w:rFonts w:ascii="Arial"/>
                <w:sz w:val="21"/>
                <w:highlight w:val="none"/>
              </w:rPr>
            </w:pPr>
          </w:p>
          <w:p w14:paraId="60F850C0">
            <w:pPr>
              <w:spacing w:before="58" w:line="195" w:lineRule="auto"/>
              <w:ind w:left="309" w:leftChars="0"/>
              <w:rPr>
                <w:rFonts w:ascii="Times New Roman" w:hAnsi="Times New Roman" w:eastAsia="Times New Roman" w:cs="Times New Roman"/>
                <w:spacing w:val="-6"/>
                <w:sz w:val="20"/>
                <w:szCs w:val="20"/>
                <w:highlight w:val="none"/>
              </w:rPr>
            </w:pPr>
            <w:r>
              <w:rPr>
                <w:rFonts w:ascii="Times New Roman" w:hAnsi="Times New Roman" w:eastAsia="Times New Roman" w:cs="Times New Roman"/>
                <w:sz w:val="20"/>
                <w:szCs w:val="20"/>
                <w:highlight w:val="none"/>
              </w:rPr>
              <w:t>15.3.4</w:t>
            </w:r>
          </w:p>
        </w:tc>
        <w:tc>
          <w:tcPr>
            <w:tcW w:w="7897" w:type="dxa"/>
            <w:tcBorders>
              <w:right w:val="single" w:color="000000" w:sz="6" w:space="0"/>
            </w:tcBorders>
            <w:vAlign w:val="top"/>
          </w:tcPr>
          <w:p w14:paraId="55630A09">
            <w:pPr>
              <w:spacing w:before="139" w:line="399" w:lineRule="exact"/>
              <w:ind w:left="318"/>
              <w:rPr>
                <w:rFonts w:ascii="宋体" w:hAnsi="宋体" w:eastAsia="宋体" w:cs="宋体"/>
                <w:sz w:val="20"/>
                <w:szCs w:val="20"/>
                <w:highlight w:val="none"/>
              </w:rPr>
            </w:pPr>
            <w:r>
              <w:rPr>
                <w:rFonts w:ascii="宋体" w:hAnsi="宋体" w:eastAsia="宋体" w:cs="宋体"/>
                <w:spacing w:val="18"/>
                <w:position w:val="14"/>
                <w:sz w:val="20"/>
                <w:szCs w:val="20"/>
                <w:highlight w:val="none"/>
              </w:rPr>
              <w:t>本</w:t>
            </w:r>
            <w:r>
              <w:rPr>
                <w:rFonts w:ascii="宋体" w:hAnsi="宋体" w:eastAsia="宋体" w:cs="宋体"/>
                <w:spacing w:val="11"/>
                <w:position w:val="14"/>
                <w:sz w:val="20"/>
                <w:szCs w:val="20"/>
                <w:highlight w:val="none"/>
              </w:rPr>
              <w:t>项</w:t>
            </w:r>
            <w:r>
              <w:rPr>
                <w:rFonts w:ascii="宋体" w:hAnsi="宋体" w:eastAsia="宋体" w:cs="宋体"/>
                <w:spacing w:val="9"/>
                <w:position w:val="14"/>
                <w:sz w:val="20"/>
                <w:szCs w:val="20"/>
                <w:highlight w:val="none"/>
              </w:rPr>
              <w:t>目设计变更的程序按行业主管部门、项目管理法人制定的规定执行。</w:t>
            </w:r>
          </w:p>
          <w:p w14:paraId="6B9A0938">
            <w:pPr>
              <w:spacing w:line="227" w:lineRule="auto"/>
              <w:ind w:left="330" w:leftChars="0"/>
              <w:rPr>
                <w:rFonts w:ascii="宋体" w:hAnsi="宋体" w:eastAsia="宋体" w:cs="宋体"/>
                <w:spacing w:val="10"/>
                <w:position w:val="1"/>
                <w:sz w:val="20"/>
                <w:szCs w:val="20"/>
                <w:highlight w:val="none"/>
              </w:rPr>
            </w:pPr>
            <w:r>
              <w:rPr>
                <w:rFonts w:ascii="宋体" w:hAnsi="宋体" w:eastAsia="宋体" w:cs="宋体"/>
                <w:spacing w:val="9"/>
                <w:sz w:val="20"/>
                <w:szCs w:val="20"/>
                <w:highlight w:val="none"/>
              </w:rPr>
              <w:t>除设计变更外，其他合同工程费用增减的审批程序参照上述规定的执行。</w:t>
            </w:r>
          </w:p>
        </w:tc>
      </w:tr>
      <w:tr w14:paraId="58AB31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5" w:hRule="atLeast"/>
        </w:trPr>
        <w:tc>
          <w:tcPr>
            <w:tcW w:w="534" w:type="dxa"/>
            <w:tcBorders>
              <w:left w:val="single" w:color="000000" w:sz="6" w:space="0"/>
            </w:tcBorders>
            <w:vAlign w:val="top"/>
          </w:tcPr>
          <w:p w14:paraId="25C5DD1C">
            <w:pPr>
              <w:spacing w:line="245" w:lineRule="auto"/>
              <w:rPr>
                <w:rFonts w:ascii="Arial"/>
                <w:sz w:val="21"/>
                <w:highlight w:val="none"/>
              </w:rPr>
            </w:pPr>
          </w:p>
          <w:p w14:paraId="6474B811">
            <w:pPr>
              <w:spacing w:line="245" w:lineRule="auto"/>
              <w:rPr>
                <w:rFonts w:ascii="Arial"/>
                <w:sz w:val="21"/>
                <w:highlight w:val="none"/>
              </w:rPr>
            </w:pPr>
          </w:p>
          <w:p w14:paraId="0EB57DAD">
            <w:pPr>
              <w:spacing w:line="245" w:lineRule="auto"/>
              <w:rPr>
                <w:rFonts w:ascii="Arial"/>
                <w:sz w:val="21"/>
                <w:highlight w:val="none"/>
              </w:rPr>
            </w:pPr>
          </w:p>
          <w:p w14:paraId="19A02E5D">
            <w:pPr>
              <w:spacing w:line="245" w:lineRule="auto"/>
              <w:rPr>
                <w:rFonts w:ascii="Arial"/>
                <w:sz w:val="21"/>
                <w:highlight w:val="none"/>
              </w:rPr>
            </w:pPr>
          </w:p>
          <w:p w14:paraId="4892931B">
            <w:pPr>
              <w:spacing w:line="246" w:lineRule="auto"/>
              <w:rPr>
                <w:rFonts w:ascii="Arial"/>
                <w:sz w:val="21"/>
                <w:highlight w:val="none"/>
              </w:rPr>
            </w:pPr>
          </w:p>
          <w:p w14:paraId="6F09737D">
            <w:pPr>
              <w:spacing w:line="246" w:lineRule="auto"/>
              <w:rPr>
                <w:rFonts w:ascii="Arial"/>
                <w:sz w:val="21"/>
                <w:highlight w:val="none"/>
              </w:rPr>
            </w:pPr>
          </w:p>
          <w:p w14:paraId="7901FF56">
            <w:pPr>
              <w:spacing w:line="246" w:lineRule="auto"/>
              <w:rPr>
                <w:rFonts w:ascii="Arial"/>
                <w:sz w:val="21"/>
                <w:highlight w:val="none"/>
              </w:rPr>
            </w:pPr>
          </w:p>
          <w:p w14:paraId="78359D75">
            <w:pPr>
              <w:spacing w:line="246" w:lineRule="auto"/>
              <w:rPr>
                <w:rFonts w:ascii="Arial"/>
                <w:sz w:val="21"/>
                <w:highlight w:val="none"/>
              </w:rPr>
            </w:pPr>
          </w:p>
          <w:p w14:paraId="36742858">
            <w:pPr>
              <w:spacing w:line="246" w:lineRule="auto"/>
              <w:rPr>
                <w:rFonts w:ascii="Arial"/>
                <w:sz w:val="21"/>
                <w:highlight w:val="none"/>
              </w:rPr>
            </w:pPr>
          </w:p>
          <w:p w14:paraId="72A0D1A0">
            <w:pPr>
              <w:spacing w:line="246" w:lineRule="auto"/>
              <w:rPr>
                <w:rFonts w:ascii="Arial"/>
                <w:sz w:val="21"/>
                <w:highlight w:val="none"/>
              </w:rPr>
            </w:pPr>
          </w:p>
          <w:p w14:paraId="738315C4">
            <w:pPr>
              <w:spacing w:before="58" w:line="195" w:lineRule="auto"/>
              <w:ind w:left="156" w:leftChars="0"/>
              <w:rPr>
                <w:rFonts w:ascii="Times New Roman" w:hAnsi="Times New Roman" w:eastAsia="Times New Roman" w:cs="Times New Roman"/>
                <w:spacing w:val="-8"/>
                <w:sz w:val="20"/>
                <w:szCs w:val="20"/>
                <w:highlight w:val="none"/>
              </w:rPr>
            </w:pPr>
            <w:r>
              <w:rPr>
                <w:rFonts w:ascii="Times New Roman" w:hAnsi="Times New Roman" w:eastAsia="Times New Roman" w:cs="Times New Roman"/>
                <w:spacing w:val="3"/>
                <w:sz w:val="20"/>
                <w:szCs w:val="20"/>
                <w:highlight w:val="none"/>
              </w:rPr>
              <w:t>2</w:t>
            </w:r>
            <w:r>
              <w:rPr>
                <w:rFonts w:ascii="Times New Roman" w:hAnsi="Times New Roman" w:eastAsia="Times New Roman" w:cs="Times New Roman"/>
                <w:spacing w:val="2"/>
                <w:sz w:val="20"/>
                <w:szCs w:val="20"/>
                <w:highlight w:val="none"/>
              </w:rPr>
              <w:t>7</w:t>
            </w:r>
          </w:p>
        </w:tc>
        <w:tc>
          <w:tcPr>
            <w:tcW w:w="1004" w:type="dxa"/>
            <w:vAlign w:val="top"/>
          </w:tcPr>
          <w:p w14:paraId="7EFEA2F9">
            <w:pPr>
              <w:spacing w:line="245" w:lineRule="auto"/>
              <w:rPr>
                <w:rFonts w:ascii="Arial"/>
                <w:sz w:val="21"/>
                <w:highlight w:val="none"/>
              </w:rPr>
            </w:pPr>
          </w:p>
          <w:p w14:paraId="54684EC2">
            <w:pPr>
              <w:spacing w:line="245" w:lineRule="auto"/>
              <w:rPr>
                <w:rFonts w:ascii="Arial"/>
                <w:sz w:val="21"/>
                <w:highlight w:val="none"/>
              </w:rPr>
            </w:pPr>
          </w:p>
          <w:p w14:paraId="2BFD4E76">
            <w:pPr>
              <w:spacing w:line="245" w:lineRule="auto"/>
              <w:rPr>
                <w:rFonts w:ascii="Arial"/>
                <w:sz w:val="21"/>
                <w:highlight w:val="none"/>
              </w:rPr>
            </w:pPr>
          </w:p>
          <w:p w14:paraId="7AAADC4A">
            <w:pPr>
              <w:spacing w:line="245" w:lineRule="auto"/>
              <w:rPr>
                <w:rFonts w:ascii="Arial"/>
                <w:sz w:val="21"/>
                <w:highlight w:val="none"/>
              </w:rPr>
            </w:pPr>
          </w:p>
          <w:p w14:paraId="360D16B7">
            <w:pPr>
              <w:spacing w:line="246" w:lineRule="auto"/>
              <w:rPr>
                <w:rFonts w:ascii="Arial"/>
                <w:sz w:val="21"/>
                <w:highlight w:val="none"/>
              </w:rPr>
            </w:pPr>
          </w:p>
          <w:p w14:paraId="28A411F6">
            <w:pPr>
              <w:spacing w:line="246" w:lineRule="auto"/>
              <w:rPr>
                <w:rFonts w:ascii="Arial"/>
                <w:sz w:val="21"/>
                <w:highlight w:val="none"/>
              </w:rPr>
            </w:pPr>
          </w:p>
          <w:p w14:paraId="2259ED7A">
            <w:pPr>
              <w:spacing w:line="246" w:lineRule="auto"/>
              <w:rPr>
                <w:rFonts w:ascii="Arial"/>
                <w:sz w:val="21"/>
                <w:highlight w:val="none"/>
              </w:rPr>
            </w:pPr>
          </w:p>
          <w:p w14:paraId="5048B648">
            <w:pPr>
              <w:spacing w:line="246" w:lineRule="auto"/>
              <w:rPr>
                <w:rFonts w:ascii="Arial"/>
                <w:sz w:val="21"/>
                <w:highlight w:val="none"/>
              </w:rPr>
            </w:pPr>
          </w:p>
          <w:p w14:paraId="7294507C">
            <w:pPr>
              <w:spacing w:line="246" w:lineRule="auto"/>
              <w:rPr>
                <w:rFonts w:ascii="Arial"/>
                <w:sz w:val="21"/>
                <w:highlight w:val="none"/>
              </w:rPr>
            </w:pPr>
          </w:p>
          <w:p w14:paraId="539350D9">
            <w:pPr>
              <w:spacing w:line="246" w:lineRule="auto"/>
              <w:rPr>
                <w:rFonts w:ascii="Arial"/>
                <w:sz w:val="21"/>
                <w:highlight w:val="none"/>
              </w:rPr>
            </w:pPr>
          </w:p>
          <w:p w14:paraId="01DE3935">
            <w:pPr>
              <w:spacing w:before="58" w:line="195" w:lineRule="auto"/>
              <w:ind w:left="389" w:leftChars="0"/>
              <w:rPr>
                <w:rFonts w:ascii="Times New Roman" w:hAnsi="Times New Roman" w:eastAsia="Times New Roman" w:cs="Times New Roman"/>
                <w:spacing w:val="-6"/>
                <w:sz w:val="20"/>
                <w:szCs w:val="20"/>
                <w:highlight w:val="none"/>
              </w:rPr>
            </w:pPr>
            <w:r>
              <w:rPr>
                <w:rFonts w:ascii="Times New Roman" w:hAnsi="Times New Roman" w:eastAsia="Times New Roman" w:cs="Times New Roman"/>
                <w:spacing w:val="-3"/>
                <w:sz w:val="20"/>
                <w:szCs w:val="20"/>
                <w:highlight w:val="none"/>
              </w:rPr>
              <w:t>1</w:t>
            </w:r>
            <w:r>
              <w:rPr>
                <w:rFonts w:ascii="Times New Roman" w:hAnsi="Times New Roman" w:eastAsia="Times New Roman" w:cs="Times New Roman"/>
                <w:spacing w:val="-2"/>
                <w:sz w:val="20"/>
                <w:szCs w:val="20"/>
                <w:highlight w:val="none"/>
              </w:rPr>
              <w:t>5.4</w:t>
            </w:r>
          </w:p>
        </w:tc>
        <w:tc>
          <w:tcPr>
            <w:tcW w:w="7897" w:type="dxa"/>
            <w:tcBorders>
              <w:right w:val="single" w:color="000000" w:sz="6" w:space="0"/>
            </w:tcBorders>
            <w:vAlign w:val="top"/>
          </w:tcPr>
          <w:p w14:paraId="09C5C616">
            <w:pPr>
              <w:spacing w:before="139" w:line="226" w:lineRule="auto"/>
              <w:ind w:left="363"/>
              <w:rPr>
                <w:rFonts w:ascii="宋体" w:hAnsi="宋体" w:eastAsia="宋体" w:cs="宋体"/>
                <w:sz w:val="20"/>
                <w:szCs w:val="20"/>
                <w:highlight w:val="none"/>
              </w:rPr>
            </w:pPr>
            <w:r>
              <w:rPr>
                <w:rFonts w:ascii="Times New Roman" w:hAnsi="Times New Roman" w:eastAsia="Times New Roman" w:cs="Times New Roman"/>
                <w:spacing w:val="7"/>
                <w:sz w:val="20"/>
                <w:szCs w:val="20"/>
                <w:highlight w:val="none"/>
              </w:rPr>
              <w:t>1</w:t>
            </w:r>
            <w:r>
              <w:rPr>
                <w:rFonts w:ascii="Times New Roman" w:hAnsi="Times New Roman" w:eastAsia="Times New Roman" w:cs="Times New Roman"/>
                <w:spacing w:val="5"/>
                <w:sz w:val="20"/>
                <w:szCs w:val="20"/>
                <w:highlight w:val="none"/>
              </w:rPr>
              <w:t xml:space="preserve">5.4  </w:t>
            </w:r>
            <w:r>
              <w:rPr>
                <w:rFonts w:ascii="宋体" w:hAnsi="宋体" w:eastAsia="宋体" w:cs="宋体"/>
                <w:spacing w:val="5"/>
                <w:sz w:val="20"/>
                <w:szCs w:val="20"/>
                <w:highlight w:val="none"/>
              </w:rPr>
              <w:t>变更的估价原则</w:t>
            </w:r>
          </w:p>
          <w:p w14:paraId="1C526CF3">
            <w:pPr>
              <w:spacing w:before="155" w:line="227" w:lineRule="auto"/>
              <w:ind w:left="347"/>
              <w:rPr>
                <w:rFonts w:ascii="宋体" w:hAnsi="宋体" w:eastAsia="宋体" w:cs="宋体"/>
                <w:sz w:val="20"/>
                <w:szCs w:val="20"/>
                <w:highlight w:val="none"/>
              </w:rPr>
            </w:pPr>
            <w:r>
              <w:rPr>
                <w:rFonts w:ascii="宋体" w:hAnsi="宋体" w:eastAsia="宋体" w:cs="宋体"/>
                <w:spacing w:val="9"/>
                <w:sz w:val="20"/>
                <w:szCs w:val="20"/>
                <w:highlight w:val="none"/>
              </w:rPr>
              <w:t>本</w:t>
            </w:r>
            <w:r>
              <w:rPr>
                <w:rFonts w:ascii="宋体" w:hAnsi="宋体" w:eastAsia="宋体" w:cs="宋体"/>
                <w:spacing w:val="6"/>
                <w:sz w:val="20"/>
                <w:szCs w:val="20"/>
                <w:highlight w:val="none"/>
              </w:rPr>
              <w:t>款细化为：</w:t>
            </w:r>
          </w:p>
          <w:p w14:paraId="30D46B6A">
            <w:pPr>
              <w:spacing w:before="154" w:line="228" w:lineRule="auto"/>
              <w:ind w:left="363"/>
              <w:rPr>
                <w:rFonts w:ascii="宋体" w:hAnsi="宋体" w:eastAsia="宋体" w:cs="宋体"/>
                <w:sz w:val="20"/>
                <w:szCs w:val="20"/>
                <w:highlight w:val="none"/>
              </w:rPr>
            </w:pPr>
            <w:r>
              <w:rPr>
                <w:rFonts w:ascii="Times New Roman" w:hAnsi="Times New Roman" w:eastAsia="Times New Roman" w:cs="Times New Roman"/>
                <w:spacing w:val="10"/>
                <w:sz w:val="20"/>
                <w:szCs w:val="20"/>
                <w:highlight w:val="none"/>
              </w:rPr>
              <w:t>15</w:t>
            </w:r>
            <w:r>
              <w:rPr>
                <w:rFonts w:ascii="Times New Roman" w:hAnsi="Times New Roman" w:eastAsia="Times New Roman" w:cs="Times New Roman"/>
                <w:spacing w:val="9"/>
                <w:sz w:val="20"/>
                <w:szCs w:val="20"/>
                <w:highlight w:val="none"/>
              </w:rPr>
              <w:t>.</w:t>
            </w:r>
            <w:r>
              <w:rPr>
                <w:rFonts w:ascii="Times New Roman" w:hAnsi="Times New Roman" w:eastAsia="Times New Roman" w:cs="Times New Roman"/>
                <w:spacing w:val="5"/>
                <w:sz w:val="20"/>
                <w:szCs w:val="20"/>
                <w:highlight w:val="none"/>
              </w:rPr>
              <w:t xml:space="preserve">4. 1  </w:t>
            </w:r>
            <w:r>
              <w:rPr>
                <w:rFonts w:ascii="宋体" w:hAnsi="宋体" w:eastAsia="宋体" w:cs="宋体"/>
                <w:spacing w:val="5"/>
                <w:sz w:val="20"/>
                <w:szCs w:val="20"/>
                <w:highlight w:val="none"/>
              </w:rPr>
              <w:t>如果取消某项工作，则该项工作的总额价不予支付。</w:t>
            </w:r>
          </w:p>
          <w:p w14:paraId="68A4817D">
            <w:pPr>
              <w:spacing w:before="151" w:line="226" w:lineRule="auto"/>
              <w:ind w:left="363"/>
              <w:rPr>
                <w:rFonts w:ascii="宋体" w:hAnsi="宋体" w:eastAsia="宋体" w:cs="宋体"/>
                <w:sz w:val="20"/>
                <w:szCs w:val="20"/>
                <w:highlight w:val="none"/>
              </w:rPr>
            </w:pPr>
            <w:r>
              <w:rPr>
                <w:rFonts w:ascii="Times New Roman" w:hAnsi="Times New Roman" w:eastAsia="Times New Roman" w:cs="Times New Roman"/>
                <w:spacing w:val="8"/>
                <w:sz w:val="20"/>
                <w:szCs w:val="20"/>
                <w:highlight w:val="none"/>
              </w:rPr>
              <w:t xml:space="preserve">15.4.2  </w:t>
            </w:r>
            <w:r>
              <w:rPr>
                <w:rFonts w:ascii="宋体" w:hAnsi="宋体" w:eastAsia="宋体" w:cs="宋体"/>
                <w:spacing w:val="8"/>
                <w:sz w:val="20"/>
                <w:szCs w:val="20"/>
                <w:highlight w:val="none"/>
              </w:rPr>
              <w:t>已标价工程量清单中有适用于变更工作的子目的，采用该子目的单价</w:t>
            </w:r>
            <w:r>
              <w:rPr>
                <w:rFonts w:ascii="宋体" w:hAnsi="宋体" w:eastAsia="宋体" w:cs="宋体"/>
                <w:sz w:val="20"/>
                <w:szCs w:val="20"/>
                <w:highlight w:val="none"/>
              </w:rPr>
              <w:t>。</w:t>
            </w:r>
          </w:p>
          <w:p w14:paraId="7D7D91F1">
            <w:pPr>
              <w:spacing w:before="156" w:line="369" w:lineRule="auto"/>
              <w:ind w:left="110" w:right="104" w:firstLine="253"/>
              <w:rPr>
                <w:rFonts w:ascii="宋体" w:hAnsi="宋体" w:eastAsia="宋体" w:cs="宋体"/>
                <w:sz w:val="20"/>
                <w:szCs w:val="20"/>
                <w:highlight w:val="none"/>
              </w:rPr>
            </w:pPr>
            <w:r>
              <w:rPr>
                <w:rFonts w:ascii="Times New Roman" w:hAnsi="Times New Roman" w:eastAsia="Times New Roman" w:cs="Times New Roman"/>
                <w:spacing w:val="18"/>
                <w:sz w:val="20"/>
                <w:szCs w:val="20"/>
                <w:highlight w:val="none"/>
              </w:rPr>
              <w:t>1</w:t>
            </w:r>
            <w:r>
              <w:rPr>
                <w:rFonts w:ascii="Times New Roman" w:hAnsi="Times New Roman" w:eastAsia="Times New Roman" w:cs="Times New Roman"/>
                <w:spacing w:val="14"/>
                <w:sz w:val="20"/>
                <w:szCs w:val="20"/>
                <w:highlight w:val="none"/>
              </w:rPr>
              <w:t>5</w:t>
            </w:r>
            <w:r>
              <w:rPr>
                <w:rFonts w:ascii="Times New Roman" w:hAnsi="Times New Roman" w:eastAsia="Times New Roman" w:cs="Times New Roman"/>
                <w:spacing w:val="9"/>
                <w:sz w:val="20"/>
                <w:szCs w:val="20"/>
                <w:highlight w:val="none"/>
              </w:rPr>
              <w:t xml:space="preserve">.4.3  </w:t>
            </w:r>
            <w:r>
              <w:rPr>
                <w:rFonts w:ascii="宋体" w:hAnsi="宋体" w:eastAsia="宋体" w:cs="宋体"/>
                <w:spacing w:val="9"/>
                <w:sz w:val="20"/>
                <w:szCs w:val="20"/>
                <w:highlight w:val="none"/>
              </w:rPr>
              <w:t>已标价工程量清单中无适用于变更工作的子目，但有类似子目的，可在</w:t>
            </w:r>
            <w:r>
              <w:rPr>
                <w:rFonts w:ascii="宋体" w:hAnsi="宋体" w:eastAsia="宋体" w:cs="宋体"/>
                <w:spacing w:val="15"/>
                <w:sz w:val="20"/>
                <w:szCs w:val="20"/>
                <w:highlight w:val="none"/>
              </w:rPr>
              <w:t>合</w:t>
            </w:r>
            <w:r>
              <w:rPr>
                <w:rFonts w:ascii="宋体" w:hAnsi="宋体" w:eastAsia="宋体" w:cs="宋体"/>
                <w:spacing w:val="8"/>
                <w:sz w:val="20"/>
                <w:szCs w:val="20"/>
                <w:highlight w:val="none"/>
              </w:rPr>
              <w:t xml:space="preserve">理范围内参照类似子目的单价，由监理人按第 </w:t>
            </w:r>
            <w:r>
              <w:rPr>
                <w:rFonts w:ascii="Times New Roman" w:hAnsi="Times New Roman" w:eastAsia="Times New Roman" w:cs="Times New Roman"/>
                <w:spacing w:val="8"/>
                <w:sz w:val="20"/>
                <w:szCs w:val="20"/>
                <w:highlight w:val="none"/>
              </w:rPr>
              <w:t xml:space="preserve">3.5 </w:t>
            </w:r>
            <w:r>
              <w:rPr>
                <w:rFonts w:ascii="宋体" w:hAnsi="宋体" w:eastAsia="宋体" w:cs="宋体"/>
                <w:spacing w:val="8"/>
                <w:sz w:val="20"/>
                <w:szCs w:val="20"/>
                <w:highlight w:val="none"/>
              </w:rPr>
              <w:t>款商定或确定变更工作的单</w:t>
            </w:r>
            <w:r>
              <w:rPr>
                <w:rFonts w:ascii="宋体" w:hAnsi="宋体" w:eastAsia="宋体" w:cs="宋体"/>
                <w:sz w:val="20"/>
                <w:szCs w:val="20"/>
                <w:highlight w:val="none"/>
              </w:rPr>
              <w:t>价。</w:t>
            </w:r>
          </w:p>
          <w:p w14:paraId="0870E032">
            <w:pPr>
              <w:spacing w:before="2" w:line="369" w:lineRule="auto"/>
              <w:ind w:left="110" w:right="102" w:firstLine="253"/>
              <w:rPr>
                <w:rFonts w:ascii="宋体" w:hAnsi="宋体" w:eastAsia="宋体" w:cs="宋体"/>
                <w:sz w:val="20"/>
                <w:szCs w:val="20"/>
                <w:highlight w:val="none"/>
              </w:rPr>
            </w:pPr>
            <w:r>
              <w:rPr>
                <w:rFonts w:ascii="Times New Roman" w:hAnsi="Times New Roman" w:eastAsia="Times New Roman" w:cs="Times New Roman"/>
                <w:spacing w:val="18"/>
                <w:sz w:val="20"/>
                <w:szCs w:val="20"/>
                <w:highlight w:val="none"/>
              </w:rPr>
              <w:t>1</w:t>
            </w:r>
            <w:r>
              <w:rPr>
                <w:rFonts w:ascii="Times New Roman" w:hAnsi="Times New Roman" w:eastAsia="Times New Roman" w:cs="Times New Roman"/>
                <w:spacing w:val="14"/>
                <w:sz w:val="20"/>
                <w:szCs w:val="20"/>
                <w:highlight w:val="none"/>
              </w:rPr>
              <w:t>5</w:t>
            </w:r>
            <w:r>
              <w:rPr>
                <w:rFonts w:ascii="Times New Roman" w:hAnsi="Times New Roman" w:eastAsia="Times New Roman" w:cs="Times New Roman"/>
                <w:spacing w:val="9"/>
                <w:sz w:val="20"/>
                <w:szCs w:val="20"/>
                <w:highlight w:val="none"/>
              </w:rPr>
              <w:t xml:space="preserve">.4.4  </w:t>
            </w:r>
            <w:r>
              <w:rPr>
                <w:rFonts w:ascii="宋体" w:hAnsi="宋体" w:eastAsia="宋体" w:cs="宋体"/>
                <w:spacing w:val="9"/>
                <w:sz w:val="20"/>
                <w:szCs w:val="20"/>
                <w:highlight w:val="none"/>
              </w:rPr>
              <w:t>已标价工程量清单中无适用或类似子目的单价，可在综合考虑承包人在</w:t>
            </w:r>
            <w:r>
              <w:rPr>
                <w:rFonts w:ascii="宋体" w:hAnsi="宋体" w:eastAsia="宋体" w:cs="宋体"/>
                <w:spacing w:val="13"/>
                <w:sz w:val="20"/>
                <w:szCs w:val="20"/>
                <w:highlight w:val="none"/>
              </w:rPr>
              <w:t>投</w:t>
            </w:r>
            <w:r>
              <w:rPr>
                <w:rFonts w:ascii="宋体" w:hAnsi="宋体" w:eastAsia="宋体" w:cs="宋体"/>
                <w:spacing w:val="12"/>
                <w:sz w:val="20"/>
                <w:szCs w:val="20"/>
                <w:highlight w:val="none"/>
              </w:rPr>
              <w:t>标时所提供的单价分析表的基础上，参照《公路工程建设项目概算预算编制办</w:t>
            </w:r>
            <w:r>
              <w:rPr>
                <w:rFonts w:ascii="宋体" w:hAnsi="宋体" w:eastAsia="宋体" w:cs="宋体"/>
                <w:spacing w:val="10"/>
                <w:sz w:val="20"/>
                <w:szCs w:val="20"/>
                <w:highlight w:val="none"/>
              </w:rPr>
              <w:t>法》和《</w:t>
            </w:r>
            <w:r>
              <w:rPr>
                <w:rFonts w:ascii="宋体" w:hAnsi="宋体" w:eastAsia="宋体" w:cs="宋体"/>
                <w:spacing w:val="9"/>
                <w:sz w:val="20"/>
                <w:szCs w:val="20"/>
                <w:highlight w:val="none"/>
              </w:rPr>
              <w:t>公</w:t>
            </w:r>
            <w:r>
              <w:rPr>
                <w:rFonts w:ascii="宋体" w:hAnsi="宋体" w:eastAsia="宋体" w:cs="宋体"/>
                <w:spacing w:val="5"/>
                <w:sz w:val="20"/>
                <w:szCs w:val="20"/>
                <w:highlight w:val="none"/>
              </w:rPr>
              <w:t xml:space="preserve">路工程预算定额》进行计算，由监理人按第 </w:t>
            </w:r>
            <w:r>
              <w:rPr>
                <w:rFonts w:ascii="Times New Roman" w:hAnsi="Times New Roman" w:eastAsia="Times New Roman" w:cs="Times New Roman"/>
                <w:spacing w:val="5"/>
                <w:sz w:val="20"/>
                <w:szCs w:val="20"/>
                <w:highlight w:val="none"/>
              </w:rPr>
              <w:t xml:space="preserve">3.5 </w:t>
            </w:r>
            <w:r>
              <w:rPr>
                <w:rFonts w:ascii="宋体" w:hAnsi="宋体" w:eastAsia="宋体" w:cs="宋体"/>
                <w:spacing w:val="5"/>
                <w:sz w:val="20"/>
                <w:szCs w:val="20"/>
                <w:highlight w:val="none"/>
              </w:rPr>
              <w:t>款商定或确定变更工作</w:t>
            </w:r>
            <w:r>
              <w:rPr>
                <w:rFonts w:ascii="宋体" w:hAnsi="宋体" w:eastAsia="宋体" w:cs="宋体"/>
                <w:spacing w:val="15"/>
                <w:sz w:val="20"/>
                <w:szCs w:val="20"/>
                <w:highlight w:val="none"/>
              </w:rPr>
              <w:t>的</w:t>
            </w:r>
            <w:r>
              <w:rPr>
                <w:rFonts w:ascii="宋体" w:hAnsi="宋体" w:eastAsia="宋体" w:cs="宋体"/>
                <w:spacing w:val="8"/>
                <w:sz w:val="20"/>
                <w:szCs w:val="20"/>
                <w:highlight w:val="none"/>
              </w:rPr>
              <w:t>单价，变更单价不计取利润。</w:t>
            </w:r>
          </w:p>
          <w:p w14:paraId="5FEC3E38">
            <w:pPr>
              <w:spacing w:line="399" w:lineRule="exact"/>
              <w:ind w:left="363"/>
              <w:rPr>
                <w:rFonts w:ascii="宋体" w:hAnsi="宋体" w:eastAsia="宋体" w:cs="宋体"/>
                <w:spacing w:val="10"/>
                <w:position w:val="1"/>
                <w:sz w:val="20"/>
                <w:szCs w:val="20"/>
                <w:highlight w:val="none"/>
              </w:rPr>
            </w:pPr>
            <w:r>
              <w:rPr>
                <w:rFonts w:ascii="Times New Roman" w:hAnsi="Times New Roman" w:eastAsia="Times New Roman" w:cs="Times New Roman"/>
                <w:spacing w:val="18"/>
                <w:position w:val="14"/>
                <w:sz w:val="20"/>
                <w:szCs w:val="20"/>
                <w:highlight w:val="none"/>
              </w:rPr>
              <w:t>1</w:t>
            </w:r>
            <w:r>
              <w:rPr>
                <w:rFonts w:ascii="Times New Roman" w:hAnsi="Times New Roman" w:eastAsia="Times New Roman" w:cs="Times New Roman"/>
                <w:spacing w:val="14"/>
                <w:position w:val="14"/>
                <w:sz w:val="20"/>
                <w:szCs w:val="20"/>
                <w:highlight w:val="none"/>
              </w:rPr>
              <w:t>5</w:t>
            </w:r>
            <w:r>
              <w:rPr>
                <w:rFonts w:ascii="Times New Roman" w:hAnsi="Times New Roman" w:eastAsia="Times New Roman" w:cs="Times New Roman"/>
                <w:spacing w:val="9"/>
                <w:position w:val="14"/>
                <w:sz w:val="20"/>
                <w:szCs w:val="20"/>
                <w:highlight w:val="none"/>
              </w:rPr>
              <w:t xml:space="preserve">.4.5  </w:t>
            </w:r>
            <w:r>
              <w:rPr>
                <w:rFonts w:ascii="宋体" w:hAnsi="宋体" w:eastAsia="宋体" w:cs="宋体"/>
                <w:spacing w:val="9"/>
                <w:position w:val="14"/>
                <w:sz w:val="20"/>
                <w:szCs w:val="20"/>
                <w:highlight w:val="none"/>
              </w:rPr>
              <w:t>如果本工程的变更指示是因承包人过错、承包人违反合同或承包人责任</w:t>
            </w:r>
            <w:r>
              <w:rPr>
                <w:rFonts w:hint="eastAsia" w:ascii="宋体" w:hAnsi="宋体" w:eastAsia="宋体" w:cs="宋体"/>
                <w:spacing w:val="9"/>
                <w:position w:val="14"/>
                <w:sz w:val="20"/>
                <w:szCs w:val="20"/>
                <w:highlight w:val="none"/>
              </w:rPr>
              <w:t>造成的，则这种违约引起的任何额外费用应由承包人承担</w:t>
            </w:r>
          </w:p>
        </w:tc>
      </w:tr>
      <w:tr w14:paraId="6C2D73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7" w:hRule="atLeast"/>
        </w:trPr>
        <w:tc>
          <w:tcPr>
            <w:tcW w:w="534" w:type="dxa"/>
            <w:tcBorders>
              <w:left w:val="single" w:color="000000" w:sz="6" w:space="0"/>
            </w:tcBorders>
            <w:vAlign w:val="top"/>
          </w:tcPr>
          <w:p w14:paraId="3F3C86D0">
            <w:pPr>
              <w:spacing w:line="274" w:lineRule="auto"/>
              <w:rPr>
                <w:rFonts w:ascii="Arial"/>
                <w:sz w:val="21"/>
                <w:highlight w:val="none"/>
              </w:rPr>
            </w:pPr>
          </w:p>
          <w:p w14:paraId="2F2057EC">
            <w:pPr>
              <w:spacing w:before="57" w:line="195" w:lineRule="auto"/>
              <w:ind w:left="156" w:leftChars="0"/>
              <w:rPr>
                <w:rFonts w:ascii="Times New Roman" w:hAnsi="Times New Roman" w:eastAsia="Times New Roman" w:cs="Times New Roman"/>
                <w:spacing w:val="-8"/>
                <w:sz w:val="20"/>
                <w:szCs w:val="20"/>
                <w:highlight w:val="none"/>
              </w:rPr>
            </w:pPr>
            <w:r>
              <w:rPr>
                <w:rFonts w:ascii="Times New Roman" w:hAnsi="Times New Roman" w:eastAsia="Times New Roman" w:cs="Times New Roman"/>
                <w:spacing w:val="3"/>
                <w:sz w:val="20"/>
                <w:szCs w:val="20"/>
                <w:highlight w:val="none"/>
              </w:rPr>
              <w:t>2</w:t>
            </w:r>
            <w:r>
              <w:rPr>
                <w:rFonts w:ascii="Times New Roman" w:hAnsi="Times New Roman" w:eastAsia="Times New Roman" w:cs="Times New Roman"/>
                <w:spacing w:val="2"/>
                <w:sz w:val="20"/>
                <w:szCs w:val="20"/>
                <w:highlight w:val="none"/>
              </w:rPr>
              <w:t>8</w:t>
            </w:r>
          </w:p>
        </w:tc>
        <w:tc>
          <w:tcPr>
            <w:tcW w:w="1004" w:type="dxa"/>
            <w:vAlign w:val="top"/>
          </w:tcPr>
          <w:p w14:paraId="092F67BB">
            <w:pPr>
              <w:spacing w:line="274" w:lineRule="auto"/>
              <w:rPr>
                <w:rFonts w:ascii="Arial"/>
                <w:sz w:val="21"/>
                <w:highlight w:val="none"/>
              </w:rPr>
            </w:pPr>
          </w:p>
          <w:p w14:paraId="3422C59B">
            <w:pPr>
              <w:spacing w:before="58" w:line="195" w:lineRule="auto"/>
              <w:ind w:left="309" w:leftChars="0"/>
              <w:rPr>
                <w:rFonts w:ascii="Times New Roman" w:hAnsi="Times New Roman" w:eastAsia="Times New Roman" w:cs="Times New Roman"/>
                <w:spacing w:val="-6"/>
                <w:sz w:val="20"/>
                <w:szCs w:val="20"/>
                <w:highlight w:val="none"/>
              </w:rPr>
            </w:pPr>
            <w:r>
              <w:rPr>
                <w:rFonts w:ascii="Times New Roman" w:hAnsi="Times New Roman" w:eastAsia="Times New Roman" w:cs="Times New Roman"/>
                <w:sz w:val="20"/>
                <w:szCs w:val="20"/>
                <w:highlight w:val="none"/>
              </w:rPr>
              <w:t>15.5.2</w:t>
            </w:r>
          </w:p>
        </w:tc>
        <w:tc>
          <w:tcPr>
            <w:tcW w:w="7897" w:type="dxa"/>
            <w:tcBorders>
              <w:right w:val="single" w:color="000000" w:sz="6" w:space="0"/>
            </w:tcBorders>
            <w:vAlign w:val="top"/>
          </w:tcPr>
          <w:p w14:paraId="1F53DD10">
            <w:pPr>
              <w:spacing w:before="141" w:line="295" w:lineRule="auto"/>
              <w:ind w:left="111" w:leftChars="0" w:right="104" w:rightChars="0" w:firstLine="207" w:firstLineChars="0"/>
              <w:rPr>
                <w:rFonts w:ascii="宋体" w:hAnsi="宋体" w:eastAsia="宋体" w:cs="宋体"/>
                <w:spacing w:val="10"/>
                <w:position w:val="1"/>
                <w:sz w:val="20"/>
                <w:szCs w:val="20"/>
                <w:highlight w:val="none"/>
              </w:rPr>
            </w:pPr>
            <w:r>
              <w:rPr>
                <w:rFonts w:ascii="宋体" w:hAnsi="宋体" w:eastAsia="宋体" w:cs="宋体"/>
                <w:spacing w:val="14"/>
                <w:sz w:val="20"/>
                <w:szCs w:val="20"/>
                <w:highlight w:val="none"/>
              </w:rPr>
              <w:t>承</w:t>
            </w:r>
            <w:r>
              <w:rPr>
                <w:rFonts w:ascii="宋体" w:hAnsi="宋体" w:eastAsia="宋体" w:cs="宋体"/>
                <w:spacing w:val="12"/>
                <w:sz w:val="20"/>
                <w:szCs w:val="20"/>
                <w:highlight w:val="none"/>
              </w:rPr>
              <w:t>包人提出的合理化建议降低了合同价格或者提高了工程经济效益的，发包人按所节</w:t>
            </w:r>
            <w:r>
              <w:rPr>
                <w:rFonts w:ascii="宋体" w:hAnsi="宋体" w:eastAsia="宋体" w:cs="宋体"/>
                <w:spacing w:val="8"/>
                <w:sz w:val="20"/>
                <w:szCs w:val="20"/>
                <w:highlight w:val="none"/>
              </w:rPr>
              <w:t>约</w:t>
            </w:r>
            <w:r>
              <w:rPr>
                <w:rFonts w:ascii="宋体" w:hAnsi="宋体" w:eastAsia="宋体" w:cs="宋体"/>
                <w:spacing w:val="6"/>
                <w:sz w:val="20"/>
                <w:szCs w:val="20"/>
                <w:highlight w:val="none"/>
              </w:rPr>
              <w:t xml:space="preserve">成本的 </w:t>
            </w:r>
            <w:r>
              <w:rPr>
                <w:rFonts w:ascii="宋体" w:hAnsi="宋体" w:eastAsia="宋体" w:cs="宋体"/>
                <w:spacing w:val="6"/>
                <w:sz w:val="20"/>
                <w:szCs w:val="20"/>
                <w:highlight w:val="none"/>
                <w:u w:val="single"/>
              </w:rPr>
              <w:t xml:space="preserve"> </w:t>
            </w:r>
            <w:r>
              <w:rPr>
                <w:rFonts w:ascii="Times New Roman" w:hAnsi="Times New Roman" w:eastAsia="Times New Roman" w:cs="Times New Roman"/>
                <w:spacing w:val="6"/>
                <w:sz w:val="20"/>
                <w:szCs w:val="20"/>
                <w:highlight w:val="none"/>
                <w:u w:val="single"/>
              </w:rPr>
              <w:t xml:space="preserve">/  </w:t>
            </w:r>
            <w:r>
              <w:rPr>
                <w:rFonts w:ascii="Times New Roman" w:hAnsi="Times New Roman" w:eastAsia="Times New Roman" w:cs="Times New Roman"/>
                <w:spacing w:val="6"/>
                <w:sz w:val="20"/>
                <w:szCs w:val="20"/>
                <w:highlight w:val="none"/>
              </w:rPr>
              <w:t>%</w:t>
            </w:r>
            <w:r>
              <w:rPr>
                <w:rFonts w:ascii="宋体" w:hAnsi="宋体" w:eastAsia="宋体" w:cs="宋体"/>
                <w:spacing w:val="6"/>
                <w:sz w:val="20"/>
                <w:szCs w:val="20"/>
                <w:highlight w:val="none"/>
              </w:rPr>
              <w:t xml:space="preserve">或增加收益的 </w:t>
            </w:r>
            <w:r>
              <w:rPr>
                <w:rFonts w:ascii="宋体" w:hAnsi="宋体" w:eastAsia="宋体" w:cs="宋体"/>
                <w:spacing w:val="6"/>
                <w:sz w:val="20"/>
                <w:szCs w:val="20"/>
                <w:highlight w:val="none"/>
                <w:u w:val="single"/>
              </w:rPr>
              <w:t xml:space="preserve"> </w:t>
            </w:r>
            <w:r>
              <w:rPr>
                <w:rFonts w:ascii="Times New Roman" w:hAnsi="Times New Roman" w:eastAsia="Times New Roman" w:cs="Times New Roman"/>
                <w:spacing w:val="6"/>
                <w:sz w:val="20"/>
                <w:szCs w:val="20"/>
                <w:highlight w:val="none"/>
                <w:u w:val="single"/>
              </w:rPr>
              <w:t xml:space="preserve">/ </w:t>
            </w:r>
            <w:r>
              <w:rPr>
                <w:rFonts w:ascii="Times New Roman" w:hAnsi="Times New Roman" w:eastAsia="Times New Roman" w:cs="Times New Roman"/>
                <w:spacing w:val="6"/>
                <w:sz w:val="20"/>
                <w:szCs w:val="20"/>
                <w:highlight w:val="none"/>
              </w:rPr>
              <w:t xml:space="preserve"> %</w:t>
            </w:r>
            <w:r>
              <w:rPr>
                <w:rFonts w:ascii="宋体" w:hAnsi="宋体" w:eastAsia="宋体" w:cs="宋体"/>
                <w:spacing w:val="6"/>
                <w:sz w:val="20"/>
                <w:szCs w:val="20"/>
                <w:highlight w:val="none"/>
              </w:rPr>
              <w:t>给予奖励</w:t>
            </w:r>
          </w:p>
        </w:tc>
      </w:tr>
      <w:tr w14:paraId="6E6B89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3" w:hRule="atLeast"/>
        </w:trPr>
        <w:tc>
          <w:tcPr>
            <w:tcW w:w="534" w:type="dxa"/>
            <w:tcBorders>
              <w:left w:val="single" w:color="000000" w:sz="6" w:space="0"/>
            </w:tcBorders>
            <w:vAlign w:val="top"/>
          </w:tcPr>
          <w:p w14:paraId="103149B6">
            <w:pPr>
              <w:spacing w:line="292" w:lineRule="auto"/>
              <w:rPr>
                <w:rFonts w:ascii="Arial"/>
                <w:sz w:val="21"/>
                <w:highlight w:val="none"/>
              </w:rPr>
            </w:pPr>
          </w:p>
          <w:p w14:paraId="4DD947B1">
            <w:pPr>
              <w:spacing w:before="57" w:line="195" w:lineRule="auto"/>
              <w:ind w:left="156" w:leftChars="0"/>
              <w:rPr>
                <w:rFonts w:ascii="Times New Roman" w:hAnsi="Times New Roman" w:eastAsia="Times New Roman" w:cs="Times New Roman"/>
                <w:spacing w:val="-8"/>
                <w:sz w:val="20"/>
                <w:szCs w:val="20"/>
                <w:highlight w:val="none"/>
              </w:rPr>
            </w:pPr>
            <w:r>
              <w:rPr>
                <w:rFonts w:ascii="Times New Roman" w:hAnsi="Times New Roman" w:eastAsia="Times New Roman" w:cs="Times New Roman"/>
                <w:spacing w:val="3"/>
                <w:sz w:val="20"/>
                <w:szCs w:val="20"/>
                <w:highlight w:val="none"/>
              </w:rPr>
              <w:t>2</w:t>
            </w:r>
            <w:r>
              <w:rPr>
                <w:rFonts w:ascii="Times New Roman" w:hAnsi="Times New Roman" w:eastAsia="Times New Roman" w:cs="Times New Roman"/>
                <w:spacing w:val="2"/>
                <w:sz w:val="20"/>
                <w:szCs w:val="20"/>
                <w:highlight w:val="none"/>
              </w:rPr>
              <w:t>9</w:t>
            </w:r>
          </w:p>
        </w:tc>
        <w:tc>
          <w:tcPr>
            <w:tcW w:w="1004" w:type="dxa"/>
            <w:vAlign w:val="top"/>
          </w:tcPr>
          <w:p w14:paraId="5A80D089">
            <w:pPr>
              <w:spacing w:line="292" w:lineRule="auto"/>
              <w:rPr>
                <w:rFonts w:ascii="Arial"/>
                <w:sz w:val="21"/>
                <w:highlight w:val="none"/>
              </w:rPr>
            </w:pPr>
          </w:p>
          <w:p w14:paraId="2C3ACEFF">
            <w:pPr>
              <w:spacing w:before="57" w:line="195" w:lineRule="auto"/>
              <w:ind w:left="389" w:leftChars="0"/>
              <w:rPr>
                <w:rFonts w:ascii="Times New Roman" w:hAnsi="Times New Roman" w:eastAsia="Times New Roman" w:cs="Times New Roman"/>
                <w:spacing w:val="-6"/>
                <w:sz w:val="20"/>
                <w:szCs w:val="20"/>
                <w:highlight w:val="none"/>
              </w:rPr>
            </w:pPr>
            <w:r>
              <w:rPr>
                <w:rFonts w:ascii="Times New Roman" w:hAnsi="Times New Roman" w:eastAsia="Times New Roman" w:cs="Times New Roman"/>
                <w:spacing w:val="-11"/>
                <w:sz w:val="20"/>
                <w:szCs w:val="20"/>
                <w:highlight w:val="none"/>
              </w:rPr>
              <w:t>1</w:t>
            </w:r>
            <w:r>
              <w:rPr>
                <w:rFonts w:ascii="Times New Roman" w:hAnsi="Times New Roman" w:eastAsia="Times New Roman" w:cs="Times New Roman"/>
                <w:spacing w:val="-7"/>
                <w:sz w:val="20"/>
                <w:szCs w:val="20"/>
                <w:highlight w:val="none"/>
              </w:rPr>
              <w:t>6. 1</w:t>
            </w:r>
          </w:p>
        </w:tc>
        <w:tc>
          <w:tcPr>
            <w:tcW w:w="7897" w:type="dxa"/>
            <w:tcBorders>
              <w:right w:val="single" w:color="000000" w:sz="6" w:space="0"/>
            </w:tcBorders>
            <w:vAlign w:val="top"/>
          </w:tcPr>
          <w:p w14:paraId="01F3035F">
            <w:pPr>
              <w:spacing w:before="121" w:line="293" w:lineRule="auto"/>
              <w:ind w:left="339"/>
              <w:rPr>
                <w:rFonts w:ascii="宋体" w:hAnsi="宋体" w:eastAsia="宋体" w:cs="宋体"/>
                <w:sz w:val="20"/>
                <w:szCs w:val="20"/>
                <w:highlight w:val="none"/>
              </w:rPr>
            </w:pPr>
            <w:r>
              <w:rPr>
                <w:rFonts w:ascii="宋体" w:hAnsi="宋体" w:eastAsia="宋体" w:cs="宋体"/>
                <w:spacing w:val="11"/>
                <w:sz w:val="20"/>
                <w:szCs w:val="20"/>
                <w:highlight w:val="none"/>
                <w:u w:val="none" w:color="auto"/>
              </w:rPr>
              <w:sym w:font="Wingdings 2" w:char="00A3"/>
            </w:r>
            <w:r>
              <w:rPr>
                <w:rFonts w:ascii="宋体" w:hAnsi="宋体" w:eastAsia="宋体" w:cs="宋体"/>
                <w:spacing w:val="7"/>
                <w:sz w:val="20"/>
                <w:szCs w:val="20"/>
                <w:highlight w:val="none"/>
              </w:rPr>
              <w:t>因物价波动引起的价格调整按照</w:t>
            </w:r>
            <w:r>
              <w:rPr>
                <w:rFonts w:ascii="Times New Roman" w:hAnsi="Times New Roman" w:eastAsia="Times New Roman" w:cs="Times New Roman"/>
                <w:spacing w:val="7"/>
                <w:sz w:val="20"/>
                <w:szCs w:val="20"/>
                <w:highlight w:val="none"/>
                <w:u w:val="single" w:color="auto"/>
              </w:rPr>
              <w:t xml:space="preserve">    /  </w:t>
            </w:r>
            <w:r>
              <w:rPr>
                <w:rFonts w:ascii="宋体" w:hAnsi="宋体" w:eastAsia="宋体" w:cs="宋体"/>
                <w:spacing w:val="7"/>
                <w:sz w:val="20"/>
                <w:szCs w:val="20"/>
                <w:highlight w:val="none"/>
              </w:rPr>
              <w:t>约定的原则处理</w:t>
            </w:r>
          </w:p>
          <w:p w14:paraId="2646DAEF">
            <w:pPr>
              <w:spacing w:before="79"/>
              <w:ind w:left="310" w:leftChars="0"/>
              <w:rPr>
                <w:rFonts w:ascii="宋体" w:hAnsi="宋体" w:eastAsia="宋体" w:cs="宋体"/>
                <w:spacing w:val="10"/>
                <w:position w:val="1"/>
                <w:sz w:val="20"/>
                <w:szCs w:val="20"/>
                <w:highlight w:val="none"/>
              </w:rPr>
            </w:pPr>
            <w:r>
              <w:rPr>
                <w:rFonts w:ascii="宋体" w:hAnsi="宋体" w:eastAsia="宋体" w:cs="宋体"/>
                <w:spacing w:val="11"/>
                <w:sz w:val="20"/>
                <w:szCs w:val="20"/>
                <w:highlight w:val="none"/>
                <w:u w:val="none" w:color="auto"/>
              </w:rPr>
              <w:sym w:font="Wingdings 2" w:char="0052"/>
            </w:r>
            <w:r>
              <w:rPr>
                <w:rFonts w:ascii="宋体" w:hAnsi="宋体" w:eastAsia="宋体" w:cs="宋体"/>
                <w:spacing w:val="17"/>
                <w:sz w:val="20"/>
                <w:szCs w:val="20"/>
                <w:highlight w:val="none"/>
              </w:rPr>
              <w:t>合</w:t>
            </w:r>
            <w:r>
              <w:rPr>
                <w:rFonts w:ascii="宋体" w:hAnsi="宋体" w:eastAsia="宋体" w:cs="宋体"/>
                <w:spacing w:val="9"/>
                <w:sz w:val="20"/>
                <w:szCs w:val="20"/>
                <w:highlight w:val="none"/>
              </w:rPr>
              <w:t>同期内不调价，因物价波动引起的价格调整本合同不予考虑。</w:t>
            </w:r>
          </w:p>
        </w:tc>
      </w:tr>
      <w:tr w14:paraId="0B3B25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64" w:hRule="atLeast"/>
        </w:trPr>
        <w:tc>
          <w:tcPr>
            <w:tcW w:w="534" w:type="dxa"/>
            <w:tcBorders>
              <w:left w:val="single" w:color="000000" w:sz="6" w:space="0"/>
            </w:tcBorders>
            <w:vAlign w:val="top"/>
          </w:tcPr>
          <w:p w14:paraId="2EFB1B90">
            <w:pPr>
              <w:spacing w:line="479" w:lineRule="auto"/>
              <w:rPr>
                <w:rFonts w:ascii="Arial"/>
                <w:sz w:val="21"/>
                <w:highlight w:val="none"/>
              </w:rPr>
            </w:pPr>
          </w:p>
          <w:p w14:paraId="2E18350E">
            <w:pPr>
              <w:spacing w:before="58" w:line="195" w:lineRule="auto"/>
              <w:ind w:left="160" w:leftChars="0"/>
              <w:rPr>
                <w:rFonts w:ascii="Times New Roman" w:hAnsi="Times New Roman" w:eastAsia="Times New Roman" w:cs="Times New Roman"/>
                <w:spacing w:val="-8"/>
                <w:sz w:val="20"/>
                <w:szCs w:val="20"/>
                <w:highlight w:val="none"/>
              </w:rPr>
            </w:pPr>
            <w:r>
              <w:rPr>
                <w:rFonts w:ascii="Times New Roman" w:hAnsi="Times New Roman" w:eastAsia="Times New Roman" w:cs="Times New Roman"/>
                <w:spacing w:val="1"/>
                <w:sz w:val="20"/>
                <w:szCs w:val="20"/>
                <w:highlight w:val="none"/>
              </w:rPr>
              <w:t>3</w:t>
            </w:r>
            <w:r>
              <w:rPr>
                <w:rFonts w:ascii="Times New Roman" w:hAnsi="Times New Roman" w:eastAsia="Times New Roman" w:cs="Times New Roman"/>
                <w:sz w:val="20"/>
                <w:szCs w:val="20"/>
                <w:highlight w:val="none"/>
              </w:rPr>
              <w:t>0</w:t>
            </w:r>
          </w:p>
        </w:tc>
        <w:tc>
          <w:tcPr>
            <w:tcW w:w="1004" w:type="dxa"/>
            <w:vAlign w:val="top"/>
          </w:tcPr>
          <w:p w14:paraId="5CEF2FD7">
            <w:pPr>
              <w:spacing w:line="479" w:lineRule="auto"/>
              <w:rPr>
                <w:rFonts w:ascii="Arial"/>
                <w:sz w:val="21"/>
                <w:highlight w:val="none"/>
              </w:rPr>
            </w:pPr>
          </w:p>
          <w:p w14:paraId="5191ADEA">
            <w:pPr>
              <w:spacing w:before="58" w:line="195" w:lineRule="auto"/>
              <w:ind w:left="389" w:leftChars="0"/>
              <w:rPr>
                <w:rFonts w:ascii="Times New Roman" w:hAnsi="Times New Roman" w:eastAsia="Times New Roman" w:cs="Times New Roman"/>
                <w:spacing w:val="-6"/>
                <w:sz w:val="20"/>
                <w:szCs w:val="20"/>
                <w:highlight w:val="none"/>
              </w:rPr>
            </w:pPr>
            <w:r>
              <w:rPr>
                <w:rFonts w:ascii="Times New Roman" w:hAnsi="Times New Roman" w:eastAsia="Times New Roman" w:cs="Times New Roman"/>
                <w:spacing w:val="-3"/>
                <w:sz w:val="20"/>
                <w:szCs w:val="20"/>
                <w:highlight w:val="none"/>
              </w:rPr>
              <w:t>1</w:t>
            </w:r>
            <w:r>
              <w:rPr>
                <w:rFonts w:ascii="Times New Roman" w:hAnsi="Times New Roman" w:eastAsia="Times New Roman" w:cs="Times New Roman"/>
                <w:spacing w:val="-2"/>
                <w:sz w:val="20"/>
                <w:szCs w:val="20"/>
                <w:highlight w:val="none"/>
              </w:rPr>
              <w:t>6.3</w:t>
            </w:r>
          </w:p>
        </w:tc>
        <w:tc>
          <w:tcPr>
            <w:tcW w:w="7897" w:type="dxa"/>
            <w:tcBorders>
              <w:right w:val="single" w:color="000000" w:sz="6" w:space="0"/>
            </w:tcBorders>
            <w:vAlign w:val="top"/>
          </w:tcPr>
          <w:p w14:paraId="3BF2F735">
            <w:pPr>
              <w:spacing w:before="148" w:line="369" w:lineRule="auto"/>
              <w:ind w:left="108" w:right="102" w:firstLine="221"/>
              <w:rPr>
                <w:rFonts w:ascii="宋体" w:hAnsi="宋体" w:eastAsia="宋体" w:cs="宋体"/>
                <w:spacing w:val="10"/>
                <w:position w:val="1"/>
                <w:sz w:val="20"/>
                <w:szCs w:val="20"/>
                <w:highlight w:val="none"/>
              </w:rPr>
            </w:pPr>
            <w:r>
              <w:rPr>
                <w:rFonts w:ascii="宋体" w:hAnsi="宋体" w:eastAsia="宋体" w:cs="宋体"/>
                <w:spacing w:val="22"/>
                <w:sz w:val="20"/>
                <w:szCs w:val="20"/>
                <w:highlight w:val="none"/>
              </w:rPr>
              <w:t>除非</w:t>
            </w:r>
            <w:r>
              <w:rPr>
                <w:rFonts w:ascii="宋体" w:hAnsi="宋体" w:eastAsia="宋体" w:cs="宋体"/>
                <w:spacing w:val="13"/>
                <w:sz w:val="20"/>
                <w:szCs w:val="20"/>
                <w:highlight w:val="none"/>
              </w:rPr>
              <w:t>发</w:t>
            </w:r>
            <w:r>
              <w:rPr>
                <w:rFonts w:ascii="宋体" w:hAnsi="宋体" w:eastAsia="宋体" w:cs="宋体"/>
                <w:spacing w:val="11"/>
                <w:sz w:val="20"/>
                <w:szCs w:val="20"/>
                <w:highlight w:val="none"/>
              </w:rPr>
              <w:t>包人和监理人专门批准，如果本工程技术规范和图纸标准低于国家和行</w:t>
            </w:r>
            <w:r>
              <w:rPr>
                <w:rFonts w:ascii="宋体" w:hAnsi="宋体" w:eastAsia="宋体" w:cs="宋体"/>
                <w:spacing w:val="14"/>
                <w:sz w:val="20"/>
                <w:szCs w:val="20"/>
                <w:highlight w:val="none"/>
              </w:rPr>
              <w:t>业</w:t>
            </w:r>
            <w:r>
              <w:rPr>
                <w:rFonts w:ascii="宋体" w:hAnsi="宋体" w:eastAsia="宋体" w:cs="宋体"/>
                <w:spacing w:val="12"/>
                <w:sz w:val="20"/>
                <w:szCs w:val="20"/>
                <w:highlight w:val="none"/>
              </w:rPr>
              <w:t>标准，则应按国家和行业标准执行，承包人由此增加的费用，发包人不另行计</w:t>
            </w:r>
            <w:r>
              <w:rPr>
                <w:rFonts w:ascii="宋体" w:hAnsi="宋体" w:eastAsia="宋体" w:cs="宋体"/>
                <w:spacing w:val="5"/>
                <w:sz w:val="20"/>
                <w:szCs w:val="20"/>
                <w:highlight w:val="none"/>
              </w:rPr>
              <w:t>量支付。</w:t>
            </w:r>
          </w:p>
        </w:tc>
      </w:tr>
      <w:tr w14:paraId="40AF51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4" w:type="dxa"/>
            <w:tcBorders>
              <w:left w:val="single" w:color="000000" w:sz="6" w:space="0"/>
            </w:tcBorders>
            <w:vAlign w:val="top"/>
          </w:tcPr>
          <w:p w14:paraId="5C86F040">
            <w:pPr>
              <w:spacing w:line="271" w:lineRule="auto"/>
              <w:rPr>
                <w:rFonts w:ascii="Arial"/>
                <w:sz w:val="21"/>
                <w:highlight w:val="none"/>
              </w:rPr>
            </w:pPr>
          </w:p>
          <w:p w14:paraId="5582FD90">
            <w:pPr>
              <w:spacing w:before="58" w:line="195" w:lineRule="auto"/>
              <w:ind w:left="160" w:leftChars="0"/>
              <w:rPr>
                <w:rFonts w:ascii="Times New Roman" w:hAnsi="Times New Roman" w:eastAsia="Times New Roman" w:cs="Times New Roman"/>
                <w:spacing w:val="1"/>
                <w:sz w:val="20"/>
                <w:szCs w:val="20"/>
                <w:highlight w:val="none"/>
              </w:rPr>
            </w:pPr>
            <w:r>
              <w:rPr>
                <w:rFonts w:ascii="Times New Roman" w:hAnsi="Times New Roman" w:eastAsia="Times New Roman" w:cs="Times New Roman"/>
                <w:spacing w:val="1"/>
                <w:sz w:val="20"/>
                <w:szCs w:val="20"/>
                <w:highlight w:val="none"/>
              </w:rPr>
              <w:t>3</w:t>
            </w:r>
            <w:r>
              <w:rPr>
                <w:rFonts w:hint="eastAsia" w:ascii="Times New Roman" w:hAnsi="Times New Roman" w:eastAsia="宋体" w:cs="Times New Roman"/>
                <w:spacing w:val="1"/>
                <w:sz w:val="20"/>
                <w:szCs w:val="20"/>
                <w:highlight w:val="none"/>
                <w:lang w:val="en-US" w:eastAsia="zh-CN"/>
              </w:rPr>
              <w:t>1</w:t>
            </w:r>
          </w:p>
        </w:tc>
        <w:tc>
          <w:tcPr>
            <w:tcW w:w="1004" w:type="dxa"/>
            <w:vAlign w:val="top"/>
          </w:tcPr>
          <w:p w14:paraId="4916D95A">
            <w:pPr>
              <w:spacing w:line="271" w:lineRule="auto"/>
              <w:rPr>
                <w:rFonts w:ascii="Arial"/>
                <w:sz w:val="21"/>
                <w:highlight w:val="none"/>
              </w:rPr>
            </w:pPr>
          </w:p>
          <w:p w14:paraId="59643150">
            <w:pPr>
              <w:spacing w:before="58" w:line="195" w:lineRule="auto"/>
              <w:ind w:left="309" w:leftChars="0"/>
              <w:rPr>
                <w:rFonts w:ascii="Times New Roman" w:hAnsi="Times New Roman" w:eastAsia="Times New Roman" w:cs="Times New Roman"/>
                <w:spacing w:val="-3"/>
                <w:sz w:val="20"/>
                <w:szCs w:val="20"/>
                <w:highlight w:val="none"/>
              </w:rPr>
            </w:pPr>
            <w:r>
              <w:rPr>
                <w:rFonts w:ascii="Times New Roman" w:hAnsi="Times New Roman" w:eastAsia="Times New Roman" w:cs="Times New Roman"/>
                <w:spacing w:val="-8"/>
                <w:sz w:val="20"/>
                <w:szCs w:val="20"/>
                <w:highlight w:val="none"/>
              </w:rPr>
              <w:t>1</w:t>
            </w:r>
            <w:r>
              <w:rPr>
                <w:rFonts w:ascii="Times New Roman" w:hAnsi="Times New Roman" w:eastAsia="Times New Roman" w:cs="Times New Roman"/>
                <w:spacing w:val="-7"/>
                <w:sz w:val="20"/>
                <w:szCs w:val="20"/>
                <w:highlight w:val="none"/>
              </w:rPr>
              <w:t>7. 1.3</w:t>
            </w:r>
          </w:p>
        </w:tc>
        <w:tc>
          <w:tcPr>
            <w:tcW w:w="7897" w:type="dxa"/>
            <w:tcBorders>
              <w:right w:val="single" w:color="000000" w:sz="6" w:space="0"/>
            </w:tcBorders>
            <w:vAlign w:val="top"/>
          </w:tcPr>
          <w:p w14:paraId="6055D964">
            <w:pPr>
              <w:spacing w:before="139" w:line="400" w:lineRule="exact"/>
              <w:ind w:left="319"/>
              <w:rPr>
                <w:rFonts w:ascii="宋体" w:hAnsi="宋体" w:eastAsia="宋体" w:cs="宋体"/>
                <w:sz w:val="20"/>
                <w:szCs w:val="20"/>
                <w:highlight w:val="none"/>
              </w:rPr>
            </w:pPr>
            <w:r>
              <w:rPr>
                <w:rFonts w:ascii="宋体" w:hAnsi="宋体" w:eastAsia="宋体" w:cs="宋体"/>
                <w:spacing w:val="14"/>
                <w:position w:val="14"/>
                <w:sz w:val="20"/>
                <w:szCs w:val="20"/>
                <w:highlight w:val="none"/>
              </w:rPr>
              <w:t>单</w:t>
            </w:r>
            <w:r>
              <w:rPr>
                <w:rFonts w:ascii="宋体" w:hAnsi="宋体" w:eastAsia="宋体" w:cs="宋体"/>
                <w:spacing w:val="11"/>
                <w:position w:val="14"/>
                <w:sz w:val="20"/>
                <w:szCs w:val="20"/>
                <w:highlight w:val="none"/>
              </w:rPr>
              <w:t>价</w:t>
            </w:r>
            <w:r>
              <w:rPr>
                <w:rFonts w:ascii="宋体" w:hAnsi="宋体" w:eastAsia="宋体" w:cs="宋体"/>
                <w:spacing w:val="7"/>
                <w:position w:val="14"/>
                <w:sz w:val="20"/>
                <w:szCs w:val="20"/>
                <w:highlight w:val="none"/>
              </w:rPr>
              <w:t xml:space="preserve">子目已完成工程量按月计量，总价子目按第 </w:t>
            </w:r>
            <w:r>
              <w:rPr>
                <w:rFonts w:ascii="Times New Roman" w:hAnsi="Times New Roman" w:eastAsia="Times New Roman" w:cs="Times New Roman"/>
                <w:spacing w:val="7"/>
                <w:position w:val="14"/>
                <w:sz w:val="20"/>
                <w:szCs w:val="20"/>
                <w:highlight w:val="none"/>
              </w:rPr>
              <w:t xml:space="preserve">17. 1.5 </w:t>
            </w:r>
            <w:r>
              <w:rPr>
                <w:rFonts w:ascii="宋体" w:hAnsi="宋体" w:eastAsia="宋体" w:cs="宋体"/>
                <w:spacing w:val="7"/>
                <w:position w:val="14"/>
                <w:sz w:val="20"/>
                <w:szCs w:val="20"/>
                <w:highlight w:val="none"/>
              </w:rPr>
              <w:t>项 (总价子目的计量)</w:t>
            </w:r>
          </w:p>
          <w:p w14:paraId="7D3794B5">
            <w:pPr>
              <w:spacing w:line="228" w:lineRule="auto"/>
              <w:ind w:left="109" w:leftChars="0"/>
              <w:rPr>
                <w:rFonts w:ascii="宋体" w:hAnsi="宋体" w:eastAsia="宋体" w:cs="宋体"/>
                <w:spacing w:val="22"/>
                <w:sz w:val="20"/>
                <w:szCs w:val="20"/>
                <w:highlight w:val="none"/>
              </w:rPr>
            </w:pPr>
            <w:r>
              <w:rPr>
                <w:rFonts w:ascii="宋体" w:hAnsi="宋体" w:eastAsia="宋体" w:cs="宋体"/>
                <w:spacing w:val="9"/>
                <w:sz w:val="20"/>
                <w:szCs w:val="20"/>
                <w:highlight w:val="none"/>
              </w:rPr>
              <w:t>计</w:t>
            </w:r>
            <w:r>
              <w:rPr>
                <w:rFonts w:ascii="宋体" w:hAnsi="宋体" w:eastAsia="宋体" w:cs="宋体"/>
                <w:spacing w:val="8"/>
                <w:sz w:val="20"/>
                <w:szCs w:val="20"/>
                <w:highlight w:val="none"/>
              </w:rPr>
              <w:t>量后，汇入当月计量。</w:t>
            </w:r>
          </w:p>
        </w:tc>
      </w:tr>
      <w:tr w14:paraId="5B3767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44" w:hRule="atLeast"/>
        </w:trPr>
        <w:tc>
          <w:tcPr>
            <w:tcW w:w="534" w:type="dxa"/>
            <w:tcBorders>
              <w:left w:val="single" w:color="000000" w:sz="6" w:space="0"/>
            </w:tcBorders>
            <w:vAlign w:val="top"/>
          </w:tcPr>
          <w:p w14:paraId="7056C9ED">
            <w:pPr>
              <w:spacing w:line="249" w:lineRule="auto"/>
              <w:rPr>
                <w:rFonts w:ascii="Arial"/>
                <w:sz w:val="21"/>
                <w:highlight w:val="none"/>
              </w:rPr>
            </w:pPr>
          </w:p>
          <w:p w14:paraId="02FE160A">
            <w:pPr>
              <w:spacing w:line="249" w:lineRule="auto"/>
              <w:rPr>
                <w:rFonts w:ascii="Arial"/>
                <w:sz w:val="21"/>
                <w:highlight w:val="none"/>
              </w:rPr>
            </w:pPr>
          </w:p>
          <w:p w14:paraId="3DE940AB">
            <w:pPr>
              <w:spacing w:line="249" w:lineRule="auto"/>
              <w:rPr>
                <w:rFonts w:ascii="Arial"/>
                <w:sz w:val="21"/>
                <w:highlight w:val="none"/>
              </w:rPr>
            </w:pPr>
          </w:p>
          <w:p w14:paraId="4139EFE5">
            <w:pPr>
              <w:spacing w:line="250" w:lineRule="auto"/>
              <w:rPr>
                <w:rFonts w:ascii="Arial"/>
                <w:sz w:val="21"/>
                <w:highlight w:val="none"/>
              </w:rPr>
            </w:pPr>
          </w:p>
          <w:p w14:paraId="4147D4A4">
            <w:pPr>
              <w:spacing w:line="250" w:lineRule="auto"/>
              <w:rPr>
                <w:rFonts w:ascii="Arial"/>
                <w:sz w:val="21"/>
                <w:highlight w:val="none"/>
              </w:rPr>
            </w:pPr>
          </w:p>
          <w:p w14:paraId="5602B9E0">
            <w:pPr>
              <w:spacing w:line="250" w:lineRule="auto"/>
              <w:rPr>
                <w:rFonts w:ascii="Arial"/>
                <w:sz w:val="21"/>
                <w:highlight w:val="none"/>
              </w:rPr>
            </w:pPr>
          </w:p>
          <w:p w14:paraId="21CE2333">
            <w:pPr>
              <w:spacing w:line="250" w:lineRule="auto"/>
              <w:rPr>
                <w:rFonts w:ascii="Arial"/>
                <w:sz w:val="21"/>
                <w:highlight w:val="none"/>
              </w:rPr>
            </w:pPr>
          </w:p>
          <w:p w14:paraId="68D2DD11">
            <w:pPr>
              <w:spacing w:line="250" w:lineRule="auto"/>
              <w:rPr>
                <w:rFonts w:ascii="Arial"/>
                <w:sz w:val="21"/>
                <w:highlight w:val="none"/>
              </w:rPr>
            </w:pPr>
          </w:p>
          <w:p w14:paraId="2CDD6297">
            <w:pPr>
              <w:spacing w:line="250" w:lineRule="auto"/>
              <w:rPr>
                <w:rFonts w:ascii="Arial"/>
                <w:sz w:val="21"/>
                <w:highlight w:val="none"/>
              </w:rPr>
            </w:pPr>
          </w:p>
          <w:p w14:paraId="61867747">
            <w:pPr>
              <w:spacing w:line="250" w:lineRule="auto"/>
              <w:rPr>
                <w:rFonts w:ascii="Arial"/>
                <w:sz w:val="21"/>
                <w:highlight w:val="none"/>
              </w:rPr>
            </w:pPr>
          </w:p>
          <w:p w14:paraId="79CEFC0D">
            <w:pPr>
              <w:spacing w:line="250" w:lineRule="auto"/>
              <w:rPr>
                <w:rFonts w:ascii="Arial"/>
                <w:sz w:val="21"/>
                <w:highlight w:val="none"/>
              </w:rPr>
            </w:pPr>
          </w:p>
          <w:p w14:paraId="0E80EF3E">
            <w:pPr>
              <w:spacing w:line="250" w:lineRule="auto"/>
              <w:rPr>
                <w:rFonts w:ascii="Arial"/>
                <w:sz w:val="21"/>
                <w:highlight w:val="none"/>
              </w:rPr>
            </w:pPr>
          </w:p>
          <w:p w14:paraId="4C1E159E">
            <w:pPr>
              <w:spacing w:line="250" w:lineRule="auto"/>
              <w:rPr>
                <w:rFonts w:ascii="Arial"/>
                <w:sz w:val="21"/>
                <w:highlight w:val="none"/>
              </w:rPr>
            </w:pPr>
          </w:p>
          <w:p w14:paraId="0F3FC07D">
            <w:pPr>
              <w:spacing w:line="250" w:lineRule="auto"/>
              <w:rPr>
                <w:rFonts w:ascii="Arial"/>
                <w:sz w:val="21"/>
                <w:highlight w:val="none"/>
              </w:rPr>
            </w:pPr>
          </w:p>
          <w:p w14:paraId="43561B87">
            <w:pPr>
              <w:spacing w:line="250" w:lineRule="auto"/>
              <w:rPr>
                <w:rFonts w:ascii="Arial"/>
                <w:sz w:val="21"/>
                <w:highlight w:val="none"/>
              </w:rPr>
            </w:pPr>
          </w:p>
          <w:p w14:paraId="1251CD48">
            <w:pPr>
              <w:spacing w:line="250" w:lineRule="auto"/>
              <w:rPr>
                <w:rFonts w:ascii="Arial"/>
                <w:sz w:val="21"/>
                <w:highlight w:val="none"/>
              </w:rPr>
            </w:pPr>
          </w:p>
          <w:p w14:paraId="271C2927">
            <w:pPr>
              <w:spacing w:line="250" w:lineRule="auto"/>
              <w:rPr>
                <w:rFonts w:ascii="Arial"/>
                <w:sz w:val="21"/>
                <w:highlight w:val="none"/>
              </w:rPr>
            </w:pPr>
          </w:p>
          <w:p w14:paraId="5050F2F5">
            <w:pPr>
              <w:spacing w:before="57" w:line="195" w:lineRule="auto"/>
              <w:ind w:left="160" w:leftChars="0"/>
              <w:rPr>
                <w:rFonts w:ascii="Times New Roman" w:hAnsi="Times New Roman" w:eastAsia="Times New Roman" w:cs="Times New Roman"/>
                <w:spacing w:val="1"/>
                <w:sz w:val="20"/>
                <w:szCs w:val="20"/>
                <w:highlight w:val="none"/>
              </w:rPr>
            </w:pPr>
            <w:r>
              <w:rPr>
                <w:rFonts w:ascii="Times New Roman" w:hAnsi="Times New Roman" w:eastAsia="Times New Roman" w:cs="Times New Roman"/>
                <w:spacing w:val="1"/>
                <w:sz w:val="20"/>
                <w:szCs w:val="20"/>
                <w:highlight w:val="none"/>
              </w:rPr>
              <w:t>3</w:t>
            </w:r>
            <w:r>
              <w:rPr>
                <w:rFonts w:hint="eastAsia" w:ascii="Times New Roman" w:hAnsi="Times New Roman" w:eastAsia="宋体" w:cs="Times New Roman"/>
                <w:sz w:val="20"/>
                <w:szCs w:val="20"/>
                <w:highlight w:val="none"/>
                <w:lang w:val="en-US" w:eastAsia="zh-CN"/>
              </w:rPr>
              <w:t>2</w:t>
            </w:r>
          </w:p>
        </w:tc>
        <w:tc>
          <w:tcPr>
            <w:tcW w:w="1004" w:type="dxa"/>
            <w:vAlign w:val="top"/>
          </w:tcPr>
          <w:p w14:paraId="690D9D21">
            <w:pPr>
              <w:spacing w:line="249" w:lineRule="auto"/>
              <w:rPr>
                <w:rFonts w:ascii="Arial"/>
                <w:sz w:val="21"/>
                <w:highlight w:val="none"/>
              </w:rPr>
            </w:pPr>
          </w:p>
          <w:p w14:paraId="5BD57767">
            <w:pPr>
              <w:spacing w:line="249" w:lineRule="auto"/>
              <w:rPr>
                <w:rFonts w:ascii="Arial"/>
                <w:sz w:val="21"/>
                <w:highlight w:val="none"/>
              </w:rPr>
            </w:pPr>
          </w:p>
          <w:p w14:paraId="080C9AE0">
            <w:pPr>
              <w:spacing w:line="249" w:lineRule="auto"/>
              <w:rPr>
                <w:rFonts w:ascii="Arial"/>
                <w:sz w:val="21"/>
                <w:highlight w:val="none"/>
              </w:rPr>
            </w:pPr>
          </w:p>
          <w:p w14:paraId="6DA7FB39">
            <w:pPr>
              <w:spacing w:line="250" w:lineRule="auto"/>
              <w:rPr>
                <w:rFonts w:ascii="Arial"/>
                <w:sz w:val="21"/>
                <w:highlight w:val="none"/>
              </w:rPr>
            </w:pPr>
          </w:p>
          <w:p w14:paraId="1410FB07">
            <w:pPr>
              <w:spacing w:line="250" w:lineRule="auto"/>
              <w:rPr>
                <w:rFonts w:ascii="Arial"/>
                <w:sz w:val="21"/>
                <w:highlight w:val="none"/>
              </w:rPr>
            </w:pPr>
          </w:p>
          <w:p w14:paraId="3393349F">
            <w:pPr>
              <w:spacing w:line="250" w:lineRule="auto"/>
              <w:rPr>
                <w:rFonts w:ascii="Arial"/>
                <w:sz w:val="21"/>
                <w:highlight w:val="none"/>
              </w:rPr>
            </w:pPr>
          </w:p>
          <w:p w14:paraId="47DEB04C">
            <w:pPr>
              <w:spacing w:line="250" w:lineRule="auto"/>
              <w:rPr>
                <w:rFonts w:ascii="Arial"/>
                <w:sz w:val="21"/>
                <w:highlight w:val="none"/>
              </w:rPr>
            </w:pPr>
          </w:p>
          <w:p w14:paraId="7F128421">
            <w:pPr>
              <w:spacing w:line="250" w:lineRule="auto"/>
              <w:rPr>
                <w:rFonts w:ascii="Arial"/>
                <w:sz w:val="21"/>
                <w:highlight w:val="none"/>
              </w:rPr>
            </w:pPr>
          </w:p>
          <w:p w14:paraId="777A5261">
            <w:pPr>
              <w:spacing w:line="250" w:lineRule="auto"/>
              <w:rPr>
                <w:rFonts w:ascii="Arial"/>
                <w:sz w:val="21"/>
                <w:highlight w:val="none"/>
              </w:rPr>
            </w:pPr>
          </w:p>
          <w:p w14:paraId="0C273863">
            <w:pPr>
              <w:spacing w:line="250" w:lineRule="auto"/>
              <w:rPr>
                <w:rFonts w:ascii="Arial"/>
                <w:sz w:val="21"/>
                <w:highlight w:val="none"/>
              </w:rPr>
            </w:pPr>
          </w:p>
          <w:p w14:paraId="5313899C">
            <w:pPr>
              <w:spacing w:line="250" w:lineRule="auto"/>
              <w:rPr>
                <w:rFonts w:ascii="Arial"/>
                <w:sz w:val="21"/>
                <w:highlight w:val="none"/>
              </w:rPr>
            </w:pPr>
          </w:p>
          <w:p w14:paraId="41B6B826">
            <w:pPr>
              <w:spacing w:line="250" w:lineRule="auto"/>
              <w:rPr>
                <w:rFonts w:ascii="Arial"/>
                <w:sz w:val="21"/>
                <w:highlight w:val="none"/>
              </w:rPr>
            </w:pPr>
          </w:p>
          <w:p w14:paraId="1D0ED4F5">
            <w:pPr>
              <w:spacing w:line="250" w:lineRule="auto"/>
              <w:rPr>
                <w:rFonts w:ascii="Arial"/>
                <w:sz w:val="21"/>
                <w:highlight w:val="none"/>
              </w:rPr>
            </w:pPr>
          </w:p>
          <w:p w14:paraId="4B8D4856">
            <w:pPr>
              <w:spacing w:line="250" w:lineRule="auto"/>
              <w:rPr>
                <w:rFonts w:ascii="Arial"/>
                <w:sz w:val="21"/>
                <w:highlight w:val="none"/>
              </w:rPr>
            </w:pPr>
          </w:p>
          <w:p w14:paraId="2E8BDB81">
            <w:pPr>
              <w:spacing w:line="250" w:lineRule="auto"/>
              <w:rPr>
                <w:rFonts w:ascii="Arial"/>
                <w:sz w:val="21"/>
                <w:highlight w:val="none"/>
              </w:rPr>
            </w:pPr>
          </w:p>
          <w:p w14:paraId="355FDC51">
            <w:pPr>
              <w:spacing w:line="250" w:lineRule="auto"/>
              <w:rPr>
                <w:rFonts w:ascii="Arial"/>
                <w:sz w:val="21"/>
                <w:highlight w:val="none"/>
              </w:rPr>
            </w:pPr>
          </w:p>
          <w:p w14:paraId="17EE1E73">
            <w:pPr>
              <w:spacing w:line="250" w:lineRule="auto"/>
              <w:rPr>
                <w:rFonts w:ascii="Arial"/>
                <w:sz w:val="21"/>
                <w:highlight w:val="none"/>
              </w:rPr>
            </w:pPr>
          </w:p>
          <w:p w14:paraId="33675F78">
            <w:pPr>
              <w:spacing w:before="57" w:line="195" w:lineRule="auto"/>
              <w:ind w:left="309" w:leftChars="0"/>
              <w:rPr>
                <w:rFonts w:ascii="Times New Roman" w:hAnsi="Times New Roman" w:eastAsia="Times New Roman" w:cs="Times New Roman"/>
                <w:spacing w:val="-3"/>
                <w:sz w:val="20"/>
                <w:szCs w:val="20"/>
                <w:highlight w:val="none"/>
              </w:rPr>
            </w:pPr>
            <w:r>
              <w:rPr>
                <w:rFonts w:ascii="Times New Roman" w:hAnsi="Times New Roman" w:eastAsia="Times New Roman" w:cs="Times New Roman"/>
                <w:spacing w:val="-8"/>
                <w:sz w:val="20"/>
                <w:szCs w:val="20"/>
                <w:highlight w:val="none"/>
              </w:rPr>
              <w:t>1</w:t>
            </w:r>
            <w:r>
              <w:rPr>
                <w:rFonts w:ascii="Times New Roman" w:hAnsi="Times New Roman" w:eastAsia="Times New Roman" w:cs="Times New Roman"/>
                <w:spacing w:val="-7"/>
                <w:sz w:val="20"/>
                <w:szCs w:val="20"/>
                <w:highlight w:val="none"/>
              </w:rPr>
              <w:t>7. 1.4</w:t>
            </w:r>
          </w:p>
        </w:tc>
        <w:tc>
          <w:tcPr>
            <w:tcW w:w="7897" w:type="dxa"/>
            <w:tcBorders>
              <w:right w:val="single" w:color="000000" w:sz="6" w:space="0"/>
            </w:tcBorders>
            <w:vAlign w:val="top"/>
          </w:tcPr>
          <w:p w14:paraId="2604CA63">
            <w:pPr>
              <w:spacing w:before="141" w:line="297" w:lineRule="auto"/>
              <w:ind w:left="318" w:right="5223" w:firstLine="15"/>
              <w:rPr>
                <w:rFonts w:ascii="宋体" w:hAnsi="宋体" w:eastAsia="宋体" w:cs="宋体"/>
                <w:sz w:val="20"/>
                <w:szCs w:val="20"/>
                <w:highlight w:val="none"/>
              </w:rPr>
            </w:pPr>
            <w:r>
              <w:rPr>
                <w:rFonts w:ascii="Times New Roman" w:hAnsi="Times New Roman" w:eastAsia="Times New Roman" w:cs="Times New Roman"/>
                <w:spacing w:val="2"/>
                <w:sz w:val="20"/>
                <w:szCs w:val="20"/>
                <w:highlight w:val="none"/>
              </w:rPr>
              <w:t xml:space="preserve">17. 1.4  </w:t>
            </w:r>
            <w:r>
              <w:rPr>
                <w:rFonts w:ascii="宋体" w:hAnsi="宋体" w:eastAsia="宋体" w:cs="宋体"/>
                <w:spacing w:val="1"/>
                <w:sz w:val="20"/>
                <w:szCs w:val="20"/>
                <w:highlight w:val="none"/>
              </w:rPr>
              <w:t>单价子目的计量</w:t>
            </w:r>
            <w:r>
              <w:rPr>
                <w:rFonts w:ascii="宋体" w:hAnsi="宋体" w:eastAsia="宋体" w:cs="宋体"/>
                <w:sz w:val="20"/>
                <w:szCs w:val="20"/>
                <w:highlight w:val="none"/>
              </w:rPr>
              <w:t xml:space="preserve"> </w:t>
            </w:r>
            <w:r>
              <w:rPr>
                <w:rFonts w:ascii="宋体" w:hAnsi="宋体" w:eastAsia="宋体" w:cs="宋体"/>
                <w:spacing w:val="9"/>
                <w:sz w:val="20"/>
                <w:szCs w:val="20"/>
                <w:highlight w:val="none"/>
              </w:rPr>
              <w:t>本</w:t>
            </w:r>
            <w:r>
              <w:rPr>
                <w:rFonts w:ascii="宋体" w:hAnsi="宋体" w:eastAsia="宋体" w:cs="宋体"/>
                <w:spacing w:val="6"/>
                <w:sz w:val="20"/>
                <w:szCs w:val="20"/>
                <w:highlight w:val="none"/>
              </w:rPr>
              <w:t>项约定为：</w:t>
            </w:r>
          </w:p>
          <w:p w14:paraId="73085F40">
            <w:pPr>
              <w:spacing w:before="154" w:line="369" w:lineRule="auto"/>
              <w:ind w:left="111" w:right="104" w:firstLine="217"/>
              <w:rPr>
                <w:rFonts w:ascii="宋体" w:hAnsi="宋体" w:eastAsia="宋体" w:cs="宋体"/>
                <w:sz w:val="20"/>
                <w:szCs w:val="20"/>
                <w:highlight w:val="none"/>
              </w:rPr>
            </w:pPr>
            <w:r>
              <w:rPr>
                <w:rFonts w:ascii="宋体" w:hAnsi="宋体" w:eastAsia="宋体" w:cs="宋体"/>
                <w:spacing w:val="16"/>
                <w:sz w:val="20"/>
                <w:szCs w:val="20"/>
                <w:highlight w:val="none"/>
              </w:rPr>
              <w:t>(</w:t>
            </w:r>
            <w:r>
              <w:rPr>
                <w:rFonts w:ascii="Times New Roman" w:hAnsi="Times New Roman" w:eastAsia="Times New Roman" w:cs="Times New Roman"/>
                <w:spacing w:val="11"/>
                <w:sz w:val="20"/>
                <w:szCs w:val="20"/>
                <w:highlight w:val="none"/>
              </w:rPr>
              <w:t>1</w:t>
            </w:r>
            <w:r>
              <w:rPr>
                <w:rFonts w:ascii="宋体" w:hAnsi="宋体" w:eastAsia="宋体" w:cs="宋体"/>
                <w:spacing w:val="11"/>
                <w:sz w:val="20"/>
                <w:szCs w:val="20"/>
                <w:highlight w:val="none"/>
              </w:rPr>
              <w:t>) 已标价工程量清单中的单价子目工程量为估算工程量。结算工程量是承包</w:t>
            </w:r>
            <w:r>
              <w:rPr>
                <w:rFonts w:ascii="宋体" w:hAnsi="宋体" w:eastAsia="宋体" w:cs="宋体"/>
                <w:spacing w:val="13"/>
                <w:sz w:val="20"/>
                <w:szCs w:val="20"/>
                <w:highlight w:val="none"/>
              </w:rPr>
              <w:t>人</w:t>
            </w:r>
            <w:r>
              <w:rPr>
                <w:rFonts w:ascii="宋体" w:hAnsi="宋体" w:eastAsia="宋体" w:cs="宋体"/>
                <w:spacing w:val="9"/>
                <w:sz w:val="20"/>
                <w:szCs w:val="20"/>
                <w:highlight w:val="none"/>
              </w:rPr>
              <w:t>实际完成的，并按合同约定的计量方法进行计量的工程量。</w:t>
            </w:r>
          </w:p>
          <w:p w14:paraId="63D2E7B2">
            <w:pPr>
              <w:spacing w:before="2" w:line="369" w:lineRule="auto"/>
              <w:ind w:left="111" w:right="104" w:firstLine="216"/>
              <w:rPr>
                <w:rFonts w:ascii="宋体" w:hAnsi="宋体" w:eastAsia="宋体" w:cs="宋体"/>
                <w:sz w:val="20"/>
                <w:szCs w:val="20"/>
                <w:highlight w:val="none"/>
              </w:rPr>
            </w:pPr>
            <w:r>
              <w:rPr>
                <w:rFonts w:ascii="宋体" w:hAnsi="宋体" w:eastAsia="宋体" w:cs="宋体"/>
                <w:spacing w:val="16"/>
                <w:sz w:val="20"/>
                <w:szCs w:val="20"/>
                <w:highlight w:val="none"/>
              </w:rPr>
              <w:t>(</w:t>
            </w:r>
            <w:r>
              <w:rPr>
                <w:rFonts w:ascii="Times New Roman" w:hAnsi="Times New Roman" w:eastAsia="Times New Roman" w:cs="Times New Roman"/>
                <w:spacing w:val="11"/>
                <w:sz w:val="20"/>
                <w:szCs w:val="20"/>
                <w:highlight w:val="none"/>
              </w:rPr>
              <w:t>2</w:t>
            </w:r>
            <w:r>
              <w:rPr>
                <w:rFonts w:ascii="宋体" w:hAnsi="宋体" w:eastAsia="宋体" w:cs="宋体"/>
                <w:spacing w:val="11"/>
                <w:sz w:val="20"/>
                <w:szCs w:val="20"/>
                <w:highlight w:val="none"/>
              </w:rPr>
              <w:t>) 承包人对已完成的工程进行计量，向监理人提交进度付款申请单、已完成工</w:t>
            </w:r>
            <w:r>
              <w:rPr>
                <w:rFonts w:ascii="宋体" w:hAnsi="宋体" w:eastAsia="宋体" w:cs="宋体"/>
                <w:spacing w:val="8"/>
                <w:sz w:val="20"/>
                <w:szCs w:val="20"/>
                <w:highlight w:val="none"/>
              </w:rPr>
              <w:t>程量报表和有关计量资料。</w:t>
            </w:r>
          </w:p>
          <w:p w14:paraId="1E5D85C1">
            <w:pPr>
              <w:spacing w:before="3" w:line="368" w:lineRule="auto"/>
              <w:ind w:left="108" w:right="102" w:firstLine="219"/>
              <w:rPr>
                <w:rFonts w:ascii="宋体" w:hAnsi="宋体" w:eastAsia="宋体" w:cs="宋体"/>
                <w:sz w:val="20"/>
                <w:szCs w:val="20"/>
                <w:highlight w:val="none"/>
              </w:rPr>
            </w:pPr>
            <w:r>
              <w:rPr>
                <w:rFonts w:ascii="宋体" w:hAnsi="宋体" w:eastAsia="宋体" w:cs="宋体"/>
                <w:spacing w:val="18"/>
                <w:sz w:val="20"/>
                <w:szCs w:val="20"/>
                <w:highlight w:val="none"/>
              </w:rPr>
              <w:t>(</w:t>
            </w:r>
            <w:r>
              <w:rPr>
                <w:rFonts w:ascii="Times New Roman" w:hAnsi="Times New Roman" w:eastAsia="Times New Roman" w:cs="Times New Roman"/>
                <w:spacing w:val="11"/>
                <w:sz w:val="20"/>
                <w:szCs w:val="20"/>
                <w:highlight w:val="none"/>
              </w:rPr>
              <w:t>3</w:t>
            </w:r>
            <w:r>
              <w:rPr>
                <w:rFonts w:ascii="宋体" w:hAnsi="宋体" w:eastAsia="宋体" w:cs="宋体"/>
                <w:spacing w:val="11"/>
                <w:sz w:val="20"/>
                <w:szCs w:val="20"/>
                <w:highlight w:val="none"/>
              </w:rPr>
              <w:t>) 监理人对承包人提交的工程量报表进行复核，以确定实际完成的工程量。</w:t>
            </w:r>
            <w:r>
              <w:rPr>
                <w:rFonts w:ascii="宋体" w:hAnsi="宋体" w:eastAsia="宋体" w:cs="宋体"/>
                <w:sz w:val="20"/>
                <w:szCs w:val="20"/>
                <w:highlight w:val="none"/>
              </w:rPr>
              <w:t xml:space="preserve"> </w:t>
            </w:r>
            <w:r>
              <w:rPr>
                <w:rFonts w:ascii="宋体" w:hAnsi="宋体" w:eastAsia="宋体" w:cs="宋体"/>
                <w:spacing w:val="10"/>
                <w:sz w:val="20"/>
                <w:szCs w:val="20"/>
                <w:highlight w:val="none"/>
              </w:rPr>
              <w:t>对数量有异</w:t>
            </w:r>
            <w:r>
              <w:rPr>
                <w:rFonts w:ascii="宋体" w:hAnsi="宋体" w:eastAsia="宋体" w:cs="宋体"/>
                <w:spacing w:val="5"/>
                <w:sz w:val="20"/>
                <w:szCs w:val="20"/>
                <w:highlight w:val="none"/>
              </w:rPr>
              <w:t xml:space="preserve">议的，可要求承包人按第 </w:t>
            </w:r>
            <w:r>
              <w:rPr>
                <w:rFonts w:ascii="Times New Roman" w:hAnsi="Times New Roman" w:eastAsia="Times New Roman" w:cs="Times New Roman"/>
                <w:spacing w:val="5"/>
                <w:sz w:val="20"/>
                <w:szCs w:val="20"/>
                <w:highlight w:val="none"/>
              </w:rPr>
              <w:t xml:space="preserve">8.2 </w:t>
            </w:r>
            <w:r>
              <w:rPr>
                <w:rFonts w:ascii="宋体" w:hAnsi="宋体" w:eastAsia="宋体" w:cs="宋体"/>
                <w:spacing w:val="5"/>
                <w:sz w:val="20"/>
                <w:szCs w:val="20"/>
                <w:highlight w:val="none"/>
              </w:rPr>
              <w:t>款约定进行共同复核和抽样复测。承包人</w:t>
            </w:r>
            <w:r>
              <w:rPr>
                <w:rFonts w:ascii="宋体" w:hAnsi="宋体" w:eastAsia="宋体" w:cs="宋体"/>
                <w:spacing w:val="14"/>
                <w:sz w:val="20"/>
                <w:szCs w:val="20"/>
                <w:highlight w:val="none"/>
              </w:rPr>
              <w:t>应</w:t>
            </w:r>
            <w:r>
              <w:rPr>
                <w:rFonts w:ascii="宋体" w:hAnsi="宋体" w:eastAsia="宋体" w:cs="宋体"/>
                <w:spacing w:val="12"/>
                <w:sz w:val="20"/>
                <w:szCs w:val="20"/>
                <w:highlight w:val="none"/>
              </w:rPr>
              <w:t>协助监理人进行复核并按监理人要求提供补充计量资料。承包人未按监理人要</w:t>
            </w:r>
            <w:r>
              <w:rPr>
                <w:rFonts w:ascii="宋体" w:hAnsi="宋体" w:eastAsia="宋体" w:cs="宋体"/>
                <w:spacing w:val="18"/>
                <w:sz w:val="20"/>
                <w:szCs w:val="20"/>
                <w:highlight w:val="none"/>
              </w:rPr>
              <w:t>求</w:t>
            </w:r>
            <w:r>
              <w:rPr>
                <w:rFonts w:ascii="宋体" w:hAnsi="宋体" w:eastAsia="宋体" w:cs="宋体"/>
                <w:spacing w:val="13"/>
                <w:sz w:val="20"/>
                <w:szCs w:val="20"/>
                <w:highlight w:val="none"/>
              </w:rPr>
              <w:t>参</w:t>
            </w:r>
            <w:r>
              <w:rPr>
                <w:rFonts w:ascii="宋体" w:hAnsi="宋体" w:eastAsia="宋体" w:cs="宋体"/>
                <w:spacing w:val="9"/>
                <w:sz w:val="20"/>
                <w:szCs w:val="20"/>
                <w:highlight w:val="none"/>
              </w:rPr>
              <w:t>加复核，监理人复核或修正的工程量视为承包人实际完成的工程量。</w:t>
            </w:r>
          </w:p>
          <w:p w14:paraId="31C156A6">
            <w:pPr>
              <w:spacing w:before="2" w:line="369" w:lineRule="auto"/>
              <w:ind w:left="108" w:right="104" w:firstLine="219"/>
              <w:rPr>
                <w:rFonts w:ascii="宋体" w:hAnsi="宋体" w:eastAsia="宋体" w:cs="宋体"/>
                <w:sz w:val="20"/>
                <w:szCs w:val="20"/>
                <w:highlight w:val="none"/>
              </w:rPr>
            </w:pPr>
            <w:r>
              <w:rPr>
                <w:rFonts w:ascii="宋体" w:hAnsi="宋体" w:eastAsia="宋体" w:cs="宋体"/>
                <w:spacing w:val="16"/>
                <w:sz w:val="20"/>
                <w:szCs w:val="20"/>
                <w:highlight w:val="none"/>
              </w:rPr>
              <w:t>(</w:t>
            </w:r>
            <w:r>
              <w:rPr>
                <w:rFonts w:ascii="Times New Roman" w:hAnsi="Times New Roman" w:eastAsia="Times New Roman" w:cs="Times New Roman"/>
                <w:spacing w:val="11"/>
                <w:sz w:val="20"/>
                <w:szCs w:val="20"/>
                <w:highlight w:val="none"/>
              </w:rPr>
              <w:t>4</w:t>
            </w:r>
            <w:r>
              <w:rPr>
                <w:rFonts w:ascii="宋体" w:hAnsi="宋体" w:eastAsia="宋体" w:cs="宋体"/>
                <w:spacing w:val="11"/>
                <w:sz w:val="20"/>
                <w:szCs w:val="20"/>
                <w:highlight w:val="none"/>
              </w:rPr>
              <w:t>) 监理人认为有必要时，可通知承包人共同进行联合测量、计量，承包人应</w:t>
            </w:r>
            <w:r>
              <w:rPr>
                <w:rFonts w:ascii="宋体" w:hAnsi="宋体" w:eastAsia="宋体" w:cs="宋体"/>
                <w:spacing w:val="6"/>
                <w:sz w:val="20"/>
                <w:szCs w:val="20"/>
                <w:highlight w:val="none"/>
              </w:rPr>
              <w:t>遵照执行。</w:t>
            </w:r>
          </w:p>
          <w:p w14:paraId="313C2343">
            <w:pPr>
              <w:spacing w:line="369" w:lineRule="auto"/>
              <w:ind w:left="108" w:right="102" w:firstLine="219"/>
              <w:rPr>
                <w:rFonts w:ascii="宋体" w:hAnsi="宋体" w:eastAsia="宋体" w:cs="宋体"/>
                <w:sz w:val="20"/>
                <w:szCs w:val="20"/>
                <w:highlight w:val="none"/>
              </w:rPr>
            </w:pPr>
            <w:r>
              <w:rPr>
                <w:rFonts w:ascii="宋体" w:hAnsi="宋体" w:eastAsia="宋体" w:cs="宋体"/>
                <w:spacing w:val="16"/>
                <w:sz w:val="20"/>
                <w:szCs w:val="20"/>
                <w:highlight w:val="none"/>
              </w:rPr>
              <w:t>(</w:t>
            </w:r>
            <w:r>
              <w:rPr>
                <w:rFonts w:ascii="Times New Roman" w:hAnsi="Times New Roman" w:eastAsia="Times New Roman" w:cs="Times New Roman"/>
                <w:spacing w:val="11"/>
                <w:sz w:val="20"/>
                <w:szCs w:val="20"/>
                <w:highlight w:val="none"/>
              </w:rPr>
              <w:t>5</w:t>
            </w:r>
            <w:r>
              <w:rPr>
                <w:rFonts w:ascii="宋体" w:hAnsi="宋体" w:eastAsia="宋体" w:cs="宋体"/>
                <w:spacing w:val="11"/>
                <w:sz w:val="20"/>
                <w:szCs w:val="20"/>
                <w:highlight w:val="none"/>
              </w:rPr>
              <w:t>) 承包人完成工程量清单中每个子目的工程量后，监理人应要求承包人派员</w:t>
            </w:r>
            <w:r>
              <w:rPr>
                <w:rFonts w:ascii="宋体" w:hAnsi="宋体" w:eastAsia="宋体" w:cs="宋体"/>
                <w:spacing w:val="9"/>
                <w:sz w:val="20"/>
                <w:szCs w:val="20"/>
                <w:highlight w:val="none"/>
              </w:rPr>
              <w:t>共同对每个子目的历次计量报表进行汇总， 以核实最终结算工程量。监理人可</w:t>
            </w:r>
            <w:r>
              <w:rPr>
                <w:rFonts w:ascii="宋体" w:hAnsi="宋体" w:eastAsia="宋体" w:cs="宋体"/>
                <w:spacing w:val="7"/>
                <w:sz w:val="20"/>
                <w:szCs w:val="20"/>
                <w:highlight w:val="none"/>
              </w:rPr>
              <w:t>要</w:t>
            </w:r>
            <w:r>
              <w:rPr>
                <w:rFonts w:ascii="宋体" w:hAnsi="宋体" w:eastAsia="宋体" w:cs="宋体"/>
                <w:spacing w:val="9"/>
                <w:sz w:val="20"/>
                <w:szCs w:val="20"/>
                <w:highlight w:val="none"/>
              </w:rPr>
              <w:t>求承包人提供补充计量资料， 以确定最后一次进度付款的准确工程量。承包人</w:t>
            </w:r>
            <w:r>
              <w:rPr>
                <w:rFonts w:ascii="宋体" w:hAnsi="宋体" w:eastAsia="宋体" w:cs="宋体"/>
                <w:spacing w:val="7"/>
                <w:sz w:val="20"/>
                <w:szCs w:val="20"/>
                <w:highlight w:val="none"/>
              </w:rPr>
              <w:t>未</w:t>
            </w:r>
            <w:r>
              <w:rPr>
                <w:rFonts w:ascii="宋体" w:hAnsi="宋体" w:eastAsia="宋体" w:cs="宋体"/>
                <w:spacing w:val="14"/>
                <w:sz w:val="20"/>
                <w:szCs w:val="20"/>
                <w:highlight w:val="none"/>
              </w:rPr>
              <w:t>按</w:t>
            </w:r>
            <w:r>
              <w:rPr>
                <w:rFonts w:ascii="宋体" w:hAnsi="宋体" w:eastAsia="宋体" w:cs="宋体"/>
                <w:spacing w:val="12"/>
                <w:sz w:val="20"/>
                <w:szCs w:val="20"/>
                <w:highlight w:val="none"/>
              </w:rPr>
              <w:t>监理人要求派员参加的，监理人最终核实的工程量视为承包人完成该子目的准</w:t>
            </w:r>
            <w:r>
              <w:rPr>
                <w:rFonts w:ascii="宋体" w:hAnsi="宋体" w:eastAsia="宋体" w:cs="宋体"/>
                <w:spacing w:val="6"/>
                <w:sz w:val="20"/>
                <w:szCs w:val="20"/>
                <w:highlight w:val="none"/>
              </w:rPr>
              <w:t>确工程量。</w:t>
            </w:r>
          </w:p>
          <w:p w14:paraId="09AB1703">
            <w:pPr>
              <w:spacing w:line="369" w:lineRule="auto"/>
              <w:ind w:left="108" w:right="102" w:firstLine="219"/>
              <w:rPr>
                <w:rFonts w:ascii="宋体" w:hAnsi="宋体" w:eastAsia="宋体" w:cs="宋体"/>
                <w:sz w:val="20"/>
                <w:szCs w:val="20"/>
                <w:highlight w:val="none"/>
              </w:rPr>
            </w:pPr>
            <w:r>
              <w:rPr>
                <w:rFonts w:ascii="宋体" w:hAnsi="宋体" w:eastAsia="宋体" w:cs="宋体"/>
                <w:spacing w:val="18"/>
                <w:sz w:val="20"/>
                <w:szCs w:val="20"/>
                <w:highlight w:val="none"/>
              </w:rPr>
              <w:t>(</w:t>
            </w:r>
            <w:r>
              <w:rPr>
                <w:rFonts w:ascii="Times New Roman" w:hAnsi="Times New Roman" w:eastAsia="Times New Roman" w:cs="Times New Roman"/>
                <w:spacing w:val="9"/>
                <w:sz w:val="20"/>
                <w:szCs w:val="20"/>
                <w:highlight w:val="none"/>
              </w:rPr>
              <w:t>6</w:t>
            </w:r>
            <w:r>
              <w:rPr>
                <w:rFonts w:ascii="宋体" w:hAnsi="宋体" w:eastAsia="宋体" w:cs="宋体"/>
                <w:spacing w:val="9"/>
                <w:sz w:val="20"/>
                <w:szCs w:val="20"/>
                <w:highlight w:val="none"/>
              </w:rPr>
              <w:t xml:space="preserve">) 监理人应在收到承包人提交的工程量报表后的 </w:t>
            </w:r>
            <w:r>
              <w:rPr>
                <w:rFonts w:ascii="Times New Roman" w:hAnsi="Times New Roman" w:eastAsia="Times New Roman" w:cs="Times New Roman"/>
                <w:spacing w:val="9"/>
                <w:sz w:val="20"/>
                <w:szCs w:val="20"/>
                <w:highlight w:val="none"/>
              </w:rPr>
              <w:t xml:space="preserve">7 </w:t>
            </w:r>
            <w:r>
              <w:rPr>
                <w:rFonts w:ascii="宋体" w:hAnsi="宋体" w:eastAsia="宋体" w:cs="宋体"/>
                <w:spacing w:val="9"/>
                <w:sz w:val="20"/>
                <w:szCs w:val="20"/>
                <w:highlight w:val="none"/>
              </w:rPr>
              <w:t>天内进行复核，监理人未</w:t>
            </w:r>
            <w:r>
              <w:rPr>
                <w:rFonts w:ascii="宋体" w:hAnsi="宋体" w:eastAsia="宋体" w:cs="宋体"/>
                <w:spacing w:val="14"/>
                <w:sz w:val="20"/>
                <w:szCs w:val="20"/>
                <w:highlight w:val="none"/>
              </w:rPr>
              <w:t>在</w:t>
            </w:r>
            <w:r>
              <w:rPr>
                <w:rFonts w:ascii="宋体" w:hAnsi="宋体" w:eastAsia="宋体" w:cs="宋体"/>
                <w:spacing w:val="12"/>
                <w:sz w:val="20"/>
                <w:szCs w:val="20"/>
                <w:highlight w:val="none"/>
              </w:rPr>
              <w:t>约定时间内复核的，承包人提交的工程量报表中的工程量视为承包人实际完成</w:t>
            </w:r>
            <w:r>
              <w:rPr>
                <w:rFonts w:ascii="宋体" w:hAnsi="宋体" w:eastAsia="宋体" w:cs="宋体"/>
                <w:spacing w:val="16"/>
                <w:sz w:val="20"/>
                <w:szCs w:val="20"/>
                <w:highlight w:val="none"/>
              </w:rPr>
              <w:t>的</w:t>
            </w:r>
            <w:r>
              <w:rPr>
                <w:rFonts w:ascii="宋体" w:hAnsi="宋体" w:eastAsia="宋体" w:cs="宋体"/>
                <w:spacing w:val="9"/>
                <w:sz w:val="20"/>
                <w:szCs w:val="20"/>
                <w:highlight w:val="none"/>
              </w:rPr>
              <w:t>工</w:t>
            </w:r>
            <w:r>
              <w:rPr>
                <w:rFonts w:ascii="宋体" w:hAnsi="宋体" w:eastAsia="宋体" w:cs="宋体"/>
                <w:spacing w:val="8"/>
                <w:sz w:val="20"/>
                <w:szCs w:val="20"/>
                <w:highlight w:val="none"/>
              </w:rPr>
              <w:t>程量，据此计算工程价款。</w:t>
            </w:r>
          </w:p>
          <w:p w14:paraId="3639F8B2">
            <w:pPr>
              <w:spacing w:line="401" w:lineRule="exact"/>
              <w:ind w:left="328"/>
              <w:rPr>
                <w:rFonts w:ascii="宋体" w:hAnsi="宋体" w:eastAsia="宋体" w:cs="宋体"/>
                <w:spacing w:val="22"/>
                <w:sz w:val="20"/>
                <w:szCs w:val="20"/>
                <w:highlight w:val="none"/>
              </w:rPr>
            </w:pPr>
            <w:r>
              <w:rPr>
                <w:rFonts w:ascii="宋体" w:hAnsi="宋体" w:eastAsia="宋体" w:cs="宋体"/>
                <w:spacing w:val="16"/>
                <w:position w:val="15"/>
                <w:sz w:val="20"/>
                <w:szCs w:val="20"/>
                <w:highlight w:val="none"/>
              </w:rPr>
              <w:t>(</w:t>
            </w:r>
            <w:r>
              <w:rPr>
                <w:rFonts w:ascii="Times New Roman" w:hAnsi="Times New Roman" w:eastAsia="Times New Roman" w:cs="Times New Roman"/>
                <w:spacing w:val="11"/>
                <w:position w:val="15"/>
                <w:sz w:val="20"/>
                <w:szCs w:val="20"/>
                <w:highlight w:val="none"/>
              </w:rPr>
              <w:t>7</w:t>
            </w:r>
            <w:r>
              <w:rPr>
                <w:rFonts w:ascii="宋体" w:hAnsi="宋体" w:eastAsia="宋体" w:cs="宋体"/>
                <w:spacing w:val="11"/>
                <w:position w:val="15"/>
                <w:sz w:val="20"/>
                <w:szCs w:val="20"/>
                <w:highlight w:val="none"/>
              </w:rPr>
              <w:t>) 承包人未在已标价工程量清单中填入单价或总额价的工程子目，将被认为</w:t>
            </w:r>
            <w:r>
              <w:rPr>
                <w:rFonts w:hint="eastAsia" w:ascii="宋体" w:hAnsi="宋体" w:eastAsia="宋体" w:cs="宋体"/>
                <w:spacing w:val="11"/>
                <w:position w:val="15"/>
                <w:sz w:val="20"/>
                <w:szCs w:val="20"/>
                <w:highlight w:val="none"/>
              </w:rPr>
              <w:t>其已包含在本合同的其他子目的单价和总额价中，发包人将不另行支付。</w:t>
            </w:r>
          </w:p>
        </w:tc>
      </w:tr>
      <w:tr w14:paraId="44E977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534" w:type="dxa"/>
            <w:tcBorders>
              <w:left w:val="single" w:color="000000" w:sz="6" w:space="0"/>
            </w:tcBorders>
            <w:vAlign w:val="top"/>
          </w:tcPr>
          <w:p w14:paraId="42E95653">
            <w:pPr>
              <w:spacing w:line="253" w:lineRule="auto"/>
              <w:rPr>
                <w:rFonts w:ascii="Arial"/>
                <w:sz w:val="21"/>
                <w:highlight w:val="none"/>
              </w:rPr>
            </w:pPr>
          </w:p>
          <w:p w14:paraId="3F587960">
            <w:pPr>
              <w:spacing w:line="254" w:lineRule="auto"/>
              <w:rPr>
                <w:rFonts w:ascii="Arial"/>
                <w:sz w:val="21"/>
                <w:highlight w:val="none"/>
              </w:rPr>
            </w:pPr>
          </w:p>
          <w:p w14:paraId="5E9251A5">
            <w:pPr>
              <w:spacing w:line="254" w:lineRule="auto"/>
              <w:rPr>
                <w:rFonts w:ascii="Arial"/>
                <w:sz w:val="21"/>
                <w:highlight w:val="none"/>
              </w:rPr>
            </w:pPr>
          </w:p>
          <w:p w14:paraId="5108C9D6">
            <w:pPr>
              <w:spacing w:line="254" w:lineRule="auto"/>
              <w:rPr>
                <w:rFonts w:ascii="Arial"/>
                <w:sz w:val="21"/>
                <w:highlight w:val="none"/>
              </w:rPr>
            </w:pPr>
          </w:p>
          <w:p w14:paraId="299D28D6">
            <w:pPr>
              <w:spacing w:line="254" w:lineRule="auto"/>
              <w:rPr>
                <w:rFonts w:ascii="Arial"/>
                <w:sz w:val="21"/>
                <w:highlight w:val="none"/>
              </w:rPr>
            </w:pPr>
          </w:p>
          <w:p w14:paraId="19C5EA44">
            <w:pPr>
              <w:spacing w:before="57" w:line="195" w:lineRule="auto"/>
              <w:ind w:left="160" w:leftChars="0"/>
              <w:rPr>
                <w:rFonts w:ascii="Times New Roman" w:hAnsi="Times New Roman" w:eastAsia="Times New Roman" w:cs="Times New Roman"/>
                <w:spacing w:val="1"/>
                <w:sz w:val="20"/>
                <w:szCs w:val="20"/>
                <w:highlight w:val="none"/>
              </w:rPr>
            </w:pPr>
            <w:r>
              <w:rPr>
                <w:rFonts w:ascii="Times New Roman" w:hAnsi="Times New Roman" w:eastAsia="Times New Roman" w:cs="Times New Roman"/>
                <w:spacing w:val="1"/>
                <w:sz w:val="20"/>
                <w:szCs w:val="20"/>
                <w:highlight w:val="none"/>
              </w:rPr>
              <w:t>3</w:t>
            </w:r>
            <w:r>
              <w:rPr>
                <w:rFonts w:hint="eastAsia" w:ascii="Times New Roman" w:hAnsi="Times New Roman" w:eastAsia="宋体" w:cs="Times New Roman"/>
                <w:sz w:val="20"/>
                <w:szCs w:val="20"/>
                <w:highlight w:val="none"/>
                <w:lang w:val="en-US" w:eastAsia="zh-CN"/>
              </w:rPr>
              <w:t>3</w:t>
            </w:r>
          </w:p>
        </w:tc>
        <w:tc>
          <w:tcPr>
            <w:tcW w:w="1004" w:type="dxa"/>
            <w:vAlign w:val="top"/>
          </w:tcPr>
          <w:p w14:paraId="2AC247D5">
            <w:pPr>
              <w:spacing w:line="253" w:lineRule="auto"/>
              <w:rPr>
                <w:rFonts w:ascii="Arial"/>
                <w:sz w:val="21"/>
                <w:highlight w:val="none"/>
              </w:rPr>
            </w:pPr>
          </w:p>
          <w:p w14:paraId="3CE6CCDF">
            <w:pPr>
              <w:spacing w:line="254" w:lineRule="auto"/>
              <w:rPr>
                <w:rFonts w:ascii="Arial"/>
                <w:sz w:val="21"/>
                <w:highlight w:val="none"/>
              </w:rPr>
            </w:pPr>
          </w:p>
          <w:p w14:paraId="59688BD1">
            <w:pPr>
              <w:spacing w:line="254" w:lineRule="auto"/>
              <w:rPr>
                <w:rFonts w:ascii="Arial"/>
                <w:sz w:val="21"/>
                <w:highlight w:val="none"/>
              </w:rPr>
            </w:pPr>
          </w:p>
          <w:p w14:paraId="2E7C871F">
            <w:pPr>
              <w:spacing w:line="254" w:lineRule="auto"/>
              <w:rPr>
                <w:rFonts w:ascii="Arial"/>
                <w:sz w:val="21"/>
                <w:highlight w:val="none"/>
              </w:rPr>
            </w:pPr>
          </w:p>
          <w:p w14:paraId="09B59BF7">
            <w:pPr>
              <w:spacing w:line="254" w:lineRule="auto"/>
              <w:rPr>
                <w:rFonts w:ascii="Arial"/>
                <w:sz w:val="21"/>
                <w:highlight w:val="none"/>
              </w:rPr>
            </w:pPr>
          </w:p>
          <w:p w14:paraId="44CD239E">
            <w:pPr>
              <w:spacing w:before="57" w:line="195" w:lineRule="auto"/>
              <w:ind w:left="309" w:leftChars="0"/>
              <w:rPr>
                <w:rFonts w:ascii="Times New Roman" w:hAnsi="Times New Roman" w:eastAsia="Times New Roman" w:cs="Times New Roman"/>
                <w:spacing w:val="-3"/>
                <w:sz w:val="20"/>
                <w:szCs w:val="20"/>
                <w:highlight w:val="none"/>
              </w:rPr>
            </w:pPr>
            <w:r>
              <w:rPr>
                <w:rFonts w:ascii="Times New Roman" w:hAnsi="Times New Roman" w:eastAsia="Times New Roman" w:cs="Times New Roman"/>
                <w:spacing w:val="-9"/>
                <w:sz w:val="20"/>
                <w:szCs w:val="20"/>
                <w:highlight w:val="none"/>
              </w:rPr>
              <w:t>1</w:t>
            </w:r>
            <w:r>
              <w:rPr>
                <w:rFonts w:ascii="Times New Roman" w:hAnsi="Times New Roman" w:eastAsia="Times New Roman" w:cs="Times New Roman"/>
                <w:spacing w:val="-6"/>
                <w:sz w:val="20"/>
                <w:szCs w:val="20"/>
                <w:highlight w:val="none"/>
              </w:rPr>
              <w:t>7. 1.5</w:t>
            </w:r>
          </w:p>
        </w:tc>
        <w:tc>
          <w:tcPr>
            <w:tcW w:w="7897" w:type="dxa"/>
            <w:tcBorders>
              <w:right w:val="single" w:color="000000" w:sz="6" w:space="0"/>
            </w:tcBorders>
            <w:vAlign w:val="top"/>
          </w:tcPr>
          <w:p w14:paraId="6F6AC6BF">
            <w:pPr>
              <w:spacing w:before="141" w:line="226" w:lineRule="auto"/>
              <w:ind w:left="318"/>
              <w:rPr>
                <w:rFonts w:ascii="宋体" w:hAnsi="宋体" w:eastAsia="宋体" w:cs="宋体"/>
                <w:sz w:val="20"/>
                <w:szCs w:val="20"/>
                <w:highlight w:val="none"/>
              </w:rPr>
            </w:pPr>
            <w:r>
              <w:rPr>
                <w:rFonts w:ascii="宋体" w:hAnsi="宋体" w:eastAsia="宋体" w:cs="宋体"/>
                <w:spacing w:val="18"/>
                <w:sz w:val="20"/>
                <w:szCs w:val="20"/>
                <w:highlight w:val="none"/>
              </w:rPr>
              <w:t>本</w:t>
            </w:r>
            <w:r>
              <w:rPr>
                <w:rFonts w:ascii="宋体" w:hAnsi="宋体" w:eastAsia="宋体" w:cs="宋体"/>
                <w:spacing w:val="9"/>
                <w:sz w:val="20"/>
                <w:szCs w:val="20"/>
                <w:highlight w:val="none"/>
              </w:rPr>
              <w:t>项目工程量清单中总价子目的分解和计量支付原则补充以下约定：</w:t>
            </w:r>
          </w:p>
          <w:p w14:paraId="0B66C528">
            <w:pPr>
              <w:spacing w:before="155" w:line="369" w:lineRule="auto"/>
              <w:ind w:left="109" w:right="104" w:firstLine="218"/>
              <w:rPr>
                <w:rFonts w:ascii="宋体" w:hAnsi="宋体" w:eastAsia="宋体" w:cs="宋体"/>
                <w:sz w:val="20"/>
                <w:szCs w:val="20"/>
                <w:highlight w:val="none"/>
              </w:rPr>
            </w:pPr>
            <w:r>
              <w:rPr>
                <w:rFonts w:ascii="宋体" w:hAnsi="宋体" w:eastAsia="宋体" w:cs="宋体"/>
                <w:spacing w:val="16"/>
                <w:sz w:val="20"/>
                <w:szCs w:val="20"/>
                <w:highlight w:val="none"/>
              </w:rPr>
              <w:t>(</w:t>
            </w:r>
            <w:r>
              <w:rPr>
                <w:rFonts w:ascii="Times New Roman" w:hAnsi="Times New Roman" w:eastAsia="Times New Roman" w:cs="Times New Roman"/>
                <w:spacing w:val="11"/>
                <w:sz w:val="20"/>
                <w:szCs w:val="20"/>
                <w:highlight w:val="none"/>
              </w:rPr>
              <w:t>1</w:t>
            </w:r>
            <w:r>
              <w:rPr>
                <w:rFonts w:ascii="宋体" w:hAnsi="宋体" w:eastAsia="宋体" w:cs="宋体"/>
                <w:spacing w:val="11"/>
                <w:sz w:val="20"/>
                <w:szCs w:val="20"/>
                <w:highlight w:val="none"/>
              </w:rPr>
              <w:t>) 工程一切险及第三方责任险在首次计量支付前必须按要求投保完成，并在</w:t>
            </w:r>
            <w:r>
              <w:rPr>
                <w:rFonts w:ascii="宋体" w:hAnsi="宋体" w:eastAsia="宋体" w:cs="宋体"/>
                <w:spacing w:val="18"/>
                <w:sz w:val="20"/>
                <w:szCs w:val="20"/>
                <w:highlight w:val="none"/>
              </w:rPr>
              <w:t>第</w:t>
            </w:r>
            <w:r>
              <w:rPr>
                <w:rFonts w:ascii="宋体" w:hAnsi="宋体" w:eastAsia="宋体" w:cs="宋体"/>
                <w:spacing w:val="14"/>
                <w:sz w:val="20"/>
                <w:szCs w:val="20"/>
                <w:highlight w:val="none"/>
              </w:rPr>
              <w:t>一</w:t>
            </w:r>
            <w:r>
              <w:rPr>
                <w:rFonts w:ascii="宋体" w:hAnsi="宋体" w:eastAsia="宋体" w:cs="宋体"/>
                <w:spacing w:val="9"/>
                <w:sz w:val="20"/>
                <w:szCs w:val="20"/>
                <w:highlight w:val="none"/>
              </w:rPr>
              <w:t>次支付时将保险单及发票原件送至发包人，并在计量支付凭证中附复印件。</w:t>
            </w:r>
          </w:p>
          <w:p w14:paraId="733CE18C">
            <w:pPr>
              <w:spacing w:before="141" w:line="226" w:lineRule="auto"/>
              <w:ind w:left="318"/>
              <w:rPr>
                <w:rFonts w:ascii="宋体" w:hAnsi="宋体" w:eastAsia="宋体" w:cs="宋体"/>
                <w:spacing w:val="18"/>
                <w:sz w:val="20"/>
                <w:szCs w:val="20"/>
                <w:highlight w:val="none"/>
              </w:rPr>
            </w:pPr>
            <w:r>
              <w:rPr>
                <w:rFonts w:ascii="宋体" w:hAnsi="宋体" w:eastAsia="宋体" w:cs="宋体"/>
                <w:spacing w:val="18"/>
                <w:sz w:val="20"/>
                <w:szCs w:val="20"/>
                <w:highlight w:val="none"/>
              </w:rPr>
              <w:t>(2) 竣工文件在完成编制，上交给发包人后，经发包人验收合格后，由发包人一次性支付。</w:t>
            </w:r>
          </w:p>
          <w:p w14:paraId="0E072FEB">
            <w:pPr>
              <w:spacing w:before="141" w:line="226" w:lineRule="auto"/>
              <w:ind w:left="318"/>
              <w:rPr>
                <w:rFonts w:ascii="宋体" w:hAnsi="宋体" w:eastAsia="宋体" w:cs="宋体"/>
                <w:spacing w:val="18"/>
                <w:sz w:val="20"/>
                <w:szCs w:val="20"/>
                <w:highlight w:val="none"/>
              </w:rPr>
            </w:pPr>
            <w:r>
              <w:rPr>
                <w:rFonts w:ascii="宋体" w:hAnsi="宋体" w:eastAsia="宋体" w:cs="宋体"/>
                <w:spacing w:val="18"/>
                <w:sz w:val="20"/>
                <w:szCs w:val="20"/>
                <w:highlight w:val="none"/>
              </w:rPr>
              <w:t>(3) 临时占地、临时供电、电信设施、工地建设及拌和站安装与拆除在首次计量时支付 50% ，在工程交工验收前再支付 30% ，另 20%在交工验收后支付。(4) 施工环保费、安全生产费用、交通封闭费、供水与排污设施及临时道路修建均按工程量完成比例进行计量支付。</w:t>
            </w:r>
          </w:p>
          <w:p w14:paraId="01EF674E">
            <w:pPr>
              <w:spacing w:before="141" w:line="226" w:lineRule="auto"/>
              <w:ind w:left="318"/>
              <w:rPr>
                <w:rFonts w:ascii="宋体" w:hAnsi="宋体" w:eastAsia="宋体" w:cs="宋体"/>
                <w:spacing w:val="22"/>
                <w:sz w:val="20"/>
                <w:szCs w:val="20"/>
                <w:highlight w:val="none"/>
              </w:rPr>
            </w:pPr>
            <w:r>
              <w:rPr>
                <w:rFonts w:ascii="宋体" w:hAnsi="宋体" w:eastAsia="宋体" w:cs="宋体"/>
                <w:spacing w:val="18"/>
                <w:sz w:val="20"/>
                <w:szCs w:val="20"/>
                <w:highlight w:val="none"/>
              </w:rPr>
              <w:t>(5) 安全生产费用需报送材料：安全生产费用需上报材料二份，总监办一份，</w:t>
            </w:r>
            <w:r>
              <w:rPr>
                <w:rFonts w:ascii="宋体" w:hAnsi="宋体" w:eastAsia="宋体" w:cs="宋体"/>
                <w:spacing w:val="7"/>
                <w:sz w:val="20"/>
                <w:szCs w:val="20"/>
                <w:highlight w:val="none"/>
              </w:rPr>
              <w:t>发</w:t>
            </w:r>
            <w:r>
              <w:rPr>
                <w:rFonts w:ascii="宋体" w:hAnsi="宋体" w:eastAsia="宋体" w:cs="宋体"/>
                <w:spacing w:val="6"/>
                <w:sz w:val="20"/>
                <w:szCs w:val="20"/>
                <w:highlight w:val="none"/>
              </w:rPr>
              <w:t>包人一份。</w:t>
            </w:r>
          </w:p>
        </w:tc>
      </w:tr>
      <w:tr w14:paraId="5C0075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534" w:type="dxa"/>
            <w:tcBorders>
              <w:left w:val="single" w:color="000000" w:sz="6" w:space="0"/>
            </w:tcBorders>
            <w:vAlign w:val="top"/>
          </w:tcPr>
          <w:p w14:paraId="0F55D4EE">
            <w:pPr>
              <w:spacing w:before="130" w:line="195" w:lineRule="auto"/>
              <w:ind w:left="160" w:leftChars="0"/>
              <w:rPr>
                <w:rFonts w:ascii="Times New Roman" w:hAnsi="Times New Roman" w:eastAsia="Times New Roman" w:cs="Times New Roman"/>
                <w:spacing w:val="1"/>
                <w:sz w:val="20"/>
                <w:szCs w:val="20"/>
                <w:highlight w:val="none"/>
              </w:rPr>
            </w:pPr>
            <w:r>
              <w:rPr>
                <w:rFonts w:ascii="Times New Roman" w:hAnsi="Times New Roman" w:eastAsia="Times New Roman" w:cs="Times New Roman"/>
                <w:spacing w:val="1"/>
                <w:sz w:val="20"/>
                <w:szCs w:val="20"/>
                <w:highlight w:val="none"/>
              </w:rPr>
              <w:t>3</w:t>
            </w:r>
            <w:r>
              <w:rPr>
                <w:rFonts w:hint="eastAsia" w:ascii="Times New Roman" w:hAnsi="Times New Roman" w:eastAsia="宋体" w:cs="Times New Roman"/>
                <w:sz w:val="20"/>
                <w:szCs w:val="20"/>
                <w:highlight w:val="none"/>
                <w:lang w:val="en-US" w:eastAsia="zh-CN"/>
              </w:rPr>
              <w:t>4</w:t>
            </w:r>
          </w:p>
        </w:tc>
        <w:tc>
          <w:tcPr>
            <w:tcW w:w="1004" w:type="dxa"/>
            <w:vAlign w:val="top"/>
          </w:tcPr>
          <w:p w14:paraId="0C64465A">
            <w:pPr>
              <w:spacing w:before="92" w:line="231" w:lineRule="auto"/>
              <w:ind w:left="122" w:leftChars="0"/>
              <w:rPr>
                <w:rFonts w:ascii="Times New Roman" w:hAnsi="Times New Roman" w:eastAsia="Times New Roman" w:cs="Times New Roman"/>
                <w:spacing w:val="-9"/>
                <w:sz w:val="20"/>
                <w:szCs w:val="20"/>
                <w:highlight w:val="none"/>
              </w:rPr>
            </w:pPr>
            <w:r>
              <w:rPr>
                <w:rFonts w:ascii="Times New Roman" w:hAnsi="Times New Roman" w:eastAsia="Times New Roman" w:cs="Times New Roman"/>
                <w:spacing w:val="-3"/>
                <w:sz w:val="20"/>
                <w:szCs w:val="20"/>
                <w:highlight w:val="none"/>
              </w:rPr>
              <w:t xml:space="preserve">17.2. 1 </w:t>
            </w:r>
            <w:r>
              <w:rPr>
                <w:rFonts w:ascii="宋体" w:hAnsi="宋体" w:eastAsia="宋体" w:cs="宋体"/>
                <w:spacing w:val="-3"/>
                <w:sz w:val="20"/>
                <w:szCs w:val="20"/>
                <w:highlight w:val="none"/>
              </w:rPr>
              <w:t>(</w:t>
            </w:r>
            <w:r>
              <w:rPr>
                <w:rFonts w:ascii="Times New Roman" w:hAnsi="Times New Roman" w:eastAsia="Times New Roman" w:cs="Times New Roman"/>
                <w:spacing w:val="-3"/>
                <w:sz w:val="20"/>
                <w:szCs w:val="20"/>
                <w:highlight w:val="none"/>
              </w:rPr>
              <w:t>1</w:t>
            </w:r>
            <w:r>
              <w:rPr>
                <w:rFonts w:ascii="宋体" w:hAnsi="宋体" w:eastAsia="宋体" w:cs="宋体"/>
                <w:spacing w:val="-2"/>
                <w:sz w:val="20"/>
                <w:szCs w:val="20"/>
                <w:highlight w:val="none"/>
              </w:rPr>
              <w:t>)</w:t>
            </w:r>
          </w:p>
        </w:tc>
        <w:tc>
          <w:tcPr>
            <w:tcW w:w="7897" w:type="dxa"/>
            <w:tcBorders>
              <w:right w:val="single" w:color="000000" w:sz="6" w:space="0"/>
            </w:tcBorders>
            <w:vAlign w:val="top"/>
          </w:tcPr>
          <w:p w14:paraId="0B2810E2">
            <w:pPr>
              <w:spacing w:before="100" w:line="280" w:lineRule="exact"/>
              <w:ind w:left="318" w:leftChars="0"/>
              <w:rPr>
                <w:rFonts w:ascii="宋体" w:hAnsi="宋体" w:eastAsia="宋体" w:cs="宋体"/>
                <w:spacing w:val="7"/>
                <w:sz w:val="20"/>
                <w:szCs w:val="20"/>
                <w:highlight w:val="none"/>
              </w:rPr>
            </w:pPr>
            <w:r>
              <w:rPr>
                <w:rFonts w:ascii="宋体" w:hAnsi="宋体" w:eastAsia="宋体" w:cs="宋体"/>
                <w:spacing w:val="8"/>
                <w:position w:val="1"/>
                <w:sz w:val="20"/>
                <w:szCs w:val="20"/>
                <w:highlight w:val="none"/>
              </w:rPr>
              <w:t>开工预付款</w:t>
            </w:r>
            <w:r>
              <w:rPr>
                <w:rFonts w:ascii="宋体" w:hAnsi="宋体" w:eastAsia="宋体" w:cs="宋体"/>
                <w:spacing w:val="5"/>
                <w:position w:val="1"/>
                <w:sz w:val="20"/>
                <w:szCs w:val="20"/>
                <w:highlight w:val="none"/>
              </w:rPr>
              <w:t>金</w:t>
            </w:r>
            <w:r>
              <w:rPr>
                <w:rFonts w:ascii="宋体" w:hAnsi="宋体" w:eastAsia="宋体" w:cs="宋体"/>
                <w:spacing w:val="4"/>
                <w:position w:val="1"/>
                <w:sz w:val="20"/>
                <w:szCs w:val="20"/>
                <w:highlight w:val="none"/>
              </w:rPr>
              <w:t xml:space="preserve">额，规定为：   </w:t>
            </w:r>
            <w:r>
              <w:rPr>
                <w:rFonts w:ascii="Times New Roman" w:hAnsi="Times New Roman" w:eastAsia="Times New Roman" w:cs="Times New Roman"/>
                <w:spacing w:val="4"/>
                <w:position w:val="1"/>
                <w:sz w:val="20"/>
                <w:szCs w:val="20"/>
                <w:highlight w:val="none"/>
              </w:rPr>
              <w:t>/    %</w:t>
            </w:r>
            <w:r>
              <w:rPr>
                <w:rFonts w:ascii="宋体" w:hAnsi="宋体" w:eastAsia="宋体" w:cs="宋体"/>
                <w:spacing w:val="4"/>
                <w:position w:val="1"/>
                <w:sz w:val="20"/>
                <w:szCs w:val="20"/>
                <w:highlight w:val="none"/>
              </w:rPr>
              <w:t>签约合同价 (不含暂列金额)</w:t>
            </w:r>
          </w:p>
        </w:tc>
      </w:tr>
      <w:tr w14:paraId="3748D0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534" w:type="dxa"/>
            <w:tcBorders>
              <w:left w:val="single" w:color="000000" w:sz="6" w:space="0"/>
            </w:tcBorders>
            <w:vAlign w:val="top"/>
          </w:tcPr>
          <w:p w14:paraId="0549E2F8">
            <w:pPr>
              <w:spacing w:before="148" w:line="195" w:lineRule="auto"/>
              <w:ind w:left="160" w:leftChars="0"/>
              <w:rPr>
                <w:rFonts w:ascii="Times New Roman" w:hAnsi="Times New Roman" w:eastAsia="Times New Roman" w:cs="Times New Roman"/>
                <w:spacing w:val="1"/>
                <w:sz w:val="20"/>
                <w:szCs w:val="20"/>
                <w:highlight w:val="none"/>
              </w:rPr>
            </w:pPr>
            <w:r>
              <w:rPr>
                <w:rFonts w:hint="eastAsia" w:ascii="Times New Roman" w:hAnsi="Times New Roman" w:eastAsia="宋体" w:cs="Times New Roman"/>
                <w:spacing w:val="1"/>
                <w:sz w:val="20"/>
                <w:szCs w:val="20"/>
                <w:highlight w:val="none"/>
                <w:lang w:val="en-US" w:eastAsia="zh-CN"/>
              </w:rPr>
              <w:t>35</w:t>
            </w:r>
          </w:p>
        </w:tc>
        <w:tc>
          <w:tcPr>
            <w:tcW w:w="1004" w:type="dxa"/>
            <w:vAlign w:val="top"/>
          </w:tcPr>
          <w:p w14:paraId="632C94DD">
            <w:pPr>
              <w:spacing w:before="111" w:line="231" w:lineRule="auto"/>
              <w:ind w:left="122" w:leftChars="0"/>
              <w:rPr>
                <w:rFonts w:ascii="Times New Roman" w:hAnsi="Times New Roman" w:eastAsia="Times New Roman" w:cs="Times New Roman"/>
                <w:spacing w:val="-9"/>
                <w:sz w:val="20"/>
                <w:szCs w:val="20"/>
                <w:highlight w:val="none"/>
              </w:rPr>
            </w:pPr>
            <w:r>
              <w:rPr>
                <w:rFonts w:ascii="Times New Roman" w:hAnsi="Times New Roman" w:eastAsia="Times New Roman" w:cs="Times New Roman"/>
                <w:spacing w:val="-3"/>
                <w:sz w:val="20"/>
                <w:szCs w:val="20"/>
                <w:highlight w:val="none"/>
              </w:rPr>
              <w:t xml:space="preserve">17.2. 1 </w:t>
            </w:r>
            <w:r>
              <w:rPr>
                <w:rFonts w:ascii="宋体" w:hAnsi="宋体" w:eastAsia="宋体" w:cs="宋体"/>
                <w:spacing w:val="-3"/>
                <w:sz w:val="20"/>
                <w:szCs w:val="20"/>
                <w:highlight w:val="none"/>
              </w:rPr>
              <w:t>(</w:t>
            </w:r>
            <w:r>
              <w:rPr>
                <w:rFonts w:ascii="Times New Roman" w:hAnsi="Times New Roman" w:eastAsia="Times New Roman" w:cs="Times New Roman"/>
                <w:spacing w:val="-3"/>
                <w:sz w:val="20"/>
                <w:szCs w:val="20"/>
                <w:highlight w:val="none"/>
              </w:rPr>
              <w:t>2</w:t>
            </w:r>
            <w:r>
              <w:rPr>
                <w:rFonts w:ascii="宋体" w:hAnsi="宋体" w:eastAsia="宋体" w:cs="宋体"/>
                <w:spacing w:val="-2"/>
                <w:sz w:val="20"/>
                <w:szCs w:val="20"/>
                <w:highlight w:val="none"/>
              </w:rPr>
              <w:t>)</w:t>
            </w:r>
          </w:p>
        </w:tc>
        <w:tc>
          <w:tcPr>
            <w:tcW w:w="7897" w:type="dxa"/>
            <w:tcBorders>
              <w:right w:val="single" w:color="000000" w:sz="6" w:space="0"/>
            </w:tcBorders>
            <w:vAlign w:val="top"/>
          </w:tcPr>
          <w:p w14:paraId="2F29E69F">
            <w:pPr>
              <w:spacing w:before="120" w:line="280" w:lineRule="exact"/>
              <w:ind w:left="318" w:leftChars="0"/>
              <w:rPr>
                <w:rFonts w:ascii="宋体" w:hAnsi="宋体" w:eastAsia="宋体" w:cs="宋体"/>
                <w:spacing w:val="7"/>
                <w:sz w:val="20"/>
                <w:szCs w:val="20"/>
                <w:highlight w:val="none"/>
              </w:rPr>
            </w:pPr>
            <w:r>
              <w:rPr>
                <w:rFonts w:ascii="宋体" w:hAnsi="宋体" w:eastAsia="宋体" w:cs="宋体"/>
                <w:spacing w:val="1"/>
                <w:position w:val="1"/>
                <w:sz w:val="20"/>
                <w:szCs w:val="20"/>
                <w:highlight w:val="none"/>
              </w:rPr>
              <w:t xml:space="preserve">材料、设备预付款比例，规定为：   </w:t>
            </w:r>
            <w:r>
              <w:rPr>
                <w:rFonts w:ascii="Times New Roman" w:hAnsi="Times New Roman" w:eastAsia="Times New Roman" w:cs="Times New Roman"/>
                <w:spacing w:val="1"/>
                <w:position w:val="1"/>
                <w:sz w:val="20"/>
                <w:szCs w:val="20"/>
                <w:highlight w:val="none"/>
              </w:rPr>
              <w:t xml:space="preserve">/    </w:t>
            </w:r>
            <w:r>
              <w:rPr>
                <w:rFonts w:ascii="宋体" w:hAnsi="宋体" w:eastAsia="宋体" w:cs="宋体"/>
                <w:spacing w:val="1"/>
                <w:position w:val="1"/>
                <w:sz w:val="20"/>
                <w:szCs w:val="20"/>
                <w:highlight w:val="none"/>
              </w:rPr>
              <w:t>等主要材料、设备单据所</w:t>
            </w:r>
            <w:r>
              <w:rPr>
                <w:rFonts w:ascii="宋体" w:hAnsi="宋体" w:eastAsia="宋体" w:cs="宋体"/>
                <w:position w:val="1"/>
                <w:sz w:val="20"/>
                <w:szCs w:val="20"/>
                <w:highlight w:val="none"/>
              </w:rPr>
              <w:t xml:space="preserve">列费用的  </w:t>
            </w:r>
            <w:r>
              <w:rPr>
                <w:rFonts w:ascii="Times New Roman" w:hAnsi="Times New Roman" w:eastAsia="Times New Roman" w:cs="Times New Roman"/>
                <w:position w:val="1"/>
                <w:sz w:val="20"/>
                <w:szCs w:val="20"/>
                <w:highlight w:val="none"/>
              </w:rPr>
              <w:t>/    %</w:t>
            </w:r>
          </w:p>
        </w:tc>
      </w:tr>
      <w:tr w14:paraId="37027C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6" w:hRule="atLeast"/>
        </w:trPr>
        <w:tc>
          <w:tcPr>
            <w:tcW w:w="534" w:type="dxa"/>
            <w:tcBorders>
              <w:left w:val="single" w:color="000000" w:sz="6" w:space="0"/>
            </w:tcBorders>
            <w:vAlign w:val="top"/>
          </w:tcPr>
          <w:p w14:paraId="6E75A5A0">
            <w:pPr>
              <w:spacing w:line="244" w:lineRule="auto"/>
              <w:rPr>
                <w:rFonts w:ascii="Arial"/>
                <w:sz w:val="21"/>
                <w:highlight w:val="none"/>
              </w:rPr>
            </w:pPr>
          </w:p>
          <w:p w14:paraId="704A5A11">
            <w:pPr>
              <w:spacing w:line="245" w:lineRule="auto"/>
              <w:rPr>
                <w:rFonts w:ascii="Arial"/>
                <w:sz w:val="21"/>
                <w:highlight w:val="none"/>
              </w:rPr>
            </w:pPr>
          </w:p>
          <w:p w14:paraId="0A5F2955">
            <w:pPr>
              <w:spacing w:before="57" w:line="195" w:lineRule="auto"/>
              <w:ind w:left="160" w:leftChars="0"/>
              <w:rPr>
                <w:rFonts w:ascii="Times New Roman" w:hAnsi="Times New Roman" w:eastAsia="Times New Roman" w:cs="Times New Roman"/>
                <w:spacing w:val="1"/>
                <w:sz w:val="20"/>
                <w:szCs w:val="20"/>
                <w:highlight w:val="none"/>
              </w:rPr>
            </w:pPr>
            <w:r>
              <w:rPr>
                <w:rFonts w:hint="eastAsia" w:ascii="Times New Roman" w:hAnsi="Times New Roman" w:eastAsia="宋体" w:cs="Times New Roman"/>
                <w:spacing w:val="1"/>
                <w:sz w:val="20"/>
                <w:szCs w:val="20"/>
                <w:highlight w:val="none"/>
                <w:lang w:val="en-US" w:eastAsia="zh-CN"/>
              </w:rPr>
              <w:t>36</w:t>
            </w:r>
          </w:p>
        </w:tc>
        <w:tc>
          <w:tcPr>
            <w:tcW w:w="1004" w:type="dxa"/>
            <w:vAlign w:val="top"/>
          </w:tcPr>
          <w:p w14:paraId="504FD871">
            <w:pPr>
              <w:spacing w:line="244" w:lineRule="auto"/>
              <w:rPr>
                <w:rFonts w:ascii="Arial"/>
                <w:sz w:val="21"/>
                <w:highlight w:val="none"/>
              </w:rPr>
            </w:pPr>
          </w:p>
          <w:p w14:paraId="6923AB4B">
            <w:pPr>
              <w:spacing w:line="245" w:lineRule="auto"/>
              <w:rPr>
                <w:rFonts w:ascii="Arial"/>
                <w:sz w:val="21"/>
                <w:highlight w:val="none"/>
              </w:rPr>
            </w:pPr>
          </w:p>
          <w:p w14:paraId="77882117">
            <w:pPr>
              <w:spacing w:before="57" w:line="195" w:lineRule="auto"/>
              <w:ind w:left="309" w:leftChars="0"/>
              <w:rPr>
                <w:rFonts w:ascii="Times New Roman" w:hAnsi="Times New Roman" w:eastAsia="Times New Roman" w:cs="Times New Roman"/>
                <w:spacing w:val="-9"/>
                <w:sz w:val="20"/>
                <w:szCs w:val="20"/>
                <w:highlight w:val="none"/>
              </w:rPr>
            </w:pPr>
            <w:r>
              <w:rPr>
                <w:rFonts w:ascii="Times New Roman" w:hAnsi="Times New Roman" w:eastAsia="Times New Roman" w:cs="Times New Roman"/>
                <w:spacing w:val="-7"/>
                <w:sz w:val="20"/>
                <w:szCs w:val="20"/>
                <w:highlight w:val="none"/>
              </w:rPr>
              <w:t>1</w:t>
            </w:r>
            <w:r>
              <w:rPr>
                <w:rFonts w:ascii="Times New Roman" w:hAnsi="Times New Roman" w:eastAsia="Times New Roman" w:cs="Times New Roman"/>
                <w:spacing w:val="-4"/>
                <w:sz w:val="20"/>
                <w:szCs w:val="20"/>
                <w:highlight w:val="none"/>
              </w:rPr>
              <w:t>7.3. 1</w:t>
            </w:r>
          </w:p>
        </w:tc>
        <w:tc>
          <w:tcPr>
            <w:tcW w:w="7897" w:type="dxa"/>
            <w:tcBorders>
              <w:right w:val="single" w:color="000000" w:sz="6" w:space="0"/>
            </w:tcBorders>
            <w:vAlign w:val="top"/>
          </w:tcPr>
          <w:p w14:paraId="42A83D80">
            <w:pPr>
              <w:spacing w:before="121" w:line="337" w:lineRule="auto"/>
              <w:ind w:left="110" w:leftChars="0" w:right="102" w:rightChars="0" w:firstLine="236" w:firstLineChars="0"/>
              <w:rPr>
                <w:rFonts w:hint="default" w:ascii="宋体" w:hAnsi="宋体" w:eastAsia="宋体" w:cs="宋体"/>
                <w:b/>
                <w:bCs/>
                <w:spacing w:val="7"/>
                <w:sz w:val="20"/>
                <w:szCs w:val="20"/>
                <w:highlight w:val="none"/>
                <w:lang w:val="en-US" w:eastAsia="zh-CN"/>
              </w:rPr>
            </w:pPr>
            <w:r>
              <w:rPr>
                <w:rFonts w:ascii="宋体" w:hAnsi="宋体" w:eastAsia="宋体" w:cs="宋体"/>
                <w:b/>
                <w:bCs/>
                <w:spacing w:val="14"/>
                <w:sz w:val="20"/>
                <w:szCs w:val="20"/>
                <w:highlight w:val="none"/>
              </w:rPr>
              <w:t>付</w:t>
            </w:r>
            <w:r>
              <w:rPr>
                <w:rFonts w:ascii="宋体" w:hAnsi="宋体" w:eastAsia="宋体" w:cs="宋体"/>
                <w:b/>
                <w:bCs/>
                <w:spacing w:val="9"/>
                <w:sz w:val="20"/>
                <w:szCs w:val="20"/>
                <w:highlight w:val="none"/>
              </w:rPr>
              <w:t>款</w:t>
            </w:r>
            <w:r>
              <w:rPr>
                <w:rFonts w:ascii="宋体" w:hAnsi="宋体" w:eastAsia="宋体" w:cs="宋体"/>
                <w:b/>
                <w:bCs/>
                <w:spacing w:val="7"/>
                <w:sz w:val="20"/>
                <w:szCs w:val="20"/>
                <w:highlight w:val="none"/>
              </w:rPr>
              <w:t>周期及方式：</w:t>
            </w:r>
            <w:r>
              <w:rPr>
                <w:rFonts w:hint="eastAsia" w:ascii="宋体" w:hAnsi="宋体" w:eastAsia="宋体" w:cs="宋体"/>
                <w:b/>
                <w:bCs/>
                <w:spacing w:val="7"/>
                <w:sz w:val="20"/>
                <w:szCs w:val="20"/>
                <w:highlight w:val="none"/>
                <w:lang w:val="en-US" w:eastAsia="zh-CN"/>
              </w:rPr>
              <w:t>按工程进度付款，工程完成50%后支付工程总价款的30%，工程完成80%后支付工程总价款的50%(每次付款前须经施工方提交工程施工进度报告，并经甲方及监理抽查合格后方可支付)，工程完工支付至工程总价款的70%，工程竣工经验收合格支付至工程总价款的85%，工程经财政决算后付至决算价的97%，余下3%为质保金，质保期结束无质量问题后付清(无息)。(本工程质保期两年)。</w:t>
            </w:r>
            <w:r>
              <w:rPr>
                <w:rFonts w:hint="eastAsia" w:ascii="宋体" w:hAnsi="宋体" w:cs="宋体"/>
                <w:b/>
                <w:bCs/>
                <w:spacing w:val="7"/>
                <w:sz w:val="20"/>
                <w:szCs w:val="20"/>
                <w:highlight w:val="none"/>
                <w:lang w:val="en-US" w:eastAsia="zh-CN"/>
              </w:rPr>
              <w:t>每次付款前需要提供工程所在地的完税证明。</w:t>
            </w:r>
          </w:p>
          <w:p w14:paraId="038AA5D1">
            <w:pPr>
              <w:spacing w:before="121" w:line="337" w:lineRule="auto"/>
              <w:ind w:left="110" w:leftChars="0" w:right="102" w:rightChars="0" w:firstLine="236" w:firstLineChars="0"/>
              <w:rPr>
                <w:rFonts w:hint="eastAsia" w:ascii="宋体" w:hAnsi="宋体" w:eastAsia="宋体" w:cs="宋体"/>
                <w:b/>
                <w:bCs/>
                <w:spacing w:val="14"/>
                <w:sz w:val="20"/>
                <w:szCs w:val="20"/>
                <w:highlight w:val="none"/>
              </w:rPr>
            </w:pPr>
            <w:r>
              <w:rPr>
                <w:rFonts w:hint="eastAsia" w:ascii="宋体" w:hAnsi="宋体" w:eastAsia="宋体" w:cs="宋体"/>
                <w:b/>
                <w:bCs/>
                <w:spacing w:val="14"/>
                <w:sz w:val="20"/>
                <w:szCs w:val="20"/>
                <w:highlight w:val="none"/>
              </w:rPr>
              <w:t>本项目采用固定单价合同。</w:t>
            </w:r>
          </w:p>
          <w:p w14:paraId="682102D3">
            <w:pPr>
              <w:spacing w:before="121" w:line="337" w:lineRule="auto"/>
              <w:ind w:left="110" w:leftChars="0" w:right="102" w:rightChars="0" w:firstLine="236" w:firstLineChars="0"/>
              <w:rPr>
                <w:rFonts w:hint="eastAsia" w:ascii="宋体" w:hAnsi="宋体" w:eastAsia="宋体" w:cs="宋体"/>
                <w:b/>
                <w:bCs/>
                <w:spacing w:val="14"/>
                <w:sz w:val="20"/>
                <w:szCs w:val="20"/>
                <w:highlight w:val="none"/>
              </w:rPr>
            </w:pPr>
            <w:r>
              <w:rPr>
                <w:rFonts w:hint="eastAsia" w:ascii="宋体" w:hAnsi="宋体" w:eastAsia="宋体" w:cs="宋体"/>
                <w:b/>
                <w:bCs/>
                <w:spacing w:val="14"/>
                <w:sz w:val="20"/>
                <w:szCs w:val="20"/>
                <w:highlight w:val="none"/>
              </w:rPr>
              <w:t>本项目资金涵盖财政奖补金、村民筹资、村民筹劳折资、其他资金。除财</w:t>
            </w:r>
          </w:p>
          <w:p w14:paraId="0ED1541E">
            <w:pPr>
              <w:spacing w:before="121" w:line="337" w:lineRule="auto"/>
              <w:ind w:left="110" w:leftChars="0" w:right="102" w:rightChars="0" w:firstLine="236" w:firstLineChars="0"/>
              <w:rPr>
                <w:rFonts w:hint="eastAsia" w:ascii="宋体" w:hAnsi="宋体" w:eastAsia="宋体" w:cs="宋体"/>
                <w:b/>
                <w:bCs/>
                <w:spacing w:val="7"/>
                <w:sz w:val="20"/>
                <w:szCs w:val="20"/>
                <w:highlight w:val="none"/>
              </w:rPr>
            </w:pPr>
            <w:r>
              <w:rPr>
                <w:rFonts w:hint="eastAsia" w:ascii="宋体" w:hAnsi="宋体" w:eastAsia="宋体" w:cs="宋体"/>
                <w:b/>
                <w:bCs/>
                <w:spacing w:val="14"/>
                <w:sz w:val="20"/>
                <w:szCs w:val="20"/>
                <w:highlight w:val="none"/>
              </w:rPr>
              <w:t>政奖补资金外其他不在财政支付本项目工程款的范围内。</w:t>
            </w:r>
          </w:p>
        </w:tc>
      </w:tr>
      <w:tr w14:paraId="6EA36E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534" w:type="dxa"/>
            <w:tcBorders>
              <w:left w:val="single" w:color="000000" w:sz="6" w:space="0"/>
            </w:tcBorders>
            <w:vAlign w:val="top"/>
          </w:tcPr>
          <w:p w14:paraId="26947FBD">
            <w:pPr>
              <w:spacing w:before="130" w:line="195" w:lineRule="auto"/>
              <w:ind w:left="160" w:leftChars="0"/>
              <w:rPr>
                <w:rFonts w:ascii="Times New Roman" w:hAnsi="Times New Roman" w:eastAsia="Times New Roman" w:cs="Times New Roman"/>
                <w:spacing w:val="1"/>
                <w:sz w:val="20"/>
                <w:szCs w:val="20"/>
                <w:highlight w:val="none"/>
              </w:rPr>
            </w:pPr>
            <w:r>
              <w:rPr>
                <w:rFonts w:ascii="Times New Roman" w:hAnsi="Times New Roman" w:eastAsia="Times New Roman" w:cs="Times New Roman"/>
                <w:spacing w:val="1"/>
                <w:sz w:val="20"/>
                <w:szCs w:val="20"/>
                <w:highlight w:val="none"/>
              </w:rPr>
              <w:t>3</w:t>
            </w:r>
            <w:r>
              <w:rPr>
                <w:rFonts w:hint="eastAsia" w:ascii="Times New Roman" w:hAnsi="Times New Roman" w:eastAsia="宋体" w:cs="Times New Roman"/>
                <w:spacing w:val="1"/>
                <w:sz w:val="20"/>
                <w:szCs w:val="20"/>
                <w:highlight w:val="none"/>
                <w:lang w:val="en-US" w:eastAsia="zh-CN"/>
              </w:rPr>
              <w:t>7</w:t>
            </w:r>
          </w:p>
        </w:tc>
        <w:tc>
          <w:tcPr>
            <w:tcW w:w="1004" w:type="dxa"/>
            <w:vAlign w:val="top"/>
          </w:tcPr>
          <w:p w14:paraId="24D2DA3F">
            <w:pPr>
              <w:spacing w:before="94" w:line="231" w:lineRule="auto"/>
              <w:ind w:left="122" w:leftChars="0"/>
              <w:rPr>
                <w:rFonts w:ascii="Times New Roman" w:hAnsi="Times New Roman" w:eastAsia="Times New Roman" w:cs="Times New Roman"/>
                <w:spacing w:val="-9"/>
                <w:sz w:val="20"/>
                <w:szCs w:val="20"/>
                <w:highlight w:val="none"/>
              </w:rPr>
            </w:pPr>
            <w:r>
              <w:rPr>
                <w:rFonts w:ascii="Times New Roman" w:hAnsi="Times New Roman" w:eastAsia="Times New Roman" w:cs="Times New Roman"/>
                <w:spacing w:val="2"/>
                <w:sz w:val="20"/>
                <w:szCs w:val="20"/>
                <w:highlight w:val="none"/>
              </w:rPr>
              <w:t xml:space="preserve">17.3.3 </w:t>
            </w:r>
            <w:r>
              <w:rPr>
                <w:rFonts w:ascii="宋体" w:hAnsi="宋体" w:eastAsia="宋体" w:cs="宋体"/>
                <w:spacing w:val="2"/>
                <w:sz w:val="20"/>
                <w:szCs w:val="20"/>
                <w:highlight w:val="none"/>
              </w:rPr>
              <w:t>(</w:t>
            </w:r>
            <w:r>
              <w:rPr>
                <w:rFonts w:ascii="Times New Roman" w:hAnsi="Times New Roman" w:eastAsia="Times New Roman" w:cs="Times New Roman"/>
                <w:spacing w:val="2"/>
                <w:sz w:val="20"/>
                <w:szCs w:val="20"/>
                <w:highlight w:val="none"/>
              </w:rPr>
              <w:t>1</w:t>
            </w:r>
            <w:r>
              <w:rPr>
                <w:rFonts w:ascii="宋体" w:hAnsi="宋体" w:eastAsia="宋体" w:cs="宋体"/>
                <w:sz w:val="20"/>
                <w:szCs w:val="20"/>
                <w:highlight w:val="none"/>
              </w:rPr>
              <w:t>)</w:t>
            </w:r>
          </w:p>
        </w:tc>
        <w:tc>
          <w:tcPr>
            <w:tcW w:w="7897" w:type="dxa"/>
            <w:tcBorders>
              <w:right w:val="single" w:color="000000" w:sz="6" w:space="0"/>
            </w:tcBorders>
            <w:vAlign w:val="top"/>
          </w:tcPr>
          <w:p w14:paraId="77EE56B5">
            <w:pPr>
              <w:spacing w:before="103" w:line="274" w:lineRule="auto"/>
              <w:ind w:left="345" w:leftChars="0"/>
              <w:rPr>
                <w:rFonts w:ascii="宋体" w:hAnsi="宋体" w:eastAsia="宋体" w:cs="宋体"/>
                <w:spacing w:val="7"/>
                <w:sz w:val="20"/>
                <w:szCs w:val="20"/>
                <w:highlight w:val="none"/>
              </w:rPr>
            </w:pPr>
            <w:r>
              <w:rPr>
                <w:rFonts w:ascii="宋体" w:hAnsi="宋体" w:eastAsia="宋体" w:cs="宋体"/>
                <w:spacing w:val="14"/>
                <w:sz w:val="20"/>
                <w:szCs w:val="20"/>
                <w:highlight w:val="none"/>
              </w:rPr>
              <w:t>进</w:t>
            </w:r>
            <w:r>
              <w:rPr>
                <w:rFonts w:ascii="宋体" w:hAnsi="宋体" w:eastAsia="宋体" w:cs="宋体"/>
                <w:spacing w:val="7"/>
                <w:sz w:val="20"/>
                <w:szCs w:val="20"/>
                <w:highlight w:val="none"/>
              </w:rPr>
              <w:t>度付款证书最低限额：</w:t>
            </w:r>
            <w:r>
              <w:rPr>
                <w:rFonts w:ascii="Times New Roman" w:hAnsi="Times New Roman" w:eastAsia="Times New Roman" w:cs="Times New Roman"/>
                <w:spacing w:val="7"/>
                <w:sz w:val="20"/>
                <w:szCs w:val="20"/>
                <w:highlight w:val="none"/>
                <w:u w:val="single" w:color="auto"/>
              </w:rPr>
              <w:t xml:space="preserve">  /  </w:t>
            </w:r>
            <w:r>
              <w:rPr>
                <w:rFonts w:ascii="宋体" w:hAnsi="宋体" w:eastAsia="宋体" w:cs="宋体"/>
                <w:spacing w:val="7"/>
                <w:sz w:val="20"/>
                <w:szCs w:val="20"/>
                <w:highlight w:val="none"/>
              </w:rPr>
              <w:t>万元</w:t>
            </w:r>
          </w:p>
        </w:tc>
      </w:tr>
      <w:tr w14:paraId="29A0C5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6" w:hRule="atLeast"/>
        </w:trPr>
        <w:tc>
          <w:tcPr>
            <w:tcW w:w="534" w:type="dxa"/>
            <w:tcBorders>
              <w:left w:val="single" w:color="000000" w:sz="6" w:space="0"/>
            </w:tcBorders>
            <w:vAlign w:val="top"/>
          </w:tcPr>
          <w:p w14:paraId="5EE6F541">
            <w:pPr>
              <w:spacing w:line="271" w:lineRule="auto"/>
              <w:rPr>
                <w:rFonts w:ascii="Arial"/>
                <w:sz w:val="21"/>
                <w:highlight w:val="none"/>
              </w:rPr>
            </w:pPr>
          </w:p>
          <w:p w14:paraId="6CBC6726">
            <w:pPr>
              <w:spacing w:before="57" w:line="195" w:lineRule="auto"/>
              <w:ind w:left="160" w:leftChars="0"/>
              <w:rPr>
                <w:rFonts w:ascii="Times New Roman" w:hAnsi="Times New Roman" w:eastAsia="Times New Roman" w:cs="Times New Roman"/>
                <w:spacing w:val="1"/>
                <w:sz w:val="20"/>
                <w:szCs w:val="20"/>
                <w:highlight w:val="none"/>
              </w:rPr>
            </w:pPr>
            <w:r>
              <w:rPr>
                <w:rFonts w:ascii="Times New Roman" w:hAnsi="Times New Roman" w:eastAsia="Times New Roman" w:cs="Times New Roman"/>
                <w:spacing w:val="1"/>
                <w:sz w:val="20"/>
                <w:szCs w:val="20"/>
                <w:highlight w:val="none"/>
              </w:rPr>
              <w:t>3</w:t>
            </w:r>
            <w:r>
              <w:rPr>
                <w:rFonts w:hint="eastAsia" w:ascii="Times New Roman" w:hAnsi="Times New Roman" w:eastAsia="宋体" w:cs="Times New Roman"/>
                <w:spacing w:val="1"/>
                <w:sz w:val="20"/>
                <w:szCs w:val="20"/>
                <w:highlight w:val="none"/>
                <w:lang w:val="en-US" w:eastAsia="zh-CN"/>
              </w:rPr>
              <w:t>8</w:t>
            </w:r>
          </w:p>
        </w:tc>
        <w:tc>
          <w:tcPr>
            <w:tcW w:w="1004" w:type="dxa"/>
            <w:vAlign w:val="top"/>
          </w:tcPr>
          <w:p w14:paraId="269C0B28">
            <w:pPr>
              <w:spacing w:line="271" w:lineRule="auto"/>
              <w:rPr>
                <w:rFonts w:ascii="Arial"/>
                <w:sz w:val="21"/>
                <w:highlight w:val="none"/>
              </w:rPr>
            </w:pPr>
          </w:p>
          <w:p w14:paraId="05ECA2CB">
            <w:pPr>
              <w:spacing w:before="57" w:line="195" w:lineRule="auto"/>
              <w:ind w:left="309" w:leftChars="0"/>
              <w:rPr>
                <w:rFonts w:ascii="Times New Roman" w:hAnsi="Times New Roman" w:eastAsia="Times New Roman" w:cs="Times New Roman"/>
                <w:spacing w:val="-9"/>
                <w:sz w:val="20"/>
                <w:szCs w:val="20"/>
                <w:highlight w:val="none"/>
              </w:rPr>
            </w:pPr>
            <w:r>
              <w:rPr>
                <w:rFonts w:ascii="Times New Roman" w:hAnsi="Times New Roman" w:eastAsia="Times New Roman" w:cs="Times New Roman"/>
                <w:spacing w:val="1"/>
                <w:sz w:val="20"/>
                <w:szCs w:val="20"/>
                <w:highlight w:val="none"/>
              </w:rPr>
              <w:t>17.3.</w:t>
            </w:r>
            <w:r>
              <w:rPr>
                <w:rFonts w:ascii="Times New Roman" w:hAnsi="Times New Roman" w:eastAsia="Times New Roman" w:cs="Times New Roman"/>
                <w:sz w:val="20"/>
                <w:szCs w:val="20"/>
                <w:highlight w:val="none"/>
              </w:rPr>
              <w:t>5</w:t>
            </w:r>
          </w:p>
        </w:tc>
        <w:tc>
          <w:tcPr>
            <w:tcW w:w="7897" w:type="dxa"/>
            <w:tcBorders>
              <w:right w:val="single" w:color="000000" w:sz="6" w:space="0"/>
            </w:tcBorders>
            <w:vAlign w:val="top"/>
          </w:tcPr>
          <w:p w14:paraId="43E6F97A">
            <w:pPr>
              <w:spacing w:before="121" w:line="337" w:lineRule="auto"/>
              <w:ind w:left="110" w:leftChars="0" w:right="102" w:firstLine="236"/>
              <w:rPr>
                <w:rFonts w:hint="default" w:ascii="宋体" w:hAnsi="宋体" w:eastAsia="宋体" w:cs="宋体"/>
                <w:spacing w:val="7"/>
                <w:sz w:val="20"/>
                <w:szCs w:val="20"/>
                <w:highlight w:val="none"/>
                <w:lang w:val="en-US" w:eastAsia="zh-CN"/>
              </w:rPr>
            </w:pPr>
            <w:r>
              <w:rPr>
                <w:rFonts w:ascii="宋体" w:hAnsi="宋体" w:eastAsia="宋体" w:cs="宋体"/>
                <w:b w:val="0"/>
                <w:bCs w:val="0"/>
                <w:spacing w:val="14"/>
                <w:position w:val="0"/>
                <w:sz w:val="20"/>
                <w:szCs w:val="20"/>
                <w:highlight w:val="none"/>
              </w:rPr>
              <w:t>农民工工资保证金的额度、提交形式、使用范围、扣留条件、返还时间：执行</w:t>
            </w:r>
            <w:r>
              <w:rPr>
                <w:rFonts w:ascii="宋体" w:hAnsi="宋体" w:eastAsia="宋体" w:cs="宋体"/>
                <w:b w:val="0"/>
                <w:bCs w:val="0"/>
                <w:spacing w:val="14"/>
                <w:sz w:val="20"/>
                <w:szCs w:val="20"/>
                <w:highlight w:val="none"/>
              </w:rPr>
              <w:t>项目所在省、市的人力资源社会保障行政部门、交通运输主管部门等施行的规定。</w:t>
            </w:r>
            <w:r>
              <w:rPr>
                <w:rFonts w:hint="eastAsia" w:ascii="宋体" w:hAnsi="宋体" w:cs="宋体"/>
                <w:b w:val="0"/>
                <w:bCs w:val="0"/>
                <w:spacing w:val="14"/>
                <w:sz w:val="20"/>
                <w:szCs w:val="20"/>
                <w:highlight w:val="none"/>
                <w:lang w:val="en-US" w:eastAsia="zh-CN"/>
              </w:rPr>
              <w:t>合同签订后10个工作日内完成提交，方可进场施工。</w:t>
            </w:r>
          </w:p>
        </w:tc>
      </w:tr>
      <w:tr w14:paraId="2D85C6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7" w:hRule="atLeast"/>
        </w:trPr>
        <w:tc>
          <w:tcPr>
            <w:tcW w:w="534" w:type="dxa"/>
            <w:tcBorders>
              <w:left w:val="single" w:color="000000" w:sz="6" w:space="0"/>
            </w:tcBorders>
            <w:vAlign w:val="top"/>
          </w:tcPr>
          <w:p w14:paraId="7DBE4AB7">
            <w:pPr>
              <w:spacing w:line="253" w:lineRule="auto"/>
              <w:rPr>
                <w:rFonts w:ascii="Arial"/>
                <w:sz w:val="21"/>
                <w:highlight w:val="none"/>
              </w:rPr>
            </w:pPr>
          </w:p>
          <w:p w14:paraId="4A0D9308">
            <w:pPr>
              <w:spacing w:line="253" w:lineRule="auto"/>
              <w:rPr>
                <w:rFonts w:ascii="Arial"/>
                <w:sz w:val="21"/>
                <w:highlight w:val="none"/>
              </w:rPr>
            </w:pPr>
          </w:p>
          <w:p w14:paraId="3BFCA229">
            <w:pPr>
              <w:spacing w:line="253" w:lineRule="auto"/>
              <w:rPr>
                <w:rFonts w:ascii="Arial"/>
                <w:sz w:val="21"/>
                <w:highlight w:val="none"/>
              </w:rPr>
            </w:pPr>
          </w:p>
          <w:p w14:paraId="0425FB4E">
            <w:pPr>
              <w:spacing w:line="253" w:lineRule="auto"/>
              <w:rPr>
                <w:rFonts w:ascii="Arial"/>
                <w:sz w:val="21"/>
                <w:highlight w:val="none"/>
              </w:rPr>
            </w:pPr>
          </w:p>
          <w:p w14:paraId="5ECADAF9">
            <w:pPr>
              <w:spacing w:line="253" w:lineRule="auto"/>
              <w:rPr>
                <w:rFonts w:ascii="Arial"/>
                <w:sz w:val="21"/>
                <w:highlight w:val="none"/>
              </w:rPr>
            </w:pPr>
          </w:p>
          <w:p w14:paraId="62A49DA4">
            <w:pPr>
              <w:spacing w:line="253" w:lineRule="auto"/>
              <w:rPr>
                <w:rFonts w:ascii="Arial"/>
                <w:sz w:val="21"/>
                <w:highlight w:val="none"/>
              </w:rPr>
            </w:pPr>
          </w:p>
          <w:p w14:paraId="4B05BBD1">
            <w:pPr>
              <w:spacing w:line="253" w:lineRule="auto"/>
              <w:rPr>
                <w:rFonts w:ascii="Arial"/>
                <w:sz w:val="21"/>
                <w:highlight w:val="none"/>
              </w:rPr>
            </w:pPr>
          </w:p>
          <w:p w14:paraId="68445E2B">
            <w:pPr>
              <w:spacing w:line="253" w:lineRule="auto"/>
              <w:rPr>
                <w:rFonts w:ascii="Arial"/>
                <w:sz w:val="21"/>
                <w:highlight w:val="none"/>
              </w:rPr>
            </w:pPr>
          </w:p>
          <w:p w14:paraId="30075999">
            <w:pPr>
              <w:spacing w:line="253" w:lineRule="auto"/>
              <w:rPr>
                <w:rFonts w:ascii="Arial"/>
                <w:sz w:val="21"/>
                <w:highlight w:val="none"/>
              </w:rPr>
            </w:pPr>
          </w:p>
          <w:p w14:paraId="1DA26D83">
            <w:pPr>
              <w:spacing w:line="253" w:lineRule="auto"/>
              <w:rPr>
                <w:rFonts w:ascii="Arial"/>
                <w:sz w:val="21"/>
                <w:highlight w:val="none"/>
              </w:rPr>
            </w:pPr>
          </w:p>
          <w:p w14:paraId="33B4A78E">
            <w:pPr>
              <w:spacing w:line="253" w:lineRule="auto"/>
              <w:rPr>
                <w:rFonts w:ascii="Arial"/>
                <w:sz w:val="21"/>
                <w:highlight w:val="none"/>
              </w:rPr>
            </w:pPr>
          </w:p>
          <w:p w14:paraId="5C2050AC">
            <w:pPr>
              <w:spacing w:line="253" w:lineRule="auto"/>
              <w:rPr>
                <w:rFonts w:ascii="Arial"/>
                <w:sz w:val="21"/>
                <w:highlight w:val="none"/>
              </w:rPr>
            </w:pPr>
          </w:p>
          <w:p w14:paraId="3A468701">
            <w:pPr>
              <w:spacing w:line="253" w:lineRule="auto"/>
              <w:rPr>
                <w:rFonts w:ascii="Arial"/>
                <w:sz w:val="21"/>
                <w:highlight w:val="none"/>
              </w:rPr>
            </w:pPr>
          </w:p>
          <w:p w14:paraId="77C11A81">
            <w:pPr>
              <w:spacing w:line="253" w:lineRule="auto"/>
              <w:rPr>
                <w:rFonts w:ascii="Arial"/>
                <w:sz w:val="21"/>
                <w:highlight w:val="none"/>
              </w:rPr>
            </w:pPr>
          </w:p>
          <w:p w14:paraId="7AB9606D">
            <w:pPr>
              <w:spacing w:line="253" w:lineRule="auto"/>
              <w:rPr>
                <w:rFonts w:ascii="Arial"/>
                <w:sz w:val="21"/>
                <w:highlight w:val="none"/>
              </w:rPr>
            </w:pPr>
          </w:p>
          <w:p w14:paraId="739687D3">
            <w:pPr>
              <w:spacing w:line="253" w:lineRule="auto"/>
              <w:rPr>
                <w:rFonts w:ascii="Arial"/>
                <w:sz w:val="21"/>
                <w:highlight w:val="none"/>
              </w:rPr>
            </w:pPr>
          </w:p>
          <w:p w14:paraId="76D657B4">
            <w:pPr>
              <w:spacing w:before="58" w:line="195" w:lineRule="auto"/>
              <w:ind w:left="155" w:leftChars="0"/>
              <w:rPr>
                <w:rFonts w:ascii="Times New Roman" w:hAnsi="Times New Roman" w:eastAsia="Times New Roman" w:cs="Times New Roman"/>
                <w:spacing w:val="1"/>
                <w:sz w:val="20"/>
                <w:szCs w:val="20"/>
                <w:highlight w:val="none"/>
              </w:rPr>
            </w:pPr>
            <w:r>
              <w:rPr>
                <w:rFonts w:hint="eastAsia" w:ascii="Times New Roman" w:hAnsi="Times New Roman" w:eastAsia="宋体" w:cs="Times New Roman"/>
                <w:sz w:val="20"/>
                <w:szCs w:val="20"/>
                <w:highlight w:val="none"/>
                <w:lang w:val="en-US" w:eastAsia="zh-CN"/>
              </w:rPr>
              <w:t>39</w:t>
            </w:r>
          </w:p>
        </w:tc>
        <w:tc>
          <w:tcPr>
            <w:tcW w:w="1004" w:type="dxa"/>
            <w:vAlign w:val="top"/>
          </w:tcPr>
          <w:p w14:paraId="3C77DE8D">
            <w:pPr>
              <w:spacing w:line="253" w:lineRule="auto"/>
              <w:rPr>
                <w:rFonts w:ascii="Arial"/>
                <w:sz w:val="21"/>
                <w:highlight w:val="none"/>
              </w:rPr>
            </w:pPr>
          </w:p>
          <w:p w14:paraId="1FBF19BD">
            <w:pPr>
              <w:spacing w:line="253" w:lineRule="auto"/>
              <w:rPr>
                <w:rFonts w:ascii="Arial"/>
                <w:sz w:val="21"/>
                <w:highlight w:val="none"/>
              </w:rPr>
            </w:pPr>
          </w:p>
          <w:p w14:paraId="034243B4">
            <w:pPr>
              <w:spacing w:line="253" w:lineRule="auto"/>
              <w:rPr>
                <w:rFonts w:ascii="Arial"/>
                <w:sz w:val="21"/>
                <w:highlight w:val="none"/>
              </w:rPr>
            </w:pPr>
          </w:p>
          <w:p w14:paraId="4EA435FB">
            <w:pPr>
              <w:spacing w:line="253" w:lineRule="auto"/>
              <w:rPr>
                <w:rFonts w:ascii="Arial"/>
                <w:sz w:val="21"/>
                <w:highlight w:val="none"/>
              </w:rPr>
            </w:pPr>
          </w:p>
          <w:p w14:paraId="7841DA7B">
            <w:pPr>
              <w:spacing w:line="253" w:lineRule="auto"/>
              <w:rPr>
                <w:rFonts w:ascii="Arial"/>
                <w:sz w:val="21"/>
                <w:highlight w:val="none"/>
              </w:rPr>
            </w:pPr>
          </w:p>
          <w:p w14:paraId="453B3806">
            <w:pPr>
              <w:spacing w:line="253" w:lineRule="auto"/>
              <w:rPr>
                <w:rFonts w:ascii="Arial"/>
                <w:sz w:val="21"/>
                <w:highlight w:val="none"/>
              </w:rPr>
            </w:pPr>
          </w:p>
          <w:p w14:paraId="13FDBB9D">
            <w:pPr>
              <w:spacing w:line="253" w:lineRule="auto"/>
              <w:rPr>
                <w:rFonts w:ascii="Arial"/>
                <w:sz w:val="21"/>
                <w:highlight w:val="none"/>
              </w:rPr>
            </w:pPr>
          </w:p>
          <w:p w14:paraId="23DB5024">
            <w:pPr>
              <w:spacing w:line="253" w:lineRule="auto"/>
              <w:rPr>
                <w:rFonts w:ascii="Arial"/>
                <w:sz w:val="21"/>
                <w:highlight w:val="none"/>
              </w:rPr>
            </w:pPr>
          </w:p>
          <w:p w14:paraId="66852E59">
            <w:pPr>
              <w:spacing w:line="253" w:lineRule="auto"/>
              <w:rPr>
                <w:rFonts w:ascii="Arial"/>
                <w:sz w:val="21"/>
                <w:highlight w:val="none"/>
              </w:rPr>
            </w:pPr>
          </w:p>
          <w:p w14:paraId="5A498682">
            <w:pPr>
              <w:spacing w:line="253" w:lineRule="auto"/>
              <w:rPr>
                <w:rFonts w:ascii="Arial"/>
                <w:sz w:val="21"/>
                <w:highlight w:val="none"/>
              </w:rPr>
            </w:pPr>
          </w:p>
          <w:p w14:paraId="097FEB71">
            <w:pPr>
              <w:spacing w:line="253" w:lineRule="auto"/>
              <w:rPr>
                <w:rFonts w:ascii="Arial"/>
                <w:sz w:val="21"/>
                <w:highlight w:val="none"/>
              </w:rPr>
            </w:pPr>
          </w:p>
          <w:p w14:paraId="2321B0E3">
            <w:pPr>
              <w:spacing w:line="253" w:lineRule="auto"/>
              <w:rPr>
                <w:rFonts w:ascii="Arial"/>
                <w:sz w:val="21"/>
                <w:highlight w:val="none"/>
              </w:rPr>
            </w:pPr>
          </w:p>
          <w:p w14:paraId="0347EF12">
            <w:pPr>
              <w:spacing w:line="253" w:lineRule="auto"/>
              <w:rPr>
                <w:rFonts w:ascii="Arial"/>
                <w:sz w:val="21"/>
                <w:highlight w:val="none"/>
              </w:rPr>
            </w:pPr>
          </w:p>
          <w:p w14:paraId="5467D401">
            <w:pPr>
              <w:spacing w:line="253" w:lineRule="auto"/>
              <w:rPr>
                <w:rFonts w:ascii="Arial"/>
                <w:sz w:val="21"/>
                <w:highlight w:val="none"/>
              </w:rPr>
            </w:pPr>
          </w:p>
          <w:p w14:paraId="0AF7D49F">
            <w:pPr>
              <w:spacing w:line="253" w:lineRule="auto"/>
              <w:rPr>
                <w:rFonts w:ascii="Arial"/>
                <w:sz w:val="21"/>
                <w:highlight w:val="none"/>
              </w:rPr>
            </w:pPr>
          </w:p>
          <w:p w14:paraId="0F3C13C6">
            <w:pPr>
              <w:spacing w:line="253" w:lineRule="auto"/>
              <w:rPr>
                <w:rFonts w:ascii="Arial"/>
                <w:sz w:val="21"/>
                <w:highlight w:val="none"/>
              </w:rPr>
            </w:pPr>
          </w:p>
          <w:p w14:paraId="72CC5684">
            <w:pPr>
              <w:spacing w:before="58" w:line="195" w:lineRule="auto"/>
              <w:ind w:left="309" w:leftChars="0"/>
              <w:rPr>
                <w:rFonts w:ascii="Times New Roman" w:hAnsi="Times New Roman" w:eastAsia="Times New Roman" w:cs="Times New Roman"/>
                <w:spacing w:val="-9"/>
                <w:sz w:val="20"/>
                <w:szCs w:val="20"/>
                <w:highlight w:val="none"/>
              </w:rPr>
            </w:pPr>
            <w:r>
              <w:rPr>
                <w:rFonts w:ascii="Times New Roman" w:hAnsi="Times New Roman" w:eastAsia="Times New Roman" w:cs="Times New Roman"/>
                <w:spacing w:val="-7"/>
                <w:sz w:val="20"/>
                <w:szCs w:val="20"/>
                <w:highlight w:val="none"/>
              </w:rPr>
              <w:t>1</w:t>
            </w:r>
            <w:r>
              <w:rPr>
                <w:rFonts w:ascii="Times New Roman" w:hAnsi="Times New Roman" w:eastAsia="Times New Roman" w:cs="Times New Roman"/>
                <w:spacing w:val="-4"/>
                <w:sz w:val="20"/>
                <w:szCs w:val="20"/>
                <w:highlight w:val="none"/>
              </w:rPr>
              <w:t>7.4. 1</w:t>
            </w:r>
          </w:p>
        </w:tc>
        <w:tc>
          <w:tcPr>
            <w:tcW w:w="7897" w:type="dxa"/>
            <w:tcBorders>
              <w:right w:val="single" w:color="000000" w:sz="6" w:space="0"/>
            </w:tcBorders>
            <w:vAlign w:val="top"/>
          </w:tcPr>
          <w:p w14:paraId="48A1A9CD">
            <w:pPr>
              <w:spacing w:before="102" w:line="293" w:lineRule="auto"/>
              <w:ind w:left="318"/>
              <w:rPr>
                <w:rFonts w:ascii="宋体" w:hAnsi="宋体" w:eastAsia="宋体" w:cs="宋体"/>
                <w:sz w:val="20"/>
                <w:szCs w:val="20"/>
                <w:highlight w:val="none"/>
              </w:rPr>
            </w:pPr>
            <w:r>
              <w:rPr>
                <w:rFonts w:ascii="宋体" w:hAnsi="宋体" w:eastAsia="宋体" w:cs="宋体"/>
                <w:spacing w:val="10"/>
                <w:sz w:val="20"/>
                <w:szCs w:val="20"/>
                <w:highlight w:val="none"/>
              </w:rPr>
              <w:t>质量保证金</w:t>
            </w:r>
            <w:r>
              <w:rPr>
                <w:rFonts w:ascii="宋体" w:hAnsi="宋体" w:eastAsia="宋体" w:cs="宋体"/>
                <w:spacing w:val="8"/>
                <w:sz w:val="20"/>
                <w:szCs w:val="20"/>
                <w:highlight w:val="none"/>
              </w:rPr>
              <w:t>金</w:t>
            </w:r>
            <w:r>
              <w:rPr>
                <w:rFonts w:ascii="宋体" w:hAnsi="宋体" w:eastAsia="宋体" w:cs="宋体"/>
                <w:spacing w:val="5"/>
                <w:sz w:val="20"/>
                <w:szCs w:val="20"/>
                <w:highlight w:val="none"/>
              </w:rPr>
              <w:t>额，规定为：</w:t>
            </w:r>
            <w:r>
              <w:rPr>
                <w:rFonts w:ascii="Times New Roman" w:hAnsi="Times New Roman" w:eastAsia="Times New Roman" w:cs="Times New Roman"/>
                <w:spacing w:val="5"/>
                <w:sz w:val="20"/>
                <w:szCs w:val="20"/>
                <w:highlight w:val="none"/>
                <w:u w:val="single" w:color="auto"/>
              </w:rPr>
              <w:t xml:space="preserve">    </w:t>
            </w:r>
            <w:r>
              <w:rPr>
                <w:rFonts w:hint="eastAsia" w:cs="Times New Roman"/>
                <w:spacing w:val="5"/>
                <w:sz w:val="20"/>
                <w:szCs w:val="20"/>
                <w:highlight w:val="none"/>
                <w:u w:val="single" w:color="auto"/>
                <w:lang w:val="en-US" w:eastAsia="zh-CN"/>
              </w:rPr>
              <w:t>3</w:t>
            </w:r>
            <w:r>
              <w:rPr>
                <w:rFonts w:ascii="Times New Roman" w:hAnsi="Times New Roman" w:eastAsia="Times New Roman" w:cs="Times New Roman"/>
                <w:spacing w:val="5"/>
                <w:sz w:val="20"/>
                <w:szCs w:val="20"/>
                <w:highlight w:val="none"/>
                <w:u w:val="single" w:color="auto"/>
              </w:rPr>
              <w:t xml:space="preserve">  %</w:t>
            </w:r>
            <w:r>
              <w:rPr>
                <w:rFonts w:ascii="宋体" w:hAnsi="宋体" w:eastAsia="宋体" w:cs="宋体"/>
                <w:spacing w:val="5"/>
                <w:sz w:val="20"/>
                <w:szCs w:val="20"/>
                <w:highlight w:val="none"/>
              </w:rPr>
              <w:t>工程价款结算总额，质量保证金不计付利息。</w:t>
            </w:r>
          </w:p>
          <w:p w14:paraId="672D1E4F">
            <w:pPr>
              <w:spacing w:before="121" w:line="369" w:lineRule="auto"/>
              <w:ind w:left="109" w:right="102" w:firstLine="218"/>
              <w:rPr>
                <w:rFonts w:ascii="宋体" w:hAnsi="宋体" w:eastAsia="宋体" w:cs="宋体"/>
                <w:sz w:val="20"/>
                <w:szCs w:val="20"/>
                <w:highlight w:val="none"/>
              </w:rPr>
            </w:pPr>
            <w:r>
              <w:rPr>
                <w:rFonts w:ascii="宋体" w:hAnsi="宋体" w:eastAsia="宋体" w:cs="宋体"/>
                <w:spacing w:val="16"/>
                <w:sz w:val="20"/>
                <w:szCs w:val="20"/>
                <w:highlight w:val="none"/>
              </w:rPr>
              <w:t>(</w:t>
            </w:r>
            <w:r>
              <w:rPr>
                <w:rFonts w:ascii="Times New Roman" w:hAnsi="Times New Roman" w:eastAsia="Times New Roman" w:cs="Times New Roman"/>
                <w:spacing w:val="11"/>
                <w:sz w:val="20"/>
                <w:szCs w:val="20"/>
                <w:highlight w:val="none"/>
              </w:rPr>
              <w:t>1</w:t>
            </w:r>
            <w:r>
              <w:rPr>
                <w:rFonts w:ascii="宋体" w:hAnsi="宋体" w:eastAsia="宋体" w:cs="宋体"/>
                <w:spacing w:val="11"/>
                <w:sz w:val="20"/>
                <w:szCs w:val="20"/>
                <w:highlight w:val="none"/>
              </w:rPr>
              <w:t>) 承包人履约保证金、质量保证金均采用银行保函形式的，在发包人与承包</w:t>
            </w:r>
            <w:r>
              <w:rPr>
                <w:rFonts w:ascii="宋体" w:hAnsi="宋体" w:eastAsia="宋体" w:cs="宋体"/>
                <w:spacing w:val="14"/>
                <w:sz w:val="20"/>
                <w:szCs w:val="20"/>
                <w:highlight w:val="none"/>
              </w:rPr>
              <w:t>人</w:t>
            </w:r>
            <w:r>
              <w:rPr>
                <w:rFonts w:ascii="宋体" w:hAnsi="宋体" w:eastAsia="宋体" w:cs="宋体"/>
                <w:spacing w:val="12"/>
                <w:sz w:val="20"/>
                <w:szCs w:val="20"/>
                <w:highlight w:val="none"/>
              </w:rPr>
              <w:t>完成本合同工程价款结算后，承包人应在工程验收证书颁发之前，按《项目专</w:t>
            </w:r>
            <w:r>
              <w:rPr>
                <w:rFonts w:ascii="宋体" w:hAnsi="宋体" w:eastAsia="宋体" w:cs="宋体"/>
                <w:spacing w:val="9"/>
                <w:sz w:val="20"/>
                <w:szCs w:val="20"/>
                <w:highlight w:val="none"/>
              </w:rPr>
              <w:t>用合同条款数据表》 中规定的额度向发包人提交质量保证金银行保函，出具保</w:t>
            </w:r>
            <w:r>
              <w:rPr>
                <w:rFonts w:ascii="宋体" w:hAnsi="宋体" w:eastAsia="宋体" w:cs="宋体"/>
                <w:spacing w:val="7"/>
                <w:sz w:val="20"/>
                <w:szCs w:val="20"/>
                <w:highlight w:val="none"/>
              </w:rPr>
              <w:t>函</w:t>
            </w:r>
            <w:r>
              <w:rPr>
                <w:rFonts w:ascii="宋体" w:hAnsi="宋体" w:eastAsia="宋体" w:cs="宋体"/>
                <w:spacing w:val="14"/>
                <w:sz w:val="20"/>
                <w:szCs w:val="20"/>
                <w:highlight w:val="none"/>
              </w:rPr>
              <w:t>的</w:t>
            </w:r>
            <w:r>
              <w:rPr>
                <w:rFonts w:ascii="宋体" w:hAnsi="宋体" w:eastAsia="宋体" w:cs="宋体"/>
                <w:spacing w:val="12"/>
                <w:sz w:val="20"/>
                <w:szCs w:val="20"/>
                <w:highlight w:val="none"/>
              </w:rPr>
              <w:t>银行须具有相应担保能力，且按照发包人批准的格式出具，所需费用由承包人</w:t>
            </w:r>
            <w:r>
              <w:rPr>
                <w:rFonts w:ascii="宋体" w:hAnsi="宋体" w:eastAsia="宋体" w:cs="宋体"/>
                <w:spacing w:val="9"/>
                <w:sz w:val="20"/>
                <w:szCs w:val="20"/>
                <w:highlight w:val="none"/>
              </w:rPr>
              <w:t>承担，保函的有效期应至缺陷责任期满之日止。</w:t>
            </w:r>
          </w:p>
          <w:p w14:paraId="5E145E7D">
            <w:pPr>
              <w:spacing w:before="2" w:line="369" w:lineRule="auto"/>
              <w:ind w:left="109" w:right="104" w:firstLine="212"/>
              <w:rPr>
                <w:rFonts w:ascii="宋体" w:hAnsi="宋体" w:eastAsia="宋体" w:cs="宋体"/>
                <w:sz w:val="20"/>
                <w:szCs w:val="20"/>
                <w:highlight w:val="none"/>
              </w:rPr>
            </w:pPr>
            <w:r>
              <w:rPr>
                <w:rFonts w:ascii="宋体" w:hAnsi="宋体" w:eastAsia="宋体" w:cs="宋体"/>
                <w:spacing w:val="12"/>
                <w:sz w:val="20"/>
                <w:szCs w:val="20"/>
                <w:highlight w:val="none"/>
              </w:rPr>
              <w:t>履约保证金保函的有效期至缺陷责任期满之日止，且承包人履约保证金保函</w:t>
            </w:r>
            <w:r>
              <w:rPr>
                <w:rFonts w:ascii="宋体" w:hAnsi="宋体" w:eastAsia="宋体" w:cs="宋体"/>
                <w:spacing w:val="11"/>
                <w:sz w:val="20"/>
                <w:szCs w:val="20"/>
                <w:highlight w:val="none"/>
              </w:rPr>
              <w:t>金</w:t>
            </w:r>
            <w:r>
              <w:rPr>
                <w:rFonts w:ascii="宋体" w:hAnsi="宋体" w:eastAsia="宋体" w:cs="宋体"/>
                <w:sz w:val="20"/>
                <w:szCs w:val="20"/>
                <w:highlight w:val="none"/>
              </w:rPr>
              <w:t xml:space="preserve"> </w:t>
            </w:r>
            <w:r>
              <w:rPr>
                <w:rFonts w:ascii="宋体" w:hAnsi="宋体" w:eastAsia="宋体" w:cs="宋体"/>
                <w:spacing w:val="18"/>
                <w:sz w:val="20"/>
                <w:szCs w:val="20"/>
                <w:highlight w:val="none"/>
              </w:rPr>
              <w:t>额</w:t>
            </w:r>
            <w:r>
              <w:rPr>
                <w:rFonts w:ascii="宋体" w:hAnsi="宋体" w:eastAsia="宋体" w:cs="宋体"/>
                <w:spacing w:val="12"/>
                <w:sz w:val="20"/>
                <w:szCs w:val="20"/>
                <w:highlight w:val="none"/>
              </w:rPr>
              <w:t>不</w:t>
            </w:r>
            <w:r>
              <w:rPr>
                <w:rFonts w:ascii="宋体" w:hAnsi="宋体" w:eastAsia="宋体" w:cs="宋体"/>
                <w:spacing w:val="9"/>
                <w:sz w:val="20"/>
                <w:szCs w:val="20"/>
                <w:highlight w:val="none"/>
              </w:rPr>
              <w:t>低于质量保证金金额的，承包人无须另行提交质量保证金银行保函。</w:t>
            </w:r>
          </w:p>
          <w:p w14:paraId="210DC3FA">
            <w:pPr>
              <w:spacing w:before="3" w:line="368" w:lineRule="auto"/>
              <w:ind w:left="109" w:right="50" w:firstLine="212"/>
              <w:rPr>
                <w:rFonts w:ascii="宋体" w:hAnsi="宋体" w:eastAsia="宋体" w:cs="宋体"/>
                <w:sz w:val="20"/>
                <w:szCs w:val="20"/>
                <w:highlight w:val="none"/>
              </w:rPr>
            </w:pPr>
            <w:r>
              <w:rPr>
                <w:rFonts w:ascii="宋体" w:hAnsi="宋体" w:eastAsia="宋体" w:cs="宋体"/>
                <w:spacing w:val="12"/>
                <w:sz w:val="20"/>
                <w:szCs w:val="20"/>
                <w:highlight w:val="none"/>
              </w:rPr>
              <w:t>履约保证金保函的有效期至缺陷责任期满之日止，但承包人履约保证金保函</w:t>
            </w:r>
            <w:r>
              <w:rPr>
                <w:rFonts w:ascii="宋体" w:hAnsi="宋体" w:eastAsia="宋体" w:cs="宋体"/>
                <w:spacing w:val="11"/>
                <w:sz w:val="20"/>
                <w:szCs w:val="20"/>
                <w:highlight w:val="none"/>
              </w:rPr>
              <w:t>金</w:t>
            </w:r>
            <w:r>
              <w:rPr>
                <w:rFonts w:ascii="宋体" w:hAnsi="宋体" w:eastAsia="宋体" w:cs="宋体"/>
                <w:spacing w:val="24"/>
                <w:sz w:val="20"/>
                <w:szCs w:val="20"/>
                <w:highlight w:val="none"/>
              </w:rPr>
              <w:t>额</w:t>
            </w:r>
            <w:r>
              <w:rPr>
                <w:rFonts w:ascii="宋体" w:hAnsi="宋体" w:eastAsia="宋体" w:cs="宋体"/>
                <w:spacing w:val="18"/>
                <w:sz w:val="20"/>
                <w:szCs w:val="20"/>
                <w:highlight w:val="none"/>
              </w:rPr>
              <w:t>低</w:t>
            </w:r>
            <w:r>
              <w:rPr>
                <w:rFonts w:ascii="宋体" w:hAnsi="宋体" w:eastAsia="宋体" w:cs="宋体"/>
                <w:spacing w:val="12"/>
                <w:sz w:val="20"/>
                <w:szCs w:val="20"/>
                <w:highlight w:val="none"/>
              </w:rPr>
              <w:t>于质量保证金金额的，承包人应另行提交全额质量保证金银行保函。同时，</w:t>
            </w:r>
            <w:r>
              <w:rPr>
                <w:rFonts w:ascii="宋体" w:hAnsi="宋体" w:eastAsia="宋体" w:cs="宋体"/>
                <w:spacing w:val="14"/>
                <w:sz w:val="20"/>
                <w:szCs w:val="20"/>
                <w:highlight w:val="none"/>
              </w:rPr>
              <w:t>发</w:t>
            </w:r>
            <w:r>
              <w:rPr>
                <w:rFonts w:ascii="宋体" w:hAnsi="宋体" w:eastAsia="宋体" w:cs="宋体"/>
                <w:spacing w:val="8"/>
                <w:sz w:val="20"/>
                <w:szCs w:val="20"/>
                <w:highlight w:val="none"/>
              </w:rPr>
              <w:t>包</w:t>
            </w:r>
            <w:r>
              <w:rPr>
                <w:rFonts w:ascii="宋体" w:hAnsi="宋体" w:eastAsia="宋体" w:cs="宋体"/>
                <w:spacing w:val="7"/>
                <w:sz w:val="20"/>
                <w:szCs w:val="20"/>
                <w:highlight w:val="none"/>
              </w:rPr>
              <w:t>人将提前终止承包人履约保证金保函的有效期 (至颁发工程验收证书之日) ，</w:t>
            </w:r>
            <w:r>
              <w:rPr>
                <w:rFonts w:ascii="宋体" w:hAnsi="宋体" w:eastAsia="宋体" w:cs="宋体"/>
                <w:spacing w:val="9"/>
                <w:sz w:val="20"/>
                <w:szCs w:val="20"/>
                <w:highlight w:val="none"/>
              </w:rPr>
              <w:t>并</w:t>
            </w:r>
            <w:r>
              <w:rPr>
                <w:rFonts w:ascii="宋体" w:hAnsi="宋体" w:eastAsia="宋体" w:cs="宋体"/>
                <w:spacing w:val="8"/>
                <w:sz w:val="20"/>
                <w:szCs w:val="20"/>
                <w:highlight w:val="none"/>
              </w:rPr>
              <w:t>函告出具保函的银行。</w:t>
            </w:r>
          </w:p>
          <w:p w14:paraId="00704B97">
            <w:pPr>
              <w:spacing w:line="369" w:lineRule="auto"/>
              <w:ind w:left="109" w:right="102" w:firstLine="218"/>
              <w:rPr>
                <w:rFonts w:ascii="宋体" w:hAnsi="宋体" w:eastAsia="宋体" w:cs="宋体"/>
                <w:sz w:val="20"/>
                <w:szCs w:val="20"/>
                <w:highlight w:val="none"/>
              </w:rPr>
            </w:pPr>
            <w:r>
              <w:rPr>
                <w:rFonts w:ascii="宋体" w:hAnsi="宋体" w:eastAsia="宋体" w:cs="宋体"/>
                <w:spacing w:val="20"/>
                <w:sz w:val="20"/>
                <w:szCs w:val="20"/>
                <w:highlight w:val="none"/>
              </w:rPr>
              <w:t>(</w:t>
            </w:r>
            <w:r>
              <w:rPr>
                <w:rFonts w:ascii="Times New Roman" w:hAnsi="Times New Roman" w:eastAsia="Times New Roman" w:cs="Times New Roman"/>
                <w:spacing w:val="20"/>
                <w:sz w:val="20"/>
                <w:szCs w:val="20"/>
                <w:highlight w:val="none"/>
              </w:rPr>
              <w:t>2</w:t>
            </w:r>
            <w:r>
              <w:rPr>
                <w:rFonts w:ascii="宋体" w:hAnsi="宋体" w:eastAsia="宋体" w:cs="宋体"/>
                <w:spacing w:val="13"/>
                <w:sz w:val="20"/>
                <w:szCs w:val="20"/>
                <w:highlight w:val="none"/>
              </w:rPr>
              <w:t>)</w:t>
            </w:r>
            <w:r>
              <w:rPr>
                <w:rFonts w:ascii="宋体" w:hAnsi="宋体" w:eastAsia="宋体" w:cs="宋体"/>
                <w:spacing w:val="10"/>
                <w:sz w:val="20"/>
                <w:szCs w:val="20"/>
                <w:highlight w:val="none"/>
              </w:rPr>
              <w:t xml:space="preserve"> 承包人履约保证金、质量保证金均采用现金 (电汇或银行汇票形式) 的，</w:t>
            </w:r>
            <w:r>
              <w:rPr>
                <w:rFonts w:ascii="宋体" w:hAnsi="宋体" w:eastAsia="宋体" w:cs="宋体"/>
                <w:spacing w:val="9"/>
                <w:sz w:val="20"/>
                <w:szCs w:val="20"/>
                <w:highlight w:val="none"/>
              </w:rPr>
              <w:t>承包人应在签发工程验收证书时，按《项目专用合同条款数据表》 中的规定的</w:t>
            </w:r>
            <w:r>
              <w:rPr>
                <w:rFonts w:ascii="宋体" w:hAnsi="宋体" w:eastAsia="宋体" w:cs="宋体"/>
                <w:spacing w:val="7"/>
                <w:sz w:val="20"/>
                <w:szCs w:val="20"/>
                <w:highlight w:val="none"/>
              </w:rPr>
              <w:t>金</w:t>
            </w:r>
            <w:r>
              <w:rPr>
                <w:rFonts w:ascii="宋体" w:hAnsi="宋体" w:eastAsia="宋体" w:cs="宋体"/>
                <w:spacing w:val="13"/>
                <w:sz w:val="20"/>
                <w:szCs w:val="20"/>
                <w:highlight w:val="none"/>
              </w:rPr>
              <w:t>额</w:t>
            </w:r>
            <w:r>
              <w:rPr>
                <w:rFonts w:ascii="宋体" w:hAnsi="宋体" w:eastAsia="宋体" w:cs="宋体"/>
                <w:spacing w:val="8"/>
                <w:sz w:val="20"/>
                <w:szCs w:val="20"/>
                <w:highlight w:val="none"/>
              </w:rPr>
              <w:t>向发包人提交质量保证金。</w:t>
            </w:r>
          </w:p>
          <w:p w14:paraId="1387199A">
            <w:pPr>
              <w:spacing w:before="2" w:line="369" w:lineRule="auto"/>
              <w:ind w:left="109" w:right="33" w:firstLine="212"/>
              <w:rPr>
                <w:rFonts w:ascii="宋体" w:hAnsi="宋体" w:eastAsia="宋体" w:cs="宋体"/>
                <w:sz w:val="20"/>
                <w:szCs w:val="20"/>
                <w:highlight w:val="none"/>
              </w:rPr>
            </w:pPr>
            <w:r>
              <w:rPr>
                <w:rFonts w:ascii="宋体" w:hAnsi="宋体" w:eastAsia="宋体" w:cs="宋体"/>
                <w:spacing w:val="12"/>
                <w:sz w:val="20"/>
                <w:szCs w:val="20"/>
                <w:highlight w:val="none"/>
              </w:rPr>
              <w:t>如履约保证金金额不低于质量保证金金额的，发包人从履约保证金中扣留相</w:t>
            </w:r>
            <w:r>
              <w:rPr>
                <w:rFonts w:ascii="宋体" w:hAnsi="宋体" w:eastAsia="宋体" w:cs="宋体"/>
                <w:spacing w:val="11"/>
                <w:sz w:val="20"/>
                <w:szCs w:val="20"/>
                <w:highlight w:val="none"/>
              </w:rPr>
              <w:t>应</w:t>
            </w:r>
            <w:r>
              <w:rPr>
                <w:rFonts w:ascii="宋体" w:hAnsi="宋体" w:eastAsia="宋体" w:cs="宋体"/>
                <w:spacing w:val="10"/>
                <w:sz w:val="20"/>
                <w:szCs w:val="20"/>
                <w:highlight w:val="none"/>
              </w:rPr>
              <w:t>额</w:t>
            </w:r>
            <w:r>
              <w:rPr>
                <w:rFonts w:ascii="宋体" w:hAnsi="宋体" w:eastAsia="宋体" w:cs="宋体"/>
                <w:spacing w:val="8"/>
                <w:sz w:val="20"/>
                <w:szCs w:val="20"/>
                <w:highlight w:val="none"/>
              </w:rPr>
              <w:t>度的质量保证金，并在签发工程验收证书时，将剩余履约保证金退还给承包人。</w:t>
            </w:r>
          </w:p>
          <w:p w14:paraId="532FE142">
            <w:pPr>
              <w:spacing w:before="1" w:line="369" w:lineRule="auto"/>
              <w:ind w:left="110" w:right="102" w:firstLine="211"/>
              <w:rPr>
                <w:rFonts w:ascii="宋体" w:hAnsi="宋体" w:eastAsia="宋体" w:cs="宋体"/>
                <w:sz w:val="20"/>
                <w:szCs w:val="20"/>
                <w:highlight w:val="none"/>
              </w:rPr>
            </w:pPr>
            <w:r>
              <w:rPr>
                <w:rFonts w:ascii="宋体" w:hAnsi="宋体" w:eastAsia="宋体" w:cs="宋体"/>
                <w:spacing w:val="12"/>
                <w:sz w:val="20"/>
                <w:szCs w:val="20"/>
                <w:highlight w:val="none"/>
              </w:rPr>
              <w:t>如履约保证金金额低于质量保证金金额的，发包人将扣留全部履约保证金作</w:t>
            </w:r>
            <w:r>
              <w:rPr>
                <w:rFonts w:ascii="宋体" w:hAnsi="宋体" w:eastAsia="宋体" w:cs="宋体"/>
                <w:spacing w:val="11"/>
                <w:sz w:val="20"/>
                <w:szCs w:val="20"/>
                <w:highlight w:val="none"/>
              </w:rPr>
              <w:t>为</w:t>
            </w:r>
            <w:r>
              <w:rPr>
                <w:rFonts w:ascii="宋体" w:hAnsi="宋体" w:eastAsia="宋体" w:cs="宋体"/>
                <w:spacing w:val="13"/>
                <w:sz w:val="20"/>
                <w:szCs w:val="20"/>
                <w:highlight w:val="none"/>
              </w:rPr>
              <w:t>质</w:t>
            </w:r>
            <w:r>
              <w:rPr>
                <w:rFonts w:ascii="宋体" w:hAnsi="宋体" w:eastAsia="宋体" w:cs="宋体"/>
                <w:spacing w:val="12"/>
                <w:sz w:val="20"/>
                <w:szCs w:val="20"/>
                <w:highlight w:val="none"/>
              </w:rPr>
              <w:t>量保证金的一部分，且承包人应在签发工程验收证书时向发包人提交质量保证</w:t>
            </w:r>
            <w:r>
              <w:rPr>
                <w:rFonts w:ascii="宋体" w:hAnsi="宋体" w:eastAsia="宋体" w:cs="宋体"/>
                <w:sz w:val="20"/>
                <w:szCs w:val="20"/>
                <w:highlight w:val="none"/>
              </w:rPr>
              <w:t xml:space="preserve"> </w:t>
            </w:r>
            <w:r>
              <w:rPr>
                <w:rFonts w:ascii="宋体" w:hAnsi="宋体" w:eastAsia="宋体" w:cs="宋体"/>
                <w:spacing w:val="8"/>
                <w:sz w:val="20"/>
                <w:szCs w:val="20"/>
                <w:highlight w:val="none"/>
              </w:rPr>
              <w:t>金的剩余</w:t>
            </w:r>
            <w:r>
              <w:rPr>
                <w:rFonts w:ascii="宋体" w:hAnsi="宋体" w:eastAsia="宋体" w:cs="宋体"/>
                <w:spacing w:val="5"/>
                <w:sz w:val="20"/>
                <w:szCs w:val="20"/>
                <w:highlight w:val="none"/>
              </w:rPr>
              <w:t>部</w:t>
            </w:r>
            <w:r>
              <w:rPr>
                <w:rFonts w:ascii="宋体" w:hAnsi="宋体" w:eastAsia="宋体" w:cs="宋体"/>
                <w:spacing w:val="4"/>
                <w:sz w:val="20"/>
                <w:szCs w:val="20"/>
                <w:highlight w:val="none"/>
              </w:rPr>
              <w:t>分 ( “质量保证金”减去“履约保证金”) 。</w:t>
            </w:r>
          </w:p>
          <w:p w14:paraId="0E05B9BB">
            <w:pPr>
              <w:spacing w:before="0" w:line="400" w:lineRule="exact"/>
              <w:ind w:left="328" w:right="0" w:firstLine="0"/>
              <w:rPr>
                <w:rFonts w:ascii="宋体" w:hAnsi="宋体" w:eastAsia="宋体" w:cs="宋体"/>
                <w:spacing w:val="12"/>
                <w:sz w:val="20"/>
                <w:szCs w:val="20"/>
                <w:highlight w:val="none"/>
              </w:rPr>
            </w:pPr>
            <w:r>
              <w:rPr>
                <w:rFonts w:ascii="宋体" w:hAnsi="宋体" w:eastAsia="宋体" w:cs="宋体"/>
                <w:spacing w:val="12"/>
                <w:sz w:val="20"/>
                <w:szCs w:val="20"/>
                <w:highlight w:val="none"/>
              </w:rPr>
              <w:t>(3) 承包人履约保证金采用现金 (电汇或银行汇票形式) 、质量保证金采用银行保函形式的，在发包人与承包人完成本合同工程价款结算后，承包人应在工程验收证书颁发时，按《项目专用合同条款数据表》 中规定的额度向发包人提交质量保证金银行保函，出具保函的银行须具有相应担保能力，且按照发包人批准的格式出具，所需费用由承包人承担，保函的有效期应至缺陷责任期满之日止。</w:t>
            </w:r>
          </w:p>
          <w:p w14:paraId="32707F15">
            <w:pPr>
              <w:spacing w:line="400" w:lineRule="exact"/>
              <w:ind w:left="328" w:right="0" w:firstLine="0"/>
              <w:rPr>
                <w:rFonts w:ascii="宋体" w:hAnsi="宋体" w:eastAsia="宋体" w:cs="宋体"/>
                <w:spacing w:val="12"/>
                <w:sz w:val="20"/>
                <w:szCs w:val="20"/>
                <w:highlight w:val="none"/>
              </w:rPr>
            </w:pPr>
            <w:r>
              <w:rPr>
                <w:rFonts w:ascii="宋体" w:hAnsi="宋体" w:eastAsia="宋体" w:cs="宋体"/>
                <w:spacing w:val="12"/>
                <w:sz w:val="20"/>
                <w:szCs w:val="20"/>
                <w:highlight w:val="none"/>
              </w:rPr>
              <w:t>(4) 承包人履约保证金采用银行保函形式、质量保证金采用现金 (电汇或银行 汇票形式) 的，承包人应在工程验收证书颁发时，按《项目专用合同条款数据表》 中规定的额度向发包人提交质量保证金。</w:t>
            </w:r>
          </w:p>
          <w:p w14:paraId="250B6CF8">
            <w:pPr>
              <w:spacing w:line="400" w:lineRule="exact"/>
              <w:ind w:left="328"/>
              <w:rPr>
                <w:rFonts w:hint="eastAsia" w:ascii="宋体" w:hAnsi="宋体" w:eastAsia="宋体" w:cs="宋体"/>
                <w:spacing w:val="7"/>
                <w:sz w:val="20"/>
                <w:szCs w:val="20"/>
                <w:highlight w:val="none"/>
                <w:lang w:eastAsia="zh-CN"/>
              </w:rPr>
            </w:pPr>
            <w:r>
              <w:rPr>
                <w:rFonts w:ascii="宋体" w:hAnsi="宋体" w:eastAsia="宋体" w:cs="宋体"/>
                <w:spacing w:val="12"/>
                <w:position w:val="0"/>
                <w:sz w:val="20"/>
                <w:szCs w:val="20"/>
                <w:highlight w:val="none"/>
              </w:rPr>
              <w:t>(5) 质量保证金属建设资金，应专款专用，承包人不得用于抵债或作为处理经</w:t>
            </w:r>
            <w:r>
              <w:rPr>
                <w:rFonts w:hint="default" w:ascii="宋体" w:hAnsi="宋体" w:eastAsia="宋体" w:cs="宋体"/>
                <w:spacing w:val="12"/>
                <w:position w:val="0"/>
                <w:sz w:val="20"/>
                <w:szCs w:val="20"/>
                <w:highlight w:val="none"/>
              </w:rPr>
              <w:t>济纠纷</w:t>
            </w:r>
            <w:r>
              <w:rPr>
                <w:rFonts w:hint="eastAsia" w:ascii="宋体" w:hAnsi="宋体" w:eastAsia="宋体" w:cs="宋体"/>
                <w:spacing w:val="12"/>
                <w:position w:val="0"/>
                <w:sz w:val="20"/>
                <w:szCs w:val="20"/>
                <w:highlight w:val="none"/>
                <w:lang w:eastAsia="zh-CN"/>
              </w:rPr>
              <w:t>。</w:t>
            </w:r>
          </w:p>
        </w:tc>
      </w:tr>
      <w:tr w14:paraId="624DA5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 w:hRule="atLeast"/>
        </w:trPr>
        <w:tc>
          <w:tcPr>
            <w:tcW w:w="534" w:type="dxa"/>
            <w:tcBorders>
              <w:left w:val="single" w:color="000000" w:sz="6" w:space="0"/>
            </w:tcBorders>
            <w:vAlign w:val="top"/>
          </w:tcPr>
          <w:p w14:paraId="3D6CE3AE">
            <w:pPr>
              <w:spacing w:before="130" w:line="195" w:lineRule="auto"/>
              <w:ind w:left="155"/>
              <w:rPr>
                <w:rFonts w:hint="eastAsia" w:ascii="Times New Roman" w:hAnsi="Times New Roman" w:eastAsia="宋体" w:cs="Times New Roman"/>
                <w:sz w:val="20"/>
                <w:szCs w:val="20"/>
                <w:highlight w:val="none"/>
                <w:lang w:val="en-US" w:eastAsia="zh-CN"/>
              </w:rPr>
            </w:pPr>
            <w:r>
              <w:rPr>
                <w:rFonts w:ascii="Times New Roman" w:hAnsi="Times New Roman" w:eastAsia="Times New Roman" w:cs="Times New Roman"/>
                <w:spacing w:val="3"/>
                <w:sz w:val="20"/>
                <w:szCs w:val="20"/>
                <w:highlight w:val="none"/>
              </w:rPr>
              <w:t>4</w:t>
            </w:r>
            <w:r>
              <w:rPr>
                <w:rFonts w:hint="eastAsia" w:ascii="Times New Roman" w:hAnsi="Times New Roman" w:eastAsia="宋体" w:cs="Times New Roman"/>
                <w:spacing w:val="3"/>
                <w:sz w:val="20"/>
                <w:szCs w:val="20"/>
                <w:highlight w:val="none"/>
                <w:lang w:val="en-US" w:eastAsia="zh-CN"/>
              </w:rPr>
              <w:t>0</w:t>
            </w:r>
          </w:p>
        </w:tc>
        <w:tc>
          <w:tcPr>
            <w:tcW w:w="1004" w:type="dxa"/>
            <w:vAlign w:val="top"/>
          </w:tcPr>
          <w:p w14:paraId="19414927">
            <w:pPr>
              <w:spacing w:before="93" w:line="231" w:lineRule="auto"/>
              <w:ind w:left="122"/>
              <w:rPr>
                <w:rFonts w:ascii="宋体" w:hAnsi="宋体" w:eastAsia="宋体" w:cs="宋体"/>
                <w:sz w:val="20"/>
                <w:szCs w:val="20"/>
                <w:highlight w:val="none"/>
              </w:rPr>
            </w:pPr>
            <w:r>
              <w:rPr>
                <w:rFonts w:ascii="Times New Roman" w:hAnsi="Times New Roman" w:eastAsia="Times New Roman" w:cs="Times New Roman"/>
                <w:spacing w:val="-3"/>
                <w:sz w:val="20"/>
                <w:szCs w:val="20"/>
                <w:highlight w:val="none"/>
              </w:rPr>
              <w:t xml:space="preserve">17.5. 1 </w:t>
            </w:r>
            <w:r>
              <w:rPr>
                <w:rFonts w:ascii="宋体" w:hAnsi="宋体" w:eastAsia="宋体" w:cs="宋体"/>
                <w:spacing w:val="-3"/>
                <w:sz w:val="20"/>
                <w:szCs w:val="20"/>
                <w:highlight w:val="none"/>
              </w:rPr>
              <w:t>(</w:t>
            </w:r>
            <w:r>
              <w:rPr>
                <w:rFonts w:ascii="Times New Roman" w:hAnsi="Times New Roman" w:eastAsia="Times New Roman" w:cs="Times New Roman"/>
                <w:spacing w:val="-3"/>
                <w:sz w:val="20"/>
                <w:szCs w:val="20"/>
                <w:highlight w:val="none"/>
              </w:rPr>
              <w:t>1</w:t>
            </w:r>
            <w:r>
              <w:rPr>
                <w:rFonts w:ascii="宋体" w:hAnsi="宋体" w:eastAsia="宋体" w:cs="宋体"/>
                <w:spacing w:val="-2"/>
                <w:sz w:val="20"/>
                <w:szCs w:val="20"/>
                <w:highlight w:val="none"/>
              </w:rPr>
              <w:t>)</w:t>
            </w:r>
          </w:p>
        </w:tc>
        <w:tc>
          <w:tcPr>
            <w:tcW w:w="7897" w:type="dxa"/>
            <w:tcBorders>
              <w:right w:val="single" w:color="000000" w:sz="6" w:space="0"/>
            </w:tcBorders>
            <w:vAlign w:val="top"/>
          </w:tcPr>
          <w:p w14:paraId="166A9498">
            <w:pPr>
              <w:spacing w:before="139" w:line="227" w:lineRule="auto"/>
              <w:ind w:left="303"/>
              <w:rPr>
                <w:rFonts w:ascii="宋体" w:hAnsi="宋体" w:eastAsia="宋体" w:cs="宋体"/>
                <w:sz w:val="20"/>
                <w:szCs w:val="20"/>
                <w:highlight w:val="none"/>
              </w:rPr>
            </w:pPr>
            <w:r>
              <w:rPr>
                <w:rFonts w:ascii="宋体" w:hAnsi="宋体" w:eastAsia="宋体" w:cs="宋体"/>
                <w:spacing w:val="-8"/>
                <w:sz w:val="20"/>
                <w:szCs w:val="20"/>
                <w:highlight w:val="none"/>
              </w:rPr>
              <w:t>承包人</w:t>
            </w:r>
            <w:r>
              <w:rPr>
                <w:rFonts w:ascii="宋体" w:hAnsi="宋体" w:eastAsia="宋体" w:cs="宋体"/>
                <w:spacing w:val="-7"/>
                <w:sz w:val="20"/>
                <w:szCs w:val="20"/>
                <w:highlight w:val="none"/>
              </w:rPr>
              <w:t>向</w:t>
            </w:r>
            <w:r>
              <w:rPr>
                <w:rFonts w:ascii="宋体" w:hAnsi="宋体" w:eastAsia="宋体" w:cs="宋体"/>
                <w:spacing w:val="-4"/>
                <w:sz w:val="20"/>
                <w:szCs w:val="20"/>
                <w:highlight w:val="none"/>
              </w:rPr>
              <w:t>监理人提交交工付款申请单 (包括相关证明材料) 的份数，规定为：</w:t>
            </w:r>
            <w:r>
              <w:rPr>
                <w:rFonts w:ascii="Times New Roman" w:hAnsi="Times New Roman" w:eastAsia="Times New Roman" w:cs="Times New Roman"/>
                <w:spacing w:val="-4"/>
                <w:sz w:val="20"/>
                <w:szCs w:val="20"/>
                <w:highlight w:val="none"/>
                <w:u w:val="none" w:color="auto"/>
              </w:rPr>
              <w:t xml:space="preserve">   6 </w:t>
            </w:r>
            <w:r>
              <w:rPr>
                <w:rFonts w:ascii="宋体" w:hAnsi="宋体" w:eastAsia="宋体" w:cs="宋体"/>
                <w:spacing w:val="-4"/>
                <w:sz w:val="20"/>
                <w:szCs w:val="20"/>
                <w:highlight w:val="none"/>
                <w:u w:val="none" w:color="auto"/>
              </w:rPr>
              <w:t>份</w:t>
            </w:r>
            <w:r>
              <w:rPr>
                <w:rFonts w:ascii="宋体" w:hAnsi="宋体" w:eastAsia="宋体" w:cs="宋体"/>
                <w:sz w:val="20"/>
                <w:szCs w:val="20"/>
                <w:highlight w:val="none"/>
                <w:u w:val="none" w:color="auto"/>
              </w:rPr>
              <w:t xml:space="preserve"> </w:t>
            </w:r>
          </w:p>
        </w:tc>
      </w:tr>
      <w:tr w14:paraId="174936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1" w:hRule="atLeast"/>
        </w:trPr>
        <w:tc>
          <w:tcPr>
            <w:tcW w:w="534" w:type="dxa"/>
            <w:tcBorders>
              <w:left w:val="single" w:color="000000" w:sz="6" w:space="0"/>
            </w:tcBorders>
            <w:vAlign w:val="top"/>
          </w:tcPr>
          <w:p w14:paraId="481A6D8C">
            <w:pPr>
              <w:spacing w:before="130" w:line="195" w:lineRule="auto"/>
              <w:ind w:left="155"/>
              <w:rPr>
                <w:rFonts w:hint="eastAsia" w:ascii="Times New Roman" w:hAnsi="Times New Roman" w:eastAsia="宋体" w:cs="Times New Roman"/>
                <w:sz w:val="20"/>
                <w:szCs w:val="20"/>
                <w:highlight w:val="none"/>
                <w:lang w:val="en-US" w:eastAsia="zh-CN"/>
              </w:rPr>
            </w:pPr>
            <w:r>
              <w:rPr>
                <w:rFonts w:ascii="Times New Roman" w:hAnsi="Times New Roman" w:eastAsia="Times New Roman" w:cs="Times New Roman"/>
                <w:spacing w:val="3"/>
                <w:sz w:val="20"/>
                <w:szCs w:val="20"/>
                <w:highlight w:val="none"/>
              </w:rPr>
              <w:t>4</w:t>
            </w:r>
            <w:r>
              <w:rPr>
                <w:rFonts w:hint="eastAsia" w:ascii="Times New Roman" w:hAnsi="Times New Roman" w:eastAsia="宋体" w:cs="Times New Roman"/>
                <w:spacing w:val="3"/>
                <w:sz w:val="20"/>
                <w:szCs w:val="20"/>
                <w:highlight w:val="none"/>
                <w:lang w:val="en-US" w:eastAsia="zh-CN"/>
              </w:rPr>
              <w:t>1</w:t>
            </w:r>
          </w:p>
        </w:tc>
        <w:tc>
          <w:tcPr>
            <w:tcW w:w="1004" w:type="dxa"/>
            <w:vAlign w:val="top"/>
          </w:tcPr>
          <w:p w14:paraId="13E8F970">
            <w:pPr>
              <w:spacing w:before="91" w:line="231" w:lineRule="auto"/>
              <w:ind w:left="122"/>
              <w:rPr>
                <w:rFonts w:ascii="宋体" w:hAnsi="宋体" w:eastAsia="宋体" w:cs="宋体"/>
                <w:sz w:val="20"/>
                <w:szCs w:val="20"/>
                <w:highlight w:val="none"/>
              </w:rPr>
            </w:pPr>
            <w:r>
              <w:rPr>
                <w:rFonts w:ascii="Times New Roman" w:hAnsi="Times New Roman" w:eastAsia="Times New Roman" w:cs="Times New Roman"/>
                <w:spacing w:val="-3"/>
                <w:sz w:val="20"/>
                <w:szCs w:val="20"/>
                <w:highlight w:val="none"/>
              </w:rPr>
              <w:t xml:space="preserve">17.6. 1 </w:t>
            </w:r>
            <w:r>
              <w:rPr>
                <w:rFonts w:ascii="宋体" w:hAnsi="宋体" w:eastAsia="宋体" w:cs="宋体"/>
                <w:spacing w:val="-3"/>
                <w:sz w:val="20"/>
                <w:szCs w:val="20"/>
                <w:highlight w:val="none"/>
              </w:rPr>
              <w:t>(</w:t>
            </w:r>
            <w:r>
              <w:rPr>
                <w:rFonts w:ascii="Times New Roman" w:hAnsi="Times New Roman" w:eastAsia="Times New Roman" w:cs="Times New Roman"/>
                <w:spacing w:val="-3"/>
                <w:sz w:val="20"/>
                <w:szCs w:val="20"/>
                <w:highlight w:val="none"/>
              </w:rPr>
              <w:t>1</w:t>
            </w:r>
            <w:r>
              <w:rPr>
                <w:rFonts w:ascii="宋体" w:hAnsi="宋体" w:eastAsia="宋体" w:cs="宋体"/>
                <w:spacing w:val="-2"/>
                <w:sz w:val="20"/>
                <w:szCs w:val="20"/>
                <w:highlight w:val="none"/>
              </w:rPr>
              <w:t>)</w:t>
            </w:r>
          </w:p>
        </w:tc>
        <w:tc>
          <w:tcPr>
            <w:tcW w:w="7897" w:type="dxa"/>
            <w:tcBorders>
              <w:right w:val="single" w:color="000000" w:sz="6" w:space="0"/>
            </w:tcBorders>
            <w:vAlign w:val="top"/>
          </w:tcPr>
          <w:p w14:paraId="0EBE625B">
            <w:pPr>
              <w:spacing w:before="140" w:line="222" w:lineRule="auto"/>
              <w:ind w:left="303"/>
              <w:rPr>
                <w:rFonts w:ascii="宋体" w:hAnsi="宋体" w:eastAsia="宋体" w:cs="宋体"/>
                <w:sz w:val="20"/>
                <w:szCs w:val="20"/>
                <w:highlight w:val="none"/>
              </w:rPr>
            </w:pPr>
            <w:r>
              <w:rPr>
                <w:rFonts w:ascii="宋体" w:hAnsi="宋体" w:eastAsia="宋体" w:cs="宋体"/>
                <w:spacing w:val="-8"/>
                <w:sz w:val="20"/>
                <w:szCs w:val="20"/>
                <w:highlight w:val="none"/>
              </w:rPr>
              <w:t xml:space="preserve">承包人向监理人提交最终结清申请单 (包括相关证明材料) 的份数，规定为： </w:t>
            </w:r>
            <w:r>
              <w:rPr>
                <w:rFonts w:ascii="宋体" w:hAnsi="宋体" w:eastAsia="宋体" w:cs="宋体"/>
                <w:spacing w:val="-8"/>
                <w:sz w:val="20"/>
                <w:szCs w:val="20"/>
                <w:highlight w:val="none"/>
                <w:u w:val="none"/>
              </w:rPr>
              <w:t xml:space="preserve">  </w:t>
            </w:r>
            <w:r>
              <w:rPr>
                <w:rFonts w:ascii="Times New Roman" w:hAnsi="Times New Roman" w:eastAsia="Times New Roman" w:cs="Times New Roman"/>
                <w:spacing w:val="-8"/>
                <w:sz w:val="20"/>
                <w:szCs w:val="20"/>
                <w:highlight w:val="none"/>
                <w:u w:val="none"/>
              </w:rPr>
              <w:t xml:space="preserve">6 </w:t>
            </w:r>
            <w:r>
              <w:rPr>
                <w:rFonts w:ascii="宋体" w:hAnsi="宋体" w:eastAsia="宋体" w:cs="宋体"/>
                <w:spacing w:val="-5"/>
                <w:sz w:val="20"/>
                <w:szCs w:val="20"/>
                <w:highlight w:val="none"/>
                <w:u w:val="none"/>
              </w:rPr>
              <w:t>份</w:t>
            </w:r>
          </w:p>
        </w:tc>
      </w:tr>
      <w:tr w14:paraId="2E15BE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 w:hRule="atLeast"/>
        </w:trPr>
        <w:tc>
          <w:tcPr>
            <w:tcW w:w="534" w:type="dxa"/>
            <w:tcBorders>
              <w:left w:val="single" w:color="000000" w:sz="6" w:space="0"/>
            </w:tcBorders>
            <w:vAlign w:val="top"/>
          </w:tcPr>
          <w:p w14:paraId="120A411B">
            <w:pPr>
              <w:spacing w:before="150" w:line="195" w:lineRule="auto"/>
              <w:ind w:left="155"/>
              <w:rPr>
                <w:rFonts w:hint="eastAsia" w:ascii="Times New Roman" w:hAnsi="Times New Roman" w:eastAsia="宋体" w:cs="Times New Roman"/>
                <w:sz w:val="20"/>
                <w:szCs w:val="20"/>
                <w:highlight w:val="none"/>
                <w:lang w:val="en-US" w:eastAsia="zh-CN"/>
              </w:rPr>
            </w:pPr>
            <w:r>
              <w:rPr>
                <w:rFonts w:ascii="Times New Roman" w:hAnsi="Times New Roman" w:eastAsia="Times New Roman" w:cs="Times New Roman"/>
                <w:spacing w:val="3"/>
                <w:sz w:val="20"/>
                <w:szCs w:val="20"/>
                <w:highlight w:val="none"/>
              </w:rPr>
              <w:t>4</w:t>
            </w:r>
            <w:r>
              <w:rPr>
                <w:rFonts w:hint="eastAsia" w:ascii="Times New Roman" w:hAnsi="Times New Roman" w:eastAsia="宋体" w:cs="Times New Roman"/>
                <w:spacing w:val="3"/>
                <w:sz w:val="20"/>
                <w:szCs w:val="20"/>
                <w:highlight w:val="none"/>
                <w:lang w:val="en-US" w:eastAsia="zh-CN"/>
              </w:rPr>
              <w:t>2</w:t>
            </w:r>
          </w:p>
        </w:tc>
        <w:tc>
          <w:tcPr>
            <w:tcW w:w="1004" w:type="dxa"/>
            <w:vAlign w:val="top"/>
          </w:tcPr>
          <w:p w14:paraId="0F84819C">
            <w:pPr>
              <w:spacing w:before="111" w:line="231" w:lineRule="auto"/>
              <w:ind w:left="125"/>
              <w:rPr>
                <w:rFonts w:ascii="宋体" w:hAnsi="宋体" w:eastAsia="宋体" w:cs="宋体"/>
                <w:sz w:val="20"/>
                <w:szCs w:val="20"/>
                <w:highlight w:val="none"/>
              </w:rPr>
            </w:pPr>
            <w:r>
              <w:rPr>
                <w:rFonts w:ascii="Times New Roman" w:hAnsi="Times New Roman" w:eastAsia="Times New Roman" w:cs="Times New Roman"/>
                <w:spacing w:val="1"/>
                <w:sz w:val="20"/>
                <w:szCs w:val="20"/>
                <w:highlight w:val="none"/>
              </w:rPr>
              <w:t xml:space="preserve">18.2  </w:t>
            </w:r>
            <w:r>
              <w:rPr>
                <w:rFonts w:ascii="宋体" w:hAnsi="宋体" w:eastAsia="宋体" w:cs="宋体"/>
                <w:spacing w:val="1"/>
                <w:sz w:val="20"/>
                <w:szCs w:val="20"/>
                <w:highlight w:val="none"/>
              </w:rPr>
              <w:t>(</w:t>
            </w:r>
            <w:r>
              <w:rPr>
                <w:rFonts w:ascii="Times New Roman" w:hAnsi="Times New Roman" w:eastAsia="Times New Roman" w:cs="Times New Roman"/>
                <w:spacing w:val="1"/>
                <w:sz w:val="20"/>
                <w:szCs w:val="20"/>
                <w:highlight w:val="none"/>
              </w:rPr>
              <w:t>2</w:t>
            </w:r>
            <w:r>
              <w:rPr>
                <w:rFonts w:ascii="宋体" w:hAnsi="宋体" w:eastAsia="宋体" w:cs="宋体"/>
                <w:sz w:val="20"/>
                <w:szCs w:val="20"/>
                <w:highlight w:val="none"/>
              </w:rPr>
              <w:t>)</w:t>
            </w:r>
          </w:p>
        </w:tc>
        <w:tc>
          <w:tcPr>
            <w:tcW w:w="7897" w:type="dxa"/>
            <w:tcBorders>
              <w:right w:val="single" w:color="000000" w:sz="6" w:space="0"/>
            </w:tcBorders>
            <w:vAlign w:val="top"/>
          </w:tcPr>
          <w:p w14:paraId="209C667D">
            <w:pPr>
              <w:spacing w:before="157" w:line="224" w:lineRule="auto"/>
              <w:ind w:left="318"/>
              <w:rPr>
                <w:rFonts w:ascii="宋体" w:hAnsi="宋体" w:eastAsia="宋体" w:cs="宋体"/>
                <w:sz w:val="20"/>
                <w:szCs w:val="20"/>
                <w:highlight w:val="none"/>
              </w:rPr>
            </w:pPr>
            <w:r>
              <w:rPr>
                <w:rFonts w:ascii="宋体" w:hAnsi="宋体" w:eastAsia="宋体" w:cs="宋体"/>
                <w:spacing w:val="-5"/>
                <w:sz w:val="20"/>
                <w:szCs w:val="20"/>
                <w:highlight w:val="none"/>
              </w:rPr>
              <w:t xml:space="preserve">竣工资料的份数，规定为：   </w:t>
            </w:r>
            <w:r>
              <w:rPr>
                <w:rFonts w:ascii="Times New Roman" w:hAnsi="Times New Roman" w:eastAsia="Times New Roman" w:cs="Times New Roman"/>
                <w:spacing w:val="-5"/>
                <w:sz w:val="20"/>
                <w:szCs w:val="20"/>
                <w:highlight w:val="none"/>
              </w:rPr>
              <w:t xml:space="preserve">4 </w:t>
            </w:r>
            <w:r>
              <w:rPr>
                <w:rFonts w:ascii="宋体" w:hAnsi="宋体" w:eastAsia="宋体" w:cs="宋体"/>
                <w:spacing w:val="-3"/>
                <w:sz w:val="20"/>
                <w:szCs w:val="20"/>
                <w:highlight w:val="none"/>
              </w:rPr>
              <w:t>份</w:t>
            </w:r>
          </w:p>
        </w:tc>
      </w:tr>
      <w:tr w14:paraId="42BCC1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18" w:hRule="atLeast"/>
        </w:trPr>
        <w:tc>
          <w:tcPr>
            <w:tcW w:w="534" w:type="dxa"/>
            <w:tcBorders>
              <w:left w:val="single" w:color="000000" w:sz="6" w:space="0"/>
            </w:tcBorders>
            <w:vAlign w:val="top"/>
          </w:tcPr>
          <w:p w14:paraId="4B9B2498">
            <w:pPr>
              <w:spacing w:line="244" w:lineRule="auto"/>
              <w:rPr>
                <w:rFonts w:ascii="Arial"/>
                <w:sz w:val="21"/>
                <w:highlight w:val="none"/>
              </w:rPr>
            </w:pPr>
          </w:p>
          <w:p w14:paraId="73AC5ADF">
            <w:pPr>
              <w:spacing w:line="244" w:lineRule="auto"/>
              <w:rPr>
                <w:rFonts w:ascii="Arial"/>
                <w:sz w:val="21"/>
                <w:highlight w:val="none"/>
              </w:rPr>
            </w:pPr>
          </w:p>
          <w:p w14:paraId="7DC90A1B">
            <w:pPr>
              <w:spacing w:before="58" w:line="195" w:lineRule="auto"/>
              <w:ind w:left="155"/>
              <w:rPr>
                <w:rFonts w:hint="eastAsia" w:ascii="Times New Roman" w:hAnsi="Times New Roman" w:eastAsia="宋体" w:cs="Times New Roman"/>
                <w:sz w:val="20"/>
                <w:szCs w:val="20"/>
                <w:highlight w:val="none"/>
                <w:lang w:val="en-US" w:eastAsia="zh-CN"/>
              </w:rPr>
            </w:pPr>
            <w:r>
              <w:rPr>
                <w:rFonts w:ascii="Times New Roman" w:hAnsi="Times New Roman" w:eastAsia="Times New Roman" w:cs="Times New Roman"/>
                <w:spacing w:val="3"/>
                <w:sz w:val="20"/>
                <w:szCs w:val="20"/>
                <w:highlight w:val="none"/>
              </w:rPr>
              <w:t>4</w:t>
            </w:r>
            <w:r>
              <w:rPr>
                <w:rFonts w:hint="eastAsia" w:ascii="Times New Roman" w:hAnsi="Times New Roman" w:eastAsia="宋体" w:cs="Times New Roman"/>
                <w:spacing w:val="3"/>
                <w:sz w:val="20"/>
                <w:szCs w:val="20"/>
                <w:highlight w:val="none"/>
                <w:lang w:val="en-US" w:eastAsia="zh-CN"/>
              </w:rPr>
              <w:t>3</w:t>
            </w:r>
          </w:p>
        </w:tc>
        <w:tc>
          <w:tcPr>
            <w:tcW w:w="1004" w:type="dxa"/>
            <w:vAlign w:val="top"/>
          </w:tcPr>
          <w:p w14:paraId="3D0E305F">
            <w:pPr>
              <w:spacing w:line="244" w:lineRule="auto"/>
              <w:rPr>
                <w:rFonts w:ascii="Arial"/>
                <w:sz w:val="21"/>
                <w:highlight w:val="none"/>
              </w:rPr>
            </w:pPr>
          </w:p>
          <w:p w14:paraId="0411E2EF">
            <w:pPr>
              <w:spacing w:line="245" w:lineRule="auto"/>
              <w:rPr>
                <w:rFonts w:ascii="Arial"/>
                <w:sz w:val="21"/>
                <w:highlight w:val="none"/>
              </w:rPr>
            </w:pPr>
          </w:p>
          <w:p w14:paraId="3DD1B77A">
            <w:pPr>
              <w:spacing w:before="57" w:line="195" w:lineRule="auto"/>
              <w:ind w:left="309"/>
              <w:rPr>
                <w:rFonts w:ascii="Times New Roman" w:hAnsi="Times New Roman" w:eastAsia="Times New Roman" w:cs="Times New Roman"/>
                <w:sz w:val="20"/>
                <w:szCs w:val="20"/>
                <w:highlight w:val="none"/>
              </w:rPr>
            </w:pPr>
            <w:r>
              <w:rPr>
                <w:rFonts w:ascii="Times New Roman" w:hAnsi="Times New Roman" w:eastAsia="Times New Roman" w:cs="Times New Roman"/>
                <w:spacing w:val="-7"/>
                <w:sz w:val="20"/>
                <w:szCs w:val="20"/>
                <w:highlight w:val="none"/>
              </w:rPr>
              <w:t>1</w:t>
            </w:r>
            <w:r>
              <w:rPr>
                <w:rFonts w:ascii="Times New Roman" w:hAnsi="Times New Roman" w:eastAsia="Times New Roman" w:cs="Times New Roman"/>
                <w:spacing w:val="-4"/>
                <w:sz w:val="20"/>
                <w:szCs w:val="20"/>
                <w:highlight w:val="none"/>
              </w:rPr>
              <w:t>8.5. 1</w:t>
            </w:r>
          </w:p>
        </w:tc>
        <w:tc>
          <w:tcPr>
            <w:tcW w:w="7897" w:type="dxa"/>
            <w:tcBorders>
              <w:right w:val="single" w:color="000000" w:sz="6" w:space="0"/>
            </w:tcBorders>
            <w:vAlign w:val="top"/>
          </w:tcPr>
          <w:p w14:paraId="4D6DFDAC">
            <w:pPr>
              <w:spacing w:before="158" w:line="228" w:lineRule="auto"/>
              <w:ind w:left="319"/>
              <w:rPr>
                <w:rFonts w:ascii="宋体" w:hAnsi="宋体" w:eastAsia="宋体" w:cs="宋体"/>
                <w:sz w:val="20"/>
                <w:szCs w:val="20"/>
                <w:highlight w:val="none"/>
              </w:rPr>
            </w:pPr>
            <w:r>
              <w:rPr>
                <w:rFonts w:ascii="宋体" w:hAnsi="宋体" w:eastAsia="宋体" w:cs="宋体"/>
                <w:spacing w:val="12"/>
                <w:sz w:val="20"/>
                <w:szCs w:val="20"/>
                <w:highlight w:val="none"/>
              </w:rPr>
              <w:t>单</w:t>
            </w:r>
            <w:r>
              <w:rPr>
                <w:rFonts w:ascii="宋体" w:hAnsi="宋体" w:eastAsia="宋体" w:cs="宋体"/>
                <w:spacing w:val="9"/>
                <w:sz w:val="20"/>
                <w:szCs w:val="20"/>
                <w:highlight w:val="none"/>
              </w:rPr>
              <w:t>位工程或工程设备是否需投入施工期运行，规定为：</w:t>
            </w:r>
            <w:r>
              <w:rPr>
                <w:rFonts w:ascii="宋体" w:hAnsi="宋体" w:eastAsia="宋体" w:cs="宋体"/>
                <w:spacing w:val="9"/>
                <w:sz w:val="20"/>
                <w:szCs w:val="20"/>
                <w:highlight w:val="none"/>
                <w:u w:val="single" w:color="auto"/>
              </w:rPr>
              <w:t xml:space="preserve"> 否</w:t>
            </w:r>
            <w:r>
              <w:rPr>
                <w:rFonts w:ascii="宋体" w:hAnsi="宋体" w:eastAsia="宋体" w:cs="宋体"/>
                <w:sz w:val="20"/>
                <w:szCs w:val="20"/>
                <w:highlight w:val="none"/>
                <w:u w:val="single" w:color="auto"/>
              </w:rPr>
              <w:t xml:space="preserve"> </w:t>
            </w:r>
          </w:p>
          <w:p w14:paraId="3552CA32">
            <w:pPr>
              <w:spacing w:before="153" w:line="304" w:lineRule="auto"/>
              <w:ind w:left="108" w:right="104" w:firstLine="212"/>
              <w:rPr>
                <w:rFonts w:ascii="Times New Roman" w:hAnsi="Times New Roman" w:eastAsia="Times New Roman" w:cs="Times New Roman"/>
                <w:sz w:val="20"/>
                <w:szCs w:val="20"/>
                <w:highlight w:val="none"/>
              </w:rPr>
            </w:pPr>
            <w:r>
              <w:rPr>
                <w:rFonts w:ascii="宋体" w:hAnsi="宋体" w:eastAsia="宋体" w:cs="宋体"/>
                <w:spacing w:val="12"/>
                <w:sz w:val="20"/>
                <w:szCs w:val="20"/>
                <w:highlight w:val="none"/>
              </w:rPr>
              <w:t>如单位工程或工程设备需要进行施工期运行，需要施工期运行的单位工程或</w:t>
            </w:r>
            <w:r>
              <w:rPr>
                <w:rFonts w:ascii="宋体" w:hAnsi="宋体" w:eastAsia="宋体" w:cs="宋体"/>
                <w:spacing w:val="11"/>
                <w:sz w:val="20"/>
                <w:szCs w:val="20"/>
                <w:highlight w:val="none"/>
              </w:rPr>
              <w:t>工</w:t>
            </w:r>
            <w:r>
              <w:rPr>
                <w:rFonts w:ascii="宋体" w:hAnsi="宋体" w:eastAsia="宋体" w:cs="宋体"/>
                <w:spacing w:val="1"/>
                <w:sz w:val="20"/>
                <w:szCs w:val="20"/>
                <w:highlight w:val="none"/>
              </w:rPr>
              <w:t>程设备，具体规定为：</w:t>
            </w:r>
            <w:r>
              <w:rPr>
                <w:rFonts w:ascii="Times New Roman" w:hAnsi="Times New Roman" w:eastAsia="Times New Roman" w:cs="Times New Roman"/>
                <w:sz w:val="20"/>
                <w:szCs w:val="20"/>
                <w:highlight w:val="none"/>
                <w:u w:val="single" w:color="auto"/>
              </w:rPr>
              <w:t xml:space="preserve">   /   </w:t>
            </w:r>
          </w:p>
        </w:tc>
      </w:tr>
      <w:tr w14:paraId="268B46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1" w:hRule="atLeast"/>
        </w:trPr>
        <w:tc>
          <w:tcPr>
            <w:tcW w:w="534" w:type="dxa"/>
            <w:tcBorders>
              <w:left w:val="single" w:color="000000" w:sz="6" w:space="0"/>
            </w:tcBorders>
            <w:vAlign w:val="top"/>
          </w:tcPr>
          <w:p w14:paraId="21EB3FB2">
            <w:pPr>
              <w:spacing w:line="272" w:lineRule="auto"/>
              <w:rPr>
                <w:rFonts w:ascii="Arial"/>
                <w:sz w:val="21"/>
                <w:highlight w:val="none"/>
              </w:rPr>
            </w:pPr>
          </w:p>
          <w:p w14:paraId="23E2251A">
            <w:pPr>
              <w:spacing w:before="58" w:line="195" w:lineRule="auto"/>
              <w:ind w:left="155"/>
              <w:rPr>
                <w:rFonts w:hint="eastAsia" w:ascii="Times New Roman" w:hAnsi="Times New Roman" w:eastAsia="宋体" w:cs="Times New Roman"/>
                <w:sz w:val="20"/>
                <w:szCs w:val="20"/>
                <w:highlight w:val="none"/>
                <w:lang w:val="en-US" w:eastAsia="zh-CN"/>
              </w:rPr>
            </w:pPr>
            <w:r>
              <w:rPr>
                <w:rFonts w:ascii="Times New Roman" w:hAnsi="Times New Roman" w:eastAsia="Times New Roman" w:cs="Times New Roman"/>
                <w:spacing w:val="3"/>
                <w:sz w:val="20"/>
                <w:szCs w:val="20"/>
                <w:highlight w:val="none"/>
              </w:rPr>
              <w:t>4</w:t>
            </w:r>
            <w:r>
              <w:rPr>
                <w:rFonts w:hint="eastAsia" w:ascii="Times New Roman" w:hAnsi="Times New Roman" w:eastAsia="宋体" w:cs="Times New Roman"/>
                <w:spacing w:val="3"/>
                <w:sz w:val="20"/>
                <w:szCs w:val="20"/>
                <w:highlight w:val="none"/>
                <w:lang w:val="en-US" w:eastAsia="zh-CN"/>
              </w:rPr>
              <w:t>4</w:t>
            </w:r>
          </w:p>
        </w:tc>
        <w:tc>
          <w:tcPr>
            <w:tcW w:w="1004" w:type="dxa"/>
            <w:vAlign w:val="top"/>
          </w:tcPr>
          <w:p w14:paraId="26E83118">
            <w:pPr>
              <w:spacing w:line="273" w:lineRule="auto"/>
              <w:rPr>
                <w:rFonts w:ascii="Arial"/>
                <w:sz w:val="21"/>
                <w:highlight w:val="none"/>
              </w:rPr>
            </w:pPr>
          </w:p>
          <w:p w14:paraId="28467DD9">
            <w:pPr>
              <w:spacing w:before="57" w:line="195" w:lineRule="auto"/>
              <w:ind w:left="309"/>
              <w:rPr>
                <w:rFonts w:ascii="Times New Roman" w:hAnsi="Times New Roman" w:eastAsia="Times New Roman" w:cs="Times New Roman"/>
                <w:sz w:val="20"/>
                <w:szCs w:val="20"/>
                <w:highlight w:val="none"/>
              </w:rPr>
            </w:pPr>
            <w:r>
              <w:rPr>
                <w:rFonts w:ascii="Times New Roman" w:hAnsi="Times New Roman" w:eastAsia="Times New Roman" w:cs="Times New Roman"/>
                <w:spacing w:val="-7"/>
                <w:sz w:val="20"/>
                <w:szCs w:val="20"/>
                <w:highlight w:val="none"/>
              </w:rPr>
              <w:t>1</w:t>
            </w:r>
            <w:r>
              <w:rPr>
                <w:rFonts w:ascii="Times New Roman" w:hAnsi="Times New Roman" w:eastAsia="Times New Roman" w:cs="Times New Roman"/>
                <w:spacing w:val="-4"/>
                <w:sz w:val="20"/>
                <w:szCs w:val="20"/>
                <w:highlight w:val="none"/>
              </w:rPr>
              <w:t>8.6. 1</w:t>
            </w:r>
          </w:p>
        </w:tc>
        <w:tc>
          <w:tcPr>
            <w:tcW w:w="7897" w:type="dxa"/>
            <w:tcBorders>
              <w:right w:val="single" w:color="000000" w:sz="6" w:space="0"/>
            </w:tcBorders>
            <w:vAlign w:val="top"/>
          </w:tcPr>
          <w:p w14:paraId="7579D1B8">
            <w:pPr>
              <w:spacing w:before="140" w:line="224" w:lineRule="auto"/>
              <w:ind w:left="318"/>
              <w:rPr>
                <w:rFonts w:ascii="宋体" w:hAnsi="宋体" w:eastAsia="宋体" w:cs="宋体"/>
                <w:sz w:val="20"/>
                <w:szCs w:val="20"/>
                <w:highlight w:val="none"/>
              </w:rPr>
            </w:pPr>
            <w:r>
              <w:rPr>
                <w:rFonts w:ascii="宋体" w:hAnsi="宋体" w:eastAsia="宋体" w:cs="宋体"/>
                <w:spacing w:val="9"/>
                <w:sz w:val="20"/>
                <w:szCs w:val="20"/>
                <w:highlight w:val="none"/>
              </w:rPr>
              <w:t>本工程及工程设备是否进行试运行，规定为：</w:t>
            </w:r>
            <w:r>
              <w:rPr>
                <w:rFonts w:ascii="宋体" w:hAnsi="宋体" w:eastAsia="宋体" w:cs="宋体"/>
                <w:spacing w:val="9"/>
                <w:sz w:val="20"/>
                <w:szCs w:val="20"/>
                <w:highlight w:val="none"/>
                <w:u w:val="single" w:color="auto"/>
              </w:rPr>
              <w:t xml:space="preserve"> 否</w:t>
            </w:r>
            <w:r>
              <w:rPr>
                <w:rFonts w:ascii="宋体" w:hAnsi="宋体" w:eastAsia="宋体" w:cs="宋体"/>
                <w:sz w:val="20"/>
                <w:szCs w:val="20"/>
                <w:highlight w:val="none"/>
                <w:u w:val="single" w:color="auto"/>
              </w:rPr>
              <w:t xml:space="preserve"> </w:t>
            </w:r>
          </w:p>
          <w:p w14:paraId="71BA3DF0">
            <w:pPr>
              <w:spacing w:before="120" w:line="278" w:lineRule="exact"/>
              <w:ind w:left="321"/>
              <w:rPr>
                <w:rFonts w:ascii="Times New Roman" w:hAnsi="Times New Roman" w:eastAsia="Times New Roman" w:cs="Times New Roman"/>
                <w:sz w:val="20"/>
                <w:szCs w:val="20"/>
                <w:highlight w:val="none"/>
              </w:rPr>
            </w:pPr>
            <w:r>
              <w:rPr>
                <w:rFonts w:ascii="宋体" w:hAnsi="宋体" w:eastAsia="宋体" w:cs="宋体"/>
                <w:spacing w:val="-1"/>
                <w:position w:val="1"/>
                <w:sz w:val="20"/>
                <w:szCs w:val="20"/>
                <w:highlight w:val="none"/>
              </w:rPr>
              <w:t>如本工程及工程设备需要进行试运行，试运行的</w:t>
            </w:r>
            <w:r>
              <w:rPr>
                <w:rFonts w:ascii="宋体" w:hAnsi="宋体" w:eastAsia="宋体" w:cs="宋体"/>
                <w:position w:val="1"/>
                <w:sz w:val="20"/>
                <w:szCs w:val="20"/>
                <w:highlight w:val="none"/>
              </w:rPr>
              <w:t xml:space="preserve">具体规定为：   </w:t>
            </w:r>
            <w:r>
              <w:rPr>
                <w:rFonts w:ascii="Times New Roman" w:hAnsi="Times New Roman" w:eastAsia="Times New Roman" w:cs="Times New Roman"/>
                <w:position w:val="1"/>
                <w:sz w:val="20"/>
                <w:szCs w:val="20"/>
                <w:highlight w:val="none"/>
              </w:rPr>
              <w:t>/</w:t>
            </w:r>
          </w:p>
        </w:tc>
      </w:tr>
      <w:tr w14:paraId="36E7E2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 w:hRule="atLeast"/>
        </w:trPr>
        <w:tc>
          <w:tcPr>
            <w:tcW w:w="534" w:type="dxa"/>
            <w:tcBorders>
              <w:left w:val="single" w:color="000000" w:sz="6" w:space="0"/>
            </w:tcBorders>
            <w:vAlign w:val="top"/>
          </w:tcPr>
          <w:p w14:paraId="78A64865">
            <w:pPr>
              <w:spacing w:before="150" w:line="195" w:lineRule="auto"/>
              <w:ind w:left="155"/>
              <w:rPr>
                <w:rFonts w:hint="eastAsia" w:ascii="Times New Roman" w:hAnsi="Times New Roman" w:eastAsia="宋体" w:cs="Times New Roman"/>
                <w:sz w:val="20"/>
                <w:szCs w:val="20"/>
                <w:highlight w:val="none"/>
                <w:lang w:val="en-US" w:eastAsia="zh-CN"/>
              </w:rPr>
            </w:pPr>
            <w:r>
              <w:rPr>
                <w:rFonts w:ascii="Times New Roman" w:hAnsi="Times New Roman" w:eastAsia="Times New Roman" w:cs="Times New Roman"/>
                <w:spacing w:val="3"/>
                <w:sz w:val="20"/>
                <w:szCs w:val="20"/>
                <w:highlight w:val="none"/>
              </w:rPr>
              <w:t>4</w:t>
            </w:r>
            <w:r>
              <w:rPr>
                <w:rFonts w:hint="eastAsia" w:ascii="Times New Roman" w:hAnsi="Times New Roman" w:eastAsia="宋体" w:cs="Times New Roman"/>
                <w:spacing w:val="3"/>
                <w:sz w:val="20"/>
                <w:szCs w:val="20"/>
                <w:highlight w:val="none"/>
                <w:lang w:val="en-US" w:eastAsia="zh-CN"/>
              </w:rPr>
              <w:t>5</w:t>
            </w:r>
          </w:p>
        </w:tc>
        <w:tc>
          <w:tcPr>
            <w:tcW w:w="1004" w:type="dxa"/>
            <w:vAlign w:val="top"/>
          </w:tcPr>
          <w:p w14:paraId="0F9C3A9A">
            <w:pPr>
              <w:spacing w:before="111" w:line="231" w:lineRule="auto"/>
              <w:ind w:left="125"/>
              <w:rPr>
                <w:rFonts w:ascii="宋体" w:hAnsi="宋体" w:eastAsia="宋体" w:cs="宋体"/>
                <w:sz w:val="20"/>
                <w:szCs w:val="20"/>
                <w:highlight w:val="none"/>
              </w:rPr>
            </w:pPr>
            <w:r>
              <w:rPr>
                <w:rFonts w:ascii="Times New Roman" w:hAnsi="Times New Roman" w:eastAsia="Times New Roman" w:cs="Times New Roman"/>
                <w:spacing w:val="1"/>
                <w:sz w:val="20"/>
                <w:szCs w:val="20"/>
                <w:highlight w:val="none"/>
              </w:rPr>
              <w:t xml:space="preserve">19.7  </w:t>
            </w:r>
            <w:r>
              <w:rPr>
                <w:rFonts w:ascii="宋体" w:hAnsi="宋体" w:eastAsia="宋体" w:cs="宋体"/>
                <w:spacing w:val="1"/>
                <w:sz w:val="20"/>
                <w:szCs w:val="20"/>
                <w:highlight w:val="none"/>
              </w:rPr>
              <w:t>(</w:t>
            </w:r>
            <w:r>
              <w:rPr>
                <w:rFonts w:ascii="Times New Roman" w:hAnsi="Times New Roman" w:eastAsia="Times New Roman" w:cs="Times New Roman"/>
                <w:spacing w:val="1"/>
                <w:sz w:val="20"/>
                <w:szCs w:val="20"/>
                <w:highlight w:val="none"/>
              </w:rPr>
              <w:t>1</w:t>
            </w:r>
            <w:r>
              <w:rPr>
                <w:rFonts w:ascii="宋体" w:hAnsi="宋体" w:eastAsia="宋体" w:cs="宋体"/>
                <w:sz w:val="20"/>
                <w:szCs w:val="20"/>
                <w:highlight w:val="none"/>
              </w:rPr>
              <w:t>)</w:t>
            </w:r>
          </w:p>
        </w:tc>
        <w:tc>
          <w:tcPr>
            <w:tcW w:w="7897" w:type="dxa"/>
            <w:tcBorders>
              <w:right w:val="single" w:color="000000" w:sz="6" w:space="0"/>
            </w:tcBorders>
            <w:vAlign w:val="top"/>
          </w:tcPr>
          <w:p w14:paraId="47D08E36">
            <w:pPr>
              <w:spacing w:before="160" w:line="221" w:lineRule="auto"/>
              <w:ind w:left="318"/>
              <w:rPr>
                <w:rFonts w:ascii="宋体" w:hAnsi="宋体" w:eastAsia="宋体" w:cs="宋体"/>
                <w:sz w:val="20"/>
                <w:szCs w:val="20"/>
                <w:highlight w:val="none"/>
              </w:rPr>
            </w:pPr>
            <w:r>
              <w:rPr>
                <w:rFonts w:ascii="宋体" w:hAnsi="宋体" w:eastAsia="宋体" w:cs="宋体"/>
                <w:spacing w:val="8"/>
                <w:sz w:val="20"/>
                <w:szCs w:val="20"/>
                <w:highlight w:val="none"/>
              </w:rPr>
              <w:t>保</w:t>
            </w:r>
            <w:r>
              <w:rPr>
                <w:rFonts w:ascii="宋体" w:hAnsi="宋体" w:eastAsia="宋体" w:cs="宋体"/>
                <w:spacing w:val="4"/>
                <w:sz w:val="20"/>
                <w:szCs w:val="20"/>
                <w:highlight w:val="none"/>
              </w:rPr>
              <w:t xml:space="preserve">修期： 自实际交工验收合格之日起计算 </w:t>
            </w:r>
            <w:r>
              <w:rPr>
                <w:rFonts w:hint="eastAsia" w:ascii="宋体" w:hAnsi="宋体" w:cs="宋体"/>
                <w:spacing w:val="4"/>
                <w:sz w:val="20"/>
                <w:szCs w:val="20"/>
                <w:highlight w:val="none"/>
                <w:lang w:val="en-US" w:eastAsia="zh-CN"/>
              </w:rPr>
              <w:t>24</w:t>
            </w:r>
            <w:r>
              <w:rPr>
                <w:rFonts w:ascii="Times New Roman" w:hAnsi="Times New Roman" w:eastAsia="Times New Roman" w:cs="Times New Roman"/>
                <w:spacing w:val="4"/>
                <w:sz w:val="20"/>
                <w:szCs w:val="20"/>
                <w:highlight w:val="none"/>
              </w:rPr>
              <w:t xml:space="preserve">  </w:t>
            </w:r>
            <w:r>
              <w:rPr>
                <w:rFonts w:ascii="宋体" w:hAnsi="宋体" w:eastAsia="宋体" w:cs="宋体"/>
                <w:spacing w:val="4"/>
                <w:sz w:val="20"/>
                <w:szCs w:val="20"/>
                <w:highlight w:val="none"/>
              </w:rPr>
              <w:t>个月</w:t>
            </w:r>
          </w:p>
        </w:tc>
      </w:tr>
      <w:tr w14:paraId="56F9DB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7" w:hRule="atLeast"/>
        </w:trPr>
        <w:tc>
          <w:tcPr>
            <w:tcW w:w="534" w:type="dxa"/>
            <w:tcBorders>
              <w:left w:val="single" w:color="000000" w:sz="6" w:space="0"/>
            </w:tcBorders>
            <w:vAlign w:val="top"/>
          </w:tcPr>
          <w:p w14:paraId="07086655">
            <w:pPr>
              <w:spacing w:line="247" w:lineRule="auto"/>
              <w:rPr>
                <w:rFonts w:ascii="Arial"/>
                <w:sz w:val="21"/>
                <w:highlight w:val="none"/>
              </w:rPr>
            </w:pPr>
          </w:p>
          <w:p w14:paraId="29E26310">
            <w:pPr>
              <w:spacing w:line="247" w:lineRule="auto"/>
              <w:rPr>
                <w:rFonts w:ascii="Arial"/>
                <w:sz w:val="21"/>
                <w:highlight w:val="none"/>
              </w:rPr>
            </w:pPr>
          </w:p>
          <w:p w14:paraId="0C5D19CD">
            <w:pPr>
              <w:spacing w:line="248" w:lineRule="auto"/>
              <w:rPr>
                <w:rFonts w:ascii="Arial"/>
                <w:sz w:val="21"/>
                <w:highlight w:val="none"/>
              </w:rPr>
            </w:pPr>
          </w:p>
          <w:p w14:paraId="207EF969">
            <w:pPr>
              <w:spacing w:line="248" w:lineRule="auto"/>
              <w:rPr>
                <w:rFonts w:ascii="Arial"/>
                <w:sz w:val="21"/>
                <w:highlight w:val="none"/>
              </w:rPr>
            </w:pPr>
          </w:p>
          <w:p w14:paraId="35AD4895">
            <w:pPr>
              <w:spacing w:line="248" w:lineRule="auto"/>
              <w:rPr>
                <w:rFonts w:ascii="Arial"/>
                <w:sz w:val="21"/>
                <w:highlight w:val="none"/>
              </w:rPr>
            </w:pPr>
          </w:p>
          <w:p w14:paraId="260F77E5">
            <w:pPr>
              <w:spacing w:line="248" w:lineRule="auto"/>
              <w:rPr>
                <w:rFonts w:ascii="Arial"/>
                <w:sz w:val="21"/>
                <w:highlight w:val="none"/>
              </w:rPr>
            </w:pPr>
          </w:p>
          <w:p w14:paraId="20EC1135">
            <w:pPr>
              <w:spacing w:line="248" w:lineRule="auto"/>
              <w:rPr>
                <w:rFonts w:ascii="Arial"/>
                <w:sz w:val="21"/>
                <w:highlight w:val="none"/>
              </w:rPr>
            </w:pPr>
          </w:p>
          <w:p w14:paraId="64E945F4">
            <w:pPr>
              <w:spacing w:line="248" w:lineRule="auto"/>
              <w:rPr>
                <w:rFonts w:ascii="Arial"/>
                <w:sz w:val="21"/>
                <w:highlight w:val="none"/>
              </w:rPr>
            </w:pPr>
          </w:p>
          <w:p w14:paraId="62AC8FE9">
            <w:pPr>
              <w:spacing w:line="248" w:lineRule="auto"/>
              <w:rPr>
                <w:rFonts w:ascii="Arial"/>
                <w:sz w:val="21"/>
                <w:highlight w:val="none"/>
              </w:rPr>
            </w:pPr>
          </w:p>
          <w:p w14:paraId="2C1C79E1">
            <w:pPr>
              <w:spacing w:line="248" w:lineRule="auto"/>
              <w:rPr>
                <w:rFonts w:ascii="Arial"/>
                <w:sz w:val="21"/>
                <w:highlight w:val="none"/>
              </w:rPr>
            </w:pPr>
          </w:p>
          <w:p w14:paraId="09CE842A">
            <w:pPr>
              <w:spacing w:before="58" w:line="195" w:lineRule="auto"/>
              <w:ind w:left="155"/>
              <w:rPr>
                <w:rFonts w:hint="eastAsia" w:ascii="Times New Roman" w:hAnsi="Times New Roman" w:eastAsia="宋体" w:cs="Times New Roman"/>
                <w:sz w:val="20"/>
                <w:szCs w:val="20"/>
                <w:highlight w:val="none"/>
                <w:lang w:val="en-US" w:eastAsia="zh-CN"/>
              </w:rPr>
            </w:pPr>
            <w:r>
              <w:rPr>
                <w:rFonts w:ascii="Times New Roman" w:hAnsi="Times New Roman" w:eastAsia="Times New Roman" w:cs="Times New Roman"/>
                <w:spacing w:val="3"/>
                <w:sz w:val="20"/>
                <w:szCs w:val="20"/>
                <w:highlight w:val="none"/>
              </w:rPr>
              <w:t>4</w:t>
            </w:r>
            <w:r>
              <w:rPr>
                <w:rFonts w:hint="eastAsia" w:ascii="Times New Roman" w:hAnsi="Times New Roman" w:eastAsia="宋体" w:cs="Times New Roman"/>
                <w:spacing w:val="3"/>
                <w:sz w:val="20"/>
                <w:szCs w:val="20"/>
                <w:highlight w:val="none"/>
                <w:lang w:val="en-US" w:eastAsia="zh-CN"/>
              </w:rPr>
              <w:t>6</w:t>
            </w:r>
          </w:p>
        </w:tc>
        <w:tc>
          <w:tcPr>
            <w:tcW w:w="1004" w:type="dxa"/>
            <w:vAlign w:val="top"/>
          </w:tcPr>
          <w:p w14:paraId="3C832D16">
            <w:pPr>
              <w:spacing w:line="247" w:lineRule="auto"/>
              <w:rPr>
                <w:rFonts w:ascii="Arial"/>
                <w:sz w:val="21"/>
                <w:highlight w:val="none"/>
              </w:rPr>
            </w:pPr>
          </w:p>
          <w:p w14:paraId="3FE4C3B9">
            <w:pPr>
              <w:spacing w:line="248" w:lineRule="auto"/>
              <w:rPr>
                <w:rFonts w:ascii="Arial"/>
                <w:sz w:val="21"/>
                <w:highlight w:val="none"/>
              </w:rPr>
            </w:pPr>
          </w:p>
          <w:p w14:paraId="26B8FA84">
            <w:pPr>
              <w:spacing w:line="248" w:lineRule="auto"/>
              <w:rPr>
                <w:rFonts w:ascii="Arial"/>
                <w:sz w:val="21"/>
                <w:highlight w:val="none"/>
              </w:rPr>
            </w:pPr>
          </w:p>
          <w:p w14:paraId="4ED84ABD">
            <w:pPr>
              <w:spacing w:line="248" w:lineRule="auto"/>
              <w:rPr>
                <w:rFonts w:ascii="Arial"/>
                <w:sz w:val="21"/>
                <w:highlight w:val="none"/>
              </w:rPr>
            </w:pPr>
          </w:p>
          <w:p w14:paraId="3A74F794">
            <w:pPr>
              <w:spacing w:line="248" w:lineRule="auto"/>
              <w:rPr>
                <w:rFonts w:ascii="Arial"/>
                <w:sz w:val="21"/>
                <w:highlight w:val="none"/>
              </w:rPr>
            </w:pPr>
          </w:p>
          <w:p w14:paraId="29F154BC">
            <w:pPr>
              <w:spacing w:line="248" w:lineRule="auto"/>
              <w:rPr>
                <w:rFonts w:ascii="Arial"/>
                <w:sz w:val="21"/>
                <w:highlight w:val="none"/>
              </w:rPr>
            </w:pPr>
          </w:p>
          <w:p w14:paraId="13262ECC">
            <w:pPr>
              <w:spacing w:line="248" w:lineRule="auto"/>
              <w:rPr>
                <w:rFonts w:ascii="Arial"/>
                <w:sz w:val="21"/>
                <w:highlight w:val="none"/>
              </w:rPr>
            </w:pPr>
          </w:p>
          <w:p w14:paraId="3EE5EB89">
            <w:pPr>
              <w:spacing w:line="248" w:lineRule="auto"/>
              <w:rPr>
                <w:rFonts w:ascii="Arial"/>
                <w:sz w:val="21"/>
                <w:highlight w:val="none"/>
              </w:rPr>
            </w:pPr>
          </w:p>
          <w:p w14:paraId="4EA71A33">
            <w:pPr>
              <w:spacing w:line="248" w:lineRule="auto"/>
              <w:rPr>
                <w:rFonts w:ascii="Arial"/>
                <w:sz w:val="21"/>
                <w:highlight w:val="none"/>
              </w:rPr>
            </w:pPr>
          </w:p>
          <w:p w14:paraId="772757EF">
            <w:pPr>
              <w:spacing w:line="248" w:lineRule="auto"/>
              <w:rPr>
                <w:rFonts w:ascii="Arial"/>
                <w:sz w:val="21"/>
                <w:highlight w:val="none"/>
              </w:rPr>
            </w:pPr>
          </w:p>
          <w:p w14:paraId="496B8035">
            <w:pPr>
              <w:spacing w:before="57" w:line="195" w:lineRule="auto"/>
              <w:ind w:left="368"/>
              <w:rPr>
                <w:rFonts w:ascii="Times New Roman" w:hAnsi="Times New Roman" w:eastAsia="Times New Roman" w:cs="Times New Roman"/>
                <w:sz w:val="20"/>
                <w:szCs w:val="20"/>
                <w:highlight w:val="none"/>
              </w:rPr>
            </w:pPr>
            <w:r>
              <w:rPr>
                <w:rFonts w:ascii="Times New Roman" w:hAnsi="Times New Roman" w:eastAsia="Times New Roman" w:cs="Times New Roman"/>
                <w:spacing w:val="-6"/>
                <w:sz w:val="20"/>
                <w:szCs w:val="20"/>
                <w:highlight w:val="none"/>
              </w:rPr>
              <w:t>2</w:t>
            </w:r>
            <w:r>
              <w:rPr>
                <w:rFonts w:ascii="Times New Roman" w:hAnsi="Times New Roman" w:eastAsia="Times New Roman" w:cs="Times New Roman"/>
                <w:spacing w:val="-4"/>
                <w:sz w:val="20"/>
                <w:szCs w:val="20"/>
                <w:highlight w:val="none"/>
              </w:rPr>
              <w:t>0</w:t>
            </w:r>
            <w:r>
              <w:rPr>
                <w:rFonts w:ascii="Times New Roman" w:hAnsi="Times New Roman" w:eastAsia="Times New Roman" w:cs="Times New Roman"/>
                <w:spacing w:val="-3"/>
                <w:sz w:val="20"/>
                <w:szCs w:val="20"/>
                <w:highlight w:val="none"/>
              </w:rPr>
              <w:t>. 1</w:t>
            </w:r>
          </w:p>
        </w:tc>
        <w:tc>
          <w:tcPr>
            <w:tcW w:w="7897" w:type="dxa"/>
            <w:tcBorders>
              <w:right w:val="single" w:color="000000" w:sz="6" w:space="0"/>
            </w:tcBorders>
            <w:vAlign w:val="top"/>
          </w:tcPr>
          <w:p w14:paraId="1D95E795">
            <w:pPr>
              <w:spacing w:before="1" w:line="369" w:lineRule="auto"/>
              <w:ind w:left="110" w:right="102" w:firstLine="221"/>
              <w:rPr>
                <w:rFonts w:ascii="宋体" w:hAnsi="宋体" w:eastAsia="宋体" w:cs="宋体"/>
                <w:sz w:val="20"/>
                <w:szCs w:val="20"/>
                <w:highlight w:val="none"/>
              </w:rPr>
            </w:pPr>
            <w:r>
              <w:rPr>
                <w:rFonts w:ascii="宋体" w:hAnsi="宋体" w:eastAsia="宋体" w:cs="宋体"/>
                <w:spacing w:val="12"/>
                <w:sz w:val="20"/>
                <w:szCs w:val="20"/>
                <w:highlight w:val="none"/>
              </w:rPr>
              <w:t>建筑工程一切险的投保内容：为本合同工程的永久工程、临时工程和设备及已</w:t>
            </w:r>
            <w:r>
              <w:rPr>
                <w:rFonts w:ascii="宋体" w:hAnsi="宋体" w:eastAsia="宋体" w:cs="宋体"/>
                <w:spacing w:val="13"/>
                <w:sz w:val="20"/>
                <w:szCs w:val="20"/>
                <w:highlight w:val="none"/>
              </w:rPr>
              <w:t>运</w:t>
            </w:r>
            <w:r>
              <w:rPr>
                <w:rFonts w:ascii="宋体" w:hAnsi="宋体" w:eastAsia="宋体" w:cs="宋体"/>
                <w:spacing w:val="9"/>
                <w:sz w:val="20"/>
                <w:szCs w:val="20"/>
                <w:highlight w:val="none"/>
              </w:rPr>
              <w:t>至施工工地用于永久工程的材料和设备所投的保险。</w:t>
            </w:r>
          </w:p>
          <w:p w14:paraId="02EBDF2C">
            <w:pPr>
              <w:spacing w:before="1" w:line="369" w:lineRule="auto"/>
              <w:ind w:left="110" w:right="102" w:firstLine="221"/>
              <w:rPr>
                <w:rFonts w:ascii="宋体" w:hAnsi="宋体" w:eastAsia="宋体" w:cs="宋体"/>
                <w:sz w:val="20"/>
                <w:szCs w:val="20"/>
                <w:highlight w:val="none"/>
              </w:rPr>
            </w:pPr>
            <w:r>
              <w:rPr>
                <w:rFonts w:ascii="宋体" w:hAnsi="宋体" w:eastAsia="宋体" w:cs="宋体"/>
                <w:spacing w:val="9"/>
                <w:sz w:val="20"/>
                <w:szCs w:val="20"/>
                <w:highlight w:val="none"/>
              </w:rPr>
              <w:t>保险金额：工程量清单全部章节的合计金额</w:t>
            </w:r>
            <w:r>
              <w:rPr>
                <w:rFonts w:ascii="宋体" w:hAnsi="宋体" w:eastAsia="宋体" w:cs="宋体"/>
                <w:spacing w:val="8"/>
                <w:sz w:val="20"/>
                <w:szCs w:val="20"/>
                <w:highlight w:val="none"/>
              </w:rPr>
              <w:t>。</w:t>
            </w:r>
          </w:p>
          <w:p w14:paraId="66F9CAF7">
            <w:pPr>
              <w:spacing w:before="1" w:line="369" w:lineRule="auto"/>
              <w:ind w:left="110" w:right="102" w:firstLine="221"/>
              <w:rPr>
                <w:rFonts w:ascii="宋体" w:hAnsi="宋体" w:eastAsia="宋体" w:cs="宋体"/>
                <w:sz w:val="20"/>
                <w:szCs w:val="20"/>
                <w:highlight w:val="none"/>
              </w:rPr>
            </w:pPr>
            <w:r>
              <w:rPr>
                <w:rFonts w:ascii="宋体" w:hAnsi="宋体" w:eastAsia="宋体" w:cs="宋体"/>
                <w:spacing w:val="7"/>
                <w:sz w:val="20"/>
                <w:szCs w:val="20"/>
                <w:highlight w:val="none"/>
              </w:rPr>
              <w:t>保</w:t>
            </w:r>
            <w:r>
              <w:rPr>
                <w:rFonts w:ascii="宋体" w:hAnsi="宋体" w:eastAsia="宋体" w:cs="宋体"/>
                <w:spacing w:val="5"/>
                <w:sz w:val="20"/>
                <w:szCs w:val="20"/>
                <w:highlight w:val="none"/>
              </w:rPr>
              <w:t>险费率：</w:t>
            </w:r>
            <w:r>
              <w:rPr>
                <w:rFonts w:ascii="Times New Roman" w:hAnsi="Times New Roman" w:eastAsia="Times New Roman" w:cs="Times New Roman"/>
                <w:spacing w:val="5"/>
                <w:sz w:val="20"/>
                <w:szCs w:val="20"/>
                <w:highlight w:val="none"/>
                <w:u w:val="single" w:color="auto"/>
              </w:rPr>
              <w:t xml:space="preserve">  0.3%  </w:t>
            </w:r>
            <w:r>
              <w:rPr>
                <w:rFonts w:ascii="宋体" w:hAnsi="宋体" w:eastAsia="宋体" w:cs="宋体"/>
                <w:spacing w:val="5"/>
                <w:sz w:val="20"/>
                <w:szCs w:val="20"/>
                <w:highlight w:val="none"/>
              </w:rPr>
              <w:t>。</w:t>
            </w:r>
          </w:p>
          <w:p w14:paraId="10D091A3">
            <w:pPr>
              <w:spacing w:before="1" w:line="369" w:lineRule="auto"/>
              <w:ind w:left="110" w:right="102" w:firstLine="221"/>
              <w:rPr>
                <w:rFonts w:ascii="宋体" w:hAnsi="宋体" w:eastAsia="宋体" w:cs="宋体"/>
                <w:sz w:val="20"/>
                <w:szCs w:val="20"/>
                <w:highlight w:val="none"/>
              </w:rPr>
            </w:pPr>
            <w:r>
              <w:rPr>
                <w:rFonts w:ascii="宋体" w:hAnsi="宋体" w:eastAsia="宋体" w:cs="宋体"/>
                <w:spacing w:val="22"/>
                <w:sz w:val="20"/>
                <w:szCs w:val="20"/>
                <w:highlight w:val="none"/>
              </w:rPr>
              <w:t>保险</w:t>
            </w:r>
            <w:r>
              <w:rPr>
                <w:rFonts w:ascii="宋体" w:hAnsi="宋体" w:eastAsia="宋体" w:cs="宋体"/>
                <w:spacing w:val="14"/>
                <w:sz w:val="20"/>
                <w:szCs w:val="20"/>
                <w:highlight w:val="none"/>
              </w:rPr>
              <w:t>期</w:t>
            </w:r>
            <w:r>
              <w:rPr>
                <w:rFonts w:ascii="宋体" w:hAnsi="宋体" w:eastAsia="宋体" w:cs="宋体"/>
                <w:spacing w:val="11"/>
                <w:sz w:val="20"/>
                <w:szCs w:val="20"/>
                <w:highlight w:val="none"/>
              </w:rPr>
              <w:t>限：开工日起直至本合同工程签发缺陷责任期终止证书止 (即合同工期</w:t>
            </w:r>
            <w:r>
              <w:rPr>
                <w:rFonts w:ascii="宋体" w:hAnsi="宋体" w:eastAsia="宋体" w:cs="宋体"/>
                <w:spacing w:val="5"/>
                <w:sz w:val="20"/>
                <w:szCs w:val="20"/>
                <w:highlight w:val="none"/>
              </w:rPr>
              <w:t xml:space="preserve">＋缺陷责任期) </w:t>
            </w:r>
            <w:r>
              <w:rPr>
                <w:rFonts w:ascii="宋体" w:hAnsi="宋体" w:eastAsia="宋体" w:cs="宋体"/>
                <w:spacing w:val="3"/>
                <w:sz w:val="20"/>
                <w:szCs w:val="20"/>
                <w:highlight w:val="none"/>
              </w:rPr>
              <w:t>。</w:t>
            </w:r>
          </w:p>
          <w:p w14:paraId="1B295EA8">
            <w:pPr>
              <w:spacing w:before="1" w:line="369" w:lineRule="auto"/>
              <w:ind w:left="110" w:right="102" w:firstLine="221"/>
              <w:rPr>
                <w:rFonts w:ascii="宋体" w:hAnsi="宋体" w:eastAsia="宋体" w:cs="宋体"/>
                <w:sz w:val="20"/>
                <w:szCs w:val="20"/>
                <w:highlight w:val="none"/>
              </w:rPr>
            </w:pPr>
            <w:r>
              <w:rPr>
                <w:rFonts w:ascii="宋体" w:hAnsi="宋体" w:eastAsia="宋体" w:cs="宋体"/>
                <w:spacing w:val="14"/>
                <w:sz w:val="20"/>
                <w:szCs w:val="20"/>
                <w:highlight w:val="none"/>
              </w:rPr>
              <w:t>承</w:t>
            </w:r>
            <w:r>
              <w:rPr>
                <w:rFonts w:ascii="宋体" w:hAnsi="宋体" w:eastAsia="宋体" w:cs="宋体"/>
                <w:spacing w:val="12"/>
                <w:sz w:val="20"/>
                <w:szCs w:val="20"/>
                <w:highlight w:val="none"/>
              </w:rPr>
              <w:t>包人应以发包人和承包人的共同名义投保建筑工程一切险。承包人因办理建筑工程一切险所发生的费用应认为已含入其他支付项中，发包人不另行计量，出</w:t>
            </w:r>
            <w:r>
              <w:rPr>
                <w:rFonts w:ascii="宋体" w:hAnsi="宋体" w:eastAsia="宋体" w:cs="宋体"/>
                <w:spacing w:val="10"/>
                <w:sz w:val="20"/>
                <w:szCs w:val="20"/>
                <w:highlight w:val="none"/>
              </w:rPr>
              <w:t>资</w:t>
            </w:r>
            <w:r>
              <w:rPr>
                <w:rFonts w:ascii="宋体" w:hAnsi="宋体" w:eastAsia="宋体" w:cs="宋体"/>
                <w:spacing w:val="7"/>
                <w:sz w:val="20"/>
                <w:szCs w:val="20"/>
                <w:highlight w:val="none"/>
              </w:rPr>
              <w:t>人不另行支付。</w:t>
            </w:r>
          </w:p>
          <w:p w14:paraId="653DC27A">
            <w:pPr>
              <w:spacing w:before="1" w:line="369" w:lineRule="auto"/>
              <w:ind w:left="110" w:right="102" w:firstLine="221"/>
              <w:rPr>
                <w:rFonts w:ascii="宋体" w:hAnsi="宋体" w:eastAsia="宋体" w:cs="宋体"/>
                <w:sz w:val="20"/>
                <w:szCs w:val="20"/>
                <w:highlight w:val="none"/>
              </w:rPr>
            </w:pPr>
            <w:r>
              <w:rPr>
                <w:rFonts w:ascii="宋体" w:hAnsi="宋体" w:eastAsia="宋体" w:cs="宋体"/>
                <w:spacing w:val="22"/>
                <w:sz w:val="20"/>
                <w:szCs w:val="20"/>
                <w:highlight w:val="none"/>
              </w:rPr>
              <w:t>当本</w:t>
            </w:r>
            <w:r>
              <w:rPr>
                <w:rFonts w:ascii="宋体" w:hAnsi="宋体" w:eastAsia="宋体" w:cs="宋体"/>
                <w:spacing w:val="12"/>
                <w:sz w:val="20"/>
                <w:szCs w:val="20"/>
                <w:highlight w:val="none"/>
              </w:rPr>
              <w:t>合</w:t>
            </w:r>
            <w:r>
              <w:rPr>
                <w:rFonts w:ascii="宋体" w:hAnsi="宋体" w:eastAsia="宋体" w:cs="宋体"/>
                <w:spacing w:val="11"/>
                <w:sz w:val="20"/>
                <w:szCs w:val="20"/>
                <w:highlight w:val="none"/>
              </w:rPr>
              <w:t>同工程发生损失或损害时，承包人应按保险单规定的条件和期限及时向</w:t>
            </w:r>
            <w:r>
              <w:rPr>
                <w:rFonts w:ascii="宋体" w:hAnsi="宋体" w:eastAsia="宋体" w:cs="宋体"/>
                <w:spacing w:val="13"/>
                <w:sz w:val="20"/>
                <w:szCs w:val="20"/>
                <w:highlight w:val="none"/>
              </w:rPr>
              <w:t>保</w:t>
            </w:r>
            <w:r>
              <w:rPr>
                <w:rFonts w:ascii="宋体" w:hAnsi="宋体" w:eastAsia="宋体" w:cs="宋体"/>
                <w:spacing w:val="12"/>
                <w:sz w:val="20"/>
                <w:szCs w:val="20"/>
                <w:highlight w:val="none"/>
              </w:rPr>
              <w:t>险人报告，并抄送发包人和监理人。如损害继续发生，承包人在递交第一次报</w:t>
            </w:r>
            <w:r>
              <w:rPr>
                <w:rFonts w:ascii="宋体" w:hAnsi="宋体" w:eastAsia="宋体" w:cs="宋体"/>
                <w:spacing w:val="10"/>
                <w:sz w:val="20"/>
                <w:szCs w:val="20"/>
                <w:highlight w:val="none"/>
              </w:rPr>
              <w:t xml:space="preserve">告后，每 </w:t>
            </w:r>
            <w:r>
              <w:rPr>
                <w:rFonts w:ascii="Times New Roman" w:hAnsi="Times New Roman" w:eastAsia="Times New Roman" w:cs="Times New Roman"/>
                <w:spacing w:val="10"/>
                <w:sz w:val="20"/>
                <w:szCs w:val="20"/>
                <w:highlight w:val="none"/>
              </w:rPr>
              <w:t xml:space="preserve">7 </w:t>
            </w:r>
            <w:r>
              <w:rPr>
                <w:rFonts w:ascii="宋体" w:hAnsi="宋体" w:eastAsia="宋体" w:cs="宋体"/>
                <w:spacing w:val="10"/>
                <w:sz w:val="20"/>
                <w:szCs w:val="20"/>
                <w:highlight w:val="none"/>
              </w:rPr>
              <w:t>天报告一次，直到损害结束。办理本款所述的保险并不免除合同规</w:t>
            </w:r>
            <w:r>
              <w:rPr>
                <w:rFonts w:ascii="宋体" w:hAnsi="宋体" w:eastAsia="宋体" w:cs="宋体"/>
                <w:spacing w:val="8"/>
                <w:sz w:val="20"/>
                <w:szCs w:val="20"/>
                <w:highlight w:val="none"/>
              </w:rPr>
              <w:t>定</w:t>
            </w:r>
            <w:r>
              <w:rPr>
                <w:rFonts w:ascii="宋体" w:hAnsi="宋体" w:eastAsia="宋体" w:cs="宋体"/>
                <w:spacing w:val="12"/>
                <w:sz w:val="20"/>
                <w:szCs w:val="20"/>
                <w:highlight w:val="none"/>
              </w:rPr>
              <w:t>的</w:t>
            </w:r>
            <w:r>
              <w:rPr>
                <w:rFonts w:ascii="宋体" w:hAnsi="宋体" w:eastAsia="宋体" w:cs="宋体"/>
                <w:spacing w:val="6"/>
                <w:sz w:val="20"/>
                <w:szCs w:val="20"/>
                <w:highlight w:val="none"/>
              </w:rPr>
              <w:t>承包人的义务和责任。</w:t>
            </w:r>
          </w:p>
        </w:tc>
      </w:tr>
      <w:tr w14:paraId="609573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4" w:hRule="atLeast"/>
        </w:trPr>
        <w:tc>
          <w:tcPr>
            <w:tcW w:w="534" w:type="dxa"/>
            <w:tcBorders>
              <w:left w:val="single" w:color="000000" w:sz="6" w:space="0"/>
            </w:tcBorders>
            <w:vAlign w:val="top"/>
          </w:tcPr>
          <w:p w14:paraId="7AB5C15E">
            <w:pPr>
              <w:spacing w:line="274" w:lineRule="auto"/>
              <w:rPr>
                <w:rFonts w:ascii="Arial"/>
                <w:sz w:val="21"/>
                <w:highlight w:val="none"/>
              </w:rPr>
            </w:pPr>
          </w:p>
          <w:p w14:paraId="0012E4EF">
            <w:pPr>
              <w:spacing w:before="58" w:line="195" w:lineRule="auto"/>
              <w:ind w:left="155"/>
              <w:rPr>
                <w:rFonts w:hint="eastAsia" w:ascii="Times New Roman" w:hAnsi="Times New Roman" w:eastAsia="宋体" w:cs="Times New Roman"/>
                <w:sz w:val="20"/>
                <w:szCs w:val="20"/>
                <w:highlight w:val="none"/>
                <w:lang w:val="en-US" w:eastAsia="zh-CN"/>
              </w:rPr>
            </w:pPr>
            <w:r>
              <w:rPr>
                <w:rFonts w:ascii="Times New Roman" w:hAnsi="Times New Roman" w:eastAsia="Times New Roman" w:cs="Times New Roman"/>
                <w:spacing w:val="3"/>
                <w:sz w:val="20"/>
                <w:szCs w:val="20"/>
                <w:highlight w:val="none"/>
              </w:rPr>
              <w:t>4</w:t>
            </w:r>
            <w:r>
              <w:rPr>
                <w:rFonts w:hint="eastAsia" w:ascii="Times New Roman" w:hAnsi="Times New Roman" w:eastAsia="宋体" w:cs="Times New Roman"/>
                <w:spacing w:val="3"/>
                <w:sz w:val="20"/>
                <w:szCs w:val="20"/>
                <w:highlight w:val="none"/>
                <w:lang w:val="en-US" w:eastAsia="zh-CN"/>
              </w:rPr>
              <w:t>7</w:t>
            </w:r>
          </w:p>
        </w:tc>
        <w:tc>
          <w:tcPr>
            <w:tcW w:w="1004" w:type="dxa"/>
            <w:vAlign w:val="top"/>
          </w:tcPr>
          <w:p w14:paraId="0F32500E">
            <w:pPr>
              <w:spacing w:line="275" w:lineRule="auto"/>
              <w:rPr>
                <w:rFonts w:ascii="Arial"/>
                <w:sz w:val="21"/>
                <w:highlight w:val="none"/>
              </w:rPr>
            </w:pPr>
          </w:p>
          <w:p w14:paraId="1FB4EB2F">
            <w:pPr>
              <w:spacing w:before="57" w:line="195" w:lineRule="auto"/>
              <w:ind w:left="368"/>
              <w:rPr>
                <w:rFonts w:ascii="Times New Roman" w:hAnsi="Times New Roman" w:eastAsia="Times New Roman" w:cs="Times New Roman"/>
                <w:sz w:val="20"/>
                <w:szCs w:val="20"/>
                <w:highlight w:val="none"/>
              </w:rPr>
            </w:pPr>
            <w:r>
              <w:rPr>
                <w:rFonts w:ascii="Times New Roman" w:hAnsi="Times New Roman" w:eastAsia="Times New Roman" w:cs="Times New Roman"/>
                <w:spacing w:val="3"/>
                <w:sz w:val="20"/>
                <w:szCs w:val="20"/>
                <w:highlight w:val="none"/>
              </w:rPr>
              <w:t>20.</w:t>
            </w:r>
            <w:r>
              <w:rPr>
                <w:rFonts w:ascii="Times New Roman" w:hAnsi="Times New Roman" w:eastAsia="Times New Roman" w:cs="Times New Roman"/>
                <w:spacing w:val="2"/>
                <w:sz w:val="20"/>
                <w:szCs w:val="20"/>
                <w:highlight w:val="none"/>
              </w:rPr>
              <w:t>4</w:t>
            </w:r>
          </w:p>
        </w:tc>
        <w:tc>
          <w:tcPr>
            <w:tcW w:w="7897" w:type="dxa"/>
            <w:tcBorders>
              <w:right w:val="single" w:color="000000" w:sz="6" w:space="0"/>
            </w:tcBorders>
            <w:vAlign w:val="top"/>
          </w:tcPr>
          <w:p w14:paraId="4CB41F47">
            <w:pPr>
              <w:spacing w:before="1" w:line="369" w:lineRule="auto"/>
              <w:ind w:left="110" w:right="102" w:firstLine="221"/>
              <w:rPr>
                <w:rFonts w:ascii="宋体" w:hAnsi="宋体" w:eastAsia="宋体" w:cs="宋体"/>
                <w:spacing w:val="5"/>
                <w:sz w:val="20"/>
                <w:szCs w:val="20"/>
                <w:highlight w:val="none"/>
              </w:rPr>
            </w:pPr>
            <w:r>
              <w:rPr>
                <w:rFonts w:ascii="Times New Roman" w:hAnsi="Times New Roman" w:eastAsia="Times New Roman" w:cs="Times New Roman"/>
                <w:spacing w:val="8"/>
                <w:position w:val="15"/>
                <w:sz w:val="20"/>
                <w:szCs w:val="20"/>
                <w:highlight w:val="none"/>
              </w:rPr>
              <w:t>20.4. 1</w:t>
            </w:r>
            <w:r>
              <w:rPr>
                <w:rFonts w:ascii="Times New Roman" w:hAnsi="Times New Roman" w:eastAsia="Times New Roman" w:cs="Times New Roman"/>
                <w:spacing w:val="4"/>
                <w:position w:val="15"/>
                <w:sz w:val="20"/>
                <w:szCs w:val="20"/>
                <w:highlight w:val="none"/>
              </w:rPr>
              <w:t xml:space="preserve"> </w:t>
            </w:r>
            <w:r>
              <w:rPr>
                <w:rFonts w:ascii="宋体" w:hAnsi="宋体" w:eastAsia="宋体" w:cs="宋体"/>
                <w:spacing w:val="12"/>
                <w:sz w:val="20"/>
                <w:szCs w:val="20"/>
                <w:highlight w:val="none"/>
              </w:rPr>
              <w:t>第三者责任系指在保险期内，对因工程意外事故造成的、依法应由被保险</w:t>
            </w:r>
            <w:r>
              <w:rPr>
                <w:rFonts w:hint="eastAsia" w:ascii="宋体" w:hAnsi="宋体" w:eastAsia="宋体" w:cs="宋体"/>
                <w:spacing w:val="12"/>
                <w:sz w:val="20"/>
                <w:szCs w:val="20"/>
                <w:highlight w:val="none"/>
                <w:lang w:val="en-US" w:eastAsia="zh-CN"/>
              </w:rPr>
              <w:t>人</w:t>
            </w:r>
            <w:r>
              <w:rPr>
                <w:rFonts w:ascii="宋体" w:hAnsi="宋体" w:eastAsia="宋体" w:cs="宋体"/>
                <w:spacing w:val="12"/>
                <w:sz w:val="20"/>
                <w:szCs w:val="20"/>
                <w:highlight w:val="none"/>
              </w:rPr>
              <w:t>负责的工地上及毗邻地区的第三者人身伤亡、疾病或财产损失 (本工程除外) ，以及被保险</w:t>
            </w:r>
            <w:r>
              <w:rPr>
                <w:rFonts w:ascii="宋体" w:hAnsi="宋体" w:eastAsia="宋体" w:cs="宋体"/>
                <w:spacing w:val="11"/>
                <w:sz w:val="20"/>
                <w:szCs w:val="20"/>
                <w:highlight w:val="none"/>
              </w:rPr>
              <w:t>人因此而支付的诉讼费用和事先经保险人书面同意支付的其他费用等</w:t>
            </w:r>
            <w:r>
              <w:rPr>
                <w:rFonts w:ascii="宋体" w:hAnsi="宋体" w:eastAsia="宋体" w:cs="宋体"/>
                <w:spacing w:val="6"/>
                <w:sz w:val="20"/>
                <w:szCs w:val="20"/>
                <w:highlight w:val="none"/>
              </w:rPr>
              <w:t>赔偿责任</w:t>
            </w:r>
            <w:r>
              <w:rPr>
                <w:rFonts w:ascii="宋体" w:hAnsi="宋体" w:eastAsia="宋体" w:cs="宋体"/>
                <w:spacing w:val="5"/>
                <w:sz w:val="20"/>
                <w:szCs w:val="20"/>
                <w:highlight w:val="none"/>
              </w:rPr>
              <w:t>。</w:t>
            </w:r>
          </w:p>
          <w:p w14:paraId="48283F20">
            <w:pPr>
              <w:spacing w:before="1" w:line="369" w:lineRule="auto"/>
              <w:ind w:left="110" w:right="102" w:firstLine="221"/>
              <w:rPr>
                <w:rFonts w:ascii="宋体" w:hAnsi="宋体" w:eastAsia="宋体" w:cs="宋体"/>
                <w:spacing w:val="5"/>
                <w:sz w:val="20"/>
                <w:szCs w:val="20"/>
                <w:highlight w:val="none"/>
              </w:rPr>
            </w:pPr>
            <w:r>
              <w:rPr>
                <w:rFonts w:ascii="宋体" w:hAnsi="宋体" w:eastAsia="宋体" w:cs="宋体"/>
                <w:spacing w:val="5"/>
                <w:sz w:val="20"/>
                <w:szCs w:val="20"/>
                <w:highlight w:val="none"/>
              </w:rPr>
              <w:t>20.4.2  在缺陷责任期终止证书颁发前，承包人应以承包人和发包人的共同名义，投保第 20.4. 1 项约定的第三者责任险，其中：第三者责任险的最低投保金额，规定为：</w:t>
            </w:r>
            <w:r>
              <w:rPr>
                <w:rFonts w:ascii="宋体" w:hAnsi="宋体" w:eastAsia="宋体" w:cs="宋体"/>
                <w:spacing w:val="5"/>
                <w:sz w:val="20"/>
                <w:szCs w:val="20"/>
                <w:highlight w:val="none"/>
                <w:u w:val="none"/>
              </w:rPr>
              <w:t xml:space="preserve">100 万元 </w:t>
            </w:r>
            <w:r>
              <w:rPr>
                <w:rFonts w:ascii="宋体" w:hAnsi="宋体" w:eastAsia="宋体" w:cs="宋体"/>
                <w:spacing w:val="5"/>
                <w:sz w:val="20"/>
                <w:szCs w:val="20"/>
                <w:highlight w:val="none"/>
              </w:rPr>
              <w:t>。保险费率：</w:t>
            </w:r>
            <w:r>
              <w:rPr>
                <w:rFonts w:ascii="宋体" w:hAnsi="宋体" w:eastAsia="宋体" w:cs="宋体"/>
                <w:spacing w:val="5"/>
                <w:sz w:val="20"/>
                <w:szCs w:val="20"/>
                <w:highlight w:val="none"/>
                <w:u w:val="none"/>
              </w:rPr>
              <w:t xml:space="preserve">0. 1%  </w:t>
            </w:r>
            <w:r>
              <w:rPr>
                <w:rFonts w:ascii="宋体" w:hAnsi="宋体" w:eastAsia="宋体" w:cs="宋体"/>
                <w:spacing w:val="5"/>
                <w:sz w:val="20"/>
                <w:szCs w:val="20"/>
                <w:highlight w:val="none"/>
              </w:rPr>
              <w:t>。</w:t>
            </w:r>
          </w:p>
          <w:p w14:paraId="2755489F">
            <w:pPr>
              <w:spacing w:before="1" w:line="369" w:lineRule="auto"/>
              <w:ind w:left="110" w:right="102" w:firstLine="221"/>
              <w:rPr>
                <w:rFonts w:ascii="宋体" w:hAnsi="宋体" w:eastAsia="宋体" w:cs="宋体"/>
                <w:sz w:val="20"/>
                <w:szCs w:val="20"/>
                <w:highlight w:val="none"/>
              </w:rPr>
            </w:pPr>
            <w:r>
              <w:rPr>
                <w:rFonts w:ascii="宋体" w:hAnsi="宋体" w:eastAsia="宋体" w:cs="宋体"/>
                <w:spacing w:val="5"/>
                <w:position w:val="0"/>
                <w:sz w:val="20"/>
                <w:szCs w:val="20"/>
                <w:highlight w:val="none"/>
              </w:rPr>
              <w:t>20.4.3 承包人因办理第三者责任险所发生的费用应认为已含入其他支付项中，发</w:t>
            </w:r>
            <w:r>
              <w:rPr>
                <w:rFonts w:ascii="宋体" w:hAnsi="宋体" w:eastAsia="宋体" w:cs="宋体"/>
                <w:spacing w:val="5"/>
                <w:sz w:val="20"/>
                <w:szCs w:val="20"/>
                <w:highlight w:val="none"/>
              </w:rPr>
              <w:t>包人不另行计量，出资人不另行支付。</w:t>
            </w:r>
          </w:p>
        </w:tc>
      </w:tr>
    </w:tbl>
    <w:p w14:paraId="4AA83B94">
      <w:pPr>
        <w:spacing w:line="103" w:lineRule="auto"/>
        <w:rPr>
          <w:rFonts w:ascii="Arial"/>
          <w:sz w:val="2"/>
          <w:highlight w:val="none"/>
        </w:rPr>
      </w:pPr>
    </w:p>
    <w:tbl>
      <w:tblPr>
        <w:tblStyle w:val="101"/>
        <w:tblW w:w="9291"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4"/>
        <w:gridCol w:w="1113"/>
        <w:gridCol w:w="7644"/>
      </w:tblGrid>
      <w:tr w14:paraId="3A1295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9" w:hRule="atLeast"/>
        </w:trPr>
        <w:tc>
          <w:tcPr>
            <w:tcW w:w="534" w:type="dxa"/>
            <w:tcBorders>
              <w:left w:val="single" w:color="000000" w:sz="6" w:space="0"/>
            </w:tcBorders>
            <w:vAlign w:val="top"/>
          </w:tcPr>
          <w:p w14:paraId="43A28E18">
            <w:pPr>
              <w:spacing w:line="266" w:lineRule="auto"/>
              <w:rPr>
                <w:rFonts w:ascii="Arial"/>
                <w:sz w:val="21"/>
                <w:highlight w:val="none"/>
              </w:rPr>
            </w:pPr>
          </w:p>
          <w:p w14:paraId="1D6A4870">
            <w:pPr>
              <w:spacing w:line="266" w:lineRule="auto"/>
              <w:rPr>
                <w:rFonts w:ascii="Arial"/>
                <w:sz w:val="21"/>
                <w:highlight w:val="none"/>
              </w:rPr>
            </w:pPr>
          </w:p>
          <w:p w14:paraId="69F66F50">
            <w:pPr>
              <w:spacing w:line="267" w:lineRule="auto"/>
              <w:rPr>
                <w:rFonts w:ascii="Arial"/>
                <w:sz w:val="21"/>
                <w:highlight w:val="none"/>
              </w:rPr>
            </w:pPr>
          </w:p>
          <w:p w14:paraId="5ECE3DFA">
            <w:pPr>
              <w:spacing w:line="267" w:lineRule="auto"/>
              <w:rPr>
                <w:rFonts w:ascii="Arial"/>
                <w:sz w:val="21"/>
                <w:highlight w:val="none"/>
              </w:rPr>
            </w:pPr>
          </w:p>
          <w:p w14:paraId="08E781F3">
            <w:pPr>
              <w:spacing w:before="57" w:line="195" w:lineRule="auto"/>
              <w:ind w:left="155"/>
              <w:rPr>
                <w:rFonts w:hint="eastAsia" w:ascii="Times New Roman" w:hAnsi="Times New Roman" w:eastAsia="宋体" w:cs="Times New Roman"/>
                <w:sz w:val="20"/>
                <w:szCs w:val="20"/>
                <w:highlight w:val="none"/>
                <w:lang w:val="en-US" w:eastAsia="zh-CN"/>
              </w:rPr>
            </w:pPr>
            <w:r>
              <w:rPr>
                <w:rFonts w:ascii="Times New Roman" w:hAnsi="Times New Roman" w:eastAsia="Times New Roman" w:cs="Times New Roman"/>
                <w:spacing w:val="3"/>
                <w:sz w:val="20"/>
                <w:szCs w:val="20"/>
                <w:highlight w:val="none"/>
              </w:rPr>
              <w:t>4</w:t>
            </w:r>
            <w:r>
              <w:rPr>
                <w:rFonts w:hint="eastAsia" w:ascii="Times New Roman" w:hAnsi="Times New Roman" w:eastAsia="宋体" w:cs="Times New Roman"/>
                <w:spacing w:val="3"/>
                <w:sz w:val="20"/>
                <w:szCs w:val="20"/>
                <w:highlight w:val="none"/>
                <w:lang w:val="en-US" w:eastAsia="zh-CN"/>
              </w:rPr>
              <w:t>8</w:t>
            </w:r>
          </w:p>
        </w:tc>
        <w:tc>
          <w:tcPr>
            <w:tcW w:w="1113" w:type="dxa"/>
            <w:vAlign w:val="top"/>
          </w:tcPr>
          <w:p w14:paraId="54B45D70">
            <w:pPr>
              <w:spacing w:line="266" w:lineRule="auto"/>
              <w:rPr>
                <w:rFonts w:ascii="Arial"/>
                <w:sz w:val="21"/>
                <w:highlight w:val="none"/>
              </w:rPr>
            </w:pPr>
          </w:p>
          <w:p w14:paraId="3D17A31E">
            <w:pPr>
              <w:spacing w:line="266" w:lineRule="auto"/>
              <w:rPr>
                <w:rFonts w:ascii="Arial"/>
                <w:sz w:val="21"/>
                <w:highlight w:val="none"/>
              </w:rPr>
            </w:pPr>
          </w:p>
          <w:p w14:paraId="3990C22D">
            <w:pPr>
              <w:spacing w:line="267" w:lineRule="auto"/>
              <w:rPr>
                <w:rFonts w:ascii="Arial"/>
                <w:sz w:val="21"/>
                <w:highlight w:val="none"/>
              </w:rPr>
            </w:pPr>
          </w:p>
          <w:p w14:paraId="1BDA61BB">
            <w:pPr>
              <w:spacing w:line="267" w:lineRule="auto"/>
              <w:rPr>
                <w:rFonts w:ascii="Arial"/>
                <w:sz w:val="21"/>
                <w:highlight w:val="none"/>
              </w:rPr>
            </w:pPr>
          </w:p>
          <w:p w14:paraId="4A7AD0F0">
            <w:pPr>
              <w:spacing w:before="58" w:line="195" w:lineRule="auto"/>
              <w:ind w:left="368"/>
              <w:rPr>
                <w:rFonts w:ascii="Times New Roman" w:hAnsi="Times New Roman" w:eastAsia="Times New Roman" w:cs="Times New Roman"/>
                <w:sz w:val="20"/>
                <w:szCs w:val="20"/>
                <w:highlight w:val="none"/>
              </w:rPr>
            </w:pPr>
            <w:r>
              <w:rPr>
                <w:rFonts w:ascii="Times New Roman" w:hAnsi="Times New Roman" w:eastAsia="Times New Roman" w:cs="Times New Roman"/>
                <w:spacing w:val="5"/>
                <w:sz w:val="20"/>
                <w:szCs w:val="20"/>
                <w:highlight w:val="none"/>
              </w:rPr>
              <w:t>2</w:t>
            </w:r>
            <w:r>
              <w:rPr>
                <w:rFonts w:ascii="Times New Roman" w:hAnsi="Times New Roman" w:eastAsia="Times New Roman" w:cs="Times New Roman"/>
                <w:spacing w:val="4"/>
                <w:sz w:val="20"/>
                <w:szCs w:val="20"/>
                <w:highlight w:val="none"/>
              </w:rPr>
              <w:t>0.5</w:t>
            </w:r>
          </w:p>
        </w:tc>
        <w:tc>
          <w:tcPr>
            <w:tcW w:w="7644" w:type="dxa"/>
            <w:tcBorders>
              <w:right w:val="single" w:color="000000" w:sz="6" w:space="0"/>
            </w:tcBorders>
            <w:vAlign w:val="top"/>
          </w:tcPr>
          <w:p w14:paraId="7B855780">
            <w:pPr>
              <w:spacing w:before="138" w:line="369" w:lineRule="auto"/>
              <w:ind w:left="109" w:right="104" w:firstLine="235"/>
              <w:rPr>
                <w:rFonts w:ascii="宋体" w:hAnsi="宋体" w:eastAsia="宋体" w:cs="宋体"/>
                <w:sz w:val="20"/>
                <w:szCs w:val="20"/>
                <w:highlight w:val="none"/>
              </w:rPr>
            </w:pPr>
            <w:r>
              <w:rPr>
                <w:rFonts w:ascii="宋体" w:hAnsi="宋体" w:eastAsia="宋体" w:cs="宋体"/>
                <w:spacing w:val="20"/>
                <w:sz w:val="20"/>
                <w:szCs w:val="20"/>
                <w:highlight w:val="none"/>
              </w:rPr>
              <w:t>承包</w:t>
            </w:r>
            <w:r>
              <w:rPr>
                <w:rFonts w:ascii="宋体" w:hAnsi="宋体" w:eastAsia="宋体" w:cs="宋体"/>
                <w:spacing w:val="14"/>
                <w:sz w:val="20"/>
                <w:szCs w:val="20"/>
                <w:highlight w:val="none"/>
              </w:rPr>
              <w:t>人</w:t>
            </w:r>
            <w:r>
              <w:rPr>
                <w:rFonts w:ascii="宋体" w:hAnsi="宋体" w:eastAsia="宋体" w:cs="宋体"/>
                <w:spacing w:val="10"/>
                <w:sz w:val="20"/>
                <w:szCs w:val="20"/>
                <w:highlight w:val="none"/>
              </w:rPr>
              <w:t>职工的 (人身) 事故险及建筑意外伤害险由承包人自行投保，保险费应</w:t>
            </w:r>
            <w:r>
              <w:rPr>
                <w:rFonts w:ascii="宋体" w:hAnsi="宋体" w:eastAsia="宋体" w:cs="宋体"/>
                <w:spacing w:val="11"/>
                <w:sz w:val="20"/>
                <w:szCs w:val="20"/>
                <w:highlight w:val="none"/>
              </w:rPr>
              <w:t>认</w:t>
            </w:r>
            <w:r>
              <w:rPr>
                <w:rFonts w:ascii="宋体" w:hAnsi="宋体" w:eastAsia="宋体" w:cs="宋体"/>
                <w:spacing w:val="9"/>
                <w:sz w:val="20"/>
                <w:szCs w:val="20"/>
                <w:highlight w:val="none"/>
              </w:rPr>
              <w:t>为已含入其他支付项中，发包人不另行计量或支付。</w:t>
            </w:r>
          </w:p>
          <w:p w14:paraId="4E7FD206">
            <w:pPr>
              <w:spacing w:line="369" w:lineRule="auto"/>
              <w:ind w:left="110" w:right="102" w:firstLine="234"/>
              <w:rPr>
                <w:rFonts w:ascii="宋体" w:hAnsi="宋体" w:eastAsia="宋体" w:cs="宋体"/>
                <w:sz w:val="20"/>
                <w:szCs w:val="20"/>
                <w:highlight w:val="none"/>
              </w:rPr>
            </w:pPr>
            <w:r>
              <w:rPr>
                <w:rFonts w:ascii="宋体" w:hAnsi="宋体" w:eastAsia="宋体" w:cs="宋体"/>
                <w:spacing w:val="22"/>
                <w:sz w:val="20"/>
                <w:szCs w:val="20"/>
                <w:highlight w:val="none"/>
              </w:rPr>
              <w:t>承</w:t>
            </w:r>
            <w:r>
              <w:rPr>
                <w:rFonts w:ascii="宋体" w:hAnsi="宋体" w:eastAsia="宋体" w:cs="宋体"/>
                <w:spacing w:val="12"/>
                <w:sz w:val="20"/>
                <w:szCs w:val="20"/>
                <w:highlight w:val="none"/>
              </w:rPr>
              <w:t>包</w:t>
            </w:r>
            <w:r>
              <w:rPr>
                <w:rFonts w:ascii="宋体" w:hAnsi="宋体" w:eastAsia="宋体" w:cs="宋体"/>
                <w:spacing w:val="11"/>
                <w:sz w:val="20"/>
                <w:szCs w:val="20"/>
                <w:highlight w:val="none"/>
              </w:rPr>
              <w:t>人应按《人力资源社会保障部、交通运输部、水利部、能源局、铁路局、</w:t>
            </w:r>
            <w:r>
              <w:rPr>
                <w:rFonts w:ascii="宋体" w:hAnsi="宋体" w:eastAsia="宋体" w:cs="宋体"/>
                <w:spacing w:val="13"/>
                <w:sz w:val="20"/>
                <w:szCs w:val="20"/>
                <w:highlight w:val="none"/>
              </w:rPr>
              <w:t>民</w:t>
            </w:r>
            <w:r>
              <w:rPr>
                <w:rFonts w:ascii="宋体" w:hAnsi="宋体" w:eastAsia="宋体" w:cs="宋体"/>
                <w:spacing w:val="12"/>
                <w:sz w:val="20"/>
                <w:szCs w:val="20"/>
                <w:highlight w:val="none"/>
              </w:rPr>
              <w:t>航局关于铁路、公路、水运、水利、能源、机场工程建设项目参加工伤保险工</w:t>
            </w:r>
            <w:r>
              <w:rPr>
                <w:rFonts w:ascii="宋体" w:hAnsi="宋体" w:eastAsia="宋体" w:cs="宋体"/>
                <w:sz w:val="20"/>
                <w:szCs w:val="20"/>
                <w:highlight w:val="none"/>
              </w:rPr>
              <w:t xml:space="preserve"> </w:t>
            </w:r>
            <w:r>
              <w:rPr>
                <w:rFonts w:ascii="宋体" w:hAnsi="宋体" w:eastAsia="宋体" w:cs="宋体"/>
                <w:spacing w:val="5"/>
                <w:sz w:val="20"/>
                <w:szCs w:val="20"/>
                <w:highlight w:val="none"/>
              </w:rPr>
              <w:t>作</w:t>
            </w:r>
            <w:r>
              <w:rPr>
                <w:rFonts w:ascii="宋体" w:hAnsi="宋体" w:eastAsia="宋体" w:cs="宋体"/>
                <w:spacing w:val="4"/>
                <w:sz w:val="20"/>
                <w:szCs w:val="20"/>
                <w:highlight w:val="none"/>
              </w:rPr>
              <w:t>的通知》  (人社部发〔</w:t>
            </w:r>
            <w:r>
              <w:rPr>
                <w:rFonts w:ascii="Times New Roman" w:hAnsi="Times New Roman" w:eastAsia="Times New Roman" w:cs="Times New Roman"/>
                <w:spacing w:val="4"/>
                <w:sz w:val="20"/>
                <w:szCs w:val="20"/>
                <w:highlight w:val="none"/>
              </w:rPr>
              <w:t>2018</w:t>
            </w:r>
            <w:r>
              <w:rPr>
                <w:rFonts w:ascii="宋体" w:hAnsi="宋体" w:eastAsia="宋体" w:cs="宋体"/>
                <w:spacing w:val="4"/>
                <w:sz w:val="20"/>
                <w:szCs w:val="20"/>
                <w:highlight w:val="none"/>
              </w:rPr>
              <w:t>〕</w:t>
            </w:r>
            <w:r>
              <w:rPr>
                <w:rFonts w:ascii="Times New Roman" w:hAnsi="Times New Roman" w:eastAsia="Times New Roman" w:cs="Times New Roman"/>
                <w:spacing w:val="4"/>
                <w:sz w:val="20"/>
                <w:szCs w:val="20"/>
                <w:highlight w:val="none"/>
              </w:rPr>
              <w:t xml:space="preserve">3 </w:t>
            </w:r>
            <w:r>
              <w:rPr>
                <w:rFonts w:ascii="宋体" w:hAnsi="宋体" w:eastAsia="宋体" w:cs="宋体"/>
                <w:spacing w:val="4"/>
                <w:sz w:val="20"/>
                <w:szCs w:val="20"/>
                <w:highlight w:val="none"/>
              </w:rPr>
              <w:t>号) 文件的规定，在进场施工前，办理相关手续</w:t>
            </w:r>
            <w:r>
              <w:rPr>
                <w:rFonts w:ascii="宋体" w:hAnsi="宋体" w:eastAsia="宋体" w:cs="宋体"/>
                <w:spacing w:val="12"/>
                <w:sz w:val="20"/>
                <w:szCs w:val="20"/>
                <w:highlight w:val="none"/>
              </w:rPr>
              <w:t>并</w:t>
            </w:r>
            <w:r>
              <w:rPr>
                <w:rFonts w:ascii="宋体" w:hAnsi="宋体" w:eastAsia="宋体" w:cs="宋体"/>
                <w:spacing w:val="8"/>
                <w:sz w:val="20"/>
                <w:szCs w:val="20"/>
                <w:highlight w:val="none"/>
              </w:rPr>
              <w:t>提交人员参加工伤保险的证明</w:t>
            </w:r>
          </w:p>
        </w:tc>
      </w:tr>
      <w:tr w14:paraId="04823C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12" w:hRule="atLeast"/>
        </w:trPr>
        <w:tc>
          <w:tcPr>
            <w:tcW w:w="534" w:type="dxa"/>
            <w:tcBorders>
              <w:left w:val="single" w:color="000000" w:sz="6" w:space="0"/>
            </w:tcBorders>
            <w:vAlign w:val="top"/>
          </w:tcPr>
          <w:p w14:paraId="4172EB25">
            <w:pPr>
              <w:spacing w:line="243" w:lineRule="auto"/>
              <w:rPr>
                <w:rFonts w:ascii="Arial"/>
                <w:sz w:val="21"/>
                <w:highlight w:val="none"/>
              </w:rPr>
            </w:pPr>
          </w:p>
          <w:p w14:paraId="48AAC1B1">
            <w:pPr>
              <w:spacing w:line="243" w:lineRule="auto"/>
              <w:rPr>
                <w:rFonts w:ascii="Arial"/>
                <w:sz w:val="21"/>
                <w:highlight w:val="none"/>
              </w:rPr>
            </w:pPr>
          </w:p>
          <w:p w14:paraId="24D30B2D">
            <w:pPr>
              <w:spacing w:line="243" w:lineRule="auto"/>
              <w:rPr>
                <w:rFonts w:ascii="Arial"/>
                <w:sz w:val="21"/>
                <w:highlight w:val="none"/>
              </w:rPr>
            </w:pPr>
          </w:p>
          <w:p w14:paraId="30B8135E">
            <w:pPr>
              <w:spacing w:line="243" w:lineRule="auto"/>
              <w:rPr>
                <w:rFonts w:ascii="Arial"/>
                <w:sz w:val="21"/>
                <w:highlight w:val="none"/>
              </w:rPr>
            </w:pPr>
          </w:p>
          <w:p w14:paraId="2A59AC61">
            <w:pPr>
              <w:spacing w:line="243" w:lineRule="auto"/>
              <w:rPr>
                <w:rFonts w:ascii="Arial"/>
                <w:sz w:val="21"/>
                <w:highlight w:val="none"/>
              </w:rPr>
            </w:pPr>
          </w:p>
          <w:p w14:paraId="54F3F16B">
            <w:pPr>
              <w:spacing w:line="243" w:lineRule="auto"/>
              <w:rPr>
                <w:rFonts w:ascii="Arial"/>
                <w:sz w:val="21"/>
                <w:highlight w:val="none"/>
              </w:rPr>
            </w:pPr>
          </w:p>
          <w:p w14:paraId="5F2984E4">
            <w:pPr>
              <w:spacing w:line="243" w:lineRule="auto"/>
              <w:rPr>
                <w:rFonts w:ascii="Arial"/>
                <w:sz w:val="21"/>
                <w:highlight w:val="none"/>
              </w:rPr>
            </w:pPr>
          </w:p>
          <w:p w14:paraId="713A3492">
            <w:pPr>
              <w:spacing w:line="243" w:lineRule="auto"/>
              <w:rPr>
                <w:rFonts w:ascii="Arial"/>
                <w:sz w:val="21"/>
                <w:highlight w:val="none"/>
              </w:rPr>
            </w:pPr>
          </w:p>
          <w:p w14:paraId="52F0A502">
            <w:pPr>
              <w:spacing w:line="243" w:lineRule="auto"/>
              <w:rPr>
                <w:rFonts w:ascii="Arial"/>
                <w:sz w:val="21"/>
                <w:highlight w:val="none"/>
              </w:rPr>
            </w:pPr>
          </w:p>
          <w:p w14:paraId="5B9E93DD">
            <w:pPr>
              <w:spacing w:line="243" w:lineRule="auto"/>
              <w:rPr>
                <w:rFonts w:ascii="Arial"/>
                <w:sz w:val="21"/>
                <w:highlight w:val="none"/>
              </w:rPr>
            </w:pPr>
          </w:p>
          <w:p w14:paraId="13B00B94">
            <w:pPr>
              <w:spacing w:line="244" w:lineRule="auto"/>
              <w:rPr>
                <w:rFonts w:ascii="Arial"/>
                <w:sz w:val="21"/>
                <w:highlight w:val="none"/>
              </w:rPr>
            </w:pPr>
          </w:p>
          <w:p w14:paraId="149DF7E1">
            <w:pPr>
              <w:spacing w:line="244" w:lineRule="auto"/>
              <w:rPr>
                <w:rFonts w:ascii="Arial"/>
                <w:sz w:val="21"/>
                <w:highlight w:val="none"/>
              </w:rPr>
            </w:pPr>
          </w:p>
          <w:p w14:paraId="0B5CEEDD">
            <w:pPr>
              <w:spacing w:line="244" w:lineRule="auto"/>
              <w:rPr>
                <w:rFonts w:ascii="Arial"/>
                <w:sz w:val="21"/>
                <w:highlight w:val="none"/>
              </w:rPr>
            </w:pPr>
          </w:p>
          <w:p w14:paraId="573C10B2">
            <w:pPr>
              <w:spacing w:line="244" w:lineRule="auto"/>
              <w:rPr>
                <w:rFonts w:ascii="Arial"/>
                <w:sz w:val="21"/>
                <w:highlight w:val="none"/>
              </w:rPr>
            </w:pPr>
          </w:p>
          <w:p w14:paraId="185C7526">
            <w:pPr>
              <w:spacing w:line="244" w:lineRule="auto"/>
              <w:rPr>
                <w:rFonts w:ascii="Arial"/>
                <w:sz w:val="21"/>
                <w:highlight w:val="none"/>
              </w:rPr>
            </w:pPr>
          </w:p>
          <w:p w14:paraId="317E9372">
            <w:pPr>
              <w:spacing w:before="57" w:line="195" w:lineRule="auto"/>
              <w:ind w:left="162"/>
              <w:rPr>
                <w:rFonts w:hint="default" w:ascii="Times New Roman" w:hAnsi="Times New Roman" w:eastAsia="宋体" w:cs="Times New Roman"/>
                <w:sz w:val="20"/>
                <w:szCs w:val="20"/>
                <w:highlight w:val="none"/>
                <w:lang w:val="en-US" w:eastAsia="zh-CN"/>
              </w:rPr>
            </w:pPr>
            <w:r>
              <w:rPr>
                <w:rFonts w:hint="eastAsia" w:ascii="Times New Roman" w:hAnsi="Times New Roman" w:eastAsia="宋体" w:cs="Times New Roman"/>
                <w:sz w:val="20"/>
                <w:szCs w:val="20"/>
                <w:highlight w:val="none"/>
                <w:lang w:val="en-US" w:eastAsia="zh-CN"/>
              </w:rPr>
              <w:t>49</w:t>
            </w:r>
          </w:p>
        </w:tc>
        <w:tc>
          <w:tcPr>
            <w:tcW w:w="1113" w:type="dxa"/>
            <w:vAlign w:val="top"/>
          </w:tcPr>
          <w:p w14:paraId="11E1CCB9">
            <w:pPr>
              <w:spacing w:line="243" w:lineRule="auto"/>
              <w:rPr>
                <w:rFonts w:ascii="Arial"/>
                <w:sz w:val="21"/>
                <w:highlight w:val="none"/>
              </w:rPr>
            </w:pPr>
          </w:p>
          <w:p w14:paraId="1894EAFF">
            <w:pPr>
              <w:spacing w:line="243" w:lineRule="auto"/>
              <w:rPr>
                <w:rFonts w:ascii="Arial"/>
                <w:sz w:val="21"/>
                <w:highlight w:val="none"/>
              </w:rPr>
            </w:pPr>
          </w:p>
          <w:p w14:paraId="62DC43B0">
            <w:pPr>
              <w:spacing w:line="243" w:lineRule="auto"/>
              <w:rPr>
                <w:rFonts w:ascii="Arial"/>
                <w:sz w:val="21"/>
                <w:highlight w:val="none"/>
              </w:rPr>
            </w:pPr>
          </w:p>
          <w:p w14:paraId="79EC64FD">
            <w:pPr>
              <w:spacing w:line="243" w:lineRule="auto"/>
              <w:rPr>
                <w:rFonts w:ascii="Arial"/>
                <w:sz w:val="21"/>
                <w:highlight w:val="none"/>
              </w:rPr>
            </w:pPr>
          </w:p>
          <w:p w14:paraId="7F4209CF">
            <w:pPr>
              <w:spacing w:line="243" w:lineRule="auto"/>
              <w:rPr>
                <w:rFonts w:ascii="Arial"/>
                <w:sz w:val="21"/>
                <w:highlight w:val="none"/>
              </w:rPr>
            </w:pPr>
          </w:p>
          <w:p w14:paraId="038D7D16">
            <w:pPr>
              <w:spacing w:line="243" w:lineRule="auto"/>
              <w:rPr>
                <w:rFonts w:ascii="Arial"/>
                <w:sz w:val="21"/>
                <w:highlight w:val="none"/>
              </w:rPr>
            </w:pPr>
          </w:p>
          <w:p w14:paraId="7DA3283A">
            <w:pPr>
              <w:spacing w:line="243" w:lineRule="auto"/>
              <w:rPr>
                <w:rFonts w:ascii="Arial"/>
                <w:sz w:val="21"/>
                <w:highlight w:val="none"/>
              </w:rPr>
            </w:pPr>
          </w:p>
          <w:p w14:paraId="6B1C9508">
            <w:pPr>
              <w:spacing w:line="243" w:lineRule="auto"/>
              <w:rPr>
                <w:rFonts w:ascii="Arial"/>
                <w:sz w:val="21"/>
                <w:highlight w:val="none"/>
              </w:rPr>
            </w:pPr>
          </w:p>
          <w:p w14:paraId="182AF8BA">
            <w:pPr>
              <w:spacing w:line="243" w:lineRule="auto"/>
              <w:rPr>
                <w:rFonts w:ascii="Arial"/>
                <w:sz w:val="21"/>
                <w:highlight w:val="none"/>
              </w:rPr>
            </w:pPr>
          </w:p>
          <w:p w14:paraId="0B48153C">
            <w:pPr>
              <w:spacing w:line="243" w:lineRule="auto"/>
              <w:rPr>
                <w:rFonts w:ascii="Arial"/>
                <w:sz w:val="21"/>
                <w:highlight w:val="none"/>
              </w:rPr>
            </w:pPr>
          </w:p>
          <w:p w14:paraId="46FF2CB6">
            <w:pPr>
              <w:spacing w:line="244" w:lineRule="auto"/>
              <w:rPr>
                <w:rFonts w:ascii="Arial"/>
                <w:sz w:val="21"/>
                <w:highlight w:val="none"/>
              </w:rPr>
            </w:pPr>
          </w:p>
          <w:p w14:paraId="1863F30B">
            <w:pPr>
              <w:spacing w:line="244" w:lineRule="auto"/>
              <w:rPr>
                <w:rFonts w:ascii="Arial"/>
                <w:sz w:val="21"/>
                <w:highlight w:val="none"/>
              </w:rPr>
            </w:pPr>
          </w:p>
          <w:p w14:paraId="2BA9F3BF">
            <w:pPr>
              <w:spacing w:line="244" w:lineRule="auto"/>
              <w:rPr>
                <w:rFonts w:ascii="Arial"/>
                <w:sz w:val="21"/>
                <w:highlight w:val="none"/>
              </w:rPr>
            </w:pPr>
          </w:p>
          <w:p w14:paraId="6DF14577">
            <w:pPr>
              <w:spacing w:line="244" w:lineRule="auto"/>
              <w:rPr>
                <w:rFonts w:ascii="Arial"/>
                <w:sz w:val="21"/>
                <w:highlight w:val="none"/>
              </w:rPr>
            </w:pPr>
          </w:p>
          <w:p w14:paraId="1D83F60D">
            <w:pPr>
              <w:spacing w:line="244" w:lineRule="auto"/>
              <w:rPr>
                <w:rFonts w:ascii="Arial"/>
                <w:sz w:val="21"/>
                <w:highlight w:val="none"/>
              </w:rPr>
            </w:pPr>
          </w:p>
          <w:p w14:paraId="31891083">
            <w:pPr>
              <w:spacing w:before="57" w:line="198" w:lineRule="auto"/>
              <w:rPr>
                <w:rFonts w:ascii="Times New Roman" w:hAnsi="Times New Roman" w:eastAsia="Times New Roman" w:cs="Times New Roman"/>
                <w:sz w:val="20"/>
                <w:szCs w:val="20"/>
                <w:highlight w:val="none"/>
              </w:rPr>
            </w:pPr>
            <w:r>
              <w:rPr>
                <w:rFonts w:ascii="Times New Roman" w:hAnsi="Times New Roman" w:eastAsia="Times New Roman" w:cs="Times New Roman"/>
                <w:spacing w:val="-6"/>
                <w:sz w:val="20"/>
                <w:szCs w:val="20"/>
                <w:highlight w:val="none"/>
              </w:rPr>
              <w:t>2</w:t>
            </w:r>
            <w:r>
              <w:rPr>
                <w:rFonts w:ascii="Times New Roman" w:hAnsi="Times New Roman" w:eastAsia="Times New Roman" w:cs="Times New Roman"/>
                <w:spacing w:val="-4"/>
                <w:sz w:val="20"/>
                <w:szCs w:val="20"/>
                <w:highlight w:val="none"/>
              </w:rPr>
              <w:t>2. 1.2</w:t>
            </w:r>
          </w:p>
        </w:tc>
        <w:tc>
          <w:tcPr>
            <w:tcW w:w="7644" w:type="dxa"/>
            <w:tcBorders>
              <w:right w:val="single" w:color="000000" w:sz="6" w:space="0"/>
            </w:tcBorders>
            <w:vAlign w:val="top"/>
          </w:tcPr>
          <w:p w14:paraId="00EA7CC7">
            <w:pPr>
              <w:spacing w:before="139" w:line="228" w:lineRule="auto"/>
              <w:ind w:left="340"/>
              <w:rPr>
                <w:rFonts w:ascii="宋体" w:hAnsi="宋体" w:eastAsia="宋体" w:cs="宋体"/>
                <w:sz w:val="20"/>
                <w:szCs w:val="20"/>
                <w:highlight w:val="none"/>
              </w:rPr>
            </w:pPr>
            <w:r>
              <w:rPr>
                <w:rFonts w:ascii="Times New Roman" w:hAnsi="Times New Roman" w:eastAsia="Times New Roman" w:cs="Times New Roman"/>
                <w:spacing w:val="6"/>
                <w:sz w:val="20"/>
                <w:szCs w:val="20"/>
                <w:highlight w:val="none"/>
              </w:rPr>
              <w:t>22.</w:t>
            </w:r>
            <w:r>
              <w:rPr>
                <w:rFonts w:ascii="Times New Roman" w:hAnsi="Times New Roman" w:eastAsia="Times New Roman" w:cs="Times New Roman"/>
                <w:spacing w:val="5"/>
                <w:sz w:val="20"/>
                <w:szCs w:val="20"/>
                <w:highlight w:val="none"/>
              </w:rPr>
              <w:t xml:space="preserve"> </w:t>
            </w:r>
            <w:r>
              <w:rPr>
                <w:rFonts w:ascii="Times New Roman" w:hAnsi="Times New Roman" w:eastAsia="Times New Roman" w:cs="Times New Roman"/>
                <w:spacing w:val="3"/>
                <w:sz w:val="20"/>
                <w:szCs w:val="20"/>
                <w:highlight w:val="none"/>
              </w:rPr>
              <w:t xml:space="preserve">1.2  </w:t>
            </w:r>
            <w:r>
              <w:rPr>
                <w:rFonts w:ascii="宋体" w:hAnsi="宋体" w:eastAsia="宋体" w:cs="宋体"/>
                <w:spacing w:val="3"/>
                <w:sz w:val="20"/>
                <w:szCs w:val="20"/>
                <w:highlight w:val="none"/>
              </w:rPr>
              <w:t>对承包人违约的处理</w:t>
            </w:r>
          </w:p>
          <w:p w14:paraId="3E38D255">
            <w:pPr>
              <w:spacing w:before="154" w:line="401" w:lineRule="exact"/>
              <w:ind w:left="344"/>
              <w:rPr>
                <w:rFonts w:ascii="宋体" w:hAnsi="宋体" w:eastAsia="宋体" w:cs="宋体"/>
                <w:sz w:val="20"/>
                <w:szCs w:val="20"/>
                <w:highlight w:val="none"/>
              </w:rPr>
            </w:pPr>
            <w:r>
              <w:rPr>
                <w:rFonts w:ascii="宋体" w:hAnsi="宋体" w:eastAsia="宋体" w:cs="宋体"/>
                <w:spacing w:val="3"/>
                <w:position w:val="14"/>
                <w:sz w:val="20"/>
                <w:szCs w:val="20"/>
                <w:highlight w:val="none"/>
              </w:rPr>
              <w:t xml:space="preserve">承包人发生第 </w:t>
            </w:r>
            <w:r>
              <w:rPr>
                <w:rFonts w:ascii="Times New Roman" w:hAnsi="Times New Roman" w:eastAsia="Times New Roman" w:cs="Times New Roman"/>
                <w:spacing w:val="3"/>
                <w:position w:val="14"/>
                <w:sz w:val="20"/>
                <w:szCs w:val="20"/>
                <w:highlight w:val="none"/>
              </w:rPr>
              <w:t xml:space="preserve">22. 1. 1 </w:t>
            </w:r>
            <w:r>
              <w:rPr>
                <w:rFonts w:ascii="宋体" w:hAnsi="宋体" w:eastAsia="宋体" w:cs="宋体"/>
                <w:spacing w:val="3"/>
                <w:position w:val="14"/>
                <w:sz w:val="20"/>
                <w:szCs w:val="20"/>
                <w:highlight w:val="none"/>
              </w:rPr>
              <w:t>项 (</w:t>
            </w:r>
            <w:r>
              <w:rPr>
                <w:rFonts w:ascii="Times New Roman" w:hAnsi="Times New Roman" w:eastAsia="Times New Roman" w:cs="Times New Roman"/>
                <w:spacing w:val="3"/>
                <w:position w:val="14"/>
                <w:sz w:val="20"/>
                <w:szCs w:val="20"/>
                <w:highlight w:val="none"/>
              </w:rPr>
              <w:t>1</w:t>
            </w:r>
            <w:r>
              <w:rPr>
                <w:rFonts w:ascii="宋体" w:hAnsi="宋体" w:eastAsia="宋体" w:cs="宋体"/>
                <w:spacing w:val="3"/>
                <w:position w:val="14"/>
                <w:sz w:val="20"/>
                <w:szCs w:val="20"/>
                <w:highlight w:val="none"/>
              </w:rPr>
              <w:t>) 至 (</w:t>
            </w:r>
            <w:r>
              <w:rPr>
                <w:rFonts w:ascii="Times New Roman" w:hAnsi="Times New Roman" w:eastAsia="Times New Roman" w:cs="Times New Roman"/>
                <w:spacing w:val="3"/>
                <w:position w:val="14"/>
                <w:sz w:val="20"/>
                <w:szCs w:val="20"/>
                <w:highlight w:val="none"/>
              </w:rPr>
              <w:t>10</w:t>
            </w:r>
            <w:r>
              <w:rPr>
                <w:rFonts w:ascii="宋体" w:hAnsi="宋体" w:eastAsia="宋体" w:cs="宋体"/>
                <w:spacing w:val="3"/>
                <w:position w:val="14"/>
                <w:sz w:val="20"/>
                <w:szCs w:val="20"/>
                <w:highlight w:val="none"/>
              </w:rPr>
              <w:t>) 目约定的违约情况时，发包人可视</w:t>
            </w:r>
            <w:r>
              <w:rPr>
                <w:rFonts w:ascii="宋体" w:hAnsi="宋体" w:eastAsia="宋体" w:cs="宋体"/>
                <w:spacing w:val="2"/>
                <w:position w:val="14"/>
                <w:sz w:val="20"/>
                <w:szCs w:val="20"/>
                <w:highlight w:val="none"/>
              </w:rPr>
              <w:t>承</w:t>
            </w:r>
            <w:r>
              <w:rPr>
                <w:rFonts w:ascii="宋体" w:hAnsi="宋体" w:eastAsia="宋体" w:cs="宋体"/>
                <w:position w:val="14"/>
                <w:sz w:val="20"/>
                <w:szCs w:val="20"/>
                <w:highlight w:val="none"/>
              </w:rPr>
              <w:t>包人</w:t>
            </w:r>
          </w:p>
          <w:p w14:paraId="78C8B694">
            <w:pPr>
              <w:spacing w:line="225" w:lineRule="auto"/>
              <w:ind w:left="109"/>
              <w:rPr>
                <w:rFonts w:ascii="宋体" w:hAnsi="宋体" w:eastAsia="宋体" w:cs="宋体"/>
                <w:sz w:val="20"/>
                <w:szCs w:val="20"/>
                <w:highlight w:val="none"/>
              </w:rPr>
            </w:pPr>
            <w:r>
              <w:rPr>
                <w:rFonts w:ascii="宋体" w:hAnsi="宋体" w:eastAsia="宋体" w:cs="宋体"/>
                <w:spacing w:val="9"/>
                <w:sz w:val="20"/>
                <w:szCs w:val="20"/>
                <w:highlight w:val="none"/>
              </w:rPr>
              <w:t>违约的具体行为和严重程度采取下列措施之一：</w:t>
            </w:r>
          </w:p>
          <w:p w14:paraId="4F482D5B">
            <w:pPr>
              <w:spacing w:before="119" w:line="376" w:lineRule="auto"/>
              <w:ind w:left="109" w:right="102" w:firstLine="245"/>
              <w:rPr>
                <w:rFonts w:ascii="宋体" w:hAnsi="宋体" w:eastAsia="宋体" w:cs="宋体"/>
                <w:sz w:val="20"/>
                <w:szCs w:val="20"/>
                <w:highlight w:val="none"/>
              </w:rPr>
            </w:pPr>
            <w:r>
              <w:rPr>
                <w:rFonts w:ascii="宋体" w:hAnsi="宋体" w:eastAsia="宋体" w:cs="宋体"/>
                <w:spacing w:val="20"/>
                <w:sz w:val="20"/>
                <w:szCs w:val="20"/>
                <w:highlight w:val="none"/>
              </w:rPr>
              <w:t>(</w:t>
            </w:r>
            <w:r>
              <w:rPr>
                <w:rFonts w:ascii="Times New Roman" w:hAnsi="Times New Roman" w:eastAsia="Times New Roman" w:cs="Times New Roman"/>
                <w:spacing w:val="20"/>
                <w:sz w:val="20"/>
                <w:szCs w:val="20"/>
                <w:highlight w:val="none"/>
              </w:rPr>
              <w:t>1</w:t>
            </w:r>
            <w:r>
              <w:rPr>
                <w:rFonts w:ascii="宋体" w:hAnsi="宋体" w:eastAsia="宋体" w:cs="宋体"/>
                <w:spacing w:val="20"/>
                <w:sz w:val="20"/>
                <w:szCs w:val="20"/>
                <w:highlight w:val="none"/>
              </w:rPr>
              <w:t>)</w:t>
            </w:r>
            <w:r>
              <w:rPr>
                <w:rFonts w:ascii="宋体" w:hAnsi="宋体" w:eastAsia="宋体" w:cs="宋体"/>
                <w:spacing w:val="10"/>
                <w:sz w:val="20"/>
                <w:szCs w:val="20"/>
                <w:highlight w:val="none"/>
              </w:rPr>
              <w:t xml:space="preserve">  发包人可按不超过签约合同价 </w:t>
            </w:r>
            <w:r>
              <w:rPr>
                <w:rFonts w:ascii="Times New Roman" w:hAnsi="Times New Roman" w:eastAsia="Times New Roman" w:cs="Times New Roman"/>
                <w:spacing w:val="10"/>
                <w:sz w:val="20"/>
                <w:szCs w:val="20"/>
                <w:highlight w:val="none"/>
              </w:rPr>
              <w:t>10%</w:t>
            </w:r>
            <w:r>
              <w:rPr>
                <w:rFonts w:ascii="宋体" w:hAnsi="宋体" w:eastAsia="宋体" w:cs="宋体"/>
                <w:spacing w:val="10"/>
                <w:sz w:val="20"/>
                <w:szCs w:val="20"/>
                <w:highlight w:val="none"/>
              </w:rPr>
              <w:t>的金额扣缴承包人违约金，即使交纳</w:t>
            </w:r>
            <w:r>
              <w:rPr>
                <w:rFonts w:ascii="宋体" w:hAnsi="宋体" w:eastAsia="宋体" w:cs="宋体"/>
                <w:spacing w:val="14"/>
                <w:sz w:val="20"/>
                <w:szCs w:val="20"/>
                <w:highlight w:val="none"/>
              </w:rPr>
              <w:t>了</w:t>
            </w:r>
            <w:r>
              <w:rPr>
                <w:rFonts w:ascii="宋体" w:hAnsi="宋体" w:eastAsia="宋体" w:cs="宋体"/>
                <w:spacing w:val="12"/>
                <w:sz w:val="20"/>
                <w:szCs w:val="20"/>
                <w:highlight w:val="none"/>
              </w:rPr>
              <w:t>违约金，承包人仍应按合同规定继续实施和完成本合同工程及其缺陷修复；若</w:t>
            </w:r>
            <w:r>
              <w:rPr>
                <w:rFonts w:ascii="宋体" w:hAnsi="宋体" w:eastAsia="宋体" w:cs="宋体"/>
                <w:spacing w:val="14"/>
                <w:sz w:val="20"/>
                <w:szCs w:val="20"/>
                <w:highlight w:val="none"/>
              </w:rPr>
              <w:t>承</w:t>
            </w:r>
            <w:r>
              <w:rPr>
                <w:rFonts w:ascii="宋体" w:hAnsi="宋体" w:eastAsia="宋体" w:cs="宋体"/>
                <w:spacing w:val="12"/>
                <w:sz w:val="20"/>
                <w:szCs w:val="20"/>
                <w:highlight w:val="none"/>
              </w:rPr>
              <w:t>包人未经批准擅自撤离工地，发包人除扣除承包人的全部履约担保和剩余工程</w:t>
            </w:r>
            <w:r>
              <w:rPr>
                <w:rFonts w:ascii="宋体" w:hAnsi="宋体" w:eastAsia="宋体" w:cs="宋体"/>
                <w:spacing w:val="14"/>
                <w:sz w:val="20"/>
                <w:szCs w:val="20"/>
                <w:highlight w:val="none"/>
              </w:rPr>
              <w:t>款</w:t>
            </w:r>
            <w:r>
              <w:rPr>
                <w:rFonts w:ascii="宋体" w:hAnsi="宋体" w:eastAsia="宋体" w:cs="宋体"/>
                <w:spacing w:val="12"/>
                <w:sz w:val="20"/>
                <w:szCs w:val="20"/>
                <w:highlight w:val="none"/>
              </w:rPr>
              <w:t>项之外，并不承担承包人与其它承包人、供货商等的经济纠纷和法律责任，也</w:t>
            </w:r>
            <w:r>
              <w:rPr>
                <w:rFonts w:ascii="宋体" w:hAnsi="宋体" w:eastAsia="宋体" w:cs="宋体"/>
                <w:spacing w:val="11"/>
                <w:sz w:val="20"/>
                <w:szCs w:val="20"/>
                <w:highlight w:val="none"/>
              </w:rPr>
              <w:t>不</w:t>
            </w:r>
            <w:r>
              <w:rPr>
                <w:rFonts w:ascii="宋体" w:hAnsi="宋体" w:eastAsia="宋体" w:cs="宋体"/>
                <w:spacing w:val="7"/>
                <w:sz w:val="20"/>
                <w:szCs w:val="20"/>
                <w:highlight w:val="none"/>
              </w:rPr>
              <w:t>赔偿任何费用。</w:t>
            </w:r>
          </w:p>
          <w:p w14:paraId="4B98149B">
            <w:pPr>
              <w:spacing w:before="1" w:line="369" w:lineRule="auto"/>
              <w:ind w:left="109" w:right="102" w:firstLine="245"/>
              <w:rPr>
                <w:rFonts w:ascii="宋体" w:hAnsi="宋体" w:eastAsia="宋体" w:cs="宋体"/>
                <w:sz w:val="20"/>
                <w:szCs w:val="20"/>
                <w:highlight w:val="none"/>
              </w:rPr>
            </w:pPr>
            <w:r>
              <w:rPr>
                <w:rFonts w:ascii="宋体" w:hAnsi="宋体" w:eastAsia="宋体" w:cs="宋体"/>
                <w:spacing w:val="19"/>
                <w:sz w:val="20"/>
                <w:szCs w:val="20"/>
                <w:highlight w:val="none"/>
              </w:rPr>
              <w:t>(</w:t>
            </w:r>
            <w:r>
              <w:rPr>
                <w:rFonts w:ascii="Times New Roman" w:hAnsi="Times New Roman" w:eastAsia="Times New Roman" w:cs="Times New Roman"/>
                <w:spacing w:val="13"/>
                <w:sz w:val="20"/>
                <w:szCs w:val="20"/>
                <w:highlight w:val="none"/>
              </w:rPr>
              <w:t>2</w:t>
            </w:r>
            <w:r>
              <w:rPr>
                <w:rFonts w:ascii="宋体" w:hAnsi="宋体" w:eastAsia="宋体" w:cs="宋体"/>
                <w:spacing w:val="13"/>
                <w:sz w:val="20"/>
                <w:szCs w:val="20"/>
                <w:highlight w:val="none"/>
              </w:rPr>
              <w:t>)  发包人可雇用其他承包人完成部分工程。承包人无权对此提出反对意见</w:t>
            </w:r>
            <w:r>
              <w:rPr>
                <w:rFonts w:ascii="宋体" w:hAnsi="宋体" w:eastAsia="宋体" w:cs="宋体"/>
                <w:spacing w:val="14"/>
                <w:sz w:val="20"/>
                <w:szCs w:val="20"/>
                <w:highlight w:val="none"/>
              </w:rPr>
              <w:t>并</w:t>
            </w:r>
            <w:r>
              <w:rPr>
                <w:rFonts w:ascii="宋体" w:hAnsi="宋体" w:eastAsia="宋体" w:cs="宋体"/>
                <w:spacing w:val="12"/>
                <w:sz w:val="20"/>
                <w:szCs w:val="20"/>
                <w:highlight w:val="none"/>
              </w:rPr>
              <w:t>应按合同规定完成合同工程其余部分的施工和缺陷修复。在这种情况下，发包</w:t>
            </w:r>
            <w:r>
              <w:rPr>
                <w:rFonts w:ascii="宋体" w:hAnsi="宋体" w:eastAsia="宋体" w:cs="宋体"/>
                <w:spacing w:val="14"/>
                <w:sz w:val="20"/>
                <w:szCs w:val="20"/>
                <w:highlight w:val="none"/>
              </w:rPr>
              <w:t>人</w:t>
            </w:r>
            <w:r>
              <w:rPr>
                <w:rFonts w:ascii="宋体" w:hAnsi="宋体" w:eastAsia="宋体" w:cs="宋体"/>
                <w:spacing w:val="12"/>
                <w:sz w:val="20"/>
                <w:szCs w:val="20"/>
                <w:highlight w:val="none"/>
              </w:rPr>
              <w:t>向承包人支付的合同价格中不应包括由其他承包人完成的那部分工程的价格。</w:t>
            </w:r>
            <w:r>
              <w:rPr>
                <w:rFonts w:ascii="宋体" w:hAnsi="宋体" w:eastAsia="宋体" w:cs="宋体"/>
                <w:sz w:val="20"/>
                <w:szCs w:val="20"/>
                <w:highlight w:val="none"/>
              </w:rPr>
              <w:t xml:space="preserve"> </w:t>
            </w:r>
            <w:r>
              <w:rPr>
                <w:rFonts w:ascii="宋体" w:hAnsi="宋体" w:eastAsia="宋体" w:cs="宋体"/>
                <w:spacing w:val="14"/>
                <w:sz w:val="20"/>
                <w:szCs w:val="20"/>
                <w:highlight w:val="none"/>
              </w:rPr>
              <w:t>发</w:t>
            </w:r>
            <w:r>
              <w:rPr>
                <w:rFonts w:ascii="宋体" w:hAnsi="宋体" w:eastAsia="宋体" w:cs="宋体"/>
                <w:spacing w:val="12"/>
                <w:sz w:val="20"/>
                <w:szCs w:val="20"/>
                <w:highlight w:val="none"/>
              </w:rPr>
              <w:t>包人有权扣除承包人的全部履约担保作为违约金，监理人还应确定由于承包人</w:t>
            </w:r>
            <w:r>
              <w:rPr>
                <w:rFonts w:ascii="宋体" w:hAnsi="宋体" w:eastAsia="宋体" w:cs="宋体"/>
                <w:spacing w:val="14"/>
                <w:sz w:val="20"/>
                <w:szCs w:val="20"/>
                <w:highlight w:val="none"/>
              </w:rPr>
              <w:t>违</w:t>
            </w:r>
            <w:r>
              <w:rPr>
                <w:rFonts w:ascii="宋体" w:hAnsi="宋体" w:eastAsia="宋体" w:cs="宋体"/>
                <w:spacing w:val="12"/>
                <w:sz w:val="20"/>
                <w:szCs w:val="20"/>
                <w:highlight w:val="none"/>
              </w:rPr>
              <w:t>约而给发包人造成的费用增加和其他损失，报发包人批准后从应付或到期应付</w:t>
            </w:r>
            <w:r>
              <w:rPr>
                <w:rFonts w:ascii="宋体" w:hAnsi="宋体" w:eastAsia="宋体" w:cs="宋体"/>
                <w:spacing w:val="18"/>
                <w:sz w:val="20"/>
                <w:szCs w:val="20"/>
                <w:highlight w:val="none"/>
              </w:rPr>
              <w:t>给</w:t>
            </w:r>
            <w:r>
              <w:rPr>
                <w:rFonts w:ascii="宋体" w:hAnsi="宋体" w:eastAsia="宋体" w:cs="宋体"/>
                <w:spacing w:val="12"/>
                <w:sz w:val="20"/>
                <w:szCs w:val="20"/>
                <w:highlight w:val="none"/>
              </w:rPr>
              <w:t>承</w:t>
            </w:r>
            <w:r>
              <w:rPr>
                <w:rFonts w:ascii="宋体" w:hAnsi="宋体" w:eastAsia="宋体" w:cs="宋体"/>
                <w:spacing w:val="9"/>
                <w:sz w:val="20"/>
                <w:szCs w:val="20"/>
                <w:highlight w:val="none"/>
              </w:rPr>
              <w:t>包人的款项中扣除，监理人应将上述决定通知承包人，并抄送发包人；</w:t>
            </w:r>
          </w:p>
          <w:p w14:paraId="1E7C241D">
            <w:pPr>
              <w:spacing w:line="369" w:lineRule="auto"/>
              <w:ind w:left="109" w:right="102" w:firstLine="236"/>
              <w:rPr>
                <w:rFonts w:ascii="Arial"/>
                <w:sz w:val="21"/>
                <w:highlight w:val="none"/>
              </w:rPr>
            </w:pPr>
            <w:r>
              <w:rPr>
                <w:rFonts w:ascii="宋体" w:hAnsi="宋体" w:eastAsia="宋体" w:cs="宋体"/>
                <w:spacing w:val="16"/>
                <w:sz w:val="20"/>
                <w:szCs w:val="20"/>
                <w:highlight w:val="none"/>
              </w:rPr>
              <w:t>(</w:t>
            </w:r>
            <w:r>
              <w:rPr>
                <w:rFonts w:ascii="Times New Roman" w:hAnsi="Times New Roman" w:eastAsia="Times New Roman" w:cs="Times New Roman"/>
                <w:spacing w:val="14"/>
                <w:sz w:val="20"/>
                <w:szCs w:val="20"/>
                <w:highlight w:val="none"/>
              </w:rPr>
              <w:t>3</w:t>
            </w:r>
            <w:r>
              <w:rPr>
                <w:rFonts w:ascii="宋体" w:hAnsi="宋体" w:eastAsia="宋体" w:cs="宋体"/>
                <w:spacing w:val="8"/>
                <w:sz w:val="20"/>
                <w:szCs w:val="20"/>
                <w:highlight w:val="none"/>
              </w:rPr>
              <w:t xml:space="preserve">)  发包人在向承包人发出书面通知的 </w:t>
            </w:r>
            <w:r>
              <w:rPr>
                <w:rFonts w:ascii="Times New Roman" w:hAnsi="Times New Roman" w:eastAsia="Times New Roman" w:cs="Times New Roman"/>
                <w:spacing w:val="8"/>
                <w:sz w:val="20"/>
                <w:szCs w:val="20"/>
                <w:highlight w:val="none"/>
              </w:rPr>
              <w:t xml:space="preserve">14 </w:t>
            </w:r>
            <w:r>
              <w:rPr>
                <w:rFonts w:ascii="宋体" w:hAnsi="宋体" w:eastAsia="宋体" w:cs="宋体"/>
                <w:spacing w:val="8"/>
                <w:sz w:val="20"/>
                <w:szCs w:val="20"/>
                <w:highlight w:val="none"/>
              </w:rPr>
              <w:t>天之后可以进驻现场和接管工程，</w:t>
            </w:r>
            <w:r>
              <w:rPr>
                <w:rFonts w:ascii="宋体" w:hAnsi="宋体" w:eastAsia="宋体" w:cs="宋体"/>
                <w:sz w:val="20"/>
                <w:szCs w:val="20"/>
                <w:highlight w:val="none"/>
              </w:rPr>
              <w:t xml:space="preserve"> </w:t>
            </w:r>
            <w:r>
              <w:rPr>
                <w:rFonts w:ascii="宋体" w:hAnsi="宋体" w:eastAsia="宋体" w:cs="宋体"/>
                <w:spacing w:val="12"/>
                <w:sz w:val="20"/>
                <w:szCs w:val="20"/>
                <w:highlight w:val="none"/>
              </w:rPr>
              <w:t>终止承包人对本合同工程的承包，但不因此解除合同规定的承包人的任何义务</w:t>
            </w:r>
            <w:r>
              <w:rPr>
                <w:rFonts w:ascii="宋体" w:hAnsi="宋体" w:eastAsia="宋体" w:cs="宋体"/>
                <w:spacing w:val="11"/>
                <w:sz w:val="20"/>
                <w:szCs w:val="20"/>
                <w:highlight w:val="none"/>
              </w:rPr>
              <w:t>和</w:t>
            </w:r>
            <w:r>
              <w:rPr>
                <w:rFonts w:ascii="宋体" w:hAnsi="宋体" w:eastAsia="宋体" w:cs="宋体"/>
                <w:spacing w:val="12"/>
                <w:sz w:val="20"/>
                <w:szCs w:val="20"/>
                <w:highlight w:val="none"/>
              </w:rPr>
              <w:t>责任，或影响合同赋予发包人或监理人的各种权利和权限。发包人可自行完成</w:t>
            </w:r>
            <w:r>
              <w:rPr>
                <w:rFonts w:ascii="宋体" w:hAnsi="宋体" w:eastAsia="宋体" w:cs="宋体"/>
                <w:spacing w:val="11"/>
                <w:sz w:val="20"/>
                <w:szCs w:val="20"/>
                <w:highlight w:val="none"/>
              </w:rPr>
              <w:t>该</w:t>
            </w:r>
            <w:r>
              <w:rPr>
                <w:rFonts w:ascii="宋体" w:hAnsi="宋体" w:eastAsia="宋体" w:cs="宋体"/>
                <w:spacing w:val="12"/>
                <w:sz w:val="20"/>
                <w:szCs w:val="20"/>
                <w:highlight w:val="none"/>
              </w:rPr>
              <w:t>工程，或邀请其他承包人完成该工程。发包人或其他承包人为了完成本工程可</w:t>
            </w:r>
            <w:r>
              <w:rPr>
                <w:rFonts w:ascii="宋体" w:hAnsi="宋体" w:eastAsia="宋体" w:cs="宋体"/>
                <w:spacing w:val="11"/>
                <w:sz w:val="20"/>
                <w:szCs w:val="20"/>
                <w:highlight w:val="none"/>
              </w:rPr>
              <w:t>以</w:t>
            </w:r>
            <w:r>
              <w:rPr>
                <w:rFonts w:ascii="宋体" w:hAnsi="宋体" w:eastAsia="宋体" w:cs="宋体"/>
                <w:spacing w:val="13"/>
                <w:sz w:val="20"/>
                <w:szCs w:val="20"/>
                <w:highlight w:val="none"/>
              </w:rPr>
              <w:t>使</w:t>
            </w:r>
            <w:r>
              <w:rPr>
                <w:rFonts w:ascii="宋体" w:hAnsi="宋体" w:eastAsia="宋体" w:cs="宋体"/>
                <w:spacing w:val="12"/>
                <w:sz w:val="20"/>
                <w:szCs w:val="20"/>
                <w:highlight w:val="none"/>
              </w:rPr>
              <w:t>用任何的承包人设备、临时工程和材料。发包人有权扣除承包人的全部履约担</w:t>
            </w:r>
            <w:r>
              <w:rPr>
                <w:rFonts w:ascii="宋体" w:hAnsi="宋体" w:eastAsia="宋体" w:cs="宋体"/>
                <w:spacing w:val="13"/>
                <w:sz w:val="20"/>
                <w:szCs w:val="20"/>
                <w:highlight w:val="none"/>
              </w:rPr>
              <w:t>保</w:t>
            </w:r>
            <w:r>
              <w:rPr>
                <w:rFonts w:ascii="宋体" w:hAnsi="宋体" w:eastAsia="宋体" w:cs="宋体"/>
                <w:spacing w:val="12"/>
                <w:sz w:val="20"/>
                <w:szCs w:val="20"/>
                <w:highlight w:val="none"/>
              </w:rPr>
              <w:t>作为违约金，监理人还应确定由于承包人违约而给发包人造成的费用增加和其</w:t>
            </w:r>
            <w:r>
              <w:rPr>
                <w:rFonts w:ascii="宋体" w:hAnsi="宋体" w:eastAsia="宋体" w:cs="宋体"/>
                <w:sz w:val="20"/>
                <w:szCs w:val="20"/>
                <w:highlight w:val="none"/>
              </w:rPr>
              <w:t xml:space="preserve"> </w:t>
            </w:r>
            <w:r>
              <w:rPr>
                <w:rFonts w:ascii="宋体" w:hAnsi="宋体" w:eastAsia="宋体" w:cs="宋体"/>
                <w:spacing w:val="17"/>
                <w:sz w:val="20"/>
                <w:szCs w:val="20"/>
                <w:highlight w:val="none"/>
              </w:rPr>
              <w:t>他</w:t>
            </w:r>
            <w:r>
              <w:rPr>
                <w:rFonts w:ascii="宋体" w:hAnsi="宋体" w:eastAsia="宋体" w:cs="宋体"/>
                <w:spacing w:val="12"/>
                <w:sz w:val="20"/>
                <w:szCs w:val="20"/>
                <w:highlight w:val="none"/>
              </w:rPr>
              <w:t>损失，报发包人批准后从应付或到期应付给承包人的款项中扣除，监理人应将</w:t>
            </w:r>
            <w:r>
              <w:rPr>
                <w:rFonts w:ascii="宋体" w:hAnsi="宋体" w:eastAsia="宋体" w:cs="宋体"/>
                <w:sz w:val="20"/>
                <w:szCs w:val="20"/>
                <w:highlight w:val="none"/>
              </w:rPr>
              <w:t xml:space="preserve"> </w:t>
            </w:r>
            <w:r>
              <w:rPr>
                <w:rFonts w:ascii="宋体" w:hAnsi="宋体" w:eastAsia="宋体" w:cs="宋体"/>
                <w:spacing w:val="8"/>
                <w:sz w:val="20"/>
                <w:szCs w:val="20"/>
                <w:highlight w:val="none"/>
              </w:rPr>
              <w:t xml:space="preserve">上述决定通知承包人，并抄送发包人。合同终止后的有关事宜应按照第 </w:t>
            </w:r>
            <w:r>
              <w:rPr>
                <w:rFonts w:ascii="Times New Roman" w:hAnsi="Times New Roman" w:eastAsia="Times New Roman" w:cs="Times New Roman"/>
                <w:spacing w:val="8"/>
                <w:sz w:val="20"/>
                <w:szCs w:val="20"/>
                <w:highlight w:val="none"/>
              </w:rPr>
              <w:t xml:space="preserve">22. 1.4 </w:t>
            </w:r>
            <w:r>
              <w:rPr>
                <w:rFonts w:ascii="宋体" w:hAnsi="宋体" w:eastAsia="宋体" w:cs="宋体"/>
                <w:spacing w:val="3"/>
                <w:sz w:val="20"/>
                <w:szCs w:val="20"/>
                <w:highlight w:val="none"/>
              </w:rPr>
              <w:t>和</w:t>
            </w:r>
            <w:r>
              <w:rPr>
                <w:rFonts w:ascii="宋体" w:hAnsi="宋体" w:eastAsia="宋体" w:cs="宋体"/>
                <w:sz w:val="20"/>
                <w:szCs w:val="20"/>
                <w:highlight w:val="none"/>
              </w:rPr>
              <w:t xml:space="preserve"> </w:t>
            </w:r>
            <w:r>
              <w:rPr>
                <w:rFonts w:ascii="Times New Roman" w:hAnsi="Times New Roman" w:eastAsia="Times New Roman" w:cs="Times New Roman"/>
                <w:spacing w:val="2"/>
                <w:sz w:val="20"/>
                <w:szCs w:val="20"/>
                <w:highlight w:val="none"/>
              </w:rPr>
              <w:t xml:space="preserve">22. 1.5 </w:t>
            </w:r>
            <w:r>
              <w:rPr>
                <w:rFonts w:ascii="宋体" w:hAnsi="宋体" w:eastAsia="宋体" w:cs="宋体"/>
                <w:spacing w:val="2"/>
                <w:sz w:val="20"/>
                <w:szCs w:val="20"/>
                <w:highlight w:val="none"/>
              </w:rPr>
              <w:t>款的规定办理</w:t>
            </w:r>
            <w:r>
              <w:rPr>
                <w:rFonts w:ascii="宋体" w:hAnsi="宋体" w:eastAsia="宋体" w:cs="宋体"/>
                <w:spacing w:val="1"/>
                <w:sz w:val="20"/>
                <w:szCs w:val="20"/>
                <w:highlight w:val="none"/>
              </w:rPr>
              <w:t>。</w:t>
            </w:r>
          </w:p>
          <w:p w14:paraId="226EDD32">
            <w:pPr>
              <w:spacing w:before="0" w:line="369" w:lineRule="auto"/>
              <w:ind w:left="109" w:right="102" w:firstLine="236"/>
              <w:rPr>
                <w:rFonts w:ascii="宋体" w:hAnsi="宋体" w:eastAsia="宋体" w:cs="宋体"/>
                <w:sz w:val="20"/>
                <w:szCs w:val="20"/>
                <w:highlight w:val="none"/>
              </w:rPr>
            </w:pPr>
            <w:r>
              <w:rPr>
                <w:rFonts w:ascii="宋体" w:hAnsi="宋体" w:eastAsia="宋体" w:cs="宋体"/>
                <w:spacing w:val="20"/>
                <w:sz w:val="20"/>
                <w:szCs w:val="20"/>
                <w:highlight w:val="none"/>
              </w:rPr>
              <w:t>此</w:t>
            </w:r>
            <w:r>
              <w:rPr>
                <w:rFonts w:ascii="宋体" w:hAnsi="宋体" w:eastAsia="宋体" w:cs="宋体"/>
                <w:spacing w:val="11"/>
                <w:sz w:val="20"/>
                <w:szCs w:val="20"/>
                <w:highlight w:val="none"/>
              </w:rPr>
              <w:t>外，当承包人发生了下述违约现象之后，发包人可依据下列具体情况扣除承</w:t>
            </w:r>
            <w:r>
              <w:rPr>
                <w:rFonts w:ascii="宋体" w:hAnsi="宋体" w:eastAsia="宋体" w:cs="宋体"/>
                <w:sz w:val="20"/>
                <w:szCs w:val="20"/>
                <w:highlight w:val="none"/>
              </w:rPr>
              <w:t xml:space="preserve"> </w:t>
            </w:r>
            <w:r>
              <w:rPr>
                <w:rFonts w:ascii="宋体" w:hAnsi="宋体" w:eastAsia="宋体" w:cs="宋体"/>
                <w:spacing w:val="7"/>
                <w:sz w:val="20"/>
                <w:szCs w:val="20"/>
                <w:highlight w:val="none"/>
              </w:rPr>
              <w:t>包人的违约金：</w:t>
            </w:r>
          </w:p>
          <w:p w14:paraId="205B54AA">
            <w:pPr>
              <w:spacing w:line="369" w:lineRule="auto"/>
              <w:ind w:left="109" w:right="102" w:firstLine="236"/>
              <w:rPr>
                <w:rFonts w:ascii="宋体" w:hAnsi="宋体" w:eastAsia="宋体" w:cs="宋体"/>
                <w:sz w:val="20"/>
                <w:szCs w:val="20"/>
                <w:highlight w:val="none"/>
              </w:rPr>
            </w:pPr>
            <w:r>
              <w:rPr>
                <w:rFonts w:ascii="宋体" w:hAnsi="宋体" w:eastAsia="宋体" w:cs="宋体"/>
                <w:spacing w:val="21"/>
                <w:sz w:val="20"/>
                <w:szCs w:val="20"/>
                <w:highlight w:val="none"/>
              </w:rPr>
              <w:t>(</w:t>
            </w:r>
            <w:r>
              <w:rPr>
                <w:rFonts w:ascii="Times New Roman" w:hAnsi="Times New Roman" w:eastAsia="Times New Roman" w:cs="Times New Roman"/>
                <w:spacing w:val="13"/>
                <w:sz w:val="20"/>
                <w:szCs w:val="20"/>
                <w:highlight w:val="none"/>
              </w:rPr>
              <w:t>1</w:t>
            </w:r>
            <w:r>
              <w:rPr>
                <w:rFonts w:ascii="宋体" w:hAnsi="宋体" w:eastAsia="宋体" w:cs="宋体"/>
                <w:spacing w:val="13"/>
                <w:sz w:val="20"/>
                <w:szCs w:val="20"/>
                <w:highlight w:val="none"/>
              </w:rPr>
              <w:t>)  承包人在监理人规定的截止日前，项目经理、项目总工没有按时进场，</w:t>
            </w:r>
            <w:r>
              <w:rPr>
                <w:rFonts w:ascii="宋体" w:hAnsi="宋体" w:eastAsia="宋体" w:cs="宋体"/>
                <w:sz w:val="20"/>
                <w:szCs w:val="20"/>
                <w:highlight w:val="none"/>
              </w:rPr>
              <w:t xml:space="preserve"> </w:t>
            </w:r>
            <w:r>
              <w:rPr>
                <w:rFonts w:ascii="宋体" w:hAnsi="宋体" w:eastAsia="宋体" w:cs="宋体"/>
                <w:spacing w:val="22"/>
                <w:sz w:val="20"/>
                <w:szCs w:val="20"/>
                <w:highlight w:val="none"/>
              </w:rPr>
              <w:t>或</w:t>
            </w:r>
            <w:r>
              <w:rPr>
                <w:rFonts w:ascii="宋体" w:hAnsi="宋体" w:eastAsia="宋体" w:cs="宋体"/>
                <w:spacing w:val="15"/>
                <w:sz w:val="20"/>
                <w:szCs w:val="20"/>
                <w:highlight w:val="none"/>
              </w:rPr>
              <w:t>进</w:t>
            </w:r>
            <w:r>
              <w:rPr>
                <w:rFonts w:ascii="宋体" w:hAnsi="宋体" w:eastAsia="宋体" w:cs="宋体"/>
                <w:spacing w:val="11"/>
                <w:sz w:val="20"/>
                <w:szCs w:val="20"/>
                <w:highlight w:val="none"/>
              </w:rPr>
              <w:t>场后未经发包人项目指挥部和总监办主任 (或设驻地办的驻地办主任) 批准</w:t>
            </w:r>
            <w:r>
              <w:rPr>
                <w:rFonts w:ascii="宋体" w:hAnsi="宋体" w:eastAsia="宋体" w:cs="宋体"/>
                <w:spacing w:val="10"/>
                <w:sz w:val="20"/>
                <w:szCs w:val="20"/>
                <w:highlight w:val="none"/>
              </w:rPr>
              <w:t>又离</w:t>
            </w:r>
            <w:r>
              <w:rPr>
                <w:rFonts w:ascii="宋体" w:hAnsi="宋体" w:eastAsia="宋体" w:cs="宋体"/>
                <w:spacing w:val="5"/>
                <w:sz w:val="20"/>
                <w:szCs w:val="20"/>
                <w:highlight w:val="none"/>
              </w:rPr>
              <w:t xml:space="preserve">开工地，发包人将按 </w:t>
            </w:r>
            <w:r>
              <w:rPr>
                <w:rFonts w:ascii="Times New Roman" w:hAnsi="Times New Roman" w:eastAsia="Times New Roman" w:cs="Times New Roman"/>
                <w:spacing w:val="5"/>
                <w:sz w:val="20"/>
                <w:szCs w:val="20"/>
                <w:highlight w:val="none"/>
              </w:rPr>
              <w:t xml:space="preserve">10000 </w:t>
            </w:r>
            <w:r>
              <w:rPr>
                <w:rFonts w:ascii="宋体" w:hAnsi="宋体" w:eastAsia="宋体" w:cs="宋体"/>
                <w:spacing w:val="5"/>
                <w:sz w:val="20"/>
                <w:szCs w:val="20"/>
                <w:highlight w:val="none"/>
              </w:rPr>
              <w:t>元</w:t>
            </w:r>
            <w:r>
              <w:rPr>
                <w:rFonts w:ascii="Times New Roman" w:hAnsi="Times New Roman" w:eastAsia="Times New Roman" w:cs="Times New Roman"/>
                <w:spacing w:val="5"/>
                <w:sz w:val="20"/>
                <w:szCs w:val="20"/>
                <w:highlight w:val="none"/>
              </w:rPr>
              <w:t>/</w:t>
            </w:r>
            <w:r>
              <w:rPr>
                <w:rFonts w:ascii="宋体" w:hAnsi="宋体" w:eastAsia="宋体" w:cs="宋体"/>
                <w:spacing w:val="5"/>
                <w:sz w:val="20"/>
                <w:szCs w:val="20"/>
                <w:highlight w:val="none"/>
              </w:rPr>
              <w:t>人·天扣除违约金；其他管理人员没有按时进</w:t>
            </w:r>
            <w:r>
              <w:rPr>
                <w:rFonts w:ascii="宋体" w:hAnsi="宋体" w:eastAsia="宋体" w:cs="宋体"/>
                <w:spacing w:val="22"/>
                <w:sz w:val="20"/>
                <w:szCs w:val="20"/>
                <w:highlight w:val="none"/>
              </w:rPr>
              <w:t>场</w:t>
            </w:r>
            <w:r>
              <w:rPr>
                <w:rFonts w:ascii="宋体" w:hAnsi="宋体" w:eastAsia="宋体" w:cs="宋体"/>
                <w:spacing w:val="15"/>
                <w:sz w:val="20"/>
                <w:szCs w:val="20"/>
                <w:highlight w:val="none"/>
              </w:rPr>
              <w:t>，</w:t>
            </w:r>
            <w:r>
              <w:rPr>
                <w:rFonts w:ascii="宋体" w:hAnsi="宋体" w:eastAsia="宋体" w:cs="宋体"/>
                <w:spacing w:val="11"/>
                <w:sz w:val="20"/>
                <w:szCs w:val="20"/>
                <w:highlight w:val="none"/>
              </w:rPr>
              <w:t>或进场后未经总监办主任 (或设驻地办的驻地办主任) 和承包人项目经理批</w:t>
            </w:r>
            <w:r>
              <w:rPr>
                <w:rFonts w:ascii="宋体" w:hAnsi="宋体" w:eastAsia="宋体" w:cs="宋体"/>
                <w:spacing w:val="3"/>
                <w:sz w:val="20"/>
                <w:szCs w:val="20"/>
                <w:highlight w:val="none"/>
              </w:rPr>
              <w:t xml:space="preserve">准又离开工地，发包人将按 </w:t>
            </w:r>
            <w:r>
              <w:rPr>
                <w:rFonts w:ascii="Times New Roman" w:hAnsi="Times New Roman" w:eastAsia="Times New Roman" w:cs="Times New Roman"/>
                <w:spacing w:val="3"/>
                <w:sz w:val="20"/>
                <w:szCs w:val="20"/>
                <w:highlight w:val="none"/>
              </w:rPr>
              <w:t xml:space="preserve">5000 </w:t>
            </w:r>
            <w:r>
              <w:rPr>
                <w:rFonts w:ascii="宋体" w:hAnsi="宋体" w:eastAsia="宋体" w:cs="宋体"/>
                <w:spacing w:val="3"/>
                <w:sz w:val="20"/>
                <w:szCs w:val="20"/>
                <w:highlight w:val="none"/>
              </w:rPr>
              <w:t>元</w:t>
            </w:r>
            <w:r>
              <w:rPr>
                <w:rFonts w:ascii="Times New Roman" w:hAnsi="Times New Roman" w:eastAsia="Times New Roman" w:cs="Times New Roman"/>
                <w:spacing w:val="3"/>
                <w:sz w:val="20"/>
                <w:szCs w:val="20"/>
                <w:highlight w:val="none"/>
              </w:rPr>
              <w:t>/</w:t>
            </w:r>
            <w:r>
              <w:rPr>
                <w:rFonts w:ascii="宋体" w:hAnsi="宋体" w:eastAsia="宋体" w:cs="宋体"/>
                <w:spacing w:val="3"/>
                <w:sz w:val="20"/>
                <w:szCs w:val="20"/>
                <w:highlight w:val="none"/>
              </w:rPr>
              <w:t>人·天扣除违约金，直至缺员进场为止</w:t>
            </w:r>
            <w:r>
              <w:rPr>
                <w:rFonts w:ascii="宋体" w:hAnsi="宋体" w:eastAsia="宋体" w:cs="宋体"/>
                <w:spacing w:val="1"/>
                <w:sz w:val="20"/>
                <w:szCs w:val="20"/>
                <w:highlight w:val="none"/>
              </w:rPr>
              <w:t>。</w:t>
            </w:r>
            <w:r>
              <w:rPr>
                <w:rFonts w:ascii="宋体" w:hAnsi="宋体" w:eastAsia="宋体" w:cs="宋体"/>
                <w:sz w:val="20"/>
                <w:szCs w:val="20"/>
                <w:highlight w:val="none"/>
              </w:rPr>
              <w:t>根据</w:t>
            </w:r>
            <w:r>
              <w:rPr>
                <w:rFonts w:ascii="宋体" w:hAnsi="宋体" w:eastAsia="宋体" w:cs="宋体"/>
                <w:spacing w:val="20"/>
                <w:sz w:val="20"/>
                <w:szCs w:val="20"/>
                <w:highlight w:val="none"/>
              </w:rPr>
              <w:t>本</w:t>
            </w:r>
            <w:r>
              <w:rPr>
                <w:rFonts w:ascii="宋体" w:hAnsi="宋体" w:eastAsia="宋体" w:cs="宋体"/>
                <w:spacing w:val="17"/>
                <w:sz w:val="20"/>
                <w:szCs w:val="20"/>
                <w:highlight w:val="none"/>
              </w:rPr>
              <w:t>项</w:t>
            </w:r>
            <w:r>
              <w:rPr>
                <w:rFonts w:ascii="宋体" w:hAnsi="宋体" w:eastAsia="宋体" w:cs="宋体"/>
                <w:spacing w:val="10"/>
                <w:sz w:val="20"/>
                <w:szCs w:val="20"/>
                <w:highlight w:val="none"/>
              </w:rPr>
              <w:t>规定扣除的违约金累计不得超过签约合同价的</w:t>
            </w:r>
            <w:r>
              <w:rPr>
                <w:rFonts w:ascii="Times New Roman" w:hAnsi="Times New Roman" w:eastAsia="Times New Roman" w:cs="Times New Roman"/>
                <w:spacing w:val="10"/>
                <w:sz w:val="20"/>
                <w:szCs w:val="20"/>
                <w:highlight w:val="none"/>
              </w:rPr>
              <w:t>2</w:t>
            </w:r>
            <w:r>
              <w:rPr>
                <w:rFonts w:ascii="宋体" w:hAnsi="宋体" w:eastAsia="宋体" w:cs="宋体"/>
                <w:spacing w:val="10"/>
                <w:sz w:val="20"/>
                <w:szCs w:val="20"/>
                <w:highlight w:val="none"/>
              </w:rPr>
              <w:t>％。</w:t>
            </w:r>
          </w:p>
          <w:p w14:paraId="60523F76">
            <w:pPr>
              <w:spacing w:before="0" w:line="369" w:lineRule="auto"/>
              <w:ind w:left="109" w:right="102" w:firstLine="236"/>
              <w:rPr>
                <w:rFonts w:ascii="宋体" w:hAnsi="宋体" w:eastAsia="宋体" w:cs="宋体"/>
                <w:sz w:val="20"/>
                <w:szCs w:val="20"/>
                <w:highlight w:val="none"/>
              </w:rPr>
            </w:pPr>
            <w:r>
              <w:rPr>
                <w:rFonts w:ascii="宋体" w:hAnsi="宋体" w:eastAsia="宋体" w:cs="宋体"/>
                <w:spacing w:val="21"/>
                <w:sz w:val="20"/>
                <w:szCs w:val="20"/>
                <w:highlight w:val="none"/>
              </w:rPr>
              <w:t>承</w:t>
            </w:r>
            <w:r>
              <w:rPr>
                <w:rFonts w:ascii="宋体" w:hAnsi="宋体" w:eastAsia="宋体" w:cs="宋体"/>
                <w:spacing w:val="11"/>
                <w:sz w:val="20"/>
                <w:szCs w:val="20"/>
                <w:highlight w:val="none"/>
              </w:rPr>
              <w:t>包人按照监理人规定进场的项目经理、项目总工及其他管理人员每人每月在</w:t>
            </w:r>
            <w:r>
              <w:rPr>
                <w:rFonts w:ascii="宋体" w:hAnsi="宋体" w:eastAsia="宋体" w:cs="宋体"/>
                <w:spacing w:val="2"/>
                <w:sz w:val="20"/>
                <w:szCs w:val="20"/>
                <w:highlight w:val="none"/>
              </w:rPr>
              <w:t xml:space="preserve">岗时间不得少于 </w:t>
            </w:r>
            <w:r>
              <w:rPr>
                <w:rFonts w:ascii="Times New Roman" w:hAnsi="Times New Roman" w:eastAsia="Times New Roman" w:cs="Times New Roman"/>
                <w:spacing w:val="2"/>
                <w:sz w:val="20"/>
                <w:szCs w:val="20"/>
                <w:highlight w:val="none"/>
              </w:rPr>
              <w:t xml:space="preserve">22 </w:t>
            </w:r>
            <w:r>
              <w:rPr>
                <w:rFonts w:ascii="宋体" w:hAnsi="宋体" w:eastAsia="宋体" w:cs="宋体"/>
                <w:spacing w:val="2"/>
                <w:sz w:val="20"/>
                <w:szCs w:val="20"/>
                <w:highlight w:val="none"/>
              </w:rPr>
              <w:t>天，否则</w:t>
            </w:r>
            <w:r>
              <w:rPr>
                <w:rFonts w:ascii="宋体" w:hAnsi="宋体" w:eastAsia="宋体" w:cs="宋体"/>
                <w:spacing w:val="1"/>
                <w:sz w:val="20"/>
                <w:szCs w:val="20"/>
                <w:highlight w:val="none"/>
              </w:rPr>
              <w:t xml:space="preserve">发包人将对项目经理、项目总工按 </w:t>
            </w:r>
            <w:r>
              <w:rPr>
                <w:rFonts w:ascii="Times New Roman" w:hAnsi="Times New Roman" w:eastAsia="Times New Roman" w:cs="Times New Roman"/>
                <w:spacing w:val="1"/>
                <w:sz w:val="20"/>
                <w:szCs w:val="20"/>
                <w:highlight w:val="none"/>
              </w:rPr>
              <w:t xml:space="preserve">10000 </w:t>
            </w:r>
            <w:r>
              <w:rPr>
                <w:rFonts w:ascii="宋体" w:hAnsi="宋体" w:eastAsia="宋体" w:cs="宋体"/>
                <w:spacing w:val="1"/>
                <w:sz w:val="20"/>
                <w:szCs w:val="20"/>
                <w:highlight w:val="none"/>
              </w:rPr>
              <w:t>元</w:t>
            </w:r>
            <w:r>
              <w:rPr>
                <w:rFonts w:ascii="Times New Roman" w:hAnsi="Times New Roman" w:eastAsia="Times New Roman" w:cs="Times New Roman"/>
                <w:spacing w:val="1"/>
                <w:sz w:val="20"/>
                <w:szCs w:val="20"/>
                <w:highlight w:val="none"/>
              </w:rPr>
              <w:t>/</w:t>
            </w:r>
            <w:r>
              <w:rPr>
                <w:rFonts w:ascii="宋体" w:hAnsi="宋体" w:eastAsia="宋体" w:cs="宋体"/>
                <w:spacing w:val="1"/>
                <w:sz w:val="20"/>
                <w:szCs w:val="20"/>
                <w:highlight w:val="none"/>
              </w:rPr>
              <w:t>人·天扣</w:t>
            </w:r>
            <w:r>
              <w:rPr>
                <w:rFonts w:ascii="宋体" w:hAnsi="宋体" w:eastAsia="宋体" w:cs="宋体"/>
                <w:spacing w:val="4"/>
                <w:sz w:val="20"/>
                <w:szCs w:val="20"/>
                <w:highlight w:val="none"/>
              </w:rPr>
              <w:t>除违约金，对其他管理人员按</w:t>
            </w:r>
            <w:r>
              <w:rPr>
                <w:rFonts w:ascii="宋体" w:hAnsi="宋体" w:eastAsia="宋体" w:cs="宋体"/>
                <w:spacing w:val="3"/>
                <w:sz w:val="20"/>
                <w:szCs w:val="20"/>
                <w:highlight w:val="none"/>
              </w:rPr>
              <w:t xml:space="preserve"> </w:t>
            </w:r>
            <w:r>
              <w:rPr>
                <w:rFonts w:ascii="Times New Roman" w:hAnsi="Times New Roman" w:eastAsia="Times New Roman" w:cs="Times New Roman"/>
                <w:spacing w:val="2"/>
                <w:sz w:val="20"/>
                <w:szCs w:val="20"/>
                <w:highlight w:val="none"/>
              </w:rPr>
              <w:t xml:space="preserve">5000 </w:t>
            </w:r>
            <w:r>
              <w:rPr>
                <w:rFonts w:ascii="宋体" w:hAnsi="宋体" w:eastAsia="宋体" w:cs="宋体"/>
                <w:spacing w:val="2"/>
                <w:sz w:val="20"/>
                <w:szCs w:val="20"/>
                <w:highlight w:val="none"/>
              </w:rPr>
              <w:t>元</w:t>
            </w:r>
            <w:r>
              <w:rPr>
                <w:rFonts w:ascii="Times New Roman" w:hAnsi="Times New Roman" w:eastAsia="Times New Roman" w:cs="Times New Roman"/>
                <w:spacing w:val="2"/>
                <w:sz w:val="20"/>
                <w:szCs w:val="20"/>
                <w:highlight w:val="none"/>
              </w:rPr>
              <w:t>/</w:t>
            </w:r>
            <w:r>
              <w:rPr>
                <w:rFonts w:ascii="宋体" w:hAnsi="宋体" w:eastAsia="宋体" w:cs="宋体"/>
                <w:spacing w:val="2"/>
                <w:sz w:val="20"/>
                <w:szCs w:val="20"/>
                <w:highlight w:val="none"/>
              </w:rPr>
              <w:t>人·天扣除违约金。根据本项规定扣除的违</w:t>
            </w:r>
            <w:r>
              <w:rPr>
                <w:rFonts w:ascii="宋体" w:hAnsi="宋体" w:eastAsia="宋体" w:cs="宋体"/>
                <w:sz w:val="20"/>
                <w:szCs w:val="20"/>
                <w:highlight w:val="none"/>
              </w:rPr>
              <w:t xml:space="preserve"> </w:t>
            </w:r>
            <w:r>
              <w:rPr>
                <w:rFonts w:ascii="宋体" w:hAnsi="宋体" w:eastAsia="宋体" w:cs="宋体"/>
                <w:spacing w:val="20"/>
                <w:sz w:val="20"/>
                <w:szCs w:val="20"/>
                <w:highlight w:val="none"/>
              </w:rPr>
              <w:t>约</w:t>
            </w:r>
            <w:r>
              <w:rPr>
                <w:rFonts w:ascii="宋体" w:hAnsi="宋体" w:eastAsia="宋体" w:cs="宋体"/>
                <w:spacing w:val="11"/>
                <w:sz w:val="20"/>
                <w:szCs w:val="20"/>
                <w:highlight w:val="none"/>
              </w:rPr>
              <w:t>金</w:t>
            </w:r>
            <w:r>
              <w:rPr>
                <w:rFonts w:ascii="宋体" w:hAnsi="宋体" w:eastAsia="宋体" w:cs="宋体"/>
                <w:spacing w:val="10"/>
                <w:sz w:val="20"/>
                <w:szCs w:val="20"/>
                <w:highlight w:val="none"/>
              </w:rPr>
              <w:t>累计不得超过签约合同价的</w:t>
            </w:r>
            <w:r>
              <w:rPr>
                <w:rFonts w:ascii="Times New Roman" w:hAnsi="Times New Roman" w:eastAsia="Times New Roman" w:cs="Times New Roman"/>
                <w:spacing w:val="10"/>
                <w:sz w:val="20"/>
                <w:szCs w:val="20"/>
                <w:highlight w:val="none"/>
              </w:rPr>
              <w:t>2</w:t>
            </w:r>
            <w:r>
              <w:rPr>
                <w:rFonts w:ascii="宋体" w:hAnsi="宋体" w:eastAsia="宋体" w:cs="宋体"/>
                <w:spacing w:val="10"/>
                <w:sz w:val="20"/>
                <w:szCs w:val="20"/>
                <w:highlight w:val="none"/>
              </w:rPr>
              <w:t>％。</w:t>
            </w:r>
          </w:p>
          <w:p w14:paraId="1CF22D6D">
            <w:pPr>
              <w:spacing w:before="0" w:line="369" w:lineRule="auto"/>
              <w:ind w:left="109" w:right="102" w:firstLine="236"/>
              <w:rPr>
                <w:rFonts w:ascii="宋体" w:hAnsi="宋体" w:eastAsia="宋体" w:cs="宋体"/>
                <w:sz w:val="20"/>
                <w:szCs w:val="20"/>
                <w:highlight w:val="none"/>
              </w:rPr>
            </w:pPr>
            <w:r>
              <w:rPr>
                <w:rFonts w:ascii="宋体" w:hAnsi="宋体" w:eastAsia="宋体" w:cs="宋体"/>
                <w:spacing w:val="11"/>
                <w:sz w:val="20"/>
                <w:szCs w:val="20"/>
                <w:highlight w:val="none"/>
              </w:rPr>
              <w:t xml:space="preserve">承包人按照监理人规定进场的每个专业岗位人员同时离开工地人数不得超过 </w:t>
            </w:r>
            <w:r>
              <w:rPr>
                <w:rFonts w:ascii="Times New Roman" w:hAnsi="Times New Roman" w:eastAsia="Times New Roman" w:cs="Times New Roman"/>
                <w:spacing w:val="11"/>
                <w:sz w:val="20"/>
                <w:szCs w:val="20"/>
                <w:highlight w:val="none"/>
              </w:rPr>
              <w:t>1</w:t>
            </w:r>
            <w:r>
              <w:rPr>
                <w:rFonts w:ascii="Times New Roman" w:hAnsi="Times New Roman" w:eastAsia="Times New Roman" w:cs="Times New Roman"/>
                <w:sz w:val="20"/>
                <w:szCs w:val="20"/>
                <w:highlight w:val="none"/>
              </w:rPr>
              <w:t xml:space="preserve"> </w:t>
            </w:r>
            <w:r>
              <w:rPr>
                <w:rFonts w:ascii="宋体" w:hAnsi="宋体" w:eastAsia="宋体" w:cs="宋体"/>
                <w:spacing w:val="4"/>
                <w:sz w:val="20"/>
                <w:szCs w:val="20"/>
                <w:highlight w:val="none"/>
              </w:rPr>
              <w:t xml:space="preserve">人，否则发包人将按 </w:t>
            </w:r>
            <w:r>
              <w:rPr>
                <w:rFonts w:ascii="Times New Roman" w:hAnsi="Times New Roman" w:eastAsia="Times New Roman" w:cs="Times New Roman"/>
                <w:spacing w:val="4"/>
                <w:sz w:val="20"/>
                <w:szCs w:val="20"/>
                <w:highlight w:val="none"/>
              </w:rPr>
              <w:t xml:space="preserve">5000 </w:t>
            </w:r>
            <w:r>
              <w:rPr>
                <w:rFonts w:ascii="宋体" w:hAnsi="宋体" w:eastAsia="宋体" w:cs="宋体"/>
                <w:spacing w:val="2"/>
                <w:sz w:val="20"/>
                <w:szCs w:val="20"/>
                <w:highlight w:val="none"/>
              </w:rPr>
              <w:t>元</w:t>
            </w:r>
            <w:r>
              <w:rPr>
                <w:rFonts w:ascii="Times New Roman" w:hAnsi="Times New Roman" w:eastAsia="Times New Roman" w:cs="Times New Roman"/>
                <w:spacing w:val="2"/>
                <w:sz w:val="20"/>
                <w:szCs w:val="20"/>
                <w:highlight w:val="none"/>
              </w:rPr>
              <w:t>/</w:t>
            </w:r>
            <w:r>
              <w:rPr>
                <w:rFonts w:ascii="宋体" w:hAnsi="宋体" w:eastAsia="宋体" w:cs="宋体"/>
                <w:spacing w:val="2"/>
                <w:sz w:val="20"/>
                <w:szCs w:val="20"/>
                <w:highlight w:val="none"/>
              </w:rPr>
              <w:t>人·天扣除违约金。根据本项规定扣除的违约金累计</w:t>
            </w:r>
            <w:r>
              <w:rPr>
                <w:rFonts w:ascii="宋体" w:hAnsi="宋体" w:eastAsia="宋体" w:cs="宋体"/>
                <w:sz w:val="20"/>
                <w:szCs w:val="20"/>
                <w:highlight w:val="none"/>
              </w:rPr>
              <w:t xml:space="preserve"> </w:t>
            </w:r>
            <w:r>
              <w:rPr>
                <w:rFonts w:ascii="宋体" w:hAnsi="宋体" w:eastAsia="宋体" w:cs="宋体"/>
                <w:spacing w:val="13"/>
                <w:sz w:val="20"/>
                <w:szCs w:val="20"/>
                <w:highlight w:val="none"/>
              </w:rPr>
              <w:t>不</w:t>
            </w:r>
            <w:r>
              <w:rPr>
                <w:rFonts w:ascii="宋体" w:hAnsi="宋体" w:eastAsia="宋体" w:cs="宋体"/>
                <w:spacing w:val="11"/>
                <w:sz w:val="20"/>
                <w:szCs w:val="20"/>
                <w:highlight w:val="none"/>
              </w:rPr>
              <w:t>得超过签约合同价的</w:t>
            </w:r>
            <w:r>
              <w:rPr>
                <w:rFonts w:ascii="Times New Roman" w:hAnsi="Times New Roman" w:eastAsia="Times New Roman" w:cs="Times New Roman"/>
                <w:spacing w:val="11"/>
                <w:sz w:val="20"/>
                <w:szCs w:val="20"/>
                <w:highlight w:val="none"/>
              </w:rPr>
              <w:t>2</w:t>
            </w:r>
            <w:r>
              <w:rPr>
                <w:rFonts w:ascii="宋体" w:hAnsi="宋体" w:eastAsia="宋体" w:cs="宋体"/>
                <w:spacing w:val="11"/>
                <w:sz w:val="20"/>
                <w:szCs w:val="20"/>
                <w:highlight w:val="none"/>
              </w:rPr>
              <w:t>％。</w:t>
            </w:r>
          </w:p>
          <w:p w14:paraId="21EE592A">
            <w:pPr>
              <w:spacing w:before="0" w:line="369" w:lineRule="auto"/>
              <w:ind w:left="109" w:right="102" w:firstLine="236"/>
              <w:rPr>
                <w:rFonts w:ascii="宋体" w:hAnsi="宋体" w:eastAsia="宋体" w:cs="宋体"/>
                <w:sz w:val="20"/>
                <w:szCs w:val="20"/>
                <w:highlight w:val="none"/>
              </w:rPr>
            </w:pPr>
            <w:r>
              <w:rPr>
                <w:rFonts w:ascii="宋体" w:hAnsi="宋体" w:eastAsia="宋体" w:cs="宋体"/>
                <w:spacing w:val="14"/>
                <w:sz w:val="20"/>
                <w:szCs w:val="20"/>
                <w:highlight w:val="none"/>
              </w:rPr>
              <w:t>(</w:t>
            </w:r>
            <w:r>
              <w:rPr>
                <w:rFonts w:ascii="Times New Roman" w:hAnsi="Times New Roman" w:eastAsia="Times New Roman" w:cs="Times New Roman"/>
                <w:spacing w:val="10"/>
                <w:sz w:val="20"/>
                <w:szCs w:val="20"/>
                <w:highlight w:val="none"/>
              </w:rPr>
              <w:t>2</w:t>
            </w:r>
            <w:r>
              <w:rPr>
                <w:rFonts w:ascii="宋体" w:hAnsi="宋体" w:eastAsia="宋体" w:cs="宋体"/>
                <w:spacing w:val="10"/>
                <w:sz w:val="20"/>
                <w:szCs w:val="20"/>
                <w:highlight w:val="none"/>
              </w:rPr>
              <w:t xml:space="preserve">) 项目经理每更换一人次将向发包人提交违约金，违约金金额按 </w:t>
            </w:r>
            <w:r>
              <w:rPr>
                <w:rFonts w:ascii="Times New Roman" w:hAnsi="Times New Roman" w:eastAsia="Times New Roman" w:cs="Times New Roman"/>
                <w:spacing w:val="10"/>
                <w:sz w:val="20"/>
                <w:szCs w:val="20"/>
                <w:highlight w:val="none"/>
              </w:rPr>
              <w:t>5</w:t>
            </w:r>
            <w:r>
              <w:rPr>
                <w:rFonts w:ascii="宋体" w:hAnsi="宋体" w:eastAsia="宋体" w:cs="宋体"/>
                <w:spacing w:val="10"/>
                <w:sz w:val="20"/>
                <w:szCs w:val="20"/>
                <w:highlight w:val="none"/>
              </w:rPr>
              <w:t>‰签约合</w:t>
            </w:r>
            <w:r>
              <w:rPr>
                <w:rFonts w:ascii="宋体" w:hAnsi="宋体" w:eastAsia="宋体" w:cs="宋体"/>
                <w:spacing w:val="6"/>
                <w:sz w:val="20"/>
                <w:szCs w:val="20"/>
                <w:highlight w:val="none"/>
              </w:rPr>
              <w:t>同价计算，但违</w:t>
            </w:r>
            <w:r>
              <w:rPr>
                <w:rFonts w:ascii="宋体" w:hAnsi="宋体" w:eastAsia="宋体" w:cs="宋体"/>
                <w:spacing w:val="3"/>
                <w:sz w:val="20"/>
                <w:szCs w:val="20"/>
                <w:highlight w:val="none"/>
              </w:rPr>
              <w:t xml:space="preserve">约金金额应不低于 </w:t>
            </w:r>
            <w:r>
              <w:rPr>
                <w:rFonts w:ascii="Times New Roman" w:hAnsi="Times New Roman" w:eastAsia="Times New Roman" w:cs="Times New Roman"/>
                <w:spacing w:val="3"/>
                <w:sz w:val="20"/>
                <w:szCs w:val="20"/>
                <w:highlight w:val="none"/>
              </w:rPr>
              <w:t xml:space="preserve">20 </w:t>
            </w:r>
            <w:r>
              <w:rPr>
                <w:rFonts w:ascii="宋体" w:hAnsi="宋体" w:eastAsia="宋体" w:cs="宋体"/>
                <w:spacing w:val="3"/>
                <w:sz w:val="20"/>
                <w:szCs w:val="20"/>
                <w:highlight w:val="none"/>
              </w:rPr>
              <w:t xml:space="preserve">万且不高于 </w:t>
            </w:r>
            <w:r>
              <w:rPr>
                <w:rFonts w:ascii="Times New Roman" w:hAnsi="Times New Roman" w:eastAsia="Times New Roman" w:cs="Times New Roman"/>
                <w:spacing w:val="3"/>
                <w:sz w:val="20"/>
                <w:szCs w:val="20"/>
                <w:highlight w:val="none"/>
              </w:rPr>
              <w:t xml:space="preserve">100 </w:t>
            </w:r>
            <w:r>
              <w:rPr>
                <w:rFonts w:ascii="宋体" w:hAnsi="宋体" w:eastAsia="宋体" w:cs="宋体"/>
                <w:spacing w:val="3"/>
                <w:sz w:val="20"/>
                <w:szCs w:val="20"/>
                <w:highlight w:val="none"/>
              </w:rPr>
              <w:t>万。</w:t>
            </w:r>
          </w:p>
          <w:p w14:paraId="33575D72">
            <w:pPr>
              <w:spacing w:before="0" w:line="369" w:lineRule="auto"/>
              <w:ind w:left="109" w:right="102" w:firstLine="236"/>
              <w:rPr>
                <w:rFonts w:ascii="宋体" w:hAnsi="宋体" w:eastAsia="宋体" w:cs="宋体"/>
                <w:sz w:val="20"/>
                <w:szCs w:val="20"/>
                <w:highlight w:val="none"/>
              </w:rPr>
            </w:pPr>
            <w:r>
              <w:rPr>
                <w:rFonts w:ascii="宋体" w:hAnsi="宋体" w:eastAsia="宋体" w:cs="宋体"/>
                <w:spacing w:val="14"/>
                <w:sz w:val="20"/>
                <w:szCs w:val="20"/>
                <w:highlight w:val="none"/>
              </w:rPr>
              <w:t>(</w:t>
            </w:r>
            <w:r>
              <w:rPr>
                <w:rFonts w:ascii="Times New Roman" w:hAnsi="Times New Roman" w:eastAsia="Times New Roman" w:cs="Times New Roman"/>
                <w:spacing w:val="10"/>
                <w:sz w:val="20"/>
                <w:szCs w:val="20"/>
                <w:highlight w:val="none"/>
              </w:rPr>
              <w:t>3</w:t>
            </w:r>
            <w:r>
              <w:rPr>
                <w:rFonts w:ascii="宋体" w:hAnsi="宋体" w:eastAsia="宋体" w:cs="宋体"/>
                <w:spacing w:val="10"/>
                <w:sz w:val="20"/>
                <w:szCs w:val="20"/>
                <w:highlight w:val="none"/>
              </w:rPr>
              <w:t xml:space="preserve">) 项目总工每更换一人次将向发包人提交违约金，违约金金额按 </w:t>
            </w:r>
            <w:r>
              <w:rPr>
                <w:rFonts w:ascii="Times New Roman" w:hAnsi="Times New Roman" w:eastAsia="Times New Roman" w:cs="Times New Roman"/>
                <w:spacing w:val="10"/>
                <w:sz w:val="20"/>
                <w:szCs w:val="20"/>
                <w:highlight w:val="none"/>
              </w:rPr>
              <w:t>3</w:t>
            </w:r>
            <w:r>
              <w:rPr>
                <w:rFonts w:ascii="宋体" w:hAnsi="宋体" w:eastAsia="宋体" w:cs="宋体"/>
                <w:spacing w:val="10"/>
                <w:sz w:val="20"/>
                <w:szCs w:val="20"/>
                <w:highlight w:val="none"/>
              </w:rPr>
              <w:t>‰签约合</w:t>
            </w:r>
            <w:r>
              <w:rPr>
                <w:rFonts w:ascii="宋体" w:hAnsi="宋体" w:eastAsia="宋体" w:cs="宋体"/>
                <w:spacing w:val="6"/>
                <w:sz w:val="20"/>
                <w:szCs w:val="20"/>
                <w:highlight w:val="none"/>
              </w:rPr>
              <w:t>同价计算，但</w:t>
            </w:r>
            <w:r>
              <w:rPr>
                <w:rFonts w:ascii="宋体" w:hAnsi="宋体" w:eastAsia="宋体" w:cs="宋体"/>
                <w:spacing w:val="4"/>
                <w:sz w:val="20"/>
                <w:szCs w:val="20"/>
                <w:highlight w:val="none"/>
              </w:rPr>
              <w:t>违</w:t>
            </w:r>
            <w:r>
              <w:rPr>
                <w:rFonts w:ascii="宋体" w:hAnsi="宋体" w:eastAsia="宋体" w:cs="宋体"/>
                <w:spacing w:val="3"/>
                <w:sz w:val="20"/>
                <w:szCs w:val="20"/>
                <w:highlight w:val="none"/>
              </w:rPr>
              <w:t xml:space="preserve">约金金额应不低于 </w:t>
            </w:r>
            <w:r>
              <w:rPr>
                <w:rFonts w:ascii="Times New Roman" w:hAnsi="Times New Roman" w:eastAsia="Times New Roman" w:cs="Times New Roman"/>
                <w:spacing w:val="3"/>
                <w:sz w:val="20"/>
                <w:szCs w:val="20"/>
                <w:highlight w:val="none"/>
              </w:rPr>
              <w:t xml:space="preserve">15 </w:t>
            </w:r>
            <w:r>
              <w:rPr>
                <w:rFonts w:ascii="宋体" w:hAnsi="宋体" w:eastAsia="宋体" w:cs="宋体"/>
                <w:spacing w:val="3"/>
                <w:sz w:val="20"/>
                <w:szCs w:val="20"/>
                <w:highlight w:val="none"/>
              </w:rPr>
              <w:t xml:space="preserve">万且不高于 </w:t>
            </w:r>
            <w:r>
              <w:rPr>
                <w:rFonts w:ascii="Times New Roman" w:hAnsi="Times New Roman" w:eastAsia="Times New Roman" w:cs="Times New Roman"/>
                <w:spacing w:val="3"/>
                <w:sz w:val="20"/>
                <w:szCs w:val="20"/>
                <w:highlight w:val="none"/>
              </w:rPr>
              <w:t xml:space="preserve">80 </w:t>
            </w:r>
            <w:r>
              <w:rPr>
                <w:rFonts w:ascii="宋体" w:hAnsi="宋体" w:eastAsia="宋体" w:cs="宋体"/>
                <w:spacing w:val="3"/>
                <w:sz w:val="20"/>
                <w:szCs w:val="20"/>
                <w:highlight w:val="none"/>
              </w:rPr>
              <w:t>万。</w:t>
            </w:r>
          </w:p>
          <w:p w14:paraId="2B1E5F92">
            <w:pPr>
              <w:spacing w:before="0" w:line="369" w:lineRule="auto"/>
              <w:ind w:left="109" w:right="102" w:firstLine="236"/>
              <w:rPr>
                <w:rFonts w:ascii="宋体" w:hAnsi="宋体" w:eastAsia="宋体" w:cs="宋体"/>
                <w:sz w:val="20"/>
                <w:szCs w:val="20"/>
                <w:highlight w:val="none"/>
              </w:rPr>
            </w:pPr>
            <w:r>
              <w:rPr>
                <w:rFonts w:ascii="宋体" w:hAnsi="宋体" w:eastAsia="宋体" w:cs="宋体"/>
                <w:spacing w:val="12"/>
                <w:sz w:val="20"/>
                <w:szCs w:val="20"/>
                <w:highlight w:val="none"/>
              </w:rPr>
              <w:t>(</w:t>
            </w:r>
            <w:r>
              <w:rPr>
                <w:rFonts w:ascii="Times New Roman" w:hAnsi="Times New Roman" w:eastAsia="Times New Roman" w:cs="Times New Roman"/>
                <w:spacing w:val="10"/>
                <w:sz w:val="20"/>
                <w:szCs w:val="20"/>
                <w:highlight w:val="none"/>
              </w:rPr>
              <w:t>4</w:t>
            </w:r>
            <w:r>
              <w:rPr>
                <w:rFonts w:ascii="宋体" w:hAnsi="宋体" w:eastAsia="宋体" w:cs="宋体"/>
                <w:spacing w:val="6"/>
                <w:sz w:val="20"/>
                <w:szCs w:val="20"/>
                <w:highlight w:val="none"/>
              </w:rPr>
              <w:t>)  由于承包人自身原因造成其进场的人员的替换，将按照本项 (</w:t>
            </w:r>
            <w:r>
              <w:rPr>
                <w:rFonts w:ascii="Times New Roman" w:hAnsi="Times New Roman" w:eastAsia="Times New Roman" w:cs="Times New Roman"/>
                <w:spacing w:val="6"/>
                <w:sz w:val="20"/>
                <w:szCs w:val="20"/>
                <w:highlight w:val="none"/>
              </w:rPr>
              <w:t>2</w:t>
            </w:r>
            <w:r>
              <w:rPr>
                <w:rFonts w:ascii="宋体" w:hAnsi="宋体" w:eastAsia="宋体" w:cs="宋体"/>
                <w:spacing w:val="6"/>
                <w:sz w:val="20"/>
                <w:szCs w:val="20"/>
                <w:highlight w:val="none"/>
              </w:rPr>
              <w:t>) 、 (</w:t>
            </w:r>
            <w:r>
              <w:rPr>
                <w:rFonts w:ascii="Times New Roman" w:hAnsi="Times New Roman" w:eastAsia="Times New Roman" w:cs="Times New Roman"/>
                <w:spacing w:val="6"/>
                <w:sz w:val="20"/>
                <w:szCs w:val="20"/>
                <w:highlight w:val="none"/>
              </w:rPr>
              <w:t>3</w:t>
            </w:r>
            <w:r>
              <w:rPr>
                <w:rFonts w:ascii="宋体" w:hAnsi="宋体" w:eastAsia="宋体" w:cs="宋体"/>
                <w:spacing w:val="6"/>
                <w:sz w:val="20"/>
                <w:szCs w:val="20"/>
                <w:highlight w:val="none"/>
              </w:rPr>
              <w:t>)</w:t>
            </w:r>
            <w:r>
              <w:rPr>
                <w:rFonts w:ascii="宋体" w:hAnsi="宋体" w:eastAsia="宋体" w:cs="宋体"/>
                <w:sz w:val="20"/>
                <w:szCs w:val="20"/>
                <w:highlight w:val="none"/>
              </w:rPr>
              <w:t xml:space="preserve"> </w:t>
            </w:r>
            <w:r>
              <w:rPr>
                <w:rFonts w:ascii="宋体" w:hAnsi="宋体" w:eastAsia="宋体" w:cs="宋体"/>
                <w:spacing w:val="9"/>
                <w:sz w:val="20"/>
                <w:szCs w:val="20"/>
                <w:highlight w:val="none"/>
              </w:rPr>
              <w:t>目的规定交纳违约金；由于相关人员不能胜任本职工作、行为不端或玩忽职守</w:t>
            </w:r>
            <w:r>
              <w:rPr>
                <w:rFonts w:ascii="宋体" w:hAnsi="宋体" w:eastAsia="宋体" w:cs="宋体"/>
                <w:spacing w:val="7"/>
                <w:sz w:val="20"/>
                <w:szCs w:val="20"/>
                <w:highlight w:val="none"/>
              </w:rPr>
              <w:t>而</w:t>
            </w:r>
            <w:r>
              <w:rPr>
                <w:rFonts w:ascii="宋体" w:hAnsi="宋体" w:eastAsia="宋体" w:cs="宋体"/>
                <w:spacing w:val="4"/>
                <w:sz w:val="20"/>
                <w:szCs w:val="20"/>
                <w:highlight w:val="none"/>
              </w:rPr>
              <w:t xml:space="preserve">被监理人按合同条款第 </w:t>
            </w:r>
            <w:r>
              <w:rPr>
                <w:rFonts w:ascii="Times New Roman" w:hAnsi="Times New Roman" w:eastAsia="Times New Roman" w:cs="Times New Roman"/>
                <w:spacing w:val="4"/>
                <w:sz w:val="20"/>
                <w:szCs w:val="20"/>
                <w:highlight w:val="none"/>
              </w:rPr>
              <w:t xml:space="preserve">4.7 </w:t>
            </w:r>
            <w:r>
              <w:rPr>
                <w:rFonts w:ascii="宋体" w:hAnsi="宋体" w:eastAsia="宋体" w:cs="宋体"/>
                <w:spacing w:val="2"/>
                <w:sz w:val="20"/>
                <w:szCs w:val="20"/>
                <w:highlight w:val="none"/>
              </w:rPr>
              <w:t>款规定要求撤换的，除按照本项 (</w:t>
            </w:r>
            <w:r>
              <w:rPr>
                <w:rFonts w:ascii="Times New Roman" w:hAnsi="Times New Roman" w:eastAsia="Times New Roman" w:cs="Times New Roman"/>
                <w:spacing w:val="2"/>
                <w:sz w:val="20"/>
                <w:szCs w:val="20"/>
                <w:highlight w:val="none"/>
              </w:rPr>
              <w:t>2</w:t>
            </w:r>
            <w:r>
              <w:rPr>
                <w:rFonts w:ascii="宋体" w:hAnsi="宋体" w:eastAsia="宋体" w:cs="宋体"/>
                <w:spacing w:val="2"/>
                <w:sz w:val="20"/>
                <w:szCs w:val="20"/>
                <w:highlight w:val="none"/>
              </w:rPr>
              <w:t>) 、 (</w:t>
            </w:r>
            <w:r>
              <w:rPr>
                <w:rFonts w:ascii="Times New Roman" w:hAnsi="Times New Roman" w:eastAsia="Times New Roman" w:cs="Times New Roman"/>
                <w:spacing w:val="2"/>
                <w:sz w:val="20"/>
                <w:szCs w:val="20"/>
                <w:highlight w:val="none"/>
              </w:rPr>
              <w:t>3</w:t>
            </w:r>
            <w:r>
              <w:rPr>
                <w:rFonts w:ascii="宋体" w:hAnsi="宋体" w:eastAsia="宋体" w:cs="宋体"/>
                <w:spacing w:val="2"/>
                <w:sz w:val="20"/>
                <w:szCs w:val="20"/>
                <w:highlight w:val="none"/>
              </w:rPr>
              <w:t>) 目的规定</w:t>
            </w:r>
            <w:r>
              <w:rPr>
                <w:rFonts w:ascii="宋体" w:hAnsi="宋体" w:eastAsia="宋体" w:cs="宋体"/>
                <w:spacing w:val="11"/>
                <w:sz w:val="20"/>
                <w:szCs w:val="20"/>
                <w:highlight w:val="none"/>
              </w:rPr>
              <w:t>交</w:t>
            </w:r>
            <w:r>
              <w:rPr>
                <w:rFonts w:ascii="宋体" w:hAnsi="宋体" w:eastAsia="宋体" w:cs="宋体"/>
                <w:spacing w:val="7"/>
                <w:sz w:val="20"/>
                <w:szCs w:val="20"/>
                <w:highlight w:val="none"/>
              </w:rPr>
              <w:t xml:space="preserve">纳违约金外，项目经理或项目总工每更换一人次还应向发包人另行支付 </w:t>
            </w:r>
            <w:r>
              <w:rPr>
                <w:rFonts w:ascii="Times New Roman" w:hAnsi="Times New Roman" w:eastAsia="Times New Roman" w:cs="Times New Roman"/>
                <w:spacing w:val="7"/>
                <w:sz w:val="20"/>
                <w:szCs w:val="20"/>
                <w:highlight w:val="none"/>
              </w:rPr>
              <w:t xml:space="preserve">10 </w:t>
            </w:r>
            <w:r>
              <w:rPr>
                <w:rFonts w:ascii="宋体" w:hAnsi="宋体" w:eastAsia="宋体" w:cs="宋体"/>
                <w:spacing w:val="7"/>
                <w:sz w:val="20"/>
                <w:szCs w:val="20"/>
                <w:highlight w:val="none"/>
              </w:rPr>
              <w:t>万元</w:t>
            </w:r>
            <w:r>
              <w:rPr>
                <w:rFonts w:ascii="宋体" w:hAnsi="宋体" w:eastAsia="宋体" w:cs="宋体"/>
                <w:spacing w:val="14"/>
                <w:sz w:val="20"/>
                <w:szCs w:val="20"/>
                <w:highlight w:val="none"/>
              </w:rPr>
              <w:t>的违</w:t>
            </w:r>
            <w:r>
              <w:rPr>
                <w:rFonts w:ascii="宋体" w:hAnsi="宋体" w:eastAsia="宋体" w:cs="宋体"/>
                <w:spacing w:val="13"/>
                <w:sz w:val="20"/>
                <w:szCs w:val="20"/>
                <w:highlight w:val="none"/>
              </w:rPr>
              <w:t>约</w:t>
            </w:r>
            <w:r>
              <w:rPr>
                <w:rFonts w:ascii="宋体" w:hAnsi="宋体" w:eastAsia="宋体" w:cs="宋体"/>
                <w:spacing w:val="7"/>
                <w:sz w:val="20"/>
                <w:szCs w:val="20"/>
                <w:highlight w:val="none"/>
              </w:rPr>
              <w:t xml:space="preserve">金，其他管理人员每更换一人次还应向发包人另行支付 </w:t>
            </w:r>
            <w:r>
              <w:rPr>
                <w:rFonts w:ascii="Times New Roman" w:hAnsi="Times New Roman" w:eastAsia="Times New Roman" w:cs="Times New Roman"/>
                <w:spacing w:val="7"/>
                <w:sz w:val="20"/>
                <w:szCs w:val="20"/>
                <w:highlight w:val="none"/>
              </w:rPr>
              <w:t xml:space="preserve">5 </w:t>
            </w:r>
            <w:r>
              <w:rPr>
                <w:rFonts w:ascii="宋体" w:hAnsi="宋体" w:eastAsia="宋体" w:cs="宋体"/>
                <w:spacing w:val="7"/>
                <w:sz w:val="20"/>
                <w:szCs w:val="20"/>
                <w:highlight w:val="none"/>
              </w:rPr>
              <w:t>万元的违约金。</w:t>
            </w:r>
          </w:p>
          <w:p w14:paraId="4A8BA154">
            <w:pPr>
              <w:spacing w:before="3" w:line="368" w:lineRule="auto"/>
              <w:ind w:left="111" w:right="102" w:firstLine="242"/>
              <w:rPr>
                <w:rFonts w:ascii="宋体" w:hAnsi="宋体" w:eastAsia="宋体" w:cs="宋体"/>
                <w:sz w:val="20"/>
                <w:szCs w:val="20"/>
                <w:highlight w:val="none"/>
              </w:rPr>
            </w:pPr>
            <w:r>
              <w:rPr>
                <w:rFonts w:ascii="宋体" w:hAnsi="宋体" w:eastAsia="宋体" w:cs="宋体"/>
                <w:spacing w:val="19"/>
                <w:sz w:val="20"/>
                <w:szCs w:val="20"/>
                <w:highlight w:val="none"/>
              </w:rPr>
              <w:t>(</w:t>
            </w:r>
            <w:r>
              <w:rPr>
                <w:rFonts w:ascii="Times New Roman" w:hAnsi="Times New Roman" w:eastAsia="Times New Roman" w:cs="Times New Roman"/>
                <w:spacing w:val="13"/>
                <w:sz w:val="20"/>
                <w:szCs w:val="20"/>
                <w:highlight w:val="none"/>
              </w:rPr>
              <w:t>5</w:t>
            </w:r>
            <w:r>
              <w:rPr>
                <w:rFonts w:ascii="宋体" w:hAnsi="宋体" w:eastAsia="宋体" w:cs="宋体"/>
                <w:spacing w:val="13"/>
                <w:sz w:val="20"/>
                <w:szCs w:val="20"/>
                <w:highlight w:val="none"/>
              </w:rPr>
              <w:t>)  承包人在监理人规定的截止日前，合同谈判期间承包人所承诺的主要机</w:t>
            </w:r>
            <w:r>
              <w:rPr>
                <w:rFonts w:ascii="宋体" w:hAnsi="宋体" w:eastAsia="宋体" w:cs="宋体"/>
                <w:sz w:val="20"/>
                <w:szCs w:val="20"/>
                <w:highlight w:val="none"/>
              </w:rPr>
              <w:t xml:space="preserve"> </w:t>
            </w:r>
            <w:r>
              <w:rPr>
                <w:rFonts w:ascii="宋体" w:hAnsi="宋体" w:eastAsia="宋体" w:cs="宋体"/>
                <w:spacing w:val="18"/>
                <w:sz w:val="20"/>
                <w:szCs w:val="20"/>
                <w:highlight w:val="none"/>
              </w:rPr>
              <w:t>械及</w:t>
            </w:r>
            <w:r>
              <w:rPr>
                <w:rFonts w:ascii="宋体" w:hAnsi="宋体" w:eastAsia="宋体" w:cs="宋体"/>
                <w:spacing w:val="11"/>
                <w:sz w:val="20"/>
                <w:szCs w:val="20"/>
                <w:highlight w:val="none"/>
              </w:rPr>
              <w:t>试</w:t>
            </w:r>
            <w:r>
              <w:rPr>
                <w:rFonts w:ascii="宋体" w:hAnsi="宋体" w:eastAsia="宋体" w:cs="宋体"/>
                <w:spacing w:val="9"/>
                <w:sz w:val="20"/>
                <w:szCs w:val="20"/>
                <w:highlight w:val="none"/>
              </w:rPr>
              <w:t xml:space="preserve">验、测量设备 (如有) 不能按时进场，每迟到 </w:t>
            </w:r>
            <w:r>
              <w:rPr>
                <w:rFonts w:ascii="Times New Roman" w:hAnsi="Times New Roman" w:eastAsia="Times New Roman" w:cs="Times New Roman"/>
                <w:spacing w:val="9"/>
                <w:sz w:val="20"/>
                <w:szCs w:val="20"/>
                <w:highlight w:val="none"/>
              </w:rPr>
              <w:t xml:space="preserve">1 </w:t>
            </w:r>
            <w:r>
              <w:rPr>
                <w:rFonts w:ascii="宋体" w:hAnsi="宋体" w:eastAsia="宋体" w:cs="宋体"/>
                <w:spacing w:val="9"/>
                <w:sz w:val="20"/>
                <w:szCs w:val="20"/>
                <w:highlight w:val="none"/>
              </w:rPr>
              <w:t>天，发包人可按照该设备</w:t>
            </w:r>
            <w:r>
              <w:rPr>
                <w:rFonts w:ascii="宋体" w:hAnsi="宋体" w:eastAsia="宋体" w:cs="宋体"/>
                <w:sz w:val="20"/>
                <w:szCs w:val="20"/>
                <w:highlight w:val="none"/>
              </w:rPr>
              <w:t xml:space="preserve"> </w:t>
            </w:r>
            <w:r>
              <w:rPr>
                <w:rFonts w:ascii="宋体" w:hAnsi="宋体" w:eastAsia="宋体" w:cs="宋体"/>
                <w:spacing w:val="22"/>
                <w:sz w:val="20"/>
                <w:szCs w:val="20"/>
                <w:highlight w:val="none"/>
              </w:rPr>
              <w:t>的</w:t>
            </w:r>
            <w:r>
              <w:rPr>
                <w:rFonts w:ascii="宋体" w:hAnsi="宋体" w:eastAsia="宋体" w:cs="宋体"/>
                <w:spacing w:val="16"/>
                <w:sz w:val="20"/>
                <w:szCs w:val="20"/>
                <w:highlight w:val="none"/>
              </w:rPr>
              <w:t>台</w:t>
            </w:r>
            <w:r>
              <w:rPr>
                <w:rFonts w:ascii="宋体" w:hAnsi="宋体" w:eastAsia="宋体" w:cs="宋体"/>
                <w:spacing w:val="11"/>
                <w:sz w:val="20"/>
                <w:szCs w:val="20"/>
                <w:highlight w:val="none"/>
              </w:rPr>
              <w:t>班费 (以交通运输部现行《预算定额》为准) 的三倍扣除违约金，直到设备</w:t>
            </w:r>
            <w:r>
              <w:rPr>
                <w:rFonts w:ascii="宋体" w:hAnsi="宋体" w:eastAsia="宋体" w:cs="宋体"/>
                <w:spacing w:val="7"/>
                <w:sz w:val="20"/>
                <w:szCs w:val="20"/>
                <w:highlight w:val="none"/>
              </w:rPr>
              <w:t>进</w:t>
            </w:r>
            <w:r>
              <w:rPr>
                <w:rFonts w:ascii="宋体" w:hAnsi="宋体" w:eastAsia="宋体" w:cs="宋体"/>
                <w:spacing w:val="6"/>
                <w:sz w:val="20"/>
                <w:szCs w:val="20"/>
                <w:highlight w:val="none"/>
              </w:rPr>
              <w:t>场为止。</w:t>
            </w:r>
          </w:p>
        </w:tc>
      </w:tr>
    </w:tbl>
    <w:p w14:paraId="5BD980D3">
      <w:pPr>
        <w:rPr>
          <w:rFonts w:ascii="Arial"/>
          <w:sz w:val="21"/>
          <w:highlight w:val="none"/>
        </w:rPr>
      </w:pPr>
    </w:p>
    <w:p w14:paraId="462FAAEA">
      <w:pPr>
        <w:rPr>
          <w:highlight w:val="none"/>
        </w:rPr>
        <w:sectPr>
          <w:headerReference r:id="rId30" w:type="default"/>
          <w:footerReference r:id="rId31" w:type="default"/>
          <w:pgSz w:w="11907" w:h="16840"/>
          <w:pgMar w:top="1165" w:right="1301" w:bottom="1333" w:left="1299" w:header="883" w:footer="1173" w:gutter="0"/>
          <w:cols w:space="720" w:num="1"/>
        </w:sectPr>
      </w:pPr>
    </w:p>
    <w:p w14:paraId="2C4646B6">
      <w:pPr>
        <w:spacing w:line="216" w:lineRule="exact"/>
        <w:rPr>
          <w:highlight w:val="none"/>
        </w:rPr>
      </w:pPr>
    </w:p>
    <w:tbl>
      <w:tblPr>
        <w:tblStyle w:val="101"/>
        <w:tblW w:w="9291"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4"/>
        <w:gridCol w:w="1113"/>
        <w:gridCol w:w="7644"/>
      </w:tblGrid>
      <w:tr w14:paraId="0FFC79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7" w:hRule="atLeast"/>
        </w:trPr>
        <w:tc>
          <w:tcPr>
            <w:tcW w:w="534" w:type="dxa"/>
            <w:tcBorders>
              <w:left w:val="single" w:color="000000" w:sz="6" w:space="0"/>
            </w:tcBorders>
            <w:vAlign w:val="top"/>
          </w:tcPr>
          <w:p w14:paraId="3DCADFEE">
            <w:pPr>
              <w:spacing w:before="134" w:line="224" w:lineRule="auto"/>
              <w:ind w:left="54"/>
              <w:rPr>
                <w:rFonts w:ascii="黑体" w:hAnsi="黑体" w:eastAsia="黑体" w:cs="黑体"/>
                <w:sz w:val="20"/>
                <w:szCs w:val="20"/>
                <w:highlight w:val="none"/>
              </w:rPr>
            </w:pPr>
            <w:r>
              <w:rPr>
                <w:rFonts w:ascii="黑体" w:hAnsi="黑体" w:eastAsia="黑体" w:cs="黑体"/>
                <w:spacing w:val="5"/>
                <w:sz w:val="20"/>
                <w:szCs w:val="20"/>
                <w:highlight w:val="none"/>
              </w:rPr>
              <w:t>序</w:t>
            </w:r>
            <w:r>
              <w:rPr>
                <w:rFonts w:ascii="黑体" w:hAnsi="黑体" w:eastAsia="黑体" w:cs="黑体"/>
                <w:spacing w:val="4"/>
                <w:sz w:val="20"/>
                <w:szCs w:val="20"/>
                <w:highlight w:val="none"/>
              </w:rPr>
              <w:t>号</w:t>
            </w:r>
          </w:p>
        </w:tc>
        <w:tc>
          <w:tcPr>
            <w:tcW w:w="1113" w:type="dxa"/>
            <w:vAlign w:val="top"/>
          </w:tcPr>
          <w:p w14:paraId="3D643ABA">
            <w:pPr>
              <w:spacing w:before="134" w:line="224" w:lineRule="auto"/>
              <w:ind w:left="241"/>
              <w:rPr>
                <w:rFonts w:ascii="黑体" w:hAnsi="黑体" w:eastAsia="黑体" w:cs="黑体"/>
                <w:sz w:val="20"/>
                <w:szCs w:val="20"/>
                <w:highlight w:val="none"/>
              </w:rPr>
            </w:pPr>
            <w:r>
              <w:rPr>
                <w:rFonts w:ascii="黑体" w:hAnsi="黑体" w:eastAsia="黑体" w:cs="黑体"/>
                <w:spacing w:val="7"/>
                <w:sz w:val="20"/>
                <w:szCs w:val="20"/>
                <w:highlight w:val="none"/>
              </w:rPr>
              <w:t>条</w:t>
            </w:r>
            <w:r>
              <w:rPr>
                <w:rFonts w:ascii="黑体" w:hAnsi="黑体" w:eastAsia="黑体" w:cs="黑体"/>
                <w:spacing w:val="6"/>
                <w:sz w:val="20"/>
                <w:szCs w:val="20"/>
                <w:highlight w:val="none"/>
              </w:rPr>
              <w:t>目号</w:t>
            </w:r>
          </w:p>
        </w:tc>
        <w:tc>
          <w:tcPr>
            <w:tcW w:w="7644" w:type="dxa"/>
            <w:tcBorders>
              <w:right w:val="single" w:color="000000" w:sz="6" w:space="0"/>
            </w:tcBorders>
            <w:vAlign w:val="top"/>
          </w:tcPr>
          <w:p w14:paraId="046FFB99">
            <w:pPr>
              <w:spacing w:before="134" w:line="224" w:lineRule="auto"/>
              <w:ind w:left="3298"/>
              <w:rPr>
                <w:rFonts w:ascii="黑体" w:hAnsi="黑体" w:eastAsia="黑体" w:cs="黑体"/>
                <w:sz w:val="20"/>
                <w:szCs w:val="20"/>
                <w:highlight w:val="none"/>
              </w:rPr>
            </w:pPr>
            <w:r>
              <w:rPr>
                <w:rFonts w:ascii="黑体" w:hAnsi="黑体" w:eastAsia="黑体" w:cs="黑体"/>
                <w:spacing w:val="8"/>
                <w:sz w:val="20"/>
                <w:szCs w:val="20"/>
                <w:highlight w:val="none"/>
              </w:rPr>
              <w:t>信息或数据</w:t>
            </w:r>
          </w:p>
        </w:tc>
      </w:tr>
      <w:tr w14:paraId="17B6CC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603" w:hRule="atLeast"/>
        </w:trPr>
        <w:tc>
          <w:tcPr>
            <w:tcW w:w="534" w:type="dxa"/>
            <w:tcBorders>
              <w:left w:val="single" w:color="000000" w:sz="6" w:space="0"/>
            </w:tcBorders>
            <w:vAlign w:val="top"/>
          </w:tcPr>
          <w:p w14:paraId="6FB5B6CB">
            <w:pPr>
              <w:rPr>
                <w:rFonts w:ascii="Arial"/>
                <w:sz w:val="21"/>
                <w:highlight w:val="none"/>
              </w:rPr>
            </w:pPr>
          </w:p>
        </w:tc>
        <w:tc>
          <w:tcPr>
            <w:tcW w:w="1113" w:type="dxa"/>
            <w:vAlign w:val="top"/>
          </w:tcPr>
          <w:p w14:paraId="747A5EBA">
            <w:pPr>
              <w:rPr>
                <w:rFonts w:ascii="Arial"/>
                <w:sz w:val="21"/>
                <w:highlight w:val="none"/>
              </w:rPr>
            </w:pPr>
          </w:p>
        </w:tc>
        <w:tc>
          <w:tcPr>
            <w:tcW w:w="7644" w:type="dxa"/>
            <w:tcBorders>
              <w:right w:val="single" w:color="000000" w:sz="6" w:space="0"/>
            </w:tcBorders>
            <w:vAlign w:val="top"/>
          </w:tcPr>
          <w:p w14:paraId="1206D383">
            <w:pPr>
              <w:spacing w:before="3" w:line="368" w:lineRule="auto"/>
              <w:ind w:left="111" w:right="102" w:firstLine="242"/>
              <w:rPr>
                <w:rFonts w:ascii="宋体" w:hAnsi="宋体" w:eastAsia="宋体" w:cs="宋体"/>
                <w:spacing w:val="19"/>
                <w:sz w:val="20"/>
                <w:szCs w:val="20"/>
                <w:highlight w:val="none"/>
              </w:rPr>
            </w:pPr>
            <w:r>
              <w:rPr>
                <w:rFonts w:ascii="宋体" w:hAnsi="宋体" w:eastAsia="宋体" w:cs="宋体"/>
                <w:spacing w:val="19"/>
                <w:sz w:val="20"/>
                <w:szCs w:val="20"/>
                <w:highlight w:val="none"/>
              </w:rPr>
              <w:t>(6)  在工程实施期间，未经监理人批准，承包人进场的施工机械和材料试验、</w:t>
            </w:r>
            <w:r>
              <w:rPr>
                <w:rFonts w:ascii="宋体" w:hAnsi="宋体" w:eastAsia="宋体" w:cs="宋体"/>
                <w:spacing w:val="19"/>
                <w:position w:val="0"/>
                <w:sz w:val="20"/>
                <w:szCs w:val="20"/>
                <w:highlight w:val="none"/>
              </w:rPr>
              <w:t>质检仪器设备撤离现场，发包人可按该设备的重置价值从工程期中支付款中扣除</w:t>
            </w:r>
            <w:r>
              <w:rPr>
                <w:rFonts w:ascii="宋体" w:hAnsi="宋体" w:eastAsia="宋体" w:cs="宋体"/>
                <w:spacing w:val="19"/>
                <w:sz w:val="20"/>
                <w:szCs w:val="20"/>
                <w:highlight w:val="none"/>
              </w:rPr>
              <w:t>违约金。</w:t>
            </w:r>
          </w:p>
          <w:p w14:paraId="49F1E643">
            <w:pPr>
              <w:spacing w:before="0" w:line="369" w:lineRule="auto"/>
              <w:ind w:left="109" w:right="102" w:firstLine="236"/>
              <w:rPr>
                <w:rFonts w:ascii="宋体" w:hAnsi="宋体" w:eastAsia="宋体" w:cs="宋体"/>
                <w:sz w:val="20"/>
                <w:szCs w:val="20"/>
                <w:highlight w:val="none"/>
              </w:rPr>
            </w:pPr>
            <w:r>
              <w:rPr>
                <w:rFonts w:ascii="宋体" w:hAnsi="宋体" w:eastAsia="宋体" w:cs="宋体"/>
                <w:spacing w:val="18"/>
                <w:sz w:val="20"/>
                <w:szCs w:val="20"/>
                <w:highlight w:val="none"/>
              </w:rPr>
              <w:t>(</w:t>
            </w:r>
            <w:r>
              <w:rPr>
                <w:rFonts w:ascii="Times New Roman" w:hAnsi="Times New Roman" w:eastAsia="Times New Roman" w:cs="Times New Roman"/>
                <w:spacing w:val="18"/>
                <w:sz w:val="20"/>
                <w:szCs w:val="20"/>
                <w:highlight w:val="none"/>
              </w:rPr>
              <w:t>7</w:t>
            </w:r>
            <w:r>
              <w:rPr>
                <w:rFonts w:ascii="宋体" w:hAnsi="宋体" w:eastAsia="宋体" w:cs="宋体"/>
                <w:spacing w:val="9"/>
                <w:sz w:val="20"/>
                <w:szCs w:val="20"/>
                <w:highlight w:val="none"/>
              </w:rPr>
              <w:t xml:space="preserve">)  在施工期间，承包人若违反施工操作及管理程序，则按 </w:t>
            </w:r>
            <w:r>
              <w:rPr>
                <w:rFonts w:ascii="Times New Roman" w:hAnsi="Times New Roman" w:eastAsia="Times New Roman" w:cs="Times New Roman"/>
                <w:spacing w:val="9"/>
                <w:sz w:val="20"/>
                <w:szCs w:val="20"/>
                <w:highlight w:val="none"/>
              </w:rPr>
              <w:t xml:space="preserve">5 </w:t>
            </w:r>
            <w:r>
              <w:rPr>
                <w:rFonts w:ascii="宋体" w:hAnsi="宋体" w:eastAsia="宋体" w:cs="宋体"/>
                <w:spacing w:val="9"/>
                <w:sz w:val="20"/>
                <w:szCs w:val="20"/>
                <w:highlight w:val="none"/>
              </w:rPr>
              <w:t>万元</w:t>
            </w:r>
            <w:r>
              <w:rPr>
                <w:rFonts w:ascii="Times New Roman" w:hAnsi="Times New Roman" w:eastAsia="Times New Roman" w:cs="Times New Roman"/>
                <w:spacing w:val="9"/>
                <w:sz w:val="20"/>
                <w:szCs w:val="20"/>
                <w:highlight w:val="none"/>
              </w:rPr>
              <w:t>/</w:t>
            </w:r>
            <w:r>
              <w:rPr>
                <w:rFonts w:ascii="宋体" w:hAnsi="宋体" w:eastAsia="宋体" w:cs="宋体"/>
                <w:spacing w:val="9"/>
                <w:sz w:val="20"/>
                <w:szCs w:val="20"/>
                <w:highlight w:val="none"/>
              </w:rPr>
              <w:t>次标准扣除</w:t>
            </w:r>
            <w:r>
              <w:rPr>
                <w:rFonts w:ascii="宋体" w:hAnsi="宋体" w:eastAsia="宋体" w:cs="宋体"/>
                <w:spacing w:val="6"/>
                <w:sz w:val="20"/>
                <w:szCs w:val="20"/>
                <w:highlight w:val="none"/>
              </w:rPr>
              <w:t>承包人的违约金。</w:t>
            </w:r>
          </w:p>
          <w:p w14:paraId="2648E283">
            <w:pPr>
              <w:spacing w:before="0" w:line="369" w:lineRule="auto"/>
              <w:ind w:left="109" w:right="102" w:firstLine="236"/>
              <w:rPr>
                <w:rFonts w:ascii="宋体" w:hAnsi="宋体" w:eastAsia="宋体" w:cs="宋体"/>
                <w:sz w:val="20"/>
                <w:szCs w:val="20"/>
                <w:highlight w:val="none"/>
              </w:rPr>
            </w:pPr>
            <w:r>
              <w:rPr>
                <w:rFonts w:ascii="宋体" w:hAnsi="宋体" w:eastAsia="宋体" w:cs="宋体"/>
                <w:spacing w:val="19"/>
                <w:sz w:val="20"/>
                <w:szCs w:val="20"/>
                <w:highlight w:val="none"/>
              </w:rPr>
              <w:t>(</w:t>
            </w:r>
            <w:r>
              <w:rPr>
                <w:rFonts w:ascii="Times New Roman" w:hAnsi="Times New Roman" w:eastAsia="Times New Roman" w:cs="Times New Roman"/>
                <w:spacing w:val="13"/>
                <w:sz w:val="20"/>
                <w:szCs w:val="20"/>
                <w:highlight w:val="none"/>
              </w:rPr>
              <w:t>8</w:t>
            </w:r>
            <w:r>
              <w:rPr>
                <w:rFonts w:ascii="宋体" w:hAnsi="宋体" w:eastAsia="宋体" w:cs="宋体"/>
                <w:spacing w:val="13"/>
                <w:sz w:val="20"/>
                <w:szCs w:val="20"/>
                <w:highlight w:val="none"/>
              </w:rPr>
              <w:t>)  承包人在施工期间如果在各种报表及检查试验记录中自己作假或诱导监</w:t>
            </w:r>
            <w:r>
              <w:rPr>
                <w:rFonts w:ascii="宋体" w:hAnsi="宋体" w:eastAsia="宋体" w:cs="宋体"/>
                <w:spacing w:val="8"/>
                <w:sz w:val="20"/>
                <w:szCs w:val="20"/>
                <w:highlight w:val="none"/>
              </w:rPr>
              <w:t>理</w:t>
            </w:r>
            <w:r>
              <w:rPr>
                <w:rFonts w:ascii="宋体" w:hAnsi="宋体" w:eastAsia="宋体" w:cs="宋体"/>
                <w:spacing w:val="5"/>
                <w:sz w:val="20"/>
                <w:szCs w:val="20"/>
                <w:highlight w:val="none"/>
              </w:rPr>
              <w:t xml:space="preserve">人作假，发包人可按每次 </w:t>
            </w:r>
            <w:r>
              <w:rPr>
                <w:rFonts w:ascii="Times New Roman" w:hAnsi="Times New Roman" w:eastAsia="Times New Roman" w:cs="Times New Roman"/>
                <w:spacing w:val="5"/>
                <w:sz w:val="20"/>
                <w:szCs w:val="20"/>
                <w:highlight w:val="none"/>
              </w:rPr>
              <w:t xml:space="preserve">1 </w:t>
            </w:r>
            <w:r>
              <w:rPr>
                <w:rFonts w:ascii="宋体" w:hAnsi="宋体" w:eastAsia="宋体" w:cs="宋体"/>
                <w:spacing w:val="5"/>
                <w:sz w:val="20"/>
                <w:szCs w:val="20"/>
                <w:highlight w:val="none"/>
              </w:rPr>
              <w:t>万</w:t>
            </w:r>
            <w:r>
              <w:rPr>
                <w:rFonts w:ascii="Times New Roman" w:hAnsi="Times New Roman" w:eastAsia="Times New Roman" w:cs="Times New Roman"/>
                <w:spacing w:val="5"/>
                <w:sz w:val="20"/>
                <w:szCs w:val="20"/>
                <w:highlight w:val="none"/>
              </w:rPr>
              <w:t xml:space="preserve">~ 10 </w:t>
            </w:r>
            <w:r>
              <w:rPr>
                <w:rFonts w:ascii="宋体" w:hAnsi="宋体" w:eastAsia="宋体" w:cs="宋体"/>
                <w:spacing w:val="5"/>
                <w:sz w:val="20"/>
                <w:szCs w:val="20"/>
                <w:highlight w:val="none"/>
              </w:rPr>
              <w:t>万元的标准扣除承包人的违约金。</w:t>
            </w:r>
          </w:p>
          <w:p w14:paraId="722D5721">
            <w:pPr>
              <w:spacing w:line="369" w:lineRule="auto"/>
              <w:ind w:left="109" w:right="102" w:firstLine="236"/>
              <w:rPr>
                <w:rFonts w:ascii="宋体" w:hAnsi="宋体" w:eastAsia="宋体" w:cs="宋体"/>
                <w:sz w:val="20"/>
                <w:szCs w:val="20"/>
                <w:highlight w:val="none"/>
              </w:rPr>
            </w:pPr>
            <w:r>
              <w:rPr>
                <w:rFonts w:ascii="宋体" w:hAnsi="宋体" w:eastAsia="宋体" w:cs="宋体"/>
                <w:spacing w:val="19"/>
                <w:sz w:val="20"/>
                <w:szCs w:val="20"/>
                <w:highlight w:val="none"/>
              </w:rPr>
              <w:t>(</w:t>
            </w:r>
            <w:r>
              <w:rPr>
                <w:rFonts w:ascii="Times New Roman" w:hAnsi="Times New Roman" w:eastAsia="Times New Roman" w:cs="Times New Roman"/>
                <w:spacing w:val="13"/>
                <w:sz w:val="20"/>
                <w:szCs w:val="20"/>
                <w:highlight w:val="none"/>
              </w:rPr>
              <w:t>9</w:t>
            </w:r>
            <w:r>
              <w:rPr>
                <w:rFonts w:ascii="宋体" w:hAnsi="宋体" w:eastAsia="宋体" w:cs="宋体"/>
                <w:spacing w:val="13"/>
                <w:sz w:val="20"/>
                <w:szCs w:val="20"/>
                <w:highlight w:val="none"/>
              </w:rPr>
              <w:t>)  承包人应无条件接受上级交通主管部门、质量监督部门、发包人监理单</w:t>
            </w:r>
            <w:r>
              <w:rPr>
                <w:rFonts w:ascii="宋体" w:hAnsi="宋体" w:eastAsia="宋体" w:cs="宋体"/>
                <w:spacing w:val="14"/>
                <w:sz w:val="20"/>
                <w:szCs w:val="20"/>
                <w:highlight w:val="none"/>
              </w:rPr>
              <w:t>位</w:t>
            </w:r>
            <w:r>
              <w:rPr>
                <w:rFonts w:ascii="宋体" w:hAnsi="宋体" w:eastAsia="宋体" w:cs="宋体"/>
                <w:spacing w:val="12"/>
                <w:sz w:val="20"/>
                <w:szCs w:val="20"/>
                <w:highlight w:val="none"/>
              </w:rPr>
              <w:t>的质量检查或抽查，如发现承包人出现降低施工标准或偷工减料或出现较大质量问题</w:t>
            </w:r>
            <w:r>
              <w:rPr>
                <w:rFonts w:ascii="宋体" w:hAnsi="宋体" w:eastAsia="宋体" w:cs="宋体"/>
                <w:spacing w:val="10"/>
                <w:sz w:val="20"/>
                <w:szCs w:val="20"/>
                <w:highlight w:val="none"/>
              </w:rPr>
              <w:t>，</w:t>
            </w:r>
            <w:r>
              <w:rPr>
                <w:rFonts w:ascii="宋体" w:hAnsi="宋体" w:eastAsia="宋体" w:cs="宋体"/>
                <w:spacing w:val="6"/>
                <w:sz w:val="20"/>
                <w:szCs w:val="20"/>
                <w:highlight w:val="none"/>
              </w:rPr>
              <w:t xml:space="preserve">发包人将按每次 </w:t>
            </w:r>
            <w:r>
              <w:rPr>
                <w:rFonts w:ascii="Times New Roman" w:hAnsi="Times New Roman" w:eastAsia="Times New Roman" w:cs="Times New Roman"/>
                <w:spacing w:val="6"/>
                <w:sz w:val="20"/>
                <w:szCs w:val="20"/>
                <w:highlight w:val="none"/>
              </w:rPr>
              <w:t xml:space="preserve">10 </w:t>
            </w:r>
            <w:r>
              <w:rPr>
                <w:rFonts w:ascii="宋体" w:hAnsi="宋体" w:eastAsia="宋体" w:cs="宋体"/>
                <w:spacing w:val="6"/>
                <w:sz w:val="20"/>
                <w:szCs w:val="20"/>
                <w:highlight w:val="none"/>
              </w:rPr>
              <w:t>万元的标准扣除承包人的违约金。</w:t>
            </w:r>
          </w:p>
          <w:p w14:paraId="3E46AA92">
            <w:pPr>
              <w:spacing w:before="0" w:line="369" w:lineRule="auto"/>
              <w:ind w:left="109" w:right="102" w:firstLine="236"/>
              <w:rPr>
                <w:rFonts w:ascii="宋体" w:hAnsi="宋体" w:eastAsia="宋体" w:cs="宋体"/>
                <w:sz w:val="20"/>
                <w:szCs w:val="20"/>
                <w:highlight w:val="none"/>
              </w:rPr>
            </w:pPr>
            <w:r>
              <w:rPr>
                <w:rFonts w:ascii="宋体" w:hAnsi="宋体" w:eastAsia="宋体" w:cs="宋体"/>
                <w:spacing w:val="14"/>
                <w:sz w:val="20"/>
                <w:szCs w:val="20"/>
                <w:highlight w:val="none"/>
              </w:rPr>
              <w:t>(</w:t>
            </w:r>
            <w:r>
              <w:rPr>
                <w:rFonts w:ascii="Times New Roman" w:hAnsi="Times New Roman" w:eastAsia="Times New Roman" w:cs="Times New Roman"/>
                <w:spacing w:val="10"/>
                <w:sz w:val="20"/>
                <w:szCs w:val="20"/>
                <w:highlight w:val="none"/>
              </w:rPr>
              <w:t>10</w:t>
            </w:r>
            <w:r>
              <w:rPr>
                <w:rFonts w:ascii="宋体" w:hAnsi="宋体" w:eastAsia="宋体" w:cs="宋体"/>
                <w:spacing w:val="10"/>
                <w:sz w:val="20"/>
                <w:szCs w:val="20"/>
                <w:highlight w:val="none"/>
              </w:rPr>
              <w:t>)  承包人在施工期间未能做好环境保护工作，使得周边环境遭到破坏或污</w:t>
            </w:r>
            <w:r>
              <w:rPr>
                <w:rFonts w:ascii="宋体" w:hAnsi="宋体" w:eastAsia="宋体" w:cs="宋体"/>
                <w:sz w:val="20"/>
                <w:szCs w:val="20"/>
                <w:highlight w:val="none"/>
              </w:rPr>
              <w:t xml:space="preserve"> </w:t>
            </w:r>
            <w:r>
              <w:rPr>
                <w:rFonts w:ascii="宋体" w:hAnsi="宋体" w:eastAsia="宋体" w:cs="宋体"/>
                <w:spacing w:val="7"/>
                <w:sz w:val="20"/>
                <w:szCs w:val="20"/>
                <w:highlight w:val="none"/>
              </w:rPr>
              <w:t xml:space="preserve">染，经监理人认可后，每次按照 </w:t>
            </w:r>
            <w:r>
              <w:rPr>
                <w:rFonts w:ascii="Times New Roman" w:hAnsi="Times New Roman" w:eastAsia="Times New Roman" w:cs="Times New Roman"/>
                <w:spacing w:val="7"/>
                <w:sz w:val="20"/>
                <w:szCs w:val="20"/>
                <w:highlight w:val="none"/>
              </w:rPr>
              <w:t xml:space="preserve">10 </w:t>
            </w:r>
            <w:r>
              <w:rPr>
                <w:rFonts w:ascii="宋体" w:hAnsi="宋体" w:eastAsia="宋体" w:cs="宋体"/>
                <w:spacing w:val="7"/>
                <w:sz w:val="20"/>
                <w:szCs w:val="20"/>
                <w:highlight w:val="none"/>
              </w:rPr>
              <w:t>万元的标准扣除承包人的违约金</w:t>
            </w:r>
            <w:r>
              <w:rPr>
                <w:rFonts w:ascii="宋体" w:hAnsi="宋体" w:eastAsia="宋体" w:cs="宋体"/>
                <w:spacing w:val="6"/>
                <w:sz w:val="20"/>
                <w:szCs w:val="20"/>
                <w:highlight w:val="none"/>
              </w:rPr>
              <w:t>。</w:t>
            </w:r>
          </w:p>
          <w:p w14:paraId="56B57D60">
            <w:pPr>
              <w:spacing w:line="369" w:lineRule="auto"/>
              <w:ind w:left="109" w:right="102" w:firstLine="236"/>
              <w:rPr>
                <w:rFonts w:ascii="宋体" w:hAnsi="宋体" w:eastAsia="宋体" w:cs="宋体"/>
                <w:sz w:val="20"/>
                <w:szCs w:val="20"/>
                <w:highlight w:val="none"/>
              </w:rPr>
            </w:pPr>
            <w:r>
              <w:rPr>
                <w:rFonts w:ascii="宋体" w:hAnsi="宋体" w:eastAsia="宋体" w:cs="宋体"/>
                <w:spacing w:val="14"/>
                <w:sz w:val="20"/>
                <w:szCs w:val="20"/>
                <w:highlight w:val="none"/>
              </w:rPr>
              <w:t>(</w:t>
            </w:r>
            <w:r>
              <w:rPr>
                <w:rFonts w:ascii="Times New Roman" w:hAnsi="Times New Roman" w:eastAsia="Times New Roman" w:cs="Times New Roman"/>
                <w:spacing w:val="10"/>
                <w:sz w:val="20"/>
                <w:szCs w:val="20"/>
                <w:highlight w:val="none"/>
              </w:rPr>
              <w:t>11</w:t>
            </w:r>
            <w:r>
              <w:rPr>
                <w:rFonts w:ascii="宋体" w:hAnsi="宋体" w:eastAsia="宋体" w:cs="宋体"/>
                <w:spacing w:val="10"/>
                <w:sz w:val="20"/>
                <w:szCs w:val="20"/>
                <w:highlight w:val="none"/>
              </w:rPr>
              <w:t>)  承包人存在安全问题或有违反安全管理规章制度的情况时，视其情节轻</w:t>
            </w:r>
            <w:r>
              <w:rPr>
                <w:rFonts w:ascii="宋体" w:hAnsi="宋体" w:eastAsia="宋体" w:cs="宋体"/>
                <w:spacing w:val="4"/>
                <w:sz w:val="20"/>
                <w:szCs w:val="20"/>
                <w:highlight w:val="none"/>
              </w:rPr>
              <w:t xml:space="preserve">重，分别给予承包人通报批评、警告、责令停工等处罚，并可扣处 </w:t>
            </w:r>
            <w:r>
              <w:rPr>
                <w:rFonts w:ascii="Times New Roman" w:hAnsi="Times New Roman" w:eastAsia="Times New Roman" w:cs="Times New Roman"/>
                <w:spacing w:val="4"/>
                <w:sz w:val="20"/>
                <w:szCs w:val="20"/>
                <w:highlight w:val="none"/>
              </w:rPr>
              <w:t xml:space="preserve">1 </w:t>
            </w:r>
            <w:r>
              <w:rPr>
                <w:rFonts w:ascii="宋体" w:hAnsi="宋体" w:eastAsia="宋体" w:cs="宋体"/>
                <w:spacing w:val="4"/>
                <w:sz w:val="20"/>
                <w:szCs w:val="20"/>
                <w:highlight w:val="none"/>
              </w:rPr>
              <w:t>万</w:t>
            </w:r>
            <w:r>
              <w:rPr>
                <w:rFonts w:ascii="Times New Roman" w:hAnsi="Times New Roman" w:eastAsia="Times New Roman" w:cs="Times New Roman"/>
                <w:spacing w:val="4"/>
                <w:sz w:val="20"/>
                <w:szCs w:val="20"/>
                <w:highlight w:val="none"/>
              </w:rPr>
              <w:t xml:space="preserve">~ 10 </w:t>
            </w:r>
            <w:r>
              <w:rPr>
                <w:rFonts w:ascii="宋体" w:hAnsi="宋体" w:eastAsia="宋体" w:cs="宋体"/>
                <w:spacing w:val="4"/>
                <w:sz w:val="20"/>
                <w:szCs w:val="20"/>
                <w:highlight w:val="none"/>
              </w:rPr>
              <w:t>万元</w:t>
            </w:r>
            <w:r>
              <w:rPr>
                <w:rFonts w:ascii="宋体" w:hAnsi="宋体" w:eastAsia="宋体" w:cs="宋体"/>
                <w:spacing w:val="1"/>
                <w:sz w:val="20"/>
                <w:szCs w:val="20"/>
                <w:highlight w:val="none"/>
              </w:rPr>
              <w:t>的</w:t>
            </w:r>
            <w:r>
              <w:rPr>
                <w:rFonts w:ascii="宋体" w:hAnsi="宋体" w:eastAsia="宋体" w:cs="宋体"/>
                <w:spacing w:val="5"/>
                <w:sz w:val="20"/>
                <w:szCs w:val="20"/>
                <w:highlight w:val="none"/>
              </w:rPr>
              <w:t>违约金。</w:t>
            </w:r>
          </w:p>
          <w:p w14:paraId="4F2B3AB7">
            <w:pPr>
              <w:spacing w:before="0" w:line="369" w:lineRule="auto"/>
              <w:ind w:left="109" w:right="102" w:firstLine="236"/>
              <w:rPr>
                <w:rFonts w:ascii="宋体" w:hAnsi="宋体" w:eastAsia="宋体" w:cs="宋体"/>
                <w:sz w:val="20"/>
                <w:szCs w:val="20"/>
                <w:highlight w:val="none"/>
              </w:rPr>
            </w:pPr>
            <w:r>
              <w:rPr>
                <w:rFonts w:ascii="宋体" w:hAnsi="宋体" w:eastAsia="宋体" w:cs="宋体"/>
                <w:spacing w:val="14"/>
                <w:sz w:val="20"/>
                <w:szCs w:val="20"/>
                <w:highlight w:val="none"/>
              </w:rPr>
              <w:t>(</w:t>
            </w:r>
            <w:r>
              <w:rPr>
                <w:rFonts w:ascii="Times New Roman" w:hAnsi="Times New Roman" w:eastAsia="Times New Roman" w:cs="Times New Roman"/>
                <w:spacing w:val="10"/>
                <w:sz w:val="20"/>
                <w:szCs w:val="20"/>
                <w:highlight w:val="none"/>
              </w:rPr>
              <w:t>12</w:t>
            </w:r>
            <w:r>
              <w:rPr>
                <w:rFonts w:ascii="宋体" w:hAnsi="宋体" w:eastAsia="宋体" w:cs="宋体"/>
                <w:spacing w:val="10"/>
                <w:sz w:val="20"/>
                <w:szCs w:val="20"/>
                <w:highlight w:val="none"/>
              </w:rPr>
              <w:t>)  承包人应按劳动合同及时发放薪酬，不得因此影响工程的正常进展及发</w:t>
            </w:r>
            <w:r>
              <w:rPr>
                <w:rFonts w:ascii="宋体" w:hAnsi="宋体" w:eastAsia="宋体" w:cs="宋体"/>
                <w:spacing w:val="14"/>
                <w:sz w:val="20"/>
                <w:szCs w:val="20"/>
                <w:highlight w:val="none"/>
              </w:rPr>
              <w:t>包</w:t>
            </w:r>
            <w:r>
              <w:rPr>
                <w:rFonts w:ascii="宋体" w:hAnsi="宋体" w:eastAsia="宋体" w:cs="宋体"/>
                <w:spacing w:val="12"/>
                <w:sz w:val="20"/>
                <w:szCs w:val="20"/>
                <w:highlight w:val="none"/>
              </w:rPr>
              <w:t>人的声誉。因此造成的劳务纠纷，发包人在收到劳动部门的仲裁结果后，有权</w:t>
            </w:r>
            <w:r>
              <w:rPr>
                <w:rFonts w:ascii="宋体" w:hAnsi="宋体" w:eastAsia="宋体" w:cs="宋体"/>
                <w:spacing w:val="14"/>
                <w:sz w:val="20"/>
                <w:szCs w:val="20"/>
                <w:highlight w:val="none"/>
              </w:rPr>
              <w:t>根</w:t>
            </w:r>
            <w:r>
              <w:rPr>
                <w:rFonts w:ascii="宋体" w:hAnsi="宋体" w:eastAsia="宋体" w:cs="宋体"/>
                <w:spacing w:val="12"/>
                <w:sz w:val="20"/>
                <w:szCs w:val="20"/>
                <w:highlight w:val="none"/>
              </w:rPr>
              <w:t>据仲裁结果从应付给承包人的工程款中代为扣付。对工程的正常进展及发包人</w:t>
            </w:r>
            <w:r>
              <w:rPr>
                <w:rFonts w:ascii="宋体" w:hAnsi="宋体" w:eastAsia="宋体" w:cs="宋体"/>
                <w:spacing w:val="7"/>
                <w:sz w:val="20"/>
                <w:szCs w:val="20"/>
                <w:highlight w:val="none"/>
              </w:rPr>
              <w:t xml:space="preserve">声誉造成影响的，发包人可以向承包人课以 </w:t>
            </w:r>
            <w:r>
              <w:rPr>
                <w:rFonts w:ascii="Times New Roman" w:hAnsi="Times New Roman" w:eastAsia="Times New Roman" w:cs="Times New Roman"/>
                <w:spacing w:val="7"/>
                <w:sz w:val="20"/>
                <w:szCs w:val="20"/>
                <w:highlight w:val="none"/>
              </w:rPr>
              <w:t xml:space="preserve">10 </w:t>
            </w:r>
            <w:r>
              <w:rPr>
                <w:rFonts w:ascii="宋体" w:hAnsi="宋体" w:eastAsia="宋体" w:cs="宋体"/>
                <w:spacing w:val="7"/>
                <w:sz w:val="20"/>
                <w:szCs w:val="20"/>
                <w:highlight w:val="none"/>
              </w:rPr>
              <w:t>万元以内的违约金</w:t>
            </w:r>
            <w:r>
              <w:rPr>
                <w:rFonts w:ascii="宋体" w:hAnsi="宋体" w:eastAsia="宋体" w:cs="宋体"/>
                <w:spacing w:val="5"/>
                <w:sz w:val="20"/>
                <w:szCs w:val="20"/>
                <w:highlight w:val="none"/>
              </w:rPr>
              <w:t>。</w:t>
            </w:r>
          </w:p>
          <w:p w14:paraId="5DCE99E5">
            <w:pPr>
              <w:spacing w:before="0" w:line="369" w:lineRule="auto"/>
              <w:ind w:left="109" w:right="102" w:firstLine="236"/>
              <w:rPr>
                <w:rFonts w:ascii="宋体" w:hAnsi="宋体" w:eastAsia="宋体" w:cs="宋体"/>
                <w:sz w:val="20"/>
                <w:szCs w:val="20"/>
                <w:highlight w:val="none"/>
              </w:rPr>
            </w:pPr>
            <w:r>
              <w:rPr>
                <w:rFonts w:ascii="宋体" w:hAnsi="宋体" w:eastAsia="宋体" w:cs="宋体"/>
                <w:spacing w:val="14"/>
                <w:sz w:val="20"/>
                <w:szCs w:val="20"/>
                <w:highlight w:val="none"/>
              </w:rPr>
              <w:t>(</w:t>
            </w:r>
            <w:r>
              <w:rPr>
                <w:rFonts w:ascii="Times New Roman" w:hAnsi="Times New Roman" w:eastAsia="Times New Roman" w:cs="Times New Roman"/>
                <w:spacing w:val="10"/>
                <w:sz w:val="20"/>
                <w:szCs w:val="20"/>
                <w:highlight w:val="none"/>
              </w:rPr>
              <w:t>13</w:t>
            </w:r>
            <w:r>
              <w:rPr>
                <w:rFonts w:ascii="宋体" w:hAnsi="宋体" w:eastAsia="宋体" w:cs="宋体"/>
                <w:spacing w:val="10"/>
                <w:sz w:val="20"/>
                <w:szCs w:val="20"/>
                <w:highlight w:val="none"/>
              </w:rPr>
              <w:t>)  由于承包人原因导致本工程质量未达到合同约定的目标，将扣除质量保</w:t>
            </w:r>
            <w:r>
              <w:rPr>
                <w:rFonts w:ascii="宋体" w:hAnsi="宋体" w:eastAsia="宋体" w:cs="宋体"/>
                <w:sz w:val="20"/>
                <w:szCs w:val="20"/>
                <w:highlight w:val="none"/>
              </w:rPr>
              <w:t xml:space="preserve"> </w:t>
            </w:r>
            <w:r>
              <w:rPr>
                <w:rFonts w:ascii="宋体" w:hAnsi="宋体" w:eastAsia="宋体" w:cs="宋体"/>
                <w:spacing w:val="4"/>
                <w:sz w:val="20"/>
                <w:szCs w:val="20"/>
                <w:highlight w:val="none"/>
              </w:rPr>
              <w:t>证</w:t>
            </w:r>
            <w:r>
              <w:rPr>
                <w:rFonts w:ascii="宋体" w:hAnsi="宋体" w:eastAsia="宋体" w:cs="宋体"/>
                <w:spacing w:val="3"/>
                <w:sz w:val="20"/>
                <w:szCs w:val="20"/>
                <w:highlight w:val="none"/>
              </w:rPr>
              <w:t xml:space="preserve">金的 </w:t>
            </w:r>
            <w:r>
              <w:rPr>
                <w:rFonts w:ascii="Times New Roman" w:hAnsi="Times New Roman" w:eastAsia="Times New Roman" w:cs="Times New Roman"/>
                <w:spacing w:val="3"/>
                <w:sz w:val="20"/>
                <w:szCs w:val="20"/>
                <w:highlight w:val="none"/>
              </w:rPr>
              <w:t>20</w:t>
            </w:r>
            <w:r>
              <w:rPr>
                <w:rFonts w:ascii="宋体" w:hAnsi="宋体" w:eastAsia="宋体" w:cs="宋体"/>
                <w:spacing w:val="3"/>
                <w:sz w:val="20"/>
                <w:szCs w:val="20"/>
                <w:highlight w:val="none"/>
              </w:rPr>
              <w:t>％作为违约金。</w:t>
            </w:r>
          </w:p>
          <w:p w14:paraId="338C3BB0">
            <w:pPr>
              <w:spacing w:line="369" w:lineRule="auto"/>
              <w:ind w:left="109" w:right="102" w:firstLine="236"/>
              <w:rPr>
                <w:rFonts w:ascii="宋体" w:hAnsi="宋体" w:eastAsia="宋体" w:cs="宋体"/>
                <w:sz w:val="20"/>
                <w:szCs w:val="20"/>
                <w:highlight w:val="none"/>
              </w:rPr>
            </w:pPr>
            <w:r>
              <w:rPr>
                <w:rFonts w:ascii="宋体" w:hAnsi="宋体" w:eastAsia="宋体" w:cs="宋体"/>
                <w:spacing w:val="11"/>
                <w:sz w:val="20"/>
                <w:szCs w:val="20"/>
                <w:highlight w:val="none"/>
              </w:rPr>
              <w:t>本款提及的所有违约金 (包括由于承包人违约而给发包人造成的费用增加和</w:t>
            </w:r>
            <w:r>
              <w:rPr>
                <w:rFonts w:ascii="宋体" w:hAnsi="宋体" w:eastAsia="宋体" w:cs="宋体"/>
                <w:spacing w:val="9"/>
                <w:sz w:val="20"/>
                <w:szCs w:val="20"/>
                <w:highlight w:val="none"/>
              </w:rPr>
              <w:t>其</w:t>
            </w:r>
            <w:r>
              <w:rPr>
                <w:rFonts w:ascii="宋体" w:hAnsi="宋体" w:eastAsia="宋体" w:cs="宋体"/>
                <w:sz w:val="20"/>
                <w:szCs w:val="20"/>
                <w:highlight w:val="none"/>
              </w:rPr>
              <w:t xml:space="preserve"> </w:t>
            </w:r>
            <w:r>
              <w:rPr>
                <w:rFonts w:ascii="宋体" w:hAnsi="宋体" w:eastAsia="宋体" w:cs="宋体"/>
                <w:spacing w:val="22"/>
                <w:sz w:val="20"/>
                <w:szCs w:val="20"/>
                <w:highlight w:val="none"/>
              </w:rPr>
              <w:t>他损</w:t>
            </w:r>
            <w:r>
              <w:rPr>
                <w:rFonts w:ascii="宋体" w:hAnsi="宋体" w:eastAsia="宋体" w:cs="宋体"/>
                <w:spacing w:val="15"/>
                <w:sz w:val="20"/>
                <w:szCs w:val="20"/>
                <w:highlight w:val="none"/>
              </w:rPr>
              <w:t>失</w:t>
            </w:r>
            <w:r>
              <w:rPr>
                <w:rFonts w:ascii="宋体" w:hAnsi="宋体" w:eastAsia="宋体" w:cs="宋体"/>
                <w:spacing w:val="11"/>
                <w:sz w:val="20"/>
                <w:szCs w:val="20"/>
                <w:highlight w:val="none"/>
              </w:rPr>
              <w:t>，下同) 将从期中支付证书中扣除或通知履约保函开具银行支付，直至通</w:t>
            </w:r>
            <w:r>
              <w:rPr>
                <w:rFonts w:ascii="宋体" w:hAnsi="宋体" w:eastAsia="宋体" w:cs="宋体"/>
                <w:sz w:val="20"/>
                <w:szCs w:val="20"/>
                <w:highlight w:val="none"/>
              </w:rPr>
              <w:t xml:space="preserve"> </w:t>
            </w:r>
            <w:r>
              <w:rPr>
                <w:rFonts w:ascii="宋体" w:hAnsi="宋体" w:eastAsia="宋体" w:cs="宋体"/>
                <w:spacing w:val="14"/>
                <w:sz w:val="20"/>
                <w:szCs w:val="20"/>
                <w:highlight w:val="none"/>
              </w:rPr>
              <w:t>过</w:t>
            </w:r>
            <w:r>
              <w:rPr>
                <w:rFonts w:ascii="宋体" w:hAnsi="宋体" w:eastAsia="宋体" w:cs="宋体"/>
                <w:spacing w:val="12"/>
                <w:sz w:val="20"/>
                <w:szCs w:val="20"/>
                <w:highlight w:val="none"/>
              </w:rPr>
              <w:t>诉讼手段向承包人进行追索。所有扣缴的违约金将按照《中华人民共和国企业</w:t>
            </w:r>
            <w:r>
              <w:rPr>
                <w:rFonts w:ascii="宋体" w:hAnsi="宋体" w:eastAsia="宋体" w:cs="宋体"/>
                <w:sz w:val="20"/>
                <w:szCs w:val="20"/>
                <w:highlight w:val="none"/>
              </w:rPr>
              <w:t xml:space="preserve"> </w:t>
            </w:r>
            <w:r>
              <w:rPr>
                <w:rFonts w:ascii="宋体" w:hAnsi="宋体" w:eastAsia="宋体" w:cs="宋体"/>
                <w:spacing w:val="8"/>
                <w:sz w:val="20"/>
                <w:szCs w:val="20"/>
                <w:highlight w:val="none"/>
              </w:rPr>
              <w:t>所</w:t>
            </w:r>
            <w:r>
              <w:rPr>
                <w:rFonts w:ascii="宋体" w:hAnsi="宋体" w:eastAsia="宋体" w:cs="宋体"/>
                <w:spacing w:val="5"/>
                <w:sz w:val="20"/>
                <w:szCs w:val="20"/>
                <w:highlight w:val="none"/>
              </w:rPr>
              <w:t>得</w:t>
            </w:r>
            <w:r>
              <w:rPr>
                <w:rFonts w:ascii="宋体" w:hAnsi="宋体" w:eastAsia="宋体" w:cs="宋体"/>
                <w:spacing w:val="4"/>
                <w:sz w:val="20"/>
                <w:szCs w:val="20"/>
                <w:highlight w:val="none"/>
              </w:rPr>
              <w:t xml:space="preserve">税法》 (中华人民共和国主席令第 </w:t>
            </w:r>
            <w:r>
              <w:rPr>
                <w:rFonts w:ascii="Times New Roman" w:hAnsi="Times New Roman" w:eastAsia="Times New Roman" w:cs="Times New Roman"/>
                <w:spacing w:val="4"/>
                <w:sz w:val="20"/>
                <w:szCs w:val="20"/>
                <w:highlight w:val="none"/>
              </w:rPr>
              <w:t xml:space="preserve">63 </w:t>
            </w:r>
            <w:r>
              <w:rPr>
                <w:rFonts w:ascii="宋体" w:hAnsi="宋体" w:eastAsia="宋体" w:cs="宋体"/>
                <w:spacing w:val="4"/>
                <w:sz w:val="20"/>
                <w:szCs w:val="20"/>
                <w:highlight w:val="none"/>
              </w:rPr>
              <w:t>号) 、《中华人民共和国企业所得税暂</w:t>
            </w:r>
            <w:r>
              <w:rPr>
                <w:rFonts w:ascii="宋体" w:hAnsi="宋体" w:eastAsia="宋体" w:cs="宋体"/>
                <w:sz w:val="20"/>
                <w:szCs w:val="20"/>
                <w:highlight w:val="none"/>
              </w:rPr>
              <w:t xml:space="preserve"> </w:t>
            </w:r>
            <w:r>
              <w:rPr>
                <w:rFonts w:ascii="宋体" w:hAnsi="宋体" w:eastAsia="宋体" w:cs="宋体"/>
                <w:spacing w:val="4"/>
                <w:sz w:val="20"/>
                <w:szCs w:val="20"/>
                <w:highlight w:val="none"/>
              </w:rPr>
              <w:t xml:space="preserve">行条例》 (中华人民共和国国务院令第 </w:t>
            </w:r>
            <w:r>
              <w:rPr>
                <w:rFonts w:ascii="Times New Roman" w:hAnsi="Times New Roman" w:eastAsia="Times New Roman" w:cs="Times New Roman"/>
                <w:spacing w:val="4"/>
                <w:sz w:val="20"/>
                <w:szCs w:val="20"/>
                <w:highlight w:val="none"/>
              </w:rPr>
              <w:t xml:space="preserve">512 </w:t>
            </w:r>
            <w:r>
              <w:rPr>
                <w:rFonts w:ascii="宋体" w:hAnsi="宋体" w:eastAsia="宋体" w:cs="宋体"/>
                <w:spacing w:val="4"/>
                <w:sz w:val="20"/>
                <w:szCs w:val="20"/>
                <w:highlight w:val="none"/>
              </w:rPr>
              <w:t>号) 、《基本建设财务规则》 (中华</w:t>
            </w:r>
            <w:r>
              <w:rPr>
                <w:rFonts w:ascii="宋体" w:hAnsi="宋体" w:eastAsia="宋体" w:cs="宋体"/>
                <w:spacing w:val="10"/>
                <w:sz w:val="20"/>
                <w:szCs w:val="20"/>
                <w:highlight w:val="none"/>
              </w:rPr>
              <w:t>人民共</w:t>
            </w:r>
            <w:r>
              <w:rPr>
                <w:rFonts w:ascii="宋体" w:hAnsi="宋体" w:eastAsia="宋体" w:cs="宋体"/>
                <w:spacing w:val="8"/>
                <w:sz w:val="20"/>
                <w:szCs w:val="20"/>
                <w:highlight w:val="none"/>
              </w:rPr>
              <w:t>和</w:t>
            </w:r>
            <w:r>
              <w:rPr>
                <w:rFonts w:ascii="宋体" w:hAnsi="宋体" w:eastAsia="宋体" w:cs="宋体"/>
                <w:spacing w:val="5"/>
                <w:sz w:val="20"/>
                <w:szCs w:val="20"/>
                <w:highlight w:val="none"/>
              </w:rPr>
              <w:t xml:space="preserve">国财政部令第 </w:t>
            </w:r>
            <w:r>
              <w:rPr>
                <w:rFonts w:ascii="Times New Roman" w:hAnsi="Times New Roman" w:eastAsia="Times New Roman" w:cs="Times New Roman"/>
                <w:spacing w:val="5"/>
                <w:sz w:val="20"/>
                <w:szCs w:val="20"/>
                <w:highlight w:val="none"/>
              </w:rPr>
              <w:t xml:space="preserve">81 </w:t>
            </w:r>
            <w:r>
              <w:rPr>
                <w:rFonts w:ascii="宋体" w:hAnsi="宋体" w:eastAsia="宋体" w:cs="宋体"/>
                <w:spacing w:val="5"/>
                <w:sz w:val="20"/>
                <w:szCs w:val="20"/>
                <w:highlight w:val="none"/>
              </w:rPr>
              <w:t>号) 的相关规定处理。</w:t>
            </w:r>
          </w:p>
        </w:tc>
      </w:tr>
    </w:tbl>
    <w:p w14:paraId="7068D7D1">
      <w:pPr>
        <w:spacing w:line="103" w:lineRule="auto"/>
        <w:rPr>
          <w:rFonts w:ascii="Arial"/>
          <w:sz w:val="2"/>
          <w:highlight w:val="none"/>
        </w:rPr>
      </w:pPr>
    </w:p>
    <w:tbl>
      <w:tblPr>
        <w:tblStyle w:val="101"/>
        <w:tblW w:w="9291"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4"/>
        <w:gridCol w:w="1113"/>
        <w:gridCol w:w="7644"/>
      </w:tblGrid>
      <w:tr w14:paraId="355894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27" w:hRule="atLeast"/>
        </w:trPr>
        <w:tc>
          <w:tcPr>
            <w:tcW w:w="534" w:type="dxa"/>
            <w:tcBorders>
              <w:left w:val="single" w:color="000000" w:sz="6" w:space="0"/>
            </w:tcBorders>
            <w:vAlign w:val="top"/>
          </w:tcPr>
          <w:p w14:paraId="46C41B4B">
            <w:pPr>
              <w:spacing w:line="335" w:lineRule="auto"/>
              <w:rPr>
                <w:rFonts w:ascii="Arial"/>
                <w:sz w:val="21"/>
                <w:highlight w:val="none"/>
              </w:rPr>
            </w:pPr>
          </w:p>
          <w:p w14:paraId="4E1031AC">
            <w:pPr>
              <w:spacing w:line="335" w:lineRule="auto"/>
              <w:rPr>
                <w:rFonts w:ascii="Arial"/>
                <w:sz w:val="21"/>
                <w:highlight w:val="none"/>
              </w:rPr>
            </w:pPr>
          </w:p>
          <w:p w14:paraId="4B086208">
            <w:pPr>
              <w:spacing w:before="58" w:line="195" w:lineRule="auto"/>
              <w:ind w:left="162"/>
              <w:rPr>
                <w:rFonts w:hint="eastAsia" w:ascii="Times New Roman" w:hAnsi="Times New Roman" w:eastAsia="宋体" w:cs="Times New Roman"/>
                <w:sz w:val="20"/>
                <w:szCs w:val="20"/>
                <w:highlight w:val="none"/>
                <w:lang w:val="en-US" w:eastAsia="zh-CN"/>
              </w:rPr>
            </w:pPr>
            <w:r>
              <w:rPr>
                <w:rFonts w:ascii="Times New Roman" w:hAnsi="Times New Roman" w:eastAsia="Times New Roman" w:cs="Times New Roman"/>
                <w:sz w:val="20"/>
                <w:szCs w:val="20"/>
                <w:highlight w:val="none"/>
              </w:rPr>
              <w:t>5</w:t>
            </w:r>
            <w:r>
              <w:rPr>
                <w:rFonts w:hint="eastAsia" w:ascii="Times New Roman" w:hAnsi="Times New Roman" w:eastAsia="宋体" w:cs="Times New Roman"/>
                <w:sz w:val="20"/>
                <w:szCs w:val="20"/>
                <w:highlight w:val="none"/>
                <w:lang w:val="en-US" w:eastAsia="zh-CN"/>
              </w:rPr>
              <w:t>0</w:t>
            </w:r>
          </w:p>
        </w:tc>
        <w:tc>
          <w:tcPr>
            <w:tcW w:w="1113" w:type="dxa"/>
            <w:vAlign w:val="top"/>
          </w:tcPr>
          <w:p w14:paraId="1C50784E">
            <w:pPr>
              <w:spacing w:line="335" w:lineRule="auto"/>
              <w:rPr>
                <w:rFonts w:ascii="Arial"/>
                <w:sz w:val="21"/>
                <w:highlight w:val="none"/>
              </w:rPr>
            </w:pPr>
          </w:p>
          <w:p w14:paraId="1E83F670">
            <w:pPr>
              <w:spacing w:line="335" w:lineRule="auto"/>
              <w:rPr>
                <w:rFonts w:ascii="Arial"/>
                <w:sz w:val="21"/>
                <w:highlight w:val="none"/>
              </w:rPr>
            </w:pPr>
          </w:p>
          <w:p w14:paraId="5A80077A">
            <w:pPr>
              <w:spacing w:before="58" w:line="198" w:lineRule="auto"/>
              <w:ind w:left="263"/>
              <w:rPr>
                <w:rFonts w:ascii="Times New Roman" w:hAnsi="Times New Roman" w:eastAsia="Times New Roman" w:cs="Times New Roman"/>
                <w:sz w:val="20"/>
                <w:szCs w:val="20"/>
                <w:highlight w:val="none"/>
              </w:rPr>
            </w:pPr>
            <w:r>
              <w:rPr>
                <w:rFonts w:ascii="Times New Roman" w:hAnsi="Times New Roman" w:eastAsia="Times New Roman" w:cs="Times New Roman"/>
                <w:spacing w:val="6"/>
                <w:sz w:val="20"/>
                <w:szCs w:val="20"/>
                <w:highlight w:val="none"/>
              </w:rPr>
              <w:t>2</w:t>
            </w:r>
            <w:r>
              <w:rPr>
                <w:rFonts w:ascii="Times New Roman" w:hAnsi="Times New Roman" w:eastAsia="Times New Roman" w:cs="Times New Roman"/>
                <w:spacing w:val="5"/>
                <w:sz w:val="20"/>
                <w:szCs w:val="20"/>
                <w:highlight w:val="none"/>
              </w:rPr>
              <w:t>2.2.2.</w:t>
            </w:r>
          </w:p>
        </w:tc>
        <w:tc>
          <w:tcPr>
            <w:tcW w:w="7644" w:type="dxa"/>
            <w:tcBorders>
              <w:right w:val="single" w:color="000000" w:sz="6" w:space="0"/>
            </w:tcBorders>
            <w:vAlign w:val="top"/>
          </w:tcPr>
          <w:p w14:paraId="528AC77F">
            <w:pPr>
              <w:spacing w:before="142" w:line="369" w:lineRule="auto"/>
              <w:ind w:left="109" w:right="102" w:firstLine="238"/>
              <w:rPr>
                <w:rFonts w:ascii="宋体" w:hAnsi="宋体" w:eastAsia="宋体" w:cs="宋体"/>
                <w:sz w:val="20"/>
                <w:szCs w:val="20"/>
                <w:highlight w:val="none"/>
              </w:rPr>
            </w:pPr>
            <w:r>
              <w:rPr>
                <w:rFonts w:ascii="宋体" w:hAnsi="宋体" w:eastAsia="宋体" w:cs="宋体"/>
                <w:spacing w:val="18"/>
                <w:sz w:val="20"/>
                <w:szCs w:val="20"/>
                <w:highlight w:val="none"/>
              </w:rPr>
              <w:t>如</w:t>
            </w:r>
            <w:r>
              <w:rPr>
                <w:rFonts w:ascii="宋体" w:hAnsi="宋体" w:eastAsia="宋体" w:cs="宋体"/>
                <w:spacing w:val="11"/>
                <w:sz w:val="20"/>
                <w:szCs w:val="20"/>
                <w:highlight w:val="none"/>
              </w:rPr>
              <w:t>承包人采用现金形式向发包人提交履约保证金或质量保证金时，发包人无正</w:t>
            </w:r>
            <w:r>
              <w:rPr>
                <w:rFonts w:ascii="宋体" w:hAnsi="宋体" w:eastAsia="宋体" w:cs="宋体"/>
                <w:spacing w:val="22"/>
                <w:sz w:val="20"/>
                <w:szCs w:val="20"/>
                <w:highlight w:val="none"/>
              </w:rPr>
              <w:t>当理</w:t>
            </w:r>
            <w:r>
              <w:rPr>
                <w:rFonts w:ascii="宋体" w:hAnsi="宋体" w:eastAsia="宋体" w:cs="宋体"/>
                <w:spacing w:val="15"/>
                <w:sz w:val="20"/>
                <w:szCs w:val="20"/>
                <w:highlight w:val="none"/>
              </w:rPr>
              <w:t>由</w:t>
            </w:r>
            <w:r>
              <w:rPr>
                <w:rFonts w:ascii="宋体" w:hAnsi="宋体" w:eastAsia="宋体" w:cs="宋体"/>
                <w:spacing w:val="11"/>
                <w:sz w:val="20"/>
                <w:szCs w:val="20"/>
                <w:highlight w:val="none"/>
              </w:rPr>
              <w:t>不按时返还的，发包人应向承包人支付的违约金：</w:t>
            </w:r>
            <w:r>
              <w:rPr>
                <w:rFonts w:ascii="宋体" w:hAnsi="宋体" w:eastAsia="宋体" w:cs="宋体"/>
                <w:spacing w:val="11"/>
                <w:sz w:val="20"/>
                <w:szCs w:val="20"/>
                <w:highlight w:val="none"/>
                <w:u w:val="single" w:color="auto"/>
              </w:rPr>
              <w:t xml:space="preserve">  按照中国人民银行公</w:t>
            </w:r>
            <w:r>
              <w:rPr>
                <w:rFonts w:ascii="宋体" w:hAnsi="宋体" w:eastAsia="宋体" w:cs="宋体"/>
                <w:sz w:val="20"/>
                <w:szCs w:val="20"/>
                <w:highlight w:val="none"/>
              </w:rPr>
              <w:t xml:space="preserve"> </w:t>
            </w:r>
            <w:r>
              <w:rPr>
                <w:rFonts w:ascii="宋体" w:hAnsi="宋体" w:eastAsia="宋体" w:cs="宋体"/>
                <w:spacing w:val="11"/>
                <w:sz w:val="20"/>
                <w:szCs w:val="20"/>
                <w:highlight w:val="none"/>
                <w:u w:val="single" w:color="auto"/>
              </w:rPr>
              <w:t xml:space="preserve">布的一年以内 (含一年) 同期同类金融机构人民币贷款基准利率 (不计复利) </w:t>
            </w:r>
            <w:r>
              <w:rPr>
                <w:rFonts w:ascii="宋体" w:hAnsi="宋体" w:eastAsia="宋体" w:cs="宋体"/>
                <w:spacing w:val="4"/>
                <w:sz w:val="20"/>
                <w:szCs w:val="20"/>
                <w:highlight w:val="none"/>
                <w:u w:val="single" w:color="auto"/>
              </w:rPr>
              <w:t>加</w:t>
            </w:r>
            <w:r>
              <w:rPr>
                <w:rFonts w:ascii="宋体" w:hAnsi="宋体" w:eastAsia="宋体" w:cs="宋体"/>
                <w:spacing w:val="13"/>
                <w:sz w:val="20"/>
                <w:szCs w:val="20"/>
                <w:highlight w:val="none"/>
                <w:u w:val="single" w:color="auto"/>
              </w:rPr>
              <w:t>手</w:t>
            </w:r>
            <w:r>
              <w:rPr>
                <w:rFonts w:ascii="宋体" w:hAnsi="宋体" w:eastAsia="宋体" w:cs="宋体"/>
                <w:spacing w:val="12"/>
                <w:sz w:val="20"/>
                <w:szCs w:val="20"/>
                <w:highlight w:val="none"/>
                <w:u w:val="single" w:color="auto"/>
              </w:rPr>
              <w:t>续费。</w:t>
            </w:r>
          </w:p>
        </w:tc>
      </w:tr>
      <w:tr w14:paraId="386A8D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0" w:hRule="atLeast"/>
        </w:trPr>
        <w:tc>
          <w:tcPr>
            <w:tcW w:w="534" w:type="dxa"/>
            <w:tcBorders>
              <w:left w:val="single" w:color="000000" w:sz="6" w:space="0"/>
            </w:tcBorders>
            <w:vAlign w:val="top"/>
          </w:tcPr>
          <w:p w14:paraId="4E949CD1">
            <w:pPr>
              <w:spacing w:line="273" w:lineRule="auto"/>
              <w:rPr>
                <w:rFonts w:ascii="Arial"/>
                <w:sz w:val="21"/>
                <w:highlight w:val="none"/>
              </w:rPr>
            </w:pPr>
          </w:p>
          <w:p w14:paraId="6183C704">
            <w:pPr>
              <w:spacing w:before="58" w:line="195" w:lineRule="auto"/>
              <w:ind w:left="162"/>
              <w:rPr>
                <w:rFonts w:hint="eastAsia" w:ascii="Times New Roman" w:hAnsi="Times New Roman" w:eastAsia="宋体" w:cs="Times New Roman"/>
                <w:sz w:val="20"/>
                <w:szCs w:val="20"/>
                <w:highlight w:val="none"/>
                <w:lang w:val="en-US" w:eastAsia="zh-CN"/>
              </w:rPr>
            </w:pPr>
            <w:r>
              <w:rPr>
                <w:rFonts w:ascii="Times New Roman" w:hAnsi="Times New Roman" w:eastAsia="Times New Roman" w:cs="Times New Roman"/>
                <w:sz w:val="20"/>
                <w:szCs w:val="20"/>
                <w:highlight w:val="none"/>
              </w:rPr>
              <w:t>5</w:t>
            </w:r>
            <w:r>
              <w:rPr>
                <w:rFonts w:hint="eastAsia" w:ascii="Times New Roman" w:hAnsi="Times New Roman" w:eastAsia="宋体" w:cs="Times New Roman"/>
                <w:sz w:val="20"/>
                <w:szCs w:val="20"/>
                <w:highlight w:val="none"/>
                <w:lang w:val="en-US" w:eastAsia="zh-CN"/>
              </w:rPr>
              <w:t>1</w:t>
            </w:r>
          </w:p>
        </w:tc>
        <w:tc>
          <w:tcPr>
            <w:tcW w:w="1113" w:type="dxa"/>
            <w:vAlign w:val="top"/>
          </w:tcPr>
          <w:p w14:paraId="335E8ED9">
            <w:pPr>
              <w:spacing w:line="273" w:lineRule="auto"/>
              <w:rPr>
                <w:rFonts w:ascii="Arial"/>
                <w:sz w:val="21"/>
                <w:highlight w:val="none"/>
              </w:rPr>
            </w:pPr>
          </w:p>
          <w:p w14:paraId="392B4709">
            <w:pPr>
              <w:spacing w:before="58" w:line="198" w:lineRule="auto"/>
              <w:ind w:left="368"/>
              <w:rPr>
                <w:rFonts w:ascii="Times New Roman" w:hAnsi="Times New Roman" w:eastAsia="Times New Roman" w:cs="Times New Roman"/>
                <w:sz w:val="20"/>
                <w:szCs w:val="20"/>
                <w:highlight w:val="none"/>
              </w:rPr>
            </w:pPr>
            <w:r>
              <w:rPr>
                <w:rFonts w:ascii="Times New Roman" w:hAnsi="Times New Roman" w:eastAsia="Times New Roman" w:cs="Times New Roman"/>
                <w:spacing w:val="-6"/>
                <w:sz w:val="20"/>
                <w:szCs w:val="20"/>
                <w:highlight w:val="none"/>
              </w:rPr>
              <w:t>2</w:t>
            </w:r>
            <w:r>
              <w:rPr>
                <w:rFonts w:ascii="Times New Roman" w:hAnsi="Times New Roman" w:eastAsia="Times New Roman" w:cs="Times New Roman"/>
                <w:spacing w:val="-4"/>
                <w:sz w:val="20"/>
                <w:szCs w:val="20"/>
                <w:highlight w:val="none"/>
              </w:rPr>
              <w:t>4</w:t>
            </w:r>
            <w:r>
              <w:rPr>
                <w:rFonts w:ascii="Times New Roman" w:hAnsi="Times New Roman" w:eastAsia="Times New Roman" w:cs="Times New Roman"/>
                <w:spacing w:val="-3"/>
                <w:sz w:val="20"/>
                <w:szCs w:val="20"/>
                <w:highlight w:val="none"/>
              </w:rPr>
              <w:t>. 1</w:t>
            </w:r>
          </w:p>
        </w:tc>
        <w:tc>
          <w:tcPr>
            <w:tcW w:w="7644" w:type="dxa"/>
            <w:tcBorders>
              <w:right w:val="single" w:color="000000" w:sz="6" w:space="0"/>
            </w:tcBorders>
            <w:vAlign w:val="top"/>
          </w:tcPr>
          <w:p w14:paraId="5B0E19EF">
            <w:pPr>
              <w:spacing w:before="143" w:line="227" w:lineRule="auto"/>
              <w:ind w:left="322"/>
              <w:rPr>
                <w:rFonts w:ascii="宋体" w:hAnsi="宋体" w:eastAsia="宋体" w:cs="宋体"/>
                <w:sz w:val="20"/>
                <w:szCs w:val="20"/>
                <w:highlight w:val="none"/>
              </w:rPr>
            </w:pPr>
            <w:r>
              <w:rPr>
                <w:rFonts w:ascii="宋体" w:hAnsi="宋体" w:eastAsia="宋体" w:cs="宋体"/>
                <w:spacing w:val="6"/>
                <w:sz w:val="20"/>
                <w:szCs w:val="20"/>
                <w:highlight w:val="none"/>
              </w:rPr>
              <w:t>争</w:t>
            </w:r>
            <w:r>
              <w:rPr>
                <w:rFonts w:ascii="宋体" w:hAnsi="宋体" w:eastAsia="宋体" w:cs="宋体"/>
                <w:spacing w:val="5"/>
                <w:sz w:val="20"/>
                <w:szCs w:val="20"/>
                <w:highlight w:val="none"/>
              </w:rPr>
              <w:t>议的最终解决方式，规定为：</w:t>
            </w:r>
            <w:r>
              <w:rPr>
                <w:rFonts w:ascii="宋体" w:hAnsi="宋体" w:eastAsia="宋体" w:cs="宋体"/>
                <w:spacing w:val="5"/>
                <w:sz w:val="20"/>
                <w:szCs w:val="20"/>
                <w:highlight w:val="none"/>
                <w:u w:val="single" w:color="auto"/>
              </w:rPr>
              <w:t xml:space="preserve">  仲裁</w:t>
            </w:r>
            <w:r>
              <w:rPr>
                <w:rFonts w:ascii="宋体" w:hAnsi="宋体" w:eastAsia="宋体" w:cs="宋体"/>
                <w:sz w:val="20"/>
                <w:szCs w:val="20"/>
                <w:highlight w:val="none"/>
                <w:u w:val="single" w:color="auto"/>
              </w:rPr>
              <w:t xml:space="preserve">  </w:t>
            </w:r>
          </w:p>
          <w:p w14:paraId="301AF148">
            <w:pPr>
              <w:spacing w:before="155" w:line="224" w:lineRule="auto"/>
              <w:ind w:left="317"/>
              <w:rPr>
                <w:rFonts w:ascii="宋体" w:hAnsi="宋体" w:eastAsia="宋体" w:cs="宋体"/>
                <w:sz w:val="20"/>
                <w:szCs w:val="20"/>
                <w:highlight w:val="none"/>
              </w:rPr>
            </w:pPr>
            <w:r>
              <w:rPr>
                <w:rFonts w:ascii="宋体" w:hAnsi="宋体" w:eastAsia="宋体" w:cs="宋体"/>
                <w:spacing w:val="14"/>
                <w:sz w:val="20"/>
                <w:szCs w:val="20"/>
                <w:highlight w:val="none"/>
              </w:rPr>
              <w:t>采</w:t>
            </w:r>
            <w:r>
              <w:rPr>
                <w:rFonts w:ascii="宋体" w:hAnsi="宋体" w:eastAsia="宋体" w:cs="宋体"/>
                <w:spacing w:val="9"/>
                <w:sz w:val="20"/>
                <w:szCs w:val="20"/>
                <w:highlight w:val="none"/>
              </w:rPr>
              <w:t>用</w:t>
            </w:r>
            <w:r>
              <w:rPr>
                <w:rFonts w:ascii="宋体" w:hAnsi="宋体" w:eastAsia="宋体" w:cs="宋体"/>
                <w:spacing w:val="7"/>
                <w:sz w:val="20"/>
                <w:szCs w:val="20"/>
                <w:highlight w:val="none"/>
              </w:rPr>
              <w:t>仲裁的仲裁委员会名称，规定为：</w:t>
            </w:r>
            <w:r>
              <w:rPr>
                <w:rFonts w:ascii="宋体" w:hAnsi="宋体" w:eastAsia="宋体" w:cs="宋体"/>
                <w:spacing w:val="7"/>
                <w:sz w:val="20"/>
                <w:szCs w:val="20"/>
                <w:highlight w:val="none"/>
                <w:u w:val="single" w:color="auto"/>
              </w:rPr>
              <w:t xml:space="preserve">  发包人所在地仲裁委员会</w:t>
            </w:r>
            <w:r>
              <w:rPr>
                <w:rFonts w:ascii="宋体" w:hAnsi="宋体" w:eastAsia="宋体" w:cs="宋体"/>
                <w:sz w:val="20"/>
                <w:szCs w:val="20"/>
                <w:highlight w:val="none"/>
                <w:u w:val="single" w:color="auto"/>
              </w:rPr>
              <w:t xml:space="preserve">  </w:t>
            </w:r>
          </w:p>
        </w:tc>
      </w:tr>
      <w:tr w14:paraId="4F997E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 w:hRule="atLeast"/>
        </w:trPr>
        <w:tc>
          <w:tcPr>
            <w:tcW w:w="534" w:type="dxa"/>
            <w:tcBorders>
              <w:left w:val="single" w:color="000000" w:sz="6" w:space="0"/>
            </w:tcBorders>
            <w:vAlign w:val="top"/>
          </w:tcPr>
          <w:p w14:paraId="6EB3C068">
            <w:pPr>
              <w:spacing w:before="135" w:line="195" w:lineRule="auto"/>
              <w:ind w:left="162"/>
              <w:rPr>
                <w:rFonts w:hint="eastAsia" w:ascii="Times New Roman" w:hAnsi="Times New Roman" w:eastAsia="宋体" w:cs="Times New Roman"/>
                <w:sz w:val="20"/>
                <w:szCs w:val="20"/>
                <w:highlight w:val="none"/>
                <w:lang w:val="en-US" w:eastAsia="zh-CN"/>
              </w:rPr>
            </w:pPr>
            <w:r>
              <w:rPr>
                <w:rFonts w:ascii="Times New Roman" w:hAnsi="Times New Roman" w:eastAsia="Times New Roman" w:cs="Times New Roman"/>
                <w:sz w:val="20"/>
                <w:szCs w:val="20"/>
                <w:highlight w:val="none"/>
              </w:rPr>
              <w:t>5</w:t>
            </w:r>
            <w:r>
              <w:rPr>
                <w:rFonts w:hint="eastAsia" w:ascii="Times New Roman" w:hAnsi="Times New Roman" w:eastAsia="宋体" w:cs="Times New Roman"/>
                <w:sz w:val="20"/>
                <w:szCs w:val="20"/>
                <w:highlight w:val="none"/>
                <w:lang w:val="en-US" w:eastAsia="zh-CN"/>
              </w:rPr>
              <w:t>2</w:t>
            </w:r>
          </w:p>
        </w:tc>
        <w:tc>
          <w:tcPr>
            <w:tcW w:w="1113" w:type="dxa"/>
            <w:vAlign w:val="top"/>
          </w:tcPr>
          <w:p w14:paraId="4C559879">
            <w:pPr>
              <w:spacing w:before="135" w:line="195" w:lineRule="auto"/>
              <w:ind w:left="445"/>
              <w:rPr>
                <w:rFonts w:ascii="Times New Roman" w:hAnsi="Times New Roman" w:eastAsia="Times New Roman" w:cs="Times New Roman"/>
                <w:sz w:val="20"/>
                <w:szCs w:val="20"/>
                <w:highlight w:val="none"/>
              </w:rPr>
            </w:pPr>
            <w:r>
              <w:rPr>
                <w:rFonts w:ascii="Times New Roman" w:hAnsi="Times New Roman" w:eastAsia="Times New Roman" w:cs="Times New Roman"/>
                <w:spacing w:val="3"/>
                <w:sz w:val="20"/>
                <w:szCs w:val="20"/>
                <w:highlight w:val="none"/>
              </w:rPr>
              <w:t>2</w:t>
            </w:r>
            <w:r>
              <w:rPr>
                <w:rFonts w:ascii="Times New Roman" w:hAnsi="Times New Roman" w:eastAsia="Times New Roman" w:cs="Times New Roman"/>
                <w:spacing w:val="2"/>
                <w:sz w:val="20"/>
                <w:szCs w:val="20"/>
                <w:highlight w:val="none"/>
              </w:rPr>
              <w:t>5</w:t>
            </w:r>
          </w:p>
        </w:tc>
        <w:tc>
          <w:tcPr>
            <w:tcW w:w="7644" w:type="dxa"/>
            <w:tcBorders>
              <w:right w:val="single" w:color="000000" w:sz="6" w:space="0"/>
            </w:tcBorders>
            <w:vAlign w:val="top"/>
          </w:tcPr>
          <w:p w14:paraId="45ADE885">
            <w:pPr>
              <w:spacing w:before="153" w:line="369" w:lineRule="auto"/>
              <w:ind w:left="109" w:right="102" w:firstLine="455" w:firstLineChars="198"/>
              <w:rPr>
                <w:rFonts w:ascii="宋体" w:hAnsi="宋体" w:eastAsia="宋体" w:cs="宋体"/>
                <w:spacing w:val="15"/>
                <w:sz w:val="20"/>
                <w:szCs w:val="20"/>
                <w:highlight w:val="none"/>
              </w:rPr>
            </w:pPr>
            <w:r>
              <w:rPr>
                <w:rFonts w:ascii="宋体" w:hAnsi="宋体" w:eastAsia="宋体" w:cs="宋体"/>
                <w:spacing w:val="15"/>
                <w:sz w:val="20"/>
                <w:szCs w:val="20"/>
                <w:highlight w:val="none"/>
              </w:rPr>
              <w:t>为加强安全生产管理工作，规范本工程交通封闭作业行为，在合同执行过程中，结合项目施工特点，严格按照相关要求开展道路交通封闭施工作业。</w:t>
            </w:r>
          </w:p>
          <w:p w14:paraId="0F674A4F">
            <w:pPr>
              <w:spacing w:before="153" w:line="369" w:lineRule="auto"/>
              <w:ind w:left="109" w:right="102" w:firstLine="455" w:firstLineChars="198"/>
              <w:rPr>
                <w:rFonts w:ascii="宋体" w:hAnsi="宋体" w:eastAsia="宋体" w:cs="宋体"/>
                <w:sz w:val="20"/>
                <w:szCs w:val="20"/>
                <w:highlight w:val="none"/>
              </w:rPr>
            </w:pPr>
            <w:r>
              <w:rPr>
                <w:rFonts w:ascii="宋体" w:hAnsi="宋体" w:eastAsia="宋体" w:cs="宋体"/>
                <w:spacing w:val="15"/>
                <w:sz w:val="20"/>
                <w:szCs w:val="20"/>
                <w:highlight w:val="none"/>
              </w:rPr>
              <w:t>施</w:t>
            </w:r>
            <w:r>
              <w:rPr>
                <w:rFonts w:ascii="宋体" w:hAnsi="宋体" w:eastAsia="宋体" w:cs="宋体"/>
                <w:spacing w:val="12"/>
                <w:sz w:val="20"/>
                <w:szCs w:val="20"/>
                <w:highlight w:val="none"/>
              </w:rPr>
              <w:t>工结束时，承包人必须将因施工而损坏的路面及附属设施恢复到原有良好状</w:t>
            </w:r>
            <w:r>
              <w:rPr>
                <w:rFonts w:ascii="宋体" w:hAnsi="宋体" w:eastAsia="宋体" w:cs="宋体"/>
                <w:spacing w:val="14"/>
                <w:sz w:val="20"/>
                <w:szCs w:val="20"/>
                <w:highlight w:val="none"/>
              </w:rPr>
              <w:t>态</w:t>
            </w:r>
            <w:r>
              <w:rPr>
                <w:rFonts w:ascii="宋体" w:hAnsi="宋体" w:eastAsia="宋体" w:cs="宋体"/>
                <w:spacing w:val="12"/>
                <w:sz w:val="20"/>
                <w:szCs w:val="20"/>
                <w:highlight w:val="none"/>
              </w:rPr>
              <w:t>。及时施划道路标志、标线，确保道路标志、标线的完整有效。拆除安全隔离</w:t>
            </w:r>
            <w:r>
              <w:rPr>
                <w:rFonts w:ascii="宋体" w:hAnsi="宋体" w:eastAsia="宋体" w:cs="宋体"/>
                <w:spacing w:val="14"/>
                <w:sz w:val="20"/>
                <w:szCs w:val="20"/>
                <w:highlight w:val="none"/>
              </w:rPr>
              <w:t>设</w:t>
            </w:r>
            <w:r>
              <w:rPr>
                <w:rFonts w:ascii="宋体" w:hAnsi="宋体" w:eastAsia="宋体" w:cs="宋体"/>
                <w:spacing w:val="12"/>
                <w:sz w:val="20"/>
                <w:szCs w:val="20"/>
                <w:highlight w:val="none"/>
              </w:rPr>
              <w:t>施，并报经所在路域分公司、公安交警大队进行验收合格后，方可撤离现场恢</w:t>
            </w:r>
            <w:r>
              <w:rPr>
                <w:rFonts w:ascii="宋体" w:hAnsi="宋体" w:eastAsia="宋体" w:cs="宋体"/>
                <w:spacing w:val="7"/>
                <w:sz w:val="20"/>
                <w:szCs w:val="20"/>
                <w:highlight w:val="none"/>
              </w:rPr>
              <w:t>复道路交通</w:t>
            </w:r>
            <w:r>
              <w:rPr>
                <w:rFonts w:ascii="宋体" w:hAnsi="宋体" w:eastAsia="宋体" w:cs="宋体"/>
                <w:spacing w:val="5"/>
                <w:sz w:val="20"/>
                <w:szCs w:val="20"/>
                <w:highlight w:val="none"/>
              </w:rPr>
              <w:t>。</w:t>
            </w:r>
          </w:p>
          <w:p w14:paraId="19135BE4">
            <w:pPr>
              <w:spacing w:before="1" w:line="368" w:lineRule="auto"/>
              <w:ind w:left="111" w:right="156" w:firstLine="477" w:firstLineChars="199"/>
              <w:rPr>
                <w:rFonts w:ascii="宋体" w:hAnsi="宋体" w:eastAsia="宋体" w:cs="宋体"/>
                <w:sz w:val="20"/>
                <w:szCs w:val="20"/>
                <w:highlight w:val="none"/>
              </w:rPr>
            </w:pPr>
            <w:r>
              <w:rPr>
                <w:rFonts w:ascii="宋体" w:hAnsi="宋体" w:eastAsia="宋体" w:cs="宋体"/>
                <w:spacing w:val="20"/>
                <w:sz w:val="20"/>
                <w:szCs w:val="20"/>
                <w:highlight w:val="none"/>
              </w:rPr>
              <w:t>工</w:t>
            </w:r>
            <w:r>
              <w:rPr>
                <w:rFonts w:ascii="宋体" w:hAnsi="宋体" w:eastAsia="宋体" w:cs="宋体"/>
                <w:spacing w:val="17"/>
                <w:sz w:val="20"/>
                <w:szCs w:val="20"/>
                <w:highlight w:val="none"/>
              </w:rPr>
              <w:t>程</w:t>
            </w:r>
            <w:r>
              <w:rPr>
                <w:rFonts w:ascii="宋体" w:hAnsi="宋体" w:eastAsia="宋体" w:cs="宋体"/>
                <w:spacing w:val="10"/>
                <w:sz w:val="20"/>
                <w:szCs w:val="20"/>
                <w:highlight w:val="none"/>
              </w:rPr>
              <w:t>正式开工前，承包人必须向监理及发包人上报详细的交通封闭组织方案，</w:t>
            </w:r>
            <w:r>
              <w:rPr>
                <w:rFonts w:ascii="宋体" w:hAnsi="宋体" w:eastAsia="宋体" w:cs="宋体"/>
                <w:sz w:val="20"/>
                <w:szCs w:val="20"/>
                <w:highlight w:val="none"/>
              </w:rPr>
              <w:t xml:space="preserve"> </w:t>
            </w:r>
            <w:r>
              <w:rPr>
                <w:rFonts w:ascii="宋体" w:hAnsi="宋体" w:eastAsia="宋体" w:cs="宋体"/>
                <w:spacing w:val="16"/>
                <w:sz w:val="20"/>
                <w:szCs w:val="20"/>
                <w:highlight w:val="none"/>
              </w:rPr>
              <w:t>经</w:t>
            </w:r>
            <w:r>
              <w:rPr>
                <w:rFonts w:ascii="宋体" w:hAnsi="宋体" w:eastAsia="宋体" w:cs="宋体"/>
                <w:spacing w:val="11"/>
                <w:sz w:val="20"/>
                <w:szCs w:val="20"/>
                <w:highlight w:val="none"/>
              </w:rPr>
              <w:t>发</w:t>
            </w:r>
            <w:r>
              <w:rPr>
                <w:rFonts w:ascii="宋体" w:hAnsi="宋体" w:eastAsia="宋体" w:cs="宋体"/>
                <w:spacing w:val="8"/>
                <w:sz w:val="20"/>
                <w:szCs w:val="20"/>
                <w:highlight w:val="none"/>
              </w:rPr>
              <w:t>包人审核通过后，方可正式施工。</w:t>
            </w:r>
          </w:p>
          <w:p w14:paraId="1297DDAD">
            <w:pPr>
              <w:spacing w:before="2" w:line="369" w:lineRule="auto"/>
              <w:ind w:left="111" w:right="102" w:firstLine="451" w:firstLineChars="198"/>
              <w:rPr>
                <w:rFonts w:ascii="宋体" w:hAnsi="宋体" w:eastAsia="宋体" w:cs="宋体"/>
                <w:sz w:val="20"/>
                <w:szCs w:val="20"/>
                <w:highlight w:val="none"/>
              </w:rPr>
            </w:pPr>
            <w:r>
              <w:rPr>
                <w:rFonts w:ascii="宋体" w:hAnsi="宋体" w:eastAsia="宋体" w:cs="宋体"/>
                <w:spacing w:val="14"/>
                <w:sz w:val="20"/>
                <w:szCs w:val="20"/>
                <w:highlight w:val="none"/>
              </w:rPr>
              <w:t>承</w:t>
            </w:r>
            <w:r>
              <w:rPr>
                <w:rFonts w:ascii="宋体" w:hAnsi="宋体" w:eastAsia="宋体" w:cs="宋体"/>
                <w:spacing w:val="12"/>
                <w:sz w:val="20"/>
                <w:szCs w:val="20"/>
                <w:highlight w:val="none"/>
              </w:rPr>
              <w:t>包人应充分考虑本项目施工过程中执行上述交通封闭作业要求所需的相关费用，且交通封闭规范化作业费用已包含在本合同的相关报价中，发包人将不另行</w:t>
            </w:r>
            <w:r>
              <w:rPr>
                <w:rFonts w:ascii="宋体" w:hAnsi="宋体" w:eastAsia="宋体" w:cs="宋体"/>
                <w:spacing w:val="3"/>
                <w:sz w:val="20"/>
                <w:szCs w:val="20"/>
                <w:highlight w:val="none"/>
              </w:rPr>
              <w:t>支付</w:t>
            </w:r>
            <w:r>
              <w:rPr>
                <w:rFonts w:ascii="宋体" w:hAnsi="宋体" w:eastAsia="宋体" w:cs="宋体"/>
                <w:spacing w:val="2"/>
                <w:sz w:val="20"/>
                <w:szCs w:val="20"/>
                <w:highlight w:val="none"/>
              </w:rPr>
              <w:t>。</w:t>
            </w:r>
          </w:p>
        </w:tc>
      </w:tr>
    </w:tbl>
    <w:p w14:paraId="70CFE16D">
      <w:pPr>
        <w:rPr>
          <w:rFonts w:ascii="Arial"/>
          <w:sz w:val="21"/>
          <w:highlight w:val="none"/>
        </w:rPr>
      </w:pPr>
    </w:p>
    <w:p w14:paraId="3FB581E6">
      <w:pPr>
        <w:rPr>
          <w:highlight w:val="none"/>
        </w:rPr>
        <w:sectPr>
          <w:headerReference r:id="rId32" w:type="default"/>
          <w:footerReference r:id="rId33" w:type="default"/>
          <w:pgSz w:w="11907" w:h="16840"/>
          <w:pgMar w:top="1165" w:right="1301" w:bottom="1333" w:left="1299" w:header="883" w:footer="1173" w:gutter="0"/>
          <w:cols w:space="720" w:num="1"/>
        </w:sectPr>
      </w:pPr>
    </w:p>
    <w:p w14:paraId="5C30DA51">
      <w:pPr>
        <w:pStyle w:val="2"/>
        <w:pageBreakBefore w:val="0"/>
        <w:kinsoku/>
        <w:wordWrap w:val="0"/>
        <w:bidi w:val="0"/>
        <w:spacing w:before="240" w:after="240" w:line="380" w:lineRule="atLeast"/>
        <w:jc w:val="center"/>
        <w:rPr>
          <w:rFonts w:hint="default" w:ascii="Times New Roman" w:hAnsi="Times New Roman" w:eastAsia="黑体" w:cs="Times New Roman"/>
          <w:b w:val="0"/>
          <w:sz w:val="32"/>
          <w:szCs w:val="32"/>
          <w:highlight w:val="none"/>
        </w:rPr>
      </w:pPr>
      <w:bookmarkStart w:id="1348" w:name="_Toc939"/>
      <w:r>
        <w:rPr>
          <w:rFonts w:hint="default" w:ascii="Times New Roman" w:hAnsi="Times New Roman" w:eastAsia="黑体" w:cs="Times New Roman"/>
          <w:b w:val="0"/>
          <w:sz w:val="32"/>
          <w:szCs w:val="32"/>
          <w:highlight w:val="none"/>
        </w:rPr>
        <w:t>项目专用合同条款</w:t>
      </w:r>
      <w:bookmarkEnd w:id="1345"/>
      <w:bookmarkEnd w:id="1346"/>
      <w:r>
        <w:rPr>
          <w:rStyle w:val="56"/>
          <w:rFonts w:hint="default" w:ascii="Times New Roman" w:hAnsi="Times New Roman" w:eastAsia="黑体" w:cs="Times New Roman"/>
          <w:b w:val="0"/>
          <w:sz w:val="32"/>
          <w:szCs w:val="32"/>
          <w:highlight w:val="none"/>
        </w:rPr>
        <w:footnoteReference w:id="29"/>
      </w:r>
      <w:bookmarkEnd w:id="1347"/>
      <w:bookmarkEnd w:id="1348"/>
    </w:p>
    <w:p w14:paraId="265825D8">
      <w:pPr>
        <w:pageBreakBefore w:val="0"/>
        <w:kinsoku/>
        <w:wordWrap w:val="0"/>
        <w:bidi w:val="0"/>
        <w:rPr>
          <w:rFonts w:hint="default" w:ascii="Times New Roman" w:hAnsi="Times New Roman" w:cs="Times New Roman"/>
          <w:highlight w:val="none"/>
        </w:rPr>
      </w:pPr>
    </w:p>
    <w:p w14:paraId="24C8A07E">
      <w:pPr>
        <w:pStyle w:val="17"/>
        <w:pageBreakBefore w:val="0"/>
        <w:kinsoku/>
        <w:wordWrap w:val="0"/>
        <w:bidi w:val="0"/>
        <w:snapToGrid w:val="0"/>
        <w:spacing w:after="0" w:line="400" w:lineRule="atLeast"/>
        <w:ind w:left="660" w:leftChars="0" w:hanging="660" w:hangingChars="275"/>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说明：</w:t>
      </w:r>
      <w:r>
        <w:rPr>
          <w:rFonts w:hint="default" w:ascii="Times New Roman" w:hAnsi="Times New Roman" w:eastAsia="楷体_GB2312" w:cs="Times New Roman"/>
          <w:sz w:val="24"/>
          <w:highlight w:val="none"/>
        </w:rPr>
        <w:t>本部分所列的项目专用合同条款是对</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公路工程专用合同条款</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中规定必须在项目专用合同条款中明确的内容的集中，招标人编制的</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项目专用合同条款</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不限于本部分所列内容。</w:t>
      </w:r>
    </w:p>
    <w:p w14:paraId="2C33A9AF">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349" w:name="_Toc23600"/>
      <w:bookmarkStart w:id="1350" w:name="_Toc234833223"/>
      <w:bookmarkStart w:id="1351" w:name="_Toc12645"/>
      <w:bookmarkStart w:id="1352" w:name="_Toc3467"/>
      <w:r>
        <w:rPr>
          <w:rFonts w:hint="default" w:ascii="Times New Roman" w:hAnsi="Times New Roman" w:eastAsia="黑体" w:cs="Times New Roman"/>
          <w:b w:val="0"/>
          <w:sz w:val="24"/>
          <w:szCs w:val="24"/>
          <w:highlight w:val="none"/>
        </w:rPr>
        <w:t>4.1 承包人的一般义务</w:t>
      </w:r>
      <w:bookmarkEnd w:id="1349"/>
      <w:bookmarkEnd w:id="1350"/>
      <w:bookmarkEnd w:id="1351"/>
      <w:bookmarkEnd w:id="1352"/>
    </w:p>
    <w:p w14:paraId="76725C41">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4.1.10 </w:t>
      </w:r>
      <w:r>
        <w:rPr>
          <w:rFonts w:hint="default" w:ascii="Times New Roman" w:hAnsi="Times New Roman" w:eastAsia="黑体" w:cs="Times New Roman"/>
          <w:sz w:val="24"/>
          <w:highlight w:val="none"/>
        </w:rPr>
        <w:t>其他义务</w:t>
      </w:r>
    </w:p>
    <w:p w14:paraId="3C86BFDB">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（4）承包人应履行的其他义务：</w:t>
      </w:r>
      <w:r>
        <w:rPr>
          <w:rFonts w:hint="default" w:ascii="Times New Roman" w:hAnsi="Times New Roman" w:cs="Times New Roman"/>
          <w:sz w:val="24"/>
          <w:highlight w:val="none"/>
          <w:u w:val="single"/>
        </w:rPr>
        <w:t xml:space="preserve">                       </w:t>
      </w:r>
    </w:p>
    <w:p w14:paraId="27061D17">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353" w:name="_Toc12950"/>
      <w:bookmarkStart w:id="1354" w:name="_Toc20253"/>
      <w:bookmarkStart w:id="1355" w:name="_Toc121"/>
      <w:bookmarkStart w:id="1356" w:name="_Toc234833224"/>
      <w:r>
        <w:rPr>
          <w:rFonts w:hint="default" w:ascii="Times New Roman" w:hAnsi="Times New Roman" w:eastAsia="黑体" w:cs="Times New Roman"/>
          <w:b w:val="0"/>
          <w:sz w:val="24"/>
          <w:szCs w:val="24"/>
          <w:highlight w:val="none"/>
        </w:rPr>
        <w:t>4.11 不利物质条件</w:t>
      </w:r>
      <w:bookmarkEnd w:id="1353"/>
      <w:bookmarkEnd w:id="1354"/>
      <w:bookmarkEnd w:id="1355"/>
      <w:bookmarkEnd w:id="1356"/>
    </w:p>
    <w:p w14:paraId="328C56E0">
      <w:pPr>
        <w:pageBreakBefore w:val="0"/>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4.11.1 不利物质条件的范围：</w:t>
      </w:r>
      <w:r>
        <w:rPr>
          <w:rFonts w:hint="default" w:ascii="Times New Roman" w:hAnsi="Times New Roman" w:cs="Times New Roman"/>
          <w:sz w:val="24"/>
          <w:highlight w:val="none"/>
          <w:u w:val="single"/>
        </w:rPr>
        <w:t xml:space="preserve">                       </w:t>
      </w:r>
    </w:p>
    <w:p w14:paraId="566378D0">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357" w:name="_Toc11536"/>
      <w:bookmarkStart w:id="1358" w:name="_Toc234833225"/>
      <w:bookmarkStart w:id="1359" w:name="_Toc18605"/>
      <w:bookmarkStart w:id="1360" w:name="_Toc9469"/>
      <w:r>
        <w:rPr>
          <w:rFonts w:hint="default" w:ascii="Times New Roman" w:hAnsi="Times New Roman" w:eastAsia="黑体" w:cs="Times New Roman"/>
          <w:b w:val="0"/>
          <w:sz w:val="24"/>
          <w:szCs w:val="24"/>
          <w:highlight w:val="none"/>
        </w:rPr>
        <w:t>10.1 合同进度计划</w:t>
      </w:r>
      <w:bookmarkEnd w:id="1357"/>
      <w:bookmarkEnd w:id="1358"/>
      <w:bookmarkEnd w:id="1359"/>
      <w:bookmarkEnd w:id="1360"/>
    </w:p>
    <w:p w14:paraId="3B9F3C7C">
      <w:pPr>
        <w:pageBreakBefore w:val="0"/>
        <w:kinsoku/>
        <w:wordWrap w:val="0"/>
        <w:bidi w:val="0"/>
        <w:spacing w:line="380" w:lineRule="atLeast"/>
        <w:ind w:firstLine="480" w:firstLineChars="200"/>
        <w:rPr>
          <w:rFonts w:hint="default" w:ascii="Times New Roman" w:hAnsi="Times New Roman" w:cs="Times New Roman"/>
          <w:sz w:val="24"/>
          <w:highlight w:val="none"/>
          <w:u w:val="single"/>
        </w:rPr>
      </w:pPr>
      <w:r>
        <w:rPr>
          <w:rFonts w:hint="default" w:ascii="Times New Roman" w:hAnsi="Times New Roman" w:cs="Times New Roman"/>
          <w:sz w:val="24"/>
          <w:highlight w:val="none"/>
        </w:rPr>
        <w:t>承包人编制施工方案的内容：</w:t>
      </w:r>
      <w:r>
        <w:rPr>
          <w:rFonts w:hint="default" w:ascii="Times New Roman" w:hAnsi="Times New Roman" w:cs="Times New Roman"/>
          <w:sz w:val="24"/>
          <w:highlight w:val="none"/>
          <w:u w:val="single"/>
        </w:rPr>
        <w:t xml:space="preserve">              </w:t>
      </w:r>
    </w:p>
    <w:p w14:paraId="0CCA4772">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361" w:name="_Toc32019"/>
      <w:bookmarkStart w:id="1362" w:name="_Toc19055"/>
      <w:bookmarkStart w:id="1363" w:name="_Toc24011"/>
      <w:bookmarkStart w:id="1364" w:name="_Toc234833226"/>
      <w:r>
        <w:rPr>
          <w:rFonts w:hint="default" w:ascii="Times New Roman" w:hAnsi="Times New Roman" w:eastAsia="黑体" w:cs="Times New Roman"/>
          <w:b w:val="0"/>
          <w:sz w:val="24"/>
          <w:szCs w:val="24"/>
          <w:highlight w:val="none"/>
        </w:rPr>
        <w:t>11.4异常恶劣的气候条件</w:t>
      </w:r>
      <w:bookmarkEnd w:id="1361"/>
      <w:bookmarkEnd w:id="1362"/>
      <w:bookmarkEnd w:id="1363"/>
      <w:bookmarkEnd w:id="1364"/>
    </w:p>
    <w:p w14:paraId="20B6E76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异常恶劣的气候条件的范围：</w:t>
      </w:r>
      <w:r>
        <w:rPr>
          <w:rFonts w:hint="default" w:ascii="Times New Roman" w:hAnsi="Times New Roman" w:cs="Times New Roman"/>
          <w:sz w:val="24"/>
          <w:highlight w:val="none"/>
          <w:u w:val="single"/>
        </w:rPr>
        <w:t xml:space="preserve">              </w:t>
      </w:r>
    </w:p>
    <w:p w14:paraId="6CF02C92">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365" w:name="_Toc3031"/>
      <w:bookmarkStart w:id="1366" w:name="_Toc9009"/>
      <w:bookmarkStart w:id="1367" w:name="_Toc234833227"/>
      <w:bookmarkStart w:id="1368" w:name="_Toc10215"/>
      <w:r>
        <w:rPr>
          <w:rFonts w:hint="default" w:ascii="Times New Roman" w:hAnsi="Times New Roman" w:eastAsia="黑体" w:cs="Times New Roman"/>
          <w:b w:val="0"/>
          <w:sz w:val="24"/>
          <w:szCs w:val="24"/>
          <w:highlight w:val="none"/>
        </w:rPr>
        <w:t>12.1 承包人暂停施工的责任</w:t>
      </w:r>
      <w:bookmarkEnd w:id="1365"/>
      <w:bookmarkEnd w:id="1366"/>
      <w:bookmarkEnd w:id="1367"/>
      <w:bookmarkEnd w:id="1368"/>
    </w:p>
    <w:p w14:paraId="5EF88D50">
      <w:pPr>
        <w:pageBreakBefore w:val="0"/>
        <w:kinsoku/>
        <w:wordWrap w:val="0"/>
        <w:bidi w:val="0"/>
        <w:spacing w:line="400" w:lineRule="atLeast"/>
        <w:ind w:firstLine="480" w:firstLineChars="200"/>
        <w:rPr>
          <w:rFonts w:hint="default" w:ascii="Times New Roman" w:hAnsi="Times New Roman" w:cs="Times New Roman"/>
          <w:sz w:val="24"/>
          <w:highlight w:val="none"/>
          <w:u w:val="single"/>
        </w:rPr>
      </w:pPr>
      <w:r>
        <w:rPr>
          <w:rFonts w:hint="default" w:ascii="Times New Roman" w:hAnsi="Times New Roman" w:cs="Times New Roman"/>
          <w:sz w:val="24"/>
          <w:highlight w:val="none"/>
        </w:rPr>
        <w:t>12.1 （6）由承包人承担的其他暂停施工：</w:t>
      </w:r>
      <w:r>
        <w:rPr>
          <w:rFonts w:hint="default" w:ascii="Times New Roman" w:hAnsi="Times New Roman" w:cs="Times New Roman"/>
          <w:sz w:val="24"/>
          <w:highlight w:val="none"/>
          <w:u w:val="single"/>
        </w:rPr>
        <w:t xml:space="preserve">                       </w:t>
      </w:r>
    </w:p>
    <w:p w14:paraId="7D4CD7E6">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lang w:eastAsia="zh-CN"/>
        </w:rPr>
      </w:pPr>
      <w:bookmarkStart w:id="1369" w:name="_Toc31576"/>
      <w:bookmarkStart w:id="1370" w:name="_Toc6894"/>
      <w:bookmarkStart w:id="1371" w:name="_Toc3458"/>
      <w:r>
        <w:rPr>
          <w:rFonts w:hint="default" w:ascii="Times New Roman" w:hAnsi="Times New Roman" w:eastAsia="黑体" w:cs="Times New Roman"/>
          <w:b w:val="0"/>
          <w:sz w:val="24"/>
          <w:szCs w:val="24"/>
          <w:highlight w:val="none"/>
        </w:rPr>
        <w:t>1</w:t>
      </w:r>
      <w:r>
        <w:rPr>
          <w:rFonts w:hint="default" w:ascii="Times New Roman" w:hAnsi="Times New Roman" w:eastAsia="黑体" w:cs="Times New Roman"/>
          <w:b w:val="0"/>
          <w:sz w:val="24"/>
          <w:szCs w:val="24"/>
          <w:highlight w:val="none"/>
          <w:lang w:eastAsia="zh-CN"/>
        </w:rPr>
        <w:t>7</w:t>
      </w:r>
      <w:r>
        <w:rPr>
          <w:rFonts w:hint="default" w:ascii="Times New Roman" w:hAnsi="Times New Roman" w:eastAsia="黑体" w:cs="Times New Roman"/>
          <w:b w:val="0"/>
          <w:sz w:val="24"/>
          <w:szCs w:val="24"/>
          <w:highlight w:val="none"/>
        </w:rPr>
        <w:t>.1</w:t>
      </w:r>
      <w:r>
        <w:rPr>
          <w:rFonts w:hint="default" w:ascii="Times New Roman" w:hAnsi="Times New Roman" w:eastAsia="黑体" w:cs="Times New Roman"/>
          <w:b w:val="0"/>
          <w:sz w:val="24"/>
          <w:szCs w:val="24"/>
          <w:highlight w:val="none"/>
          <w:lang w:eastAsia="zh-CN"/>
        </w:rPr>
        <w:t xml:space="preserve"> 计量</w:t>
      </w:r>
      <w:bookmarkEnd w:id="1369"/>
      <w:bookmarkEnd w:id="1370"/>
      <w:bookmarkEnd w:id="1371"/>
    </w:p>
    <w:p w14:paraId="7468EEE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17.1.5 本项目工程量清单中总额价子目的支付原则和支付进度：</w:t>
      </w:r>
      <w:r>
        <w:rPr>
          <w:rFonts w:hint="default" w:ascii="Times New Roman" w:hAnsi="Times New Roman" w:cs="Times New Roman"/>
          <w:sz w:val="24"/>
          <w:highlight w:val="none"/>
          <w:u w:val="single"/>
        </w:rPr>
        <w:t xml:space="preserve">            </w:t>
      </w:r>
    </w:p>
    <w:p w14:paraId="357F519F">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372" w:name="_Toc18014"/>
      <w:bookmarkStart w:id="1373" w:name="_Toc6486"/>
      <w:bookmarkStart w:id="1374" w:name="_Toc30430"/>
      <w:bookmarkStart w:id="1375" w:name="_Toc234833228"/>
      <w:r>
        <w:rPr>
          <w:rFonts w:hint="default" w:ascii="Times New Roman" w:hAnsi="Times New Roman" w:eastAsia="黑体" w:cs="Times New Roman"/>
          <w:b w:val="0"/>
          <w:sz w:val="24"/>
          <w:szCs w:val="24"/>
          <w:highlight w:val="none"/>
        </w:rPr>
        <w:t>17.3 工程进度付款</w:t>
      </w:r>
      <w:bookmarkEnd w:id="1372"/>
      <w:bookmarkEnd w:id="1373"/>
      <w:bookmarkEnd w:id="1374"/>
    </w:p>
    <w:p w14:paraId="6070F7BD">
      <w:pPr>
        <w:pageBreakBefore w:val="0"/>
        <w:kinsoku/>
        <w:wordWrap w:val="0"/>
        <w:bidi w:val="0"/>
        <w:spacing w:line="420" w:lineRule="atLeast"/>
        <w:ind w:firstLine="470" w:firstLineChars="196"/>
        <w:rPr>
          <w:rFonts w:hint="default" w:ascii="Times New Roman" w:hAnsi="Times New Roman" w:cs="Times New Roman"/>
          <w:sz w:val="24"/>
          <w:highlight w:val="none"/>
          <w:u w:val="single"/>
        </w:rPr>
      </w:pPr>
      <w:r>
        <w:rPr>
          <w:rFonts w:hint="default" w:ascii="Times New Roman" w:hAnsi="Times New Roman" w:cs="Times New Roman"/>
          <w:sz w:val="24"/>
          <w:highlight w:val="none"/>
        </w:rPr>
        <w:t>17.3.5 农民工工资保证金的缴存时间：</w:t>
      </w:r>
      <w:r>
        <w:rPr>
          <w:rFonts w:hint="default" w:ascii="Times New Roman" w:hAnsi="Times New Roman" w:cs="Times New Roman"/>
          <w:sz w:val="24"/>
          <w:highlight w:val="none"/>
          <w:u w:val="single"/>
        </w:rPr>
        <w:t xml:space="preserve">                       </w:t>
      </w:r>
    </w:p>
    <w:p w14:paraId="04D02830">
      <w:pPr>
        <w:pageBreakBefore w:val="0"/>
        <w:kinsoku/>
        <w:wordWrap w:val="0"/>
        <w:bidi w:val="0"/>
        <w:spacing w:line="42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农民工工资保证金的缴存金额：</w:t>
      </w:r>
      <w:r>
        <w:rPr>
          <w:rFonts w:hint="default" w:ascii="Times New Roman" w:hAnsi="Times New Roman" w:cs="Times New Roman"/>
          <w:sz w:val="24"/>
          <w:highlight w:val="none"/>
          <w:u w:val="single"/>
        </w:rPr>
        <w:t xml:space="preserve">                       </w:t>
      </w:r>
    </w:p>
    <w:p w14:paraId="7CFB68D2">
      <w:pPr>
        <w:pageBreakBefore w:val="0"/>
        <w:kinsoku/>
        <w:wordWrap w:val="0"/>
        <w:bidi w:val="0"/>
        <w:spacing w:line="420" w:lineRule="atLeast"/>
        <w:ind w:firstLine="470" w:firstLineChars="196"/>
        <w:rPr>
          <w:rFonts w:hint="default" w:ascii="Times New Roman" w:hAnsi="Times New Roman" w:cs="Times New Roman"/>
          <w:sz w:val="24"/>
          <w:highlight w:val="none"/>
          <w:u w:val="single"/>
        </w:rPr>
      </w:pPr>
      <w:r>
        <w:rPr>
          <w:rFonts w:hint="default" w:ascii="Times New Roman" w:hAnsi="Times New Roman" w:cs="Times New Roman"/>
          <w:sz w:val="24"/>
          <w:highlight w:val="none"/>
        </w:rPr>
        <w:t>农民工工资保证金的扣留条件：</w:t>
      </w:r>
      <w:r>
        <w:rPr>
          <w:rFonts w:hint="default" w:ascii="Times New Roman" w:hAnsi="Times New Roman" w:cs="Times New Roman"/>
          <w:sz w:val="24"/>
          <w:highlight w:val="none"/>
          <w:u w:val="single"/>
        </w:rPr>
        <w:t xml:space="preserve">                       </w:t>
      </w:r>
    </w:p>
    <w:p w14:paraId="278BEF92">
      <w:pPr>
        <w:pageBreakBefore w:val="0"/>
        <w:widowControl/>
        <w:kinsoku/>
        <w:wordWrap w:val="0"/>
        <w:bidi w:val="0"/>
        <w:spacing w:line="420" w:lineRule="atLeast"/>
        <w:ind w:firstLine="480" w:firstLineChars="200"/>
        <w:rPr>
          <w:rFonts w:hint="default" w:ascii="Times New Roman" w:hAnsi="Times New Roman" w:eastAsia="黑体" w:cs="Times New Roman"/>
          <w:b/>
          <w:sz w:val="24"/>
          <w:highlight w:val="none"/>
        </w:rPr>
      </w:pPr>
      <w:r>
        <w:rPr>
          <w:rFonts w:hint="default" w:ascii="Times New Roman" w:hAnsi="Times New Roman" w:cs="Times New Roman"/>
          <w:sz w:val="24"/>
          <w:highlight w:val="none"/>
        </w:rPr>
        <w:t>农民工工资保证金的返还时间：</w:t>
      </w:r>
      <w:r>
        <w:rPr>
          <w:rFonts w:hint="default" w:ascii="Times New Roman" w:hAnsi="Times New Roman" w:cs="Times New Roman"/>
          <w:sz w:val="24"/>
          <w:highlight w:val="none"/>
          <w:u w:val="single"/>
        </w:rPr>
        <w:t xml:space="preserve">                       </w:t>
      </w:r>
    </w:p>
    <w:p w14:paraId="10BD3B2C">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376" w:name="_Toc19186"/>
      <w:bookmarkStart w:id="1377" w:name="_Toc13982"/>
      <w:bookmarkStart w:id="1378" w:name="_Toc29939"/>
      <w:r>
        <w:rPr>
          <w:rFonts w:hint="default" w:ascii="Times New Roman" w:hAnsi="Times New Roman" w:eastAsia="黑体" w:cs="Times New Roman"/>
          <w:b w:val="0"/>
          <w:sz w:val="24"/>
          <w:szCs w:val="24"/>
          <w:highlight w:val="none"/>
        </w:rPr>
        <w:t>21.1 不可抗力的确认</w:t>
      </w:r>
      <w:bookmarkEnd w:id="1375"/>
      <w:bookmarkEnd w:id="1376"/>
      <w:bookmarkEnd w:id="1377"/>
      <w:bookmarkEnd w:id="1378"/>
    </w:p>
    <w:p w14:paraId="76073E62">
      <w:pPr>
        <w:pageBreakBefore w:val="0"/>
        <w:kinsoku/>
        <w:wordWrap w:val="0"/>
        <w:bidi w:val="0"/>
        <w:spacing w:line="400" w:lineRule="atLeast"/>
        <w:ind w:firstLine="480" w:firstLineChars="200"/>
        <w:rPr>
          <w:rFonts w:hint="default" w:ascii="Times New Roman" w:hAnsi="Times New Roman" w:cs="Times New Roman"/>
          <w:sz w:val="24"/>
          <w:highlight w:val="none"/>
          <w:u w:val="single"/>
        </w:rPr>
      </w:pPr>
      <w:r>
        <w:rPr>
          <w:rFonts w:hint="default" w:ascii="Times New Roman" w:hAnsi="Times New Roman" w:cs="Times New Roman"/>
          <w:sz w:val="24"/>
          <w:highlight w:val="none"/>
        </w:rPr>
        <w:t>21.1.1 （6）不可抗力的其他情形：</w:t>
      </w:r>
      <w:r>
        <w:rPr>
          <w:rFonts w:hint="default" w:ascii="Times New Roman" w:hAnsi="Times New Roman" w:cs="Times New Roman"/>
          <w:sz w:val="24"/>
          <w:highlight w:val="none"/>
          <w:u w:val="single"/>
        </w:rPr>
        <w:t xml:space="preserve">                            </w:t>
      </w:r>
    </w:p>
    <w:p w14:paraId="0CC39000">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379" w:name="_Toc11054"/>
      <w:bookmarkStart w:id="1380" w:name="_Toc1677"/>
      <w:bookmarkStart w:id="1381" w:name="_Toc28435"/>
      <w:bookmarkStart w:id="1382" w:name="_Toc234833229"/>
      <w:r>
        <w:rPr>
          <w:rFonts w:hint="default" w:ascii="Times New Roman" w:hAnsi="Times New Roman" w:eastAsia="黑体" w:cs="Times New Roman"/>
          <w:b w:val="0"/>
          <w:sz w:val="24"/>
          <w:szCs w:val="24"/>
          <w:highlight w:val="none"/>
        </w:rPr>
        <w:t>22.1 承包人违约</w:t>
      </w:r>
      <w:bookmarkEnd w:id="1379"/>
      <w:bookmarkEnd w:id="1380"/>
      <w:bookmarkEnd w:id="1381"/>
      <w:bookmarkEnd w:id="1382"/>
    </w:p>
    <w:p w14:paraId="05288CE6">
      <w:pPr>
        <w:pageBreakBefore w:val="0"/>
        <w:kinsoku/>
        <w:wordWrap w:val="0"/>
        <w:bidi w:val="0"/>
        <w:spacing w:line="400" w:lineRule="atLeast"/>
        <w:ind w:firstLine="480" w:firstLineChars="200"/>
        <w:rPr>
          <w:rFonts w:hint="default" w:ascii="Times New Roman" w:hAnsi="Times New Roman" w:cs="Times New Roman"/>
          <w:sz w:val="24"/>
          <w:highlight w:val="none"/>
          <w:u w:val="single"/>
        </w:rPr>
      </w:pPr>
      <w:r>
        <w:rPr>
          <w:rFonts w:hint="default" w:ascii="Times New Roman" w:hAnsi="Times New Roman" w:cs="Times New Roman"/>
          <w:sz w:val="24"/>
          <w:highlight w:val="none"/>
        </w:rPr>
        <w:t>22.1.2 当承包人发生第22.1.1项约定的违约情况时，发包人有权向承包人课以违约金，具体约定如下：</w:t>
      </w:r>
      <w:r>
        <w:rPr>
          <w:rFonts w:hint="default" w:ascii="Times New Roman" w:hAnsi="Times New Roman" w:cs="Times New Roman"/>
          <w:sz w:val="24"/>
          <w:highlight w:val="none"/>
          <w:u w:val="single"/>
        </w:rPr>
        <w:t xml:space="preserve">                               </w:t>
      </w:r>
    </w:p>
    <w:p w14:paraId="3467B07F">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383" w:name="_Toc10655"/>
      <w:bookmarkStart w:id="1384" w:name="_Toc3651"/>
      <w:bookmarkStart w:id="1385" w:name="_Toc29318"/>
      <w:r>
        <w:rPr>
          <w:rFonts w:hint="default" w:ascii="Times New Roman" w:hAnsi="Times New Roman" w:eastAsia="黑体" w:cs="Times New Roman"/>
          <w:b w:val="0"/>
          <w:sz w:val="24"/>
          <w:szCs w:val="24"/>
          <w:highlight w:val="none"/>
        </w:rPr>
        <w:t>22.2 发包人违约</w:t>
      </w:r>
      <w:bookmarkEnd w:id="1383"/>
      <w:bookmarkEnd w:id="1384"/>
      <w:bookmarkEnd w:id="1385"/>
    </w:p>
    <w:p w14:paraId="6E7EACB3">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22.2.2发包人无正当理由不按时返还履约保证金、质量保证金或农民工工资保证金的，发包人应向承包人支付的违约金如下：</w:t>
      </w:r>
      <w:r>
        <w:rPr>
          <w:rFonts w:hint="default" w:ascii="Times New Roman" w:hAnsi="Times New Roman" w:cs="Times New Roman"/>
          <w:sz w:val="24"/>
          <w:highlight w:val="none"/>
          <w:u w:val="single"/>
        </w:rPr>
        <w:t xml:space="preserve">                               </w:t>
      </w:r>
    </w:p>
    <w:p w14:paraId="11FB6046">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w:t>
      </w:r>
    </w:p>
    <w:p w14:paraId="3FC62631">
      <w:pPr>
        <w:pageBreakBefore w:val="0"/>
        <w:kinsoku/>
        <w:wordWrap w:val="0"/>
        <w:bidi w:val="0"/>
        <w:spacing w:line="380" w:lineRule="atLeast"/>
        <w:rPr>
          <w:rFonts w:hint="default" w:ascii="Times New Roman" w:hAnsi="Times New Roman" w:eastAsia="黑体" w:cs="Times New Roman"/>
          <w:sz w:val="20"/>
          <w:szCs w:val="20"/>
          <w:highlight w:val="none"/>
        </w:rPr>
      </w:pPr>
      <w:r>
        <w:rPr>
          <w:rFonts w:hint="default" w:ascii="Times New Roman" w:hAnsi="Times New Roman" w:eastAsia="黑体" w:cs="Times New Roman"/>
          <w:sz w:val="24"/>
          <w:highlight w:val="none"/>
        </w:rPr>
        <w:br w:type="page"/>
      </w:r>
    </w:p>
    <w:p w14:paraId="7E4A4FDC">
      <w:pPr>
        <w:pageBreakBefore w:val="0"/>
        <w:kinsoku/>
        <w:wordWrap w:val="0"/>
        <w:bidi w:val="0"/>
        <w:spacing w:line="440" w:lineRule="exact"/>
        <w:jc w:val="center"/>
        <w:rPr>
          <w:rFonts w:hint="default" w:ascii="Times New Roman" w:hAnsi="Times New Roman" w:eastAsia="黑体" w:cs="Times New Roman"/>
          <w:sz w:val="29"/>
          <w:szCs w:val="29"/>
          <w:highlight w:val="none"/>
        </w:rPr>
      </w:pPr>
      <w:bookmarkStart w:id="1386" w:name="_Toc234833230"/>
    </w:p>
    <w:p w14:paraId="6EB513AF">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4C862D26">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62864527">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66F74F35">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3164E282">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4FCE16E0">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27CE12F3">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72113247">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04B1A721">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0654AB79">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0830617B">
      <w:pPr>
        <w:pStyle w:val="2"/>
        <w:pageBreakBefore w:val="0"/>
        <w:kinsoku/>
        <w:wordWrap w:val="0"/>
        <w:bidi w:val="0"/>
        <w:spacing w:before="240" w:after="240" w:line="380" w:lineRule="atLeast"/>
        <w:jc w:val="center"/>
        <w:rPr>
          <w:rFonts w:hint="default" w:ascii="Times New Roman" w:hAnsi="Times New Roman" w:eastAsia="黑体" w:cs="Times New Roman"/>
          <w:b w:val="0"/>
          <w:sz w:val="42"/>
          <w:szCs w:val="42"/>
          <w:highlight w:val="none"/>
        </w:rPr>
      </w:pPr>
      <w:bookmarkStart w:id="1387" w:name="_Toc26085"/>
      <w:bookmarkStart w:id="1388" w:name="_Toc12441"/>
      <w:r>
        <w:rPr>
          <w:rFonts w:hint="default" w:ascii="Times New Roman" w:hAnsi="Times New Roman" w:eastAsia="黑体" w:cs="Times New Roman"/>
          <w:b w:val="0"/>
          <w:sz w:val="42"/>
          <w:szCs w:val="42"/>
          <w:highlight w:val="none"/>
        </w:rPr>
        <w:t>第三节  合同附件格式</w:t>
      </w:r>
      <w:bookmarkEnd w:id="1386"/>
      <w:bookmarkEnd w:id="1387"/>
      <w:bookmarkEnd w:id="1388"/>
    </w:p>
    <w:p w14:paraId="4673F6B2">
      <w:pPr>
        <w:pageBreakBefore w:val="0"/>
        <w:kinsoku/>
        <w:wordWrap w:val="0"/>
        <w:bidi w:val="0"/>
        <w:spacing w:line="440" w:lineRule="exact"/>
        <w:rPr>
          <w:rFonts w:hint="default" w:ascii="Times New Roman" w:hAnsi="Times New Roman" w:eastAsia="黑体" w:cs="Times New Roman"/>
          <w:sz w:val="20"/>
          <w:szCs w:val="20"/>
          <w:highlight w:val="none"/>
        </w:rPr>
      </w:pPr>
      <w:r>
        <w:rPr>
          <w:rFonts w:hint="default" w:ascii="Times New Roman" w:hAnsi="Times New Roman" w:eastAsia="黑体" w:cs="Times New Roman"/>
          <w:sz w:val="20"/>
          <w:szCs w:val="20"/>
          <w:highlight w:val="none"/>
        </w:rPr>
        <w:t xml:space="preserve"> </w:t>
      </w:r>
    </w:p>
    <w:p w14:paraId="1FAE3254">
      <w:pPr>
        <w:pStyle w:val="2"/>
        <w:pageBreakBefore w:val="0"/>
        <w:kinsoku/>
        <w:wordWrap w:val="0"/>
        <w:bidi w:val="0"/>
        <w:spacing w:before="0" w:after="0" w:line="380" w:lineRule="atLeast"/>
        <w:rPr>
          <w:rFonts w:hint="default" w:ascii="Times New Roman" w:hAnsi="Times New Roman" w:eastAsia="黑体" w:cs="Times New Roman"/>
          <w:b w:val="0"/>
          <w:sz w:val="24"/>
          <w:szCs w:val="24"/>
          <w:highlight w:val="none"/>
        </w:rPr>
      </w:pPr>
      <w:r>
        <w:rPr>
          <w:rFonts w:hint="default" w:ascii="Times New Roman" w:hAnsi="Times New Roman" w:eastAsia="黑体" w:cs="Times New Roman"/>
          <w:sz w:val="20"/>
          <w:szCs w:val="20"/>
          <w:highlight w:val="none"/>
        </w:rPr>
        <w:br w:type="page"/>
      </w:r>
      <w:bookmarkStart w:id="1389" w:name="_Toc24256"/>
      <w:bookmarkStart w:id="1390" w:name="_Toc8711"/>
      <w:bookmarkStart w:id="1391" w:name="_Toc17942"/>
      <w:bookmarkStart w:id="1392" w:name="_Toc234833231"/>
      <w:r>
        <w:rPr>
          <w:rFonts w:hint="default" w:ascii="Times New Roman" w:hAnsi="Times New Roman" w:eastAsia="黑体" w:cs="Times New Roman"/>
          <w:b w:val="0"/>
          <w:sz w:val="24"/>
          <w:szCs w:val="24"/>
          <w:highlight w:val="none"/>
        </w:rPr>
        <w:t>附件一</w:t>
      </w:r>
      <w:r>
        <w:rPr>
          <w:rFonts w:hint="default" w:ascii="Times New Roman" w:hAnsi="Times New Roman" w:eastAsia="黑体" w:cs="Times New Roman"/>
          <w:b w:val="0"/>
          <w:sz w:val="24"/>
          <w:szCs w:val="24"/>
          <w:highlight w:val="none"/>
          <w:lang w:eastAsia="zh-CN"/>
        </w:rPr>
        <w:t xml:space="preserve"> </w:t>
      </w:r>
      <w:r>
        <w:rPr>
          <w:rFonts w:hint="default" w:ascii="Times New Roman" w:hAnsi="Times New Roman" w:eastAsia="黑体" w:cs="Times New Roman"/>
          <w:b w:val="0"/>
          <w:sz w:val="24"/>
          <w:szCs w:val="24"/>
          <w:highlight w:val="none"/>
        </w:rPr>
        <w:t>合同协议书</w:t>
      </w:r>
      <w:bookmarkEnd w:id="1389"/>
      <w:bookmarkEnd w:id="1390"/>
      <w:bookmarkEnd w:id="1391"/>
      <w:bookmarkEnd w:id="1392"/>
    </w:p>
    <w:p w14:paraId="4410A15A">
      <w:pPr>
        <w:pageBreakBefore w:val="0"/>
        <w:kinsoku/>
        <w:wordWrap w:val="0"/>
        <w:bidi w:val="0"/>
        <w:spacing w:line="440" w:lineRule="exact"/>
        <w:jc w:val="center"/>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合 同 协 议 书</w:t>
      </w:r>
    </w:p>
    <w:p w14:paraId="305E8DC7">
      <w:pPr>
        <w:pageBreakBefore w:val="0"/>
        <w:kinsoku/>
        <w:wordWrap w:val="0"/>
        <w:bidi w:val="0"/>
        <w:spacing w:line="440" w:lineRule="exact"/>
        <w:ind w:firstLine="480" w:firstLineChars="200"/>
        <w:rPr>
          <w:rFonts w:hint="default" w:ascii="Times New Roman" w:hAnsi="Times New Roman" w:cs="Times New Roman"/>
          <w:sz w:val="24"/>
          <w:highlight w:val="none"/>
          <w:u w:val="single"/>
        </w:rPr>
      </w:pPr>
    </w:p>
    <w:p w14:paraId="2AF9C540">
      <w:pPr>
        <w:pageBreakBefore w:val="0"/>
        <w:kinsoku/>
        <w:wordWrap w:val="0"/>
        <w:bidi w:val="0"/>
        <w:spacing w:line="44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（发包人名称，以下简称</w:t>
      </w:r>
      <w:r>
        <w:rPr>
          <w:rFonts w:hint="eastAsia" w:ascii="宋体" w:hAnsi="宋体" w:eastAsia="宋体" w:cs="宋体"/>
          <w:sz w:val="24"/>
          <w:highlight w:val="none"/>
        </w:rPr>
        <w:t>“</w:t>
      </w:r>
      <w:r>
        <w:rPr>
          <w:rFonts w:hint="default" w:ascii="Times New Roman" w:hAnsi="Times New Roman" w:cs="Times New Roman"/>
          <w:sz w:val="24"/>
          <w:highlight w:val="none"/>
        </w:rPr>
        <w:t>发包人</w:t>
      </w:r>
      <w:r>
        <w:rPr>
          <w:rFonts w:hint="eastAsia" w:ascii="宋体" w:hAnsi="宋体" w:eastAsia="宋体" w:cs="宋体"/>
          <w:sz w:val="24"/>
          <w:highlight w:val="none"/>
        </w:rPr>
        <w:t>”</w:t>
      </w:r>
      <w:r>
        <w:rPr>
          <w:rFonts w:hint="default" w:ascii="Times New Roman" w:hAnsi="Times New Roman" w:cs="Times New Roman"/>
          <w:sz w:val="24"/>
          <w:highlight w:val="none"/>
        </w:rPr>
        <w:t>）为实施</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（项目名称），已接受</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（承包人名称，以下简称</w:t>
      </w:r>
      <w:r>
        <w:rPr>
          <w:rFonts w:hint="eastAsia" w:ascii="宋体" w:hAnsi="宋体" w:eastAsia="宋体" w:cs="宋体"/>
          <w:sz w:val="24"/>
          <w:highlight w:val="none"/>
        </w:rPr>
        <w:t>“</w:t>
      </w:r>
      <w:r>
        <w:rPr>
          <w:rFonts w:hint="default" w:ascii="Times New Roman" w:hAnsi="Times New Roman" w:cs="Times New Roman"/>
          <w:sz w:val="24"/>
          <w:highlight w:val="none"/>
        </w:rPr>
        <w:t>承包人</w:t>
      </w:r>
      <w:r>
        <w:rPr>
          <w:rFonts w:hint="eastAsia" w:ascii="宋体" w:hAnsi="宋体" w:eastAsia="宋体" w:cs="宋体"/>
          <w:sz w:val="24"/>
          <w:highlight w:val="none"/>
        </w:rPr>
        <w:t>”</w:t>
      </w:r>
      <w:r>
        <w:rPr>
          <w:rFonts w:hint="default" w:ascii="Times New Roman" w:hAnsi="Times New Roman" w:cs="Times New Roman"/>
          <w:sz w:val="24"/>
          <w:highlight w:val="none"/>
        </w:rPr>
        <w:t>）对该项目</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标段施工的投标。发包人和承包人共同达成如下协议。</w:t>
      </w:r>
    </w:p>
    <w:p w14:paraId="245D19B8">
      <w:pPr>
        <w:pageBreakBefore w:val="0"/>
        <w:kinsoku/>
        <w:wordWrap w:val="0"/>
        <w:bidi w:val="0"/>
        <w:spacing w:line="440" w:lineRule="exac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1. 第</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标段由K</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至K</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，长约</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km，公路等级为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，设计速度为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路面，有</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立交</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处；特大桥</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座，计长</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m；大中桥</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座，计长</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m；隧道</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座，计长</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m以及其他构造物工程等。</w:t>
      </w:r>
    </w:p>
    <w:p w14:paraId="212B8A96">
      <w:pPr>
        <w:pageBreakBefore w:val="0"/>
        <w:kinsoku/>
        <w:wordWrap w:val="0"/>
        <w:bidi w:val="0"/>
        <w:spacing w:line="440" w:lineRule="exact"/>
        <w:ind w:right="34" w:rightChars="16"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2. 下列文件应视为构成合同文件的组成部分：</w:t>
      </w:r>
    </w:p>
    <w:p w14:paraId="528836CC">
      <w:pPr>
        <w:pageBreakBefore w:val="0"/>
        <w:kinsoku/>
        <w:wordWrap w:val="0"/>
        <w:bidi w:val="0"/>
        <w:spacing w:line="440" w:lineRule="exact"/>
        <w:ind w:right="34" w:rightChars="16"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（1）本协议书及各种合同附件（含评标期间和合同谈判过程中的澄清文件和补充资料）；</w:t>
      </w:r>
    </w:p>
    <w:p w14:paraId="36D0071E">
      <w:pPr>
        <w:pageBreakBefore w:val="0"/>
        <w:kinsoku/>
        <w:wordWrap w:val="0"/>
        <w:bidi w:val="0"/>
        <w:spacing w:line="440" w:lineRule="exact"/>
        <w:ind w:right="34" w:rightChars="16"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（2）中标通知书；</w:t>
      </w:r>
    </w:p>
    <w:p w14:paraId="5DA024DD">
      <w:pPr>
        <w:pageBreakBefore w:val="0"/>
        <w:kinsoku/>
        <w:wordWrap w:val="0"/>
        <w:bidi w:val="0"/>
        <w:spacing w:line="440" w:lineRule="exact"/>
        <w:ind w:right="34" w:rightChars="16"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（3）投标函及投标函附录；</w:t>
      </w:r>
    </w:p>
    <w:p w14:paraId="27518886">
      <w:pPr>
        <w:pageBreakBefore w:val="0"/>
        <w:kinsoku/>
        <w:wordWrap w:val="0"/>
        <w:bidi w:val="0"/>
        <w:spacing w:line="440" w:lineRule="exact"/>
        <w:ind w:right="34" w:rightChars="16"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（4）项目专用合同条款；</w:t>
      </w:r>
    </w:p>
    <w:p w14:paraId="2A3050E8">
      <w:pPr>
        <w:pageBreakBefore w:val="0"/>
        <w:kinsoku/>
        <w:wordWrap w:val="0"/>
        <w:bidi w:val="0"/>
        <w:spacing w:line="440" w:lineRule="exact"/>
        <w:ind w:right="34" w:rightChars="16"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（5）公路工程专用合同条款；</w:t>
      </w:r>
    </w:p>
    <w:p w14:paraId="463B24A5">
      <w:pPr>
        <w:pageBreakBefore w:val="0"/>
        <w:kinsoku/>
        <w:wordWrap w:val="0"/>
        <w:bidi w:val="0"/>
        <w:spacing w:line="440" w:lineRule="exact"/>
        <w:ind w:right="34" w:rightChars="16"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（6）通用合同条款；</w:t>
      </w:r>
    </w:p>
    <w:p w14:paraId="1FB87AFD">
      <w:pPr>
        <w:pageBreakBefore w:val="0"/>
        <w:kinsoku/>
        <w:wordWrap w:val="0"/>
        <w:bidi w:val="0"/>
        <w:spacing w:line="440" w:lineRule="exact"/>
        <w:ind w:right="34" w:rightChars="16"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（7）工程量清单计量规则；</w:t>
      </w:r>
    </w:p>
    <w:p w14:paraId="0FC618E5">
      <w:pPr>
        <w:pageBreakBefore w:val="0"/>
        <w:kinsoku/>
        <w:wordWrap w:val="0"/>
        <w:bidi w:val="0"/>
        <w:spacing w:line="440" w:lineRule="exact"/>
        <w:ind w:right="34" w:rightChars="16"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（8）技术规范；</w:t>
      </w:r>
    </w:p>
    <w:p w14:paraId="5CB8FA97">
      <w:pPr>
        <w:pageBreakBefore w:val="0"/>
        <w:kinsoku/>
        <w:wordWrap w:val="0"/>
        <w:bidi w:val="0"/>
        <w:spacing w:line="440" w:lineRule="exact"/>
        <w:ind w:right="34" w:rightChars="16"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（9）图纸；</w:t>
      </w:r>
    </w:p>
    <w:p w14:paraId="0076DDC1">
      <w:pPr>
        <w:pageBreakBefore w:val="0"/>
        <w:kinsoku/>
        <w:wordWrap w:val="0"/>
        <w:bidi w:val="0"/>
        <w:spacing w:line="440" w:lineRule="exact"/>
        <w:ind w:right="34" w:rightChars="16"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（10）已标价工程量清单；</w:t>
      </w:r>
    </w:p>
    <w:p w14:paraId="4E9E0242">
      <w:pPr>
        <w:pageBreakBefore w:val="0"/>
        <w:kinsoku/>
        <w:wordWrap w:val="0"/>
        <w:bidi w:val="0"/>
        <w:spacing w:line="440" w:lineRule="exact"/>
        <w:ind w:right="34" w:rightChars="16"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（11）承包人有关人员、设备投入的承诺及投标文件中的施工组织设计；</w:t>
      </w:r>
    </w:p>
    <w:p w14:paraId="1746ADAA">
      <w:pPr>
        <w:pageBreakBefore w:val="0"/>
        <w:kinsoku/>
        <w:wordWrap w:val="0"/>
        <w:bidi w:val="0"/>
        <w:spacing w:line="440" w:lineRule="exact"/>
        <w:ind w:right="34" w:rightChars="16"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（12）其他合同文件。</w:t>
      </w:r>
    </w:p>
    <w:p w14:paraId="270A0E36">
      <w:pPr>
        <w:pageBreakBefore w:val="0"/>
        <w:kinsoku/>
        <w:wordWrap w:val="0"/>
        <w:bidi w:val="0"/>
        <w:spacing w:line="440" w:lineRule="exact"/>
        <w:ind w:right="34" w:rightChars="16"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上述合同文件互相补充和解释。如果合同文件之间存在矛盾或不一致之处，以上述文件的排列顺序在先者为准。</w:t>
      </w:r>
    </w:p>
    <w:p w14:paraId="50D142D5">
      <w:pPr>
        <w:pageBreakBefore w:val="0"/>
        <w:kinsoku/>
        <w:wordWrap w:val="0"/>
        <w:bidi w:val="0"/>
        <w:spacing w:line="440" w:lineRule="exact"/>
        <w:ind w:right="34" w:rightChars="16"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3. 根据工程量清单所列的预计数量和单价或总额价计算的签约合同价：人民币（大写）________元（¥________）。</w:t>
      </w:r>
    </w:p>
    <w:p w14:paraId="61D9E8AE">
      <w:pPr>
        <w:pageBreakBefore w:val="0"/>
        <w:kinsoku/>
        <w:wordWrap w:val="0"/>
        <w:bidi w:val="0"/>
        <w:spacing w:line="440" w:lineRule="exact"/>
        <w:ind w:right="34" w:rightChars="16" w:firstLine="616" w:firstLineChars="257"/>
        <w:rPr>
          <w:rFonts w:hint="default" w:ascii="Times New Roman" w:hAnsi="Times New Roman" w:cs="Times New Roman"/>
          <w:sz w:val="24"/>
          <w:highlight w:val="none"/>
          <w:u w:val="single"/>
        </w:rPr>
      </w:pPr>
      <w:r>
        <w:rPr>
          <w:rFonts w:hint="default" w:ascii="Times New Roman" w:hAnsi="Times New Roman" w:cs="Times New Roman"/>
          <w:sz w:val="24"/>
          <w:highlight w:val="none"/>
        </w:rPr>
        <w:t>4. 承包人项目经理：</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。承包人项目总工：</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w:t>
      </w:r>
    </w:p>
    <w:p w14:paraId="642C1F3B">
      <w:pPr>
        <w:pageBreakBefore w:val="0"/>
        <w:kinsoku/>
        <w:wordWrap w:val="0"/>
        <w:bidi w:val="0"/>
        <w:spacing w:line="440" w:lineRule="exact"/>
        <w:ind w:right="34" w:rightChars="16"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5. 工程质量符合</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标准。工程安全目标：</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w:t>
      </w:r>
    </w:p>
    <w:p w14:paraId="167485DF">
      <w:pPr>
        <w:pageBreakBefore w:val="0"/>
        <w:kinsoku/>
        <w:wordWrap w:val="0"/>
        <w:bidi w:val="0"/>
        <w:spacing w:line="440" w:lineRule="exact"/>
        <w:ind w:right="34" w:rightChars="16"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6. 承包人承诺按合同约定承担工程的实施、完成及缺陷修复。</w:t>
      </w:r>
    </w:p>
    <w:p w14:paraId="0A9E00ED">
      <w:pPr>
        <w:pageBreakBefore w:val="0"/>
        <w:kinsoku/>
        <w:wordWrap w:val="0"/>
        <w:bidi w:val="0"/>
        <w:spacing w:line="440" w:lineRule="exact"/>
        <w:ind w:right="34" w:rightChars="16"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7. 发包人承诺按合同约定的条件、时间和方式向承包人支付合同价款。</w:t>
      </w:r>
    </w:p>
    <w:p w14:paraId="1712CD8B">
      <w:pPr>
        <w:pageBreakBefore w:val="0"/>
        <w:kinsoku/>
        <w:wordWrap w:val="0"/>
        <w:bidi w:val="0"/>
        <w:spacing w:line="440" w:lineRule="exact"/>
        <w:ind w:right="34" w:rightChars="16"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8. 承包人应按照监理人指示开工，工期为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日历天。</w:t>
      </w:r>
    </w:p>
    <w:p w14:paraId="3098B4F0">
      <w:pPr>
        <w:pageBreakBefore w:val="0"/>
        <w:kinsoku/>
        <w:wordWrap w:val="0"/>
        <w:bidi w:val="0"/>
        <w:spacing w:line="440" w:lineRule="exac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9. 本协议书在承包人提供履约保证金后，由双方法定代表人或其委托代理人签署并加盖单位章后生效。全部工程完工后经交工验收合格、缺陷责任期满签发缺陷责任终止证书后失效。</w:t>
      </w:r>
    </w:p>
    <w:p w14:paraId="78B20FDF">
      <w:pPr>
        <w:pageBreakBefore w:val="0"/>
        <w:kinsoku/>
        <w:wordWrap w:val="0"/>
        <w:bidi w:val="0"/>
        <w:spacing w:line="440" w:lineRule="exac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10. 本协议书正本二份、副本____份，合同双方各执正本一份，副本____份，当正本与副本的内容不一致时，以正本为准。</w:t>
      </w:r>
    </w:p>
    <w:p w14:paraId="268604FA">
      <w:pPr>
        <w:pageBreakBefore w:val="0"/>
        <w:kinsoku/>
        <w:wordWrap w:val="0"/>
        <w:bidi w:val="0"/>
        <w:spacing w:line="440" w:lineRule="exac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11. 合同未尽事宜，双方另行签订补充协议。补充协议是合同的组成部分。</w:t>
      </w:r>
    </w:p>
    <w:p w14:paraId="1BF14587">
      <w:pPr>
        <w:pageBreakBefore w:val="0"/>
        <w:kinsoku/>
        <w:wordWrap w:val="0"/>
        <w:bidi w:val="0"/>
        <w:spacing w:line="440" w:lineRule="exact"/>
        <w:rPr>
          <w:rFonts w:hint="default" w:ascii="Times New Roman" w:hAnsi="Times New Roman" w:cs="Times New Roman"/>
          <w:sz w:val="24"/>
          <w:highlight w:val="none"/>
        </w:rPr>
      </w:pPr>
    </w:p>
    <w:p w14:paraId="46A4D8C6">
      <w:pPr>
        <w:pageBreakBefore w:val="0"/>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发包人：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（盖单位章）     承包人：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（盖单位章）</w:t>
      </w:r>
    </w:p>
    <w:p w14:paraId="4C259D71">
      <w:pPr>
        <w:pageBreakBefore w:val="0"/>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法定代表人或其委托代理人：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（签字）  法定代表人或其委托代理人：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（签字）</w:t>
      </w:r>
    </w:p>
    <w:p w14:paraId="03DCEEA7">
      <w:pPr>
        <w:pageBreakBefore w:val="0"/>
        <w:kinsoku/>
        <w:wordWrap w:val="0"/>
        <w:bidi w:val="0"/>
        <w:spacing w:line="440" w:lineRule="exact"/>
        <w:ind w:firstLine="840" w:firstLineChars="350"/>
        <w:rPr>
          <w:rFonts w:hint="default" w:ascii="Times New Roman" w:hAnsi="Times New Roman" w:cs="Times New Roman"/>
          <w:sz w:val="24"/>
          <w:highlight w:val="none"/>
        </w:rPr>
      </w:pP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月</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日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月</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日</w:t>
      </w:r>
    </w:p>
    <w:p w14:paraId="294F6A57">
      <w:pPr>
        <w:pageBreakBefore w:val="0"/>
        <w:kinsoku/>
        <w:wordWrap w:val="0"/>
        <w:bidi w:val="0"/>
        <w:spacing w:line="440" w:lineRule="exact"/>
        <w:rPr>
          <w:rFonts w:hint="default" w:ascii="Times New Roman" w:hAnsi="Times New Roman" w:cs="Times New Roman"/>
          <w:sz w:val="24"/>
          <w:highlight w:val="none"/>
        </w:rPr>
      </w:pPr>
    </w:p>
    <w:p w14:paraId="26232FCD">
      <w:pPr>
        <w:pStyle w:val="2"/>
        <w:pageBreakBefore w:val="0"/>
        <w:kinsoku/>
        <w:wordWrap w:val="0"/>
        <w:bidi w:val="0"/>
        <w:spacing w:before="0" w:after="0" w:line="380" w:lineRule="atLeast"/>
        <w:rPr>
          <w:rFonts w:hint="default" w:ascii="Times New Roman" w:hAnsi="Times New Roman" w:eastAsia="黑体" w:cs="Times New Roman"/>
          <w:b w:val="0"/>
          <w:sz w:val="24"/>
          <w:szCs w:val="24"/>
          <w:highlight w:val="none"/>
        </w:rPr>
      </w:pPr>
      <w:r>
        <w:rPr>
          <w:rFonts w:hint="default" w:ascii="Times New Roman" w:hAnsi="Times New Roman" w:eastAsia="黑体" w:cs="Times New Roman"/>
          <w:sz w:val="24"/>
          <w:highlight w:val="none"/>
        </w:rPr>
        <w:br w:type="page"/>
      </w:r>
      <w:bookmarkStart w:id="1393" w:name="_Toc21211"/>
      <w:bookmarkStart w:id="1394" w:name="_Toc5419"/>
      <w:bookmarkStart w:id="1395" w:name="_Toc7242"/>
      <w:bookmarkStart w:id="1396" w:name="_Toc234833232"/>
      <w:r>
        <w:rPr>
          <w:rFonts w:hint="default" w:ascii="Times New Roman" w:hAnsi="Times New Roman" w:eastAsia="黑体" w:cs="Times New Roman"/>
          <w:b w:val="0"/>
          <w:sz w:val="24"/>
          <w:szCs w:val="24"/>
          <w:highlight w:val="none"/>
        </w:rPr>
        <w:t>附件二</w:t>
      </w:r>
      <w:r>
        <w:rPr>
          <w:rFonts w:hint="default" w:ascii="Times New Roman" w:hAnsi="Times New Roman" w:eastAsia="黑体" w:cs="Times New Roman"/>
          <w:b w:val="0"/>
          <w:sz w:val="24"/>
          <w:szCs w:val="24"/>
          <w:highlight w:val="none"/>
          <w:lang w:eastAsia="zh-CN"/>
        </w:rPr>
        <w:t xml:space="preserve"> </w:t>
      </w:r>
      <w:r>
        <w:rPr>
          <w:rFonts w:hint="default" w:ascii="Times New Roman" w:hAnsi="Times New Roman" w:eastAsia="黑体" w:cs="Times New Roman"/>
          <w:b w:val="0"/>
          <w:sz w:val="24"/>
          <w:szCs w:val="24"/>
          <w:highlight w:val="none"/>
        </w:rPr>
        <w:t>廉政合同</w:t>
      </w:r>
      <w:bookmarkEnd w:id="1393"/>
      <w:bookmarkEnd w:id="1394"/>
      <w:bookmarkEnd w:id="1395"/>
      <w:bookmarkEnd w:id="1396"/>
    </w:p>
    <w:p w14:paraId="71F825A8">
      <w:pPr>
        <w:pageBreakBefore w:val="0"/>
        <w:kinsoku/>
        <w:wordWrap w:val="0"/>
        <w:bidi w:val="0"/>
        <w:spacing w:line="440" w:lineRule="exact"/>
        <w:jc w:val="center"/>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廉 政 合 同</w:t>
      </w:r>
    </w:p>
    <w:p w14:paraId="64635812">
      <w:pPr>
        <w:pageBreakBefore w:val="0"/>
        <w:kinsoku/>
        <w:wordWrap w:val="0"/>
        <w:bidi w:val="0"/>
        <w:spacing w:line="400" w:lineRule="atLeast"/>
        <w:rPr>
          <w:rFonts w:hint="default" w:ascii="Times New Roman" w:hAnsi="Times New Roman" w:eastAsia="黑体" w:cs="Times New Roman"/>
          <w:b/>
          <w:spacing w:val="30"/>
          <w:sz w:val="24"/>
          <w:highlight w:val="none"/>
        </w:rPr>
      </w:pPr>
    </w:p>
    <w:p w14:paraId="76B9756D">
      <w:pPr>
        <w:pageBreakBefore w:val="0"/>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根据《关于在交通基础设施建设中加强廉政建设的若干意见》以及有关工程建设、廉政建设的规定，为做好工程建设中的党风廉政建设，保证工程建设高效优质，保证建设资金的安全和有效使用以及投资效益，</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（项目名称）的项目法人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（项目法人名称，以下简称</w:t>
      </w:r>
      <w:r>
        <w:rPr>
          <w:rFonts w:hint="eastAsia" w:ascii="宋体" w:hAnsi="宋体" w:eastAsia="宋体" w:cs="宋体"/>
          <w:sz w:val="24"/>
          <w:highlight w:val="none"/>
        </w:rPr>
        <w:t>“</w:t>
      </w:r>
      <w:r>
        <w:rPr>
          <w:rFonts w:hint="default" w:ascii="Times New Roman" w:hAnsi="Times New Roman" w:cs="Times New Roman"/>
          <w:sz w:val="24"/>
          <w:highlight w:val="none"/>
        </w:rPr>
        <w:t>发包人</w:t>
      </w:r>
      <w:r>
        <w:rPr>
          <w:rFonts w:hint="eastAsia" w:ascii="宋体" w:hAnsi="宋体" w:eastAsia="宋体" w:cs="宋体"/>
          <w:sz w:val="24"/>
          <w:highlight w:val="none"/>
        </w:rPr>
        <w:t>”</w:t>
      </w:r>
      <w:r>
        <w:rPr>
          <w:rFonts w:hint="default" w:ascii="Times New Roman" w:hAnsi="Times New Roman" w:cs="Times New Roman"/>
          <w:sz w:val="24"/>
          <w:highlight w:val="none"/>
        </w:rPr>
        <w:t>）与该项目</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标段的施工单位</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（施工单位名称，以下简称</w:t>
      </w:r>
      <w:r>
        <w:rPr>
          <w:rFonts w:hint="eastAsia" w:ascii="宋体" w:hAnsi="宋体" w:eastAsia="宋体" w:cs="宋体"/>
          <w:sz w:val="24"/>
          <w:highlight w:val="none"/>
        </w:rPr>
        <w:t>“</w:t>
      </w:r>
      <w:r>
        <w:rPr>
          <w:rFonts w:hint="default" w:ascii="Times New Roman" w:hAnsi="Times New Roman" w:cs="Times New Roman"/>
          <w:sz w:val="24"/>
          <w:highlight w:val="none"/>
        </w:rPr>
        <w:t>承包人</w:t>
      </w:r>
      <w:r>
        <w:rPr>
          <w:rFonts w:hint="eastAsia" w:ascii="宋体" w:hAnsi="宋体" w:eastAsia="宋体" w:cs="宋体"/>
          <w:sz w:val="24"/>
          <w:highlight w:val="none"/>
        </w:rPr>
        <w:t>”</w:t>
      </w:r>
      <w:r>
        <w:rPr>
          <w:rFonts w:hint="default" w:ascii="Times New Roman" w:hAnsi="Times New Roman" w:cs="Times New Roman"/>
          <w:sz w:val="24"/>
          <w:highlight w:val="none"/>
        </w:rPr>
        <w:t>），特订立如下合同。</w:t>
      </w:r>
    </w:p>
    <w:p w14:paraId="0C5B0DCF">
      <w:pPr>
        <w:pageBreakBefore w:val="0"/>
        <w:kinsoku/>
        <w:wordWrap w:val="0"/>
        <w:bidi w:val="0"/>
        <w:spacing w:line="400" w:lineRule="atLeast"/>
        <w:ind w:firstLine="616" w:firstLineChars="257"/>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1. 发包人和承包人双方的权利和义务</w:t>
      </w:r>
    </w:p>
    <w:p w14:paraId="437FEFA3">
      <w:pPr>
        <w:pageBreakBefore w:val="0"/>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（1）严格遵守党的政策规定和国家有关法律法规及交通运输部的有关规定。</w:t>
      </w:r>
    </w:p>
    <w:p w14:paraId="5681191D">
      <w:pPr>
        <w:pageBreakBefore w:val="0"/>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（2）严格执行</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（项目名称）</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标段施工合同文件，自觉按合同办事。</w:t>
      </w:r>
    </w:p>
    <w:p w14:paraId="3FB04039">
      <w:pPr>
        <w:pageBreakBefore w:val="0"/>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（3）双方的业务活动坚持公开、公正、诚信、透明的原则（法律认定的商业秘密和合同文件另有规定除外），不得损害国家和集体利益，不得违反工程建设管理规章制度。</w:t>
      </w:r>
    </w:p>
    <w:p w14:paraId="711FBF8F">
      <w:pPr>
        <w:pageBreakBefore w:val="0"/>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（4）建立健全廉政制度，开展廉政教育，设立廉政告示牌，公布举报电话，监督并认真查处违法违纪行为。</w:t>
      </w:r>
    </w:p>
    <w:p w14:paraId="1D3BB712">
      <w:pPr>
        <w:pageBreakBefore w:val="0"/>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（5）发现对方在业务活动中有违反廉政规定的行为，有及时提醒对方纠正的权利和义务。</w:t>
      </w:r>
    </w:p>
    <w:p w14:paraId="0C3BB7CE">
      <w:pPr>
        <w:pageBreakBefore w:val="0"/>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（6）发现对方严重违反本合同义务条款的行为，有向其上级有关部门举报、建议给予处理并要求告知处理结果的权利。</w:t>
      </w:r>
    </w:p>
    <w:p w14:paraId="1909967F">
      <w:pPr>
        <w:pageBreakBefore w:val="0"/>
        <w:kinsoku/>
        <w:wordWrap w:val="0"/>
        <w:bidi w:val="0"/>
        <w:spacing w:line="400" w:lineRule="atLeast"/>
        <w:ind w:firstLine="616" w:firstLineChars="257"/>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2. 发包人的义务</w:t>
      </w:r>
    </w:p>
    <w:p w14:paraId="767F8762">
      <w:pPr>
        <w:pageBreakBefore w:val="0"/>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（1）发包人及其工作人员不得索要或接受承包人的礼金、有价证券和贵重物品，不得让承包人报销任何应由发包人或发包人工作人员个人支付的费用等。</w:t>
      </w:r>
    </w:p>
    <w:p w14:paraId="3E9FD980">
      <w:pPr>
        <w:pageBreakBefore w:val="0"/>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（2）发包人工作人员不得参加承包人安排的超标准宴请和娱乐活动；不得接受承包人提供的通信工具、交通工具和高档办公用品等。</w:t>
      </w:r>
    </w:p>
    <w:p w14:paraId="1B4DE049">
      <w:pPr>
        <w:pageBreakBefore w:val="0"/>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（3）发包人及其工作人员不得要求或者接受承包人为其住房装修、婚丧嫁娶活动、配偶子女的工作安排以及出国出境、旅游等提供方便等。</w:t>
      </w:r>
    </w:p>
    <w:p w14:paraId="1D70C550">
      <w:pPr>
        <w:pageBreakBefore w:val="0"/>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（4）发包人工作人员及其配偶、子女不得从事与发包人工程有关的材料设备供应、工程分包、劳务等经济活动等。</w:t>
      </w:r>
    </w:p>
    <w:p w14:paraId="45FFEE29">
      <w:pPr>
        <w:pageBreakBefore w:val="0"/>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（5）发包人及其工作人员不得以任何理由向承包人推荐分包单位或推销材料，不得要求承包人购买合同规定外的材料和设备。</w:t>
      </w:r>
    </w:p>
    <w:p w14:paraId="01CDA6DF">
      <w:pPr>
        <w:pageBreakBefore w:val="0"/>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（6）发包人工作人员要秉公办事，不准营私舞弊，不准利用职权从事各种个人有偿中介活动和安排个人施工队伍。</w:t>
      </w:r>
    </w:p>
    <w:p w14:paraId="701EB167">
      <w:pPr>
        <w:pageBreakBefore w:val="0"/>
        <w:kinsoku/>
        <w:wordWrap w:val="0"/>
        <w:bidi w:val="0"/>
        <w:spacing w:line="400" w:lineRule="atLeast"/>
        <w:ind w:firstLine="616" w:firstLineChars="257"/>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3. 承包人的义务</w:t>
      </w:r>
    </w:p>
    <w:p w14:paraId="741A2E40">
      <w:pPr>
        <w:pageBreakBefore w:val="0"/>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（1）承包人不得以任何理由向发包人及其工作人员行贿或馈赠礼金、有价证券、贵重礼品。</w:t>
      </w:r>
    </w:p>
    <w:p w14:paraId="7B224EDE">
      <w:pPr>
        <w:pageBreakBefore w:val="0"/>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（2）承包人不得以任何名义为发包人及其工作人员报销应由发包人单位或个人支付的任何费用。</w:t>
      </w:r>
    </w:p>
    <w:p w14:paraId="15A7FA43">
      <w:pPr>
        <w:pageBreakBefore w:val="0"/>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（3）承包人不得以任何理由安排发包人工作人员参加超标准宴请及娱乐活动。</w:t>
      </w:r>
    </w:p>
    <w:p w14:paraId="083CFC06">
      <w:pPr>
        <w:pageBreakBefore w:val="0"/>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（4）承包人不得为发包人单位和个人购置或提供通信工具、交通工具和高档办公用品等。</w:t>
      </w:r>
    </w:p>
    <w:p w14:paraId="5037730A">
      <w:pPr>
        <w:pageBreakBefore w:val="0"/>
        <w:kinsoku/>
        <w:wordWrap w:val="0"/>
        <w:bidi w:val="0"/>
        <w:spacing w:line="400" w:lineRule="atLeast"/>
        <w:ind w:firstLine="616" w:firstLineChars="257"/>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4. 违约责任</w:t>
      </w:r>
    </w:p>
    <w:p w14:paraId="413D21AD">
      <w:pPr>
        <w:pageBreakBefore w:val="0"/>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（1）发包人及其工作人员违反本合同第1、2条，按管理权限，依据有关规定给予党纪、政纪或组织处理；涉嫌犯罪的，移交司法机关追究刑事责任；给承包人单位造成经济损失的，应予以赔偿。</w:t>
      </w:r>
    </w:p>
    <w:p w14:paraId="4494AA67">
      <w:pPr>
        <w:pageBreakBefore w:val="0"/>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2）承包人及其工作人员违反本合同第1、3条，按管理权限，依据有关规定给予党纪、政纪或组织处理；给发包人单位造成经济损失的，应予以赔偿；情节严重的，发包人建议交通运输主管部门给予承包人一至三年内不得进入其主管的公路建设市场的处罚。</w:t>
      </w:r>
    </w:p>
    <w:p w14:paraId="206FEB40">
      <w:pPr>
        <w:pageBreakBefore w:val="0"/>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eastAsia="黑体" w:cs="Times New Roman"/>
          <w:sz w:val="24"/>
          <w:highlight w:val="none"/>
        </w:rPr>
        <w:t>5.</w:t>
      </w:r>
      <w:r>
        <w:rPr>
          <w:rFonts w:hint="default" w:ascii="Times New Roman" w:hAnsi="Times New Roman" w:cs="Times New Roman"/>
          <w:sz w:val="24"/>
          <w:highlight w:val="none"/>
        </w:rPr>
        <w:t xml:space="preserve"> 双方约定：本合同由双方或双方上级单位的纪检监察部门负责监督执行。由发包人或发包人上级单位的纪检监察部门约请承包人或承包人上级单位纪检监察部门对本合同执行情况进行检查，提出在本合同规定范围内的裁定意见。</w:t>
      </w:r>
    </w:p>
    <w:p w14:paraId="166F95AD">
      <w:pPr>
        <w:pageBreakBefore w:val="0"/>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eastAsia="黑体" w:cs="Times New Roman"/>
          <w:sz w:val="24"/>
          <w:highlight w:val="none"/>
        </w:rPr>
        <w:t xml:space="preserve">6. </w:t>
      </w:r>
      <w:r>
        <w:rPr>
          <w:rFonts w:hint="default" w:ascii="Times New Roman" w:hAnsi="Times New Roman" w:cs="Times New Roman"/>
          <w:sz w:val="24"/>
          <w:highlight w:val="none"/>
        </w:rPr>
        <w:t>本合同有效期为发包人和承包人签署之日起至该工程项目竣工验收后止。</w:t>
      </w:r>
    </w:p>
    <w:p w14:paraId="049085C5">
      <w:pPr>
        <w:pageBreakBefore w:val="0"/>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eastAsia="黑体" w:cs="Times New Roman"/>
          <w:sz w:val="24"/>
          <w:highlight w:val="none"/>
        </w:rPr>
        <w:t xml:space="preserve">7. </w:t>
      </w:r>
      <w:r>
        <w:rPr>
          <w:rFonts w:hint="default" w:ascii="Times New Roman" w:hAnsi="Times New Roman" w:cs="Times New Roman"/>
          <w:sz w:val="24"/>
          <w:highlight w:val="none"/>
        </w:rPr>
        <w:t>本合同作为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（项目名称）</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标段施工合同的附件，与工程施工合同具有同等的法律效力，经合同双方签署后立即生效。</w:t>
      </w:r>
    </w:p>
    <w:p w14:paraId="4ED4B5EE">
      <w:pPr>
        <w:pageBreakBefore w:val="0"/>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eastAsia="黑体" w:cs="Times New Roman"/>
          <w:sz w:val="24"/>
          <w:highlight w:val="none"/>
        </w:rPr>
        <w:t>8.</w:t>
      </w:r>
      <w:r>
        <w:rPr>
          <w:rFonts w:hint="default" w:ascii="Times New Roman" w:hAnsi="Times New Roman" w:cs="Times New Roman"/>
          <w:sz w:val="24"/>
          <w:highlight w:val="none"/>
        </w:rPr>
        <w:t xml:space="preserve"> 本合同一式四份，由发包人和承包人各执一份，送交发包人和承包人的监督单位各一份。</w:t>
      </w:r>
    </w:p>
    <w:p w14:paraId="18D57234">
      <w:pPr>
        <w:pageBreakBefore w:val="0"/>
        <w:kinsoku/>
        <w:wordWrap w:val="0"/>
        <w:bidi w:val="0"/>
        <w:spacing w:line="400" w:lineRule="atLeast"/>
        <w:rPr>
          <w:rFonts w:hint="default" w:ascii="Times New Roman" w:hAnsi="Times New Roman" w:cs="Times New Roman"/>
          <w:sz w:val="24"/>
          <w:highlight w:val="none"/>
        </w:rPr>
      </w:pPr>
    </w:p>
    <w:p w14:paraId="54D4D8CD">
      <w:pPr>
        <w:pageBreakBefore w:val="0"/>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发包人：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（盖单位章）     承包人：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（盖单位章）</w:t>
      </w:r>
    </w:p>
    <w:p w14:paraId="1DAAD86E">
      <w:pPr>
        <w:pageBreakBefore w:val="0"/>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法定代表人或其委托代理人：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（签字）  法定代表人或其委托代理人：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（签字）</w:t>
      </w:r>
    </w:p>
    <w:p w14:paraId="6F1A2211">
      <w:pPr>
        <w:pageBreakBefore w:val="0"/>
        <w:kinsoku/>
        <w:wordWrap w:val="0"/>
        <w:bidi w:val="0"/>
        <w:spacing w:line="440" w:lineRule="exact"/>
        <w:ind w:firstLine="840" w:firstLineChars="350"/>
        <w:rPr>
          <w:rFonts w:hint="default" w:ascii="Times New Roman" w:hAnsi="Times New Roman" w:cs="Times New Roman"/>
          <w:sz w:val="24"/>
          <w:highlight w:val="none"/>
        </w:rPr>
      </w:pP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月</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日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月</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日</w:t>
      </w:r>
    </w:p>
    <w:p w14:paraId="3FDF8CBB">
      <w:pPr>
        <w:pageBreakBefore w:val="0"/>
        <w:kinsoku/>
        <w:wordWrap w:val="0"/>
        <w:bidi w:val="0"/>
        <w:spacing w:line="440" w:lineRule="exact"/>
        <w:ind w:firstLine="360" w:firstLineChars="150"/>
        <w:rPr>
          <w:rFonts w:hint="default" w:ascii="Times New Roman" w:hAnsi="Times New Roman" w:cs="Times New Roman"/>
          <w:sz w:val="24"/>
          <w:highlight w:val="none"/>
        </w:rPr>
      </w:pPr>
    </w:p>
    <w:p w14:paraId="312C5A7A">
      <w:pPr>
        <w:pageBreakBefore w:val="0"/>
        <w:kinsoku/>
        <w:wordWrap w:val="0"/>
        <w:bidi w:val="0"/>
        <w:spacing w:line="400" w:lineRule="atLeast"/>
        <w:rPr>
          <w:rFonts w:hint="default" w:ascii="Times New Roman" w:hAnsi="Times New Roman" w:cs="Times New Roman"/>
          <w:sz w:val="24"/>
          <w:highlight w:val="none"/>
          <w:u w:val="single"/>
        </w:rPr>
      </w:pPr>
      <w:r>
        <w:rPr>
          <w:rFonts w:hint="default" w:ascii="Times New Roman" w:hAnsi="Times New Roman" w:cs="Times New Roman"/>
          <w:sz w:val="24"/>
          <w:highlight w:val="none"/>
        </w:rPr>
        <w:t>发包人监督单位：</w:t>
      </w:r>
      <w:r>
        <w:rPr>
          <w:rFonts w:hint="default" w:ascii="Times New Roman" w:hAnsi="Times New Roman" w:cs="Times New Roman"/>
          <w:sz w:val="24"/>
          <w:highlight w:val="none"/>
          <w:u w:val="single"/>
        </w:rPr>
        <w:t>（全称）（盖单位章）</w:t>
      </w:r>
      <w:r>
        <w:rPr>
          <w:rFonts w:hint="default" w:ascii="Times New Roman" w:hAnsi="Times New Roman" w:cs="Times New Roman"/>
          <w:sz w:val="24"/>
          <w:highlight w:val="none"/>
        </w:rPr>
        <w:t xml:space="preserve">     承包人监督单位：</w:t>
      </w:r>
      <w:r>
        <w:rPr>
          <w:rFonts w:hint="default" w:ascii="Times New Roman" w:hAnsi="Times New Roman" w:cs="Times New Roman"/>
          <w:sz w:val="24"/>
          <w:highlight w:val="none"/>
          <w:u w:val="single"/>
        </w:rPr>
        <w:t>（全称）（盖单位章）</w:t>
      </w:r>
    </w:p>
    <w:p w14:paraId="6228794E">
      <w:pPr>
        <w:pageBreakBefore w:val="0"/>
        <w:kinsoku/>
        <w:wordWrap w:val="0"/>
        <w:bidi w:val="0"/>
        <w:spacing w:line="400" w:lineRule="atLeast"/>
        <w:rPr>
          <w:rFonts w:hint="default" w:ascii="Times New Roman" w:hAnsi="Times New Roman" w:cs="Times New Roman"/>
          <w:sz w:val="24"/>
          <w:highlight w:val="none"/>
        </w:rPr>
      </w:pPr>
    </w:p>
    <w:p w14:paraId="5FCE19BE">
      <w:pPr>
        <w:pStyle w:val="2"/>
        <w:pageBreakBefore w:val="0"/>
        <w:kinsoku/>
        <w:wordWrap w:val="0"/>
        <w:bidi w:val="0"/>
        <w:spacing w:before="0" w:after="0" w:line="380" w:lineRule="atLeast"/>
        <w:rPr>
          <w:rFonts w:hint="default" w:ascii="Times New Roman" w:hAnsi="Times New Roman" w:eastAsia="黑体" w:cs="Times New Roman"/>
          <w:b w:val="0"/>
          <w:sz w:val="24"/>
          <w:szCs w:val="24"/>
          <w:highlight w:val="none"/>
        </w:rPr>
      </w:pPr>
      <w:r>
        <w:rPr>
          <w:rFonts w:hint="default" w:ascii="Times New Roman" w:hAnsi="Times New Roman" w:cs="Times New Roman"/>
          <w:sz w:val="24"/>
          <w:highlight w:val="none"/>
        </w:rPr>
        <w:br w:type="page"/>
      </w:r>
      <w:bookmarkStart w:id="1397" w:name="_Toc17848"/>
      <w:bookmarkStart w:id="1398" w:name="_Toc20728"/>
      <w:bookmarkStart w:id="1399" w:name="_Toc234833233"/>
      <w:bookmarkStart w:id="1400" w:name="_Toc1095"/>
      <w:r>
        <w:rPr>
          <w:rFonts w:hint="default" w:ascii="Times New Roman" w:hAnsi="Times New Roman" w:eastAsia="黑体" w:cs="Times New Roman"/>
          <w:b w:val="0"/>
          <w:sz w:val="24"/>
          <w:szCs w:val="24"/>
          <w:highlight w:val="none"/>
        </w:rPr>
        <w:t>附件三</w:t>
      </w:r>
      <w:r>
        <w:rPr>
          <w:rFonts w:hint="default" w:ascii="Times New Roman" w:hAnsi="Times New Roman" w:eastAsia="黑体" w:cs="Times New Roman"/>
          <w:b w:val="0"/>
          <w:sz w:val="24"/>
          <w:szCs w:val="24"/>
          <w:highlight w:val="none"/>
          <w:lang w:eastAsia="zh-CN"/>
        </w:rPr>
        <w:t xml:space="preserve"> </w:t>
      </w:r>
      <w:r>
        <w:rPr>
          <w:rFonts w:hint="default" w:ascii="Times New Roman" w:hAnsi="Times New Roman" w:eastAsia="黑体" w:cs="Times New Roman"/>
          <w:b w:val="0"/>
          <w:sz w:val="24"/>
          <w:szCs w:val="24"/>
          <w:highlight w:val="none"/>
        </w:rPr>
        <w:t>安全生产合同</w:t>
      </w:r>
      <w:bookmarkEnd w:id="1397"/>
      <w:bookmarkEnd w:id="1398"/>
      <w:bookmarkEnd w:id="1399"/>
      <w:bookmarkEnd w:id="1400"/>
    </w:p>
    <w:p w14:paraId="09B57D30">
      <w:pPr>
        <w:pageBreakBefore w:val="0"/>
        <w:kinsoku/>
        <w:wordWrap w:val="0"/>
        <w:bidi w:val="0"/>
        <w:spacing w:line="390" w:lineRule="atLeast"/>
        <w:jc w:val="center"/>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安全生产合同</w:t>
      </w:r>
    </w:p>
    <w:p w14:paraId="38E2677C">
      <w:pPr>
        <w:pageBreakBefore w:val="0"/>
        <w:kinsoku/>
        <w:wordWrap w:val="0"/>
        <w:bidi w:val="0"/>
        <w:spacing w:line="390" w:lineRule="atLeast"/>
        <w:rPr>
          <w:rFonts w:hint="default" w:ascii="Times New Roman" w:hAnsi="Times New Roman" w:eastAsia="黑体" w:cs="Times New Roman"/>
          <w:b/>
          <w:sz w:val="24"/>
          <w:highlight w:val="none"/>
        </w:rPr>
      </w:pPr>
    </w:p>
    <w:p w14:paraId="6F761F7C">
      <w:pPr>
        <w:pageBreakBefore w:val="0"/>
        <w:kinsoku/>
        <w:wordWrap w:val="0"/>
        <w:bidi w:val="0"/>
        <w:spacing w:line="39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为在</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（项目名称）</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标段施工合同的实施过程中创造安全、高效的施工环境，切实搞好本项目的安全管理工作，本项目发包人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（发包人名称，以下简称</w:t>
      </w:r>
      <w:r>
        <w:rPr>
          <w:rFonts w:hint="eastAsia" w:ascii="宋体" w:hAnsi="宋体" w:eastAsia="宋体" w:cs="宋体"/>
          <w:sz w:val="24"/>
          <w:highlight w:val="none"/>
        </w:rPr>
        <w:t>“</w:t>
      </w:r>
      <w:r>
        <w:rPr>
          <w:rFonts w:hint="default" w:ascii="Times New Roman" w:hAnsi="Times New Roman" w:cs="Times New Roman"/>
          <w:sz w:val="24"/>
          <w:highlight w:val="none"/>
        </w:rPr>
        <w:t>发包人</w:t>
      </w:r>
      <w:r>
        <w:rPr>
          <w:rFonts w:hint="eastAsia" w:ascii="宋体" w:hAnsi="宋体" w:eastAsia="宋体" w:cs="宋体"/>
          <w:sz w:val="24"/>
          <w:highlight w:val="none"/>
        </w:rPr>
        <w:t>”</w:t>
      </w:r>
      <w:r>
        <w:rPr>
          <w:rFonts w:hint="default" w:ascii="Times New Roman" w:hAnsi="Times New Roman" w:cs="Times New Roman"/>
          <w:sz w:val="24"/>
          <w:highlight w:val="none"/>
        </w:rPr>
        <w:t>）与承包人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（承包人名称，以下简称</w:t>
      </w:r>
      <w:r>
        <w:rPr>
          <w:rFonts w:hint="eastAsia" w:ascii="宋体" w:hAnsi="宋体" w:eastAsia="宋体" w:cs="宋体"/>
          <w:sz w:val="24"/>
          <w:highlight w:val="none"/>
        </w:rPr>
        <w:t>“</w:t>
      </w:r>
      <w:r>
        <w:rPr>
          <w:rFonts w:hint="default" w:ascii="Times New Roman" w:hAnsi="Times New Roman" w:cs="Times New Roman"/>
          <w:sz w:val="24"/>
          <w:highlight w:val="none"/>
        </w:rPr>
        <w:t>承包人</w:t>
      </w:r>
      <w:r>
        <w:rPr>
          <w:rFonts w:hint="eastAsia" w:ascii="宋体" w:hAnsi="宋体" w:eastAsia="宋体" w:cs="宋体"/>
          <w:sz w:val="24"/>
          <w:highlight w:val="none"/>
        </w:rPr>
        <w:t>”</w:t>
      </w:r>
      <w:r>
        <w:rPr>
          <w:rFonts w:hint="default" w:ascii="Times New Roman" w:hAnsi="Times New Roman" w:cs="Times New Roman"/>
          <w:sz w:val="24"/>
          <w:highlight w:val="none"/>
        </w:rPr>
        <w:t>）特此签订安全生产合同。</w:t>
      </w:r>
    </w:p>
    <w:p w14:paraId="44BDCA4E">
      <w:pPr>
        <w:pageBreakBefore w:val="0"/>
        <w:kinsoku/>
        <w:wordWrap w:val="0"/>
        <w:bidi w:val="0"/>
        <w:spacing w:line="390" w:lineRule="atLeast"/>
        <w:ind w:firstLine="616" w:firstLineChars="257"/>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1.发包人职责</w:t>
      </w:r>
    </w:p>
    <w:p w14:paraId="60C6C146">
      <w:pPr>
        <w:pageBreakBefore w:val="0"/>
        <w:kinsoku/>
        <w:wordWrap w:val="0"/>
        <w:bidi w:val="0"/>
        <w:spacing w:line="39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（1）严格遵守国家有关安全生产的法律法规，认真执行工程承包合同中的有关安全要求。</w:t>
      </w:r>
    </w:p>
    <w:p w14:paraId="66BEC790">
      <w:pPr>
        <w:pageBreakBefore w:val="0"/>
        <w:kinsoku/>
        <w:wordWrap w:val="0"/>
        <w:bidi w:val="0"/>
        <w:spacing w:line="39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（2）按照</w:t>
      </w:r>
      <w:r>
        <w:rPr>
          <w:rFonts w:hint="eastAsia" w:ascii="宋体" w:hAnsi="宋体" w:eastAsia="宋体" w:cs="宋体"/>
          <w:sz w:val="24"/>
          <w:highlight w:val="none"/>
        </w:rPr>
        <w:t>“</w:t>
      </w:r>
      <w:r>
        <w:rPr>
          <w:rFonts w:hint="default" w:ascii="Times New Roman" w:hAnsi="Times New Roman" w:cs="Times New Roman"/>
          <w:sz w:val="24"/>
          <w:highlight w:val="none"/>
        </w:rPr>
        <w:t>安全第一、预防为主、综合治理</w:t>
      </w:r>
      <w:r>
        <w:rPr>
          <w:rFonts w:hint="eastAsia" w:ascii="宋体" w:hAnsi="宋体" w:eastAsia="宋体" w:cs="宋体"/>
          <w:sz w:val="24"/>
          <w:highlight w:val="none"/>
        </w:rPr>
        <w:t>”</w:t>
      </w:r>
      <w:r>
        <w:rPr>
          <w:rFonts w:hint="default" w:ascii="Times New Roman" w:hAnsi="Times New Roman" w:cs="Times New Roman"/>
          <w:sz w:val="24"/>
          <w:highlight w:val="none"/>
        </w:rPr>
        <w:t>和坚持</w:t>
      </w:r>
      <w:r>
        <w:rPr>
          <w:rFonts w:hint="eastAsia" w:ascii="宋体" w:hAnsi="宋体" w:eastAsia="宋体" w:cs="宋体"/>
          <w:sz w:val="24"/>
          <w:highlight w:val="none"/>
        </w:rPr>
        <w:t>“</w:t>
      </w:r>
      <w:r>
        <w:rPr>
          <w:rFonts w:hint="default" w:ascii="Times New Roman" w:hAnsi="Times New Roman" w:cs="Times New Roman"/>
          <w:sz w:val="24"/>
          <w:highlight w:val="none"/>
        </w:rPr>
        <w:t>管生产必须管安全</w:t>
      </w:r>
      <w:r>
        <w:rPr>
          <w:rFonts w:hint="eastAsia" w:ascii="宋体" w:hAnsi="宋体" w:eastAsia="宋体" w:cs="宋体"/>
          <w:sz w:val="24"/>
          <w:highlight w:val="none"/>
        </w:rPr>
        <w:t>”</w:t>
      </w:r>
      <w:r>
        <w:rPr>
          <w:rFonts w:hint="default" w:ascii="Times New Roman" w:hAnsi="Times New Roman" w:cs="Times New Roman"/>
          <w:sz w:val="24"/>
          <w:highlight w:val="none"/>
        </w:rPr>
        <w:t>的原则进行安全生产管理，做到生产与安全工作同时计划、布置、检查、总结和评比。</w:t>
      </w:r>
    </w:p>
    <w:p w14:paraId="40D25665">
      <w:pPr>
        <w:pageBreakBefore w:val="0"/>
        <w:kinsoku/>
        <w:wordWrap w:val="0"/>
        <w:bidi w:val="0"/>
        <w:spacing w:line="39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（3）重要的安全设施必须坚持与主体工程</w:t>
      </w:r>
      <w:r>
        <w:rPr>
          <w:rFonts w:hint="eastAsia" w:ascii="宋体" w:hAnsi="宋体" w:eastAsia="宋体" w:cs="宋体"/>
          <w:sz w:val="24"/>
          <w:highlight w:val="none"/>
        </w:rPr>
        <w:t>“</w:t>
      </w:r>
      <w:r>
        <w:rPr>
          <w:rFonts w:hint="default" w:ascii="Times New Roman" w:hAnsi="Times New Roman" w:cs="Times New Roman"/>
          <w:sz w:val="24"/>
          <w:highlight w:val="none"/>
        </w:rPr>
        <w:t>三同时</w:t>
      </w:r>
      <w:r>
        <w:rPr>
          <w:rFonts w:hint="eastAsia" w:ascii="宋体" w:hAnsi="宋体" w:eastAsia="宋体" w:cs="宋体"/>
          <w:sz w:val="24"/>
          <w:highlight w:val="none"/>
        </w:rPr>
        <w:t>”</w:t>
      </w:r>
      <w:r>
        <w:rPr>
          <w:rFonts w:hint="default" w:ascii="Times New Roman" w:hAnsi="Times New Roman" w:cs="Times New Roman"/>
          <w:sz w:val="24"/>
          <w:highlight w:val="none"/>
        </w:rPr>
        <w:t>的原则，即：同时设计、审批，同时施工，同时验收，投入使用。</w:t>
      </w:r>
    </w:p>
    <w:p w14:paraId="41F82852">
      <w:pPr>
        <w:pageBreakBefore w:val="0"/>
        <w:kinsoku/>
        <w:wordWrap w:val="0"/>
        <w:bidi w:val="0"/>
        <w:spacing w:line="39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（4）定期召开安全生产调度会，及时传达中央及地方有关安全生产的精神。</w:t>
      </w:r>
    </w:p>
    <w:p w14:paraId="3A70F764">
      <w:pPr>
        <w:pageBreakBefore w:val="0"/>
        <w:kinsoku/>
        <w:wordWrap w:val="0"/>
        <w:bidi w:val="0"/>
        <w:spacing w:line="39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（5）组织对承包人施工现场进行安全生产检查，监督承包人及时处理发现的各种安全隐患。</w:t>
      </w:r>
    </w:p>
    <w:p w14:paraId="6FC627E6">
      <w:pPr>
        <w:pageBreakBefore w:val="0"/>
        <w:kinsoku/>
        <w:wordWrap w:val="0"/>
        <w:bidi w:val="0"/>
        <w:spacing w:line="390" w:lineRule="atLeast"/>
        <w:ind w:firstLine="616" w:firstLineChars="257"/>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2.承包人职责</w:t>
      </w:r>
    </w:p>
    <w:p w14:paraId="1605C9EE">
      <w:pPr>
        <w:pageBreakBefore w:val="0"/>
        <w:kinsoku/>
        <w:wordWrap w:val="0"/>
        <w:bidi w:val="0"/>
        <w:spacing w:line="39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1）严格遵守《中华人民共和国安全生产法》《建设工程安全生产管理条例》等国家有关安全生产的法律法规、《公路水运工程安全生产监督管理办法》和《公路工程施工安全技术规范》等有关安全生产的规定。认真执行工程承包合同中的有关安全要求。</w:t>
      </w:r>
    </w:p>
    <w:p w14:paraId="40324687">
      <w:pPr>
        <w:pageBreakBefore w:val="0"/>
        <w:kinsoku/>
        <w:wordWrap w:val="0"/>
        <w:bidi w:val="0"/>
        <w:spacing w:line="39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（2）坚持</w:t>
      </w:r>
      <w:r>
        <w:rPr>
          <w:rFonts w:hint="eastAsia" w:ascii="宋体" w:hAnsi="宋体" w:eastAsia="宋体" w:cs="宋体"/>
          <w:sz w:val="24"/>
          <w:highlight w:val="none"/>
        </w:rPr>
        <w:t>“</w:t>
      </w:r>
      <w:r>
        <w:rPr>
          <w:rFonts w:hint="default" w:ascii="Times New Roman" w:hAnsi="Times New Roman" w:cs="Times New Roman"/>
          <w:sz w:val="24"/>
          <w:highlight w:val="none"/>
        </w:rPr>
        <w:t>安全第一、预防为主、综合治理</w:t>
      </w:r>
      <w:r>
        <w:rPr>
          <w:rFonts w:hint="eastAsia" w:ascii="宋体" w:hAnsi="宋体" w:eastAsia="宋体" w:cs="宋体"/>
          <w:sz w:val="24"/>
          <w:highlight w:val="none"/>
        </w:rPr>
        <w:t>”</w:t>
      </w:r>
      <w:r>
        <w:rPr>
          <w:rFonts w:hint="default" w:ascii="Times New Roman" w:hAnsi="Times New Roman" w:cs="Times New Roman"/>
          <w:sz w:val="24"/>
          <w:highlight w:val="none"/>
        </w:rPr>
        <w:t>和</w:t>
      </w:r>
      <w:r>
        <w:rPr>
          <w:rFonts w:hint="eastAsia" w:ascii="宋体" w:hAnsi="宋体" w:eastAsia="宋体" w:cs="宋体"/>
          <w:sz w:val="24"/>
          <w:highlight w:val="none"/>
        </w:rPr>
        <w:t>“</w:t>
      </w:r>
      <w:r>
        <w:rPr>
          <w:rFonts w:hint="default" w:ascii="Times New Roman" w:hAnsi="Times New Roman" w:cs="Times New Roman"/>
          <w:sz w:val="24"/>
          <w:highlight w:val="none"/>
        </w:rPr>
        <w:t>管生产必须管安全</w:t>
      </w:r>
      <w:r>
        <w:rPr>
          <w:rFonts w:hint="eastAsia" w:ascii="宋体" w:hAnsi="宋体" w:eastAsia="宋体" w:cs="宋体"/>
          <w:sz w:val="24"/>
          <w:highlight w:val="none"/>
        </w:rPr>
        <w:t>”</w:t>
      </w:r>
      <w:r>
        <w:rPr>
          <w:rFonts w:hint="default" w:ascii="Times New Roman" w:hAnsi="Times New Roman" w:cs="Times New Roman"/>
          <w:sz w:val="24"/>
          <w:highlight w:val="none"/>
        </w:rPr>
        <w:t>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合同的各项规定，做到生产与安全工作同时计划、布置、检查、总结和评比。</w:t>
      </w:r>
    </w:p>
    <w:p w14:paraId="53BB9068">
      <w:pPr>
        <w:pageBreakBefore w:val="0"/>
        <w:kinsoku/>
        <w:wordWrap w:val="0"/>
        <w:bidi w:val="0"/>
        <w:spacing w:line="39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3）建立健全安全生产责任制。从派往项目实施的项目经理到生产工人（包括临时雇请的民工）的安全生产管理系统必须做到纵向到底，一环不漏；各职能部门、人员的安全生产责任制做到横向到边，人人有责。项目经理是安全生产的第一责任人。现场设置的安全机构，应按《公路水运工程安全生产监督管理办法》规定的最低数量和资质条件配备专职安全生产管理人员，专职负责所有员工的安全和治安保卫工作及预防事故的发生。安全机构人员有权按有关规定发布指令，并采取保护性措施防止事故发生。</w:t>
      </w:r>
    </w:p>
    <w:p w14:paraId="686AA125">
      <w:pPr>
        <w:pageBreakBefore w:val="0"/>
        <w:kinsoku/>
        <w:wordWrap w:val="0"/>
        <w:bidi w:val="0"/>
        <w:spacing w:line="39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（4）承包人在任何时候都应采取各种合理的预防措施，防止其员工发生任何违法、违禁、暴力或妨碍治安的行为。</w:t>
      </w:r>
    </w:p>
    <w:p w14:paraId="0874224E">
      <w:pPr>
        <w:pageBreakBefore w:val="0"/>
        <w:kinsoku/>
        <w:wordWrap w:val="0"/>
        <w:bidi w:val="0"/>
        <w:spacing w:line="39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5）承包人必须具有劳动安全管理部门颁发的安全生产考核合格证书，参加施工的人员，必须接受安全技术教育，熟知和遵守本工种的各项安全技术操作规程，定期进行安全技术考核，合格者方准上岗操作。对于从事电气、起重、建筑登高架设作业、锅炉、压力容器、焊接、机动车船艇驾驶、爆破、潜水、瓦斯检验等特殊工种的人员，经过专业培训，获得《安全操作合格证》后，方准持证上岗。施工现场如出现特种作业无证操作现象时，项目经理必须承担管理责任。</w:t>
      </w:r>
    </w:p>
    <w:p w14:paraId="2C9EABAA">
      <w:pPr>
        <w:pageBreakBefore w:val="0"/>
        <w:kinsoku/>
        <w:wordWrap w:val="0"/>
        <w:bidi w:val="0"/>
        <w:spacing w:line="39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6）对于易燃易爆的材料除应专门妥善保管之外，还应配备有足够的消防设施，所有施工人员都应熟悉消防设备的性能和使用方法；承包人不得将任何种类的爆炸物给予、易货或以其他方式转让给任何其他人，或允许、容忍上述同样行为。</w:t>
      </w:r>
    </w:p>
    <w:p w14:paraId="035B08AC">
      <w:pPr>
        <w:pageBreakBefore w:val="0"/>
        <w:kinsoku/>
        <w:wordWrap w:val="0"/>
        <w:bidi w:val="0"/>
        <w:spacing w:line="39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（7）操作人员上岗，必须按规定穿戴防护用品。施工负责人和安全检查员应随时检查劳动防护用品的穿戴情况，不按规定穿戴防护用品的人员不得上岗。</w:t>
      </w:r>
    </w:p>
    <w:p w14:paraId="27233924">
      <w:pPr>
        <w:pageBreakBefore w:val="0"/>
        <w:kinsoku/>
        <w:wordWrap w:val="0"/>
        <w:bidi w:val="0"/>
        <w:spacing w:line="39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（8）所有施工机具设备和高空作业的设备均应定期检查，并有安全员的签字记录，保证其经常处于完好状态；不合格的机具、设备和劳动保护用品严禁使用。</w:t>
      </w:r>
    </w:p>
    <w:p w14:paraId="0AB3DBFE">
      <w:pPr>
        <w:pageBreakBefore w:val="0"/>
        <w:kinsoku/>
        <w:wordWrap w:val="0"/>
        <w:bidi w:val="0"/>
        <w:spacing w:line="39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（9）施工中采用新技术、新工艺、新设备、新材料时，必须制定相应的安全技术措施，施工现场必须具有相关的安全标志牌。</w:t>
      </w:r>
    </w:p>
    <w:p w14:paraId="66C5031C">
      <w:pPr>
        <w:pageBreakBefore w:val="0"/>
        <w:kinsoku/>
        <w:wordWrap w:val="0"/>
        <w:bidi w:val="0"/>
        <w:spacing w:line="39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10）承包人必须按照本工程项目特点，组织制定本工程实施中的生产安全事故应急救援预案；如果发生安全事故，应按照《国务院关于特大安全事故行政责任追究的规定》以及其他有关规定，及时上报有关部门，并坚持</w:t>
      </w:r>
      <w:r>
        <w:rPr>
          <w:rFonts w:hint="eastAsia" w:ascii="宋体" w:hAnsi="宋体" w:eastAsia="宋体" w:cs="宋体"/>
          <w:sz w:val="24"/>
          <w:highlight w:val="none"/>
        </w:rPr>
        <w:t>“</w:t>
      </w:r>
      <w:r>
        <w:rPr>
          <w:rFonts w:hint="default" w:ascii="Times New Roman" w:hAnsi="Times New Roman" w:cs="Times New Roman"/>
          <w:sz w:val="24"/>
          <w:highlight w:val="none"/>
        </w:rPr>
        <w:t>四不放过</w:t>
      </w:r>
      <w:r>
        <w:rPr>
          <w:rFonts w:hint="eastAsia" w:ascii="宋体" w:hAnsi="宋体" w:eastAsia="宋体" w:cs="宋体"/>
          <w:sz w:val="24"/>
          <w:highlight w:val="none"/>
        </w:rPr>
        <w:t>”</w:t>
      </w:r>
      <w:r>
        <w:rPr>
          <w:rFonts w:hint="default" w:ascii="Times New Roman" w:hAnsi="Times New Roman" w:cs="Times New Roman"/>
          <w:sz w:val="24"/>
          <w:highlight w:val="none"/>
        </w:rPr>
        <w:t>的原则，严肃处理相关责任人。</w:t>
      </w:r>
    </w:p>
    <w:p w14:paraId="3D3C1722">
      <w:pPr>
        <w:pageBreakBefore w:val="0"/>
        <w:kinsoku/>
        <w:wordWrap w:val="0"/>
        <w:bidi w:val="0"/>
        <w:spacing w:line="39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（11）安全生产费用按照</w:t>
      </w:r>
      <w:bookmarkStart w:id="1401" w:name="_Toc187470650"/>
      <w:r>
        <w:rPr>
          <w:rFonts w:hint="default" w:ascii="Times New Roman" w:hAnsi="Times New Roman" w:cs="Times New Roman"/>
          <w:sz w:val="24"/>
          <w:highlight w:val="none"/>
        </w:rPr>
        <w:t>《公路水运工程安全生产监督管理办法</w:t>
      </w:r>
      <w:bookmarkEnd w:id="1401"/>
      <w:r>
        <w:rPr>
          <w:rFonts w:hint="default" w:ascii="Times New Roman" w:hAnsi="Times New Roman" w:cs="Times New Roman"/>
          <w:sz w:val="24"/>
          <w:highlight w:val="none"/>
        </w:rPr>
        <w:t>》的相关规定使用和管理。</w:t>
      </w:r>
    </w:p>
    <w:p w14:paraId="7A6BA294">
      <w:pPr>
        <w:pageBreakBefore w:val="0"/>
        <w:kinsoku/>
        <w:wordWrap w:val="0"/>
        <w:bidi w:val="0"/>
        <w:spacing w:line="390" w:lineRule="atLeast"/>
        <w:ind w:firstLine="616" w:firstLineChars="257"/>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3.违约责任</w:t>
      </w:r>
    </w:p>
    <w:p w14:paraId="4C21FB70">
      <w:pPr>
        <w:pageBreakBefore w:val="0"/>
        <w:kinsoku/>
        <w:wordWrap w:val="0"/>
        <w:bidi w:val="0"/>
        <w:spacing w:line="39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如因发包人或承包人违约造成安全事故，将依法追究责任。</w:t>
      </w:r>
    </w:p>
    <w:p w14:paraId="629AAF80">
      <w:pPr>
        <w:pageBreakBefore w:val="0"/>
        <w:kinsoku/>
        <w:wordWrap w:val="0"/>
        <w:bidi w:val="0"/>
        <w:spacing w:line="39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4. 本合同由双方法定代表人或其授权的代理人签署并加盖单位章后生效，全部工程竣工验收后失效。</w:t>
      </w:r>
    </w:p>
    <w:p w14:paraId="6A08C50A">
      <w:pPr>
        <w:pageBreakBefore w:val="0"/>
        <w:kinsoku/>
        <w:wordWrap w:val="0"/>
        <w:bidi w:val="0"/>
        <w:spacing w:line="39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5. 本合同正本二份、副本____份，合同双方各执正本一份，副本____份，当正本与副本的内容不一致时，以正本为准。</w:t>
      </w:r>
    </w:p>
    <w:p w14:paraId="0AB33D9F">
      <w:pPr>
        <w:pageBreakBefore w:val="0"/>
        <w:kinsoku/>
        <w:wordWrap w:val="0"/>
        <w:bidi w:val="0"/>
        <w:spacing w:line="400" w:lineRule="atLeast"/>
        <w:ind w:firstLine="525"/>
        <w:rPr>
          <w:rFonts w:hint="default" w:ascii="Times New Roman" w:hAnsi="Times New Roman" w:cs="Times New Roman"/>
          <w:sz w:val="24"/>
          <w:highlight w:val="none"/>
        </w:rPr>
      </w:pPr>
    </w:p>
    <w:p w14:paraId="1D498AB8">
      <w:pPr>
        <w:pageBreakBefore w:val="0"/>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发包人：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（盖单位章）     承包人：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（盖单位章）</w:t>
      </w:r>
    </w:p>
    <w:p w14:paraId="737DCF9D">
      <w:pPr>
        <w:pageBreakBefore w:val="0"/>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法定代表人或其委托代理人：</w:t>
      </w:r>
      <w:r>
        <w:rPr>
          <w:rFonts w:hint="default" w:ascii="Times New Roman" w:hAnsi="Times New Roman" w:cs="Times New Roman"/>
          <w:sz w:val="24"/>
          <w:highlight w:val="none"/>
          <w:u w:val="single"/>
        </w:rPr>
        <w:t xml:space="preserve">  </w:t>
      </w:r>
      <w:r>
        <w:rPr>
          <w:rFonts w:hint="default" w:ascii="Times New Roman" w:hAnsi="Times New Roman" w:cs="Times New Roman"/>
          <w:i/>
          <w:sz w:val="24"/>
          <w:highlight w:val="none"/>
        </w:rPr>
        <w:t>（</w:t>
      </w:r>
      <w:r>
        <w:rPr>
          <w:rFonts w:hint="default" w:ascii="Times New Roman" w:hAnsi="Times New Roman" w:cs="Times New Roman"/>
          <w:sz w:val="24"/>
          <w:highlight w:val="none"/>
        </w:rPr>
        <w:t>签字）  法定代表人或其委托代理人：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（签字）</w:t>
      </w:r>
    </w:p>
    <w:p w14:paraId="7A0833E0">
      <w:pPr>
        <w:pageBreakBefore w:val="0"/>
        <w:kinsoku/>
        <w:wordWrap w:val="0"/>
        <w:bidi w:val="0"/>
        <w:spacing w:line="440" w:lineRule="exact"/>
        <w:ind w:firstLine="840" w:firstLineChars="350"/>
        <w:rPr>
          <w:rFonts w:hint="default" w:ascii="Times New Roman" w:hAnsi="Times New Roman" w:cs="Times New Roman"/>
          <w:sz w:val="24"/>
          <w:highlight w:val="none"/>
        </w:rPr>
      </w:pP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月</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日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月</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日</w:t>
      </w:r>
    </w:p>
    <w:p w14:paraId="6CF6A526">
      <w:pPr>
        <w:pStyle w:val="2"/>
        <w:pageBreakBefore w:val="0"/>
        <w:kinsoku/>
        <w:wordWrap w:val="0"/>
        <w:bidi w:val="0"/>
        <w:spacing w:before="0" w:after="0" w:line="380" w:lineRule="atLeast"/>
        <w:rPr>
          <w:rFonts w:hint="default" w:ascii="Times New Roman" w:hAnsi="Times New Roman" w:eastAsia="黑体" w:cs="Times New Roman"/>
          <w:b w:val="0"/>
          <w:sz w:val="24"/>
          <w:szCs w:val="24"/>
          <w:highlight w:val="none"/>
        </w:rPr>
      </w:pPr>
      <w:r>
        <w:rPr>
          <w:rFonts w:hint="default" w:ascii="Times New Roman" w:hAnsi="Times New Roman" w:eastAsia="黑体" w:cs="Times New Roman"/>
          <w:sz w:val="24"/>
          <w:highlight w:val="none"/>
        </w:rPr>
        <w:br w:type="page"/>
      </w:r>
      <w:bookmarkStart w:id="1402" w:name="_Toc24497"/>
      <w:bookmarkStart w:id="1403" w:name="_Toc24330"/>
      <w:bookmarkStart w:id="1404" w:name="_Toc234833234"/>
      <w:bookmarkStart w:id="1405" w:name="_Toc5077"/>
      <w:r>
        <w:rPr>
          <w:rFonts w:hint="default" w:ascii="Times New Roman" w:hAnsi="Times New Roman" w:eastAsia="黑体" w:cs="Times New Roman"/>
          <w:b w:val="0"/>
          <w:sz w:val="24"/>
          <w:szCs w:val="24"/>
          <w:highlight w:val="none"/>
        </w:rPr>
        <w:t>附件四</w:t>
      </w:r>
      <w:r>
        <w:rPr>
          <w:rFonts w:hint="default" w:ascii="Times New Roman" w:hAnsi="Times New Roman" w:eastAsia="黑体" w:cs="Times New Roman"/>
          <w:b w:val="0"/>
          <w:sz w:val="24"/>
          <w:szCs w:val="24"/>
          <w:highlight w:val="none"/>
          <w:lang w:eastAsia="zh-CN"/>
        </w:rPr>
        <w:t xml:space="preserve"> </w:t>
      </w:r>
      <w:r>
        <w:rPr>
          <w:rFonts w:hint="default" w:ascii="Times New Roman" w:hAnsi="Times New Roman" w:eastAsia="黑体" w:cs="Times New Roman"/>
          <w:b w:val="0"/>
          <w:sz w:val="24"/>
          <w:szCs w:val="24"/>
          <w:highlight w:val="none"/>
        </w:rPr>
        <w:t xml:space="preserve">其他管理和技术人员最低要求 </w:t>
      </w:r>
      <w:r>
        <w:rPr>
          <w:rFonts w:hint="default" w:ascii="Times New Roman" w:hAnsi="Times New Roman" w:cs="Times New Roman"/>
          <w:kern w:val="2"/>
          <w:sz w:val="24"/>
          <w:szCs w:val="24"/>
          <w:highlight w:val="none"/>
          <w:vertAlign w:val="superscript"/>
        </w:rPr>
        <w:footnoteReference w:id="30"/>
      </w:r>
      <w:bookmarkEnd w:id="1402"/>
      <w:bookmarkEnd w:id="1403"/>
      <w:bookmarkEnd w:id="1404"/>
      <w:bookmarkEnd w:id="1405"/>
    </w:p>
    <w:p w14:paraId="48628E32">
      <w:pPr>
        <w:pageBreakBefore w:val="0"/>
        <w:kinsoku/>
        <w:wordWrap w:val="0"/>
        <w:bidi w:val="0"/>
        <w:adjustRightInd w:val="0"/>
        <w:snapToGrid w:val="0"/>
        <w:spacing w:line="400" w:lineRule="atLeast"/>
        <w:rPr>
          <w:rFonts w:hint="default" w:ascii="Times New Roman" w:hAnsi="Times New Roman" w:cs="Times New Roman"/>
          <w:sz w:val="24"/>
          <w:highlight w:val="none"/>
        </w:rPr>
      </w:pP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48"/>
        <w:gridCol w:w="2161"/>
        <w:gridCol w:w="4282"/>
      </w:tblGrid>
      <w:tr w14:paraId="24C42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atLeast"/>
          <w:jc w:val="center"/>
        </w:trPr>
        <w:tc>
          <w:tcPr>
            <w:tcW w:w="2448" w:type="dxa"/>
            <w:noWrap w:val="0"/>
            <w:vAlign w:val="center"/>
          </w:tcPr>
          <w:p w14:paraId="309A0416">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r>
              <w:rPr>
                <w:rFonts w:hint="default" w:ascii="Times New Roman" w:hAnsi="Times New Roman" w:cs="Times New Roman"/>
                <w:sz w:val="24"/>
                <w:highlight w:val="none"/>
              </w:rPr>
              <w:t>人  员</w:t>
            </w:r>
          </w:p>
        </w:tc>
        <w:tc>
          <w:tcPr>
            <w:tcW w:w="2161" w:type="dxa"/>
            <w:noWrap w:val="0"/>
            <w:vAlign w:val="center"/>
          </w:tcPr>
          <w:p w14:paraId="016E127E">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r>
              <w:rPr>
                <w:rFonts w:hint="default" w:ascii="Times New Roman" w:hAnsi="Times New Roman" w:cs="Times New Roman"/>
                <w:sz w:val="24"/>
                <w:highlight w:val="none"/>
              </w:rPr>
              <w:t>数  量</w:t>
            </w:r>
          </w:p>
        </w:tc>
        <w:tc>
          <w:tcPr>
            <w:tcW w:w="4282" w:type="dxa"/>
            <w:noWrap w:val="0"/>
            <w:vAlign w:val="center"/>
          </w:tcPr>
          <w:p w14:paraId="46ED34C5">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r>
              <w:rPr>
                <w:rFonts w:hint="default" w:ascii="Times New Roman" w:hAnsi="Times New Roman" w:cs="Times New Roman"/>
                <w:sz w:val="24"/>
                <w:highlight w:val="none"/>
              </w:rPr>
              <w:t>资 格 要 求</w:t>
            </w:r>
          </w:p>
        </w:tc>
      </w:tr>
      <w:tr w14:paraId="43B27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14:paraId="039DF1ED">
            <w:pPr>
              <w:pageBreakBefore w:val="0"/>
              <w:kinsoku/>
              <w:wordWrap w:val="0"/>
              <w:bidi w:val="0"/>
              <w:spacing w:line="400" w:lineRule="atLeast"/>
              <w:jc w:val="center"/>
              <w:rPr>
                <w:rFonts w:hint="default" w:ascii="Times New Roman" w:hAnsi="Times New Roman" w:cs="Times New Roman"/>
                <w:sz w:val="24"/>
                <w:highlight w:val="none"/>
              </w:rPr>
            </w:pPr>
          </w:p>
        </w:tc>
        <w:tc>
          <w:tcPr>
            <w:tcW w:w="2161" w:type="dxa"/>
            <w:noWrap w:val="0"/>
            <w:vAlign w:val="center"/>
          </w:tcPr>
          <w:p w14:paraId="79A9A541">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4282" w:type="dxa"/>
            <w:noWrap w:val="0"/>
            <w:vAlign w:val="center"/>
          </w:tcPr>
          <w:p w14:paraId="3F19B57D">
            <w:pPr>
              <w:pageBreakBefore w:val="0"/>
              <w:kinsoku/>
              <w:wordWrap w:val="0"/>
              <w:bidi w:val="0"/>
              <w:spacing w:line="400" w:lineRule="atLeast"/>
              <w:rPr>
                <w:rFonts w:hint="default" w:ascii="Times New Roman" w:hAnsi="Times New Roman" w:cs="Times New Roman"/>
                <w:sz w:val="24"/>
                <w:highlight w:val="none"/>
              </w:rPr>
            </w:pPr>
          </w:p>
        </w:tc>
      </w:tr>
      <w:tr w14:paraId="4A0D6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14:paraId="61A4DC5A">
            <w:pPr>
              <w:pageBreakBefore w:val="0"/>
              <w:kinsoku/>
              <w:wordWrap w:val="0"/>
              <w:bidi w:val="0"/>
              <w:spacing w:line="400" w:lineRule="atLeast"/>
              <w:jc w:val="center"/>
              <w:rPr>
                <w:rFonts w:hint="default" w:ascii="Times New Roman" w:hAnsi="Times New Roman" w:cs="Times New Roman"/>
                <w:sz w:val="24"/>
                <w:highlight w:val="none"/>
              </w:rPr>
            </w:pPr>
          </w:p>
        </w:tc>
        <w:tc>
          <w:tcPr>
            <w:tcW w:w="2161" w:type="dxa"/>
            <w:noWrap w:val="0"/>
            <w:vAlign w:val="center"/>
          </w:tcPr>
          <w:p w14:paraId="16FCEF12">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4282" w:type="dxa"/>
            <w:noWrap w:val="0"/>
            <w:vAlign w:val="center"/>
          </w:tcPr>
          <w:p w14:paraId="48364DB0">
            <w:pPr>
              <w:pageBreakBefore w:val="0"/>
              <w:kinsoku/>
              <w:wordWrap w:val="0"/>
              <w:bidi w:val="0"/>
              <w:spacing w:line="400" w:lineRule="atLeast"/>
              <w:rPr>
                <w:rFonts w:hint="default" w:ascii="Times New Roman" w:hAnsi="Times New Roman" w:cs="Times New Roman"/>
                <w:sz w:val="24"/>
                <w:highlight w:val="none"/>
              </w:rPr>
            </w:pPr>
          </w:p>
        </w:tc>
      </w:tr>
      <w:tr w14:paraId="27A37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14:paraId="33364484">
            <w:pPr>
              <w:pageBreakBefore w:val="0"/>
              <w:kinsoku/>
              <w:wordWrap w:val="0"/>
              <w:bidi w:val="0"/>
              <w:spacing w:line="400" w:lineRule="atLeast"/>
              <w:jc w:val="center"/>
              <w:rPr>
                <w:rFonts w:hint="default" w:ascii="Times New Roman" w:hAnsi="Times New Roman" w:cs="Times New Roman"/>
                <w:sz w:val="24"/>
                <w:highlight w:val="none"/>
              </w:rPr>
            </w:pPr>
          </w:p>
        </w:tc>
        <w:tc>
          <w:tcPr>
            <w:tcW w:w="2161" w:type="dxa"/>
            <w:noWrap w:val="0"/>
            <w:vAlign w:val="center"/>
          </w:tcPr>
          <w:p w14:paraId="1F1053FE">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4282" w:type="dxa"/>
            <w:noWrap w:val="0"/>
            <w:vAlign w:val="center"/>
          </w:tcPr>
          <w:p w14:paraId="6FE47368">
            <w:pPr>
              <w:pageBreakBefore w:val="0"/>
              <w:kinsoku/>
              <w:wordWrap w:val="0"/>
              <w:bidi w:val="0"/>
              <w:spacing w:line="400" w:lineRule="atLeast"/>
              <w:rPr>
                <w:rFonts w:hint="default" w:ascii="Times New Roman" w:hAnsi="Times New Roman" w:cs="Times New Roman"/>
                <w:sz w:val="24"/>
                <w:highlight w:val="none"/>
              </w:rPr>
            </w:pPr>
          </w:p>
        </w:tc>
      </w:tr>
      <w:tr w14:paraId="342EF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14:paraId="4118FBD2">
            <w:pPr>
              <w:pageBreakBefore w:val="0"/>
              <w:kinsoku/>
              <w:wordWrap w:val="0"/>
              <w:bidi w:val="0"/>
              <w:spacing w:line="400" w:lineRule="atLeast"/>
              <w:jc w:val="center"/>
              <w:rPr>
                <w:rFonts w:hint="default" w:ascii="Times New Roman" w:hAnsi="Times New Roman" w:cs="Times New Roman"/>
                <w:sz w:val="24"/>
                <w:highlight w:val="none"/>
              </w:rPr>
            </w:pPr>
          </w:p>
        </w:tc>
        <w:tc>
          <w:tcPr>
            <w:tcW w:w="2161" w:type="dxa"/>
            <w:noWrap w:val="0"/>
            <w:vAlign w:val="center"/>
          </w:tcPr>
          <w:p w14:paraId="5EC0CB63">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4282" w:type="dxa"/>
            <w:noWrap w:val="0"/>
            <w:vAlign w:val="center"/>
          </w:tcPr>
          <w:p w14:paraId="6BB413E1">
            <w:pPr>
              <w:pageBreakBefore w:val="0"/>
              <w:kinsoku/>
              <w:wordWrap w:val="0"/>
              <w:bidi w:val="0"/>
              <w:spacing w:line="400" w:lineRule="atLeast"/>
              <w:rPr>
                <w:rFonts w:hint="default" w:ascii="Times New Roman" w:hAnsi="Times New Roman" w:cs="Times New Roman"/>
                <w:sz w:val="24"/>
                <w:highlight w:val="none"/>
              </w:rPr>
            </w:pPr>
          </w:p>
        </w:tc>
      </w:tr>
      <w:tr w14:paraId="02751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14:paraId="062358FD">
            <w:pPr>
              <w:pageBreakBefore w:val="0"/>
              <w:kinsoku/>
              <w:wordWrap w:val="0"/>
              <w:bidi w:val="0"/>
              <w:spacing w:line="400" w:lineRule="atLeast"/>
              <w:jc w:val="center"/>
              <w:rPr>
                <w:rFonts w:hint="default" w:ascii="Times New Roman" w:hAnsi="Times New Roman" w:cs="Times New Roman"/>
                <w:sz w:val="24"/>
                <w:highlight w:val="none"/>
              </w:rPr>
            </w:pPr>
          </w:p>
        </w:tc>
        <w:tc>
          <w:tcPr>
            <w:tcW w:w="2161" w:type="dxa"/>
            <w:noWrap w:val="0"/>
            <w:vAlign w:val="center"/>
          </w:tcPr>
          <w:p w14:paraId="759552F2">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4282" w:type="dxa"/>
            <w:noWrap w:val="0"/>
            <w:vAlign w:val="center"/>
          </w:tcPr>
          <w:p w14:paraId="223AD252">
            <w:pPr>
              <w:pageBreakBefore w:val="0"/>
              <w:kinsoku/>
              <w:wordWrap w:val="0"/>
              <w:bidi w:val="0"/>
              <w:spacing w:line="400" w:lineRule="atLeast"/>
              <w:rPr>
                <w:rFonts w:hint="default" w:ascii="Times New Roman" w:hAnsi="Times New Roman" w:cs="Times New Roman"/>
                <w:sz w:val="24"/>
                <w:highlight w:val="none"/>
              </w:rPr>
            </w:pPr>
          </w:p>
        </w:tc>
      </w:tr>
      <w:tr w14:paraId="3A13C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14:paraId="016DEC07">
            <w:pPr>
              <w:pageBreakBefore w:val="0"/>
              <w:kinsoku/>
              <w:wordWrap w:val="0"/>
              <w:bidi w:val="0"/>
              <w:spacing w:line="400" w:lineRule="atLeast"/>
              <w:jc w:val="center"/>
              <w:rPr>
                <w:rFonts w:hint="default" w:ascii="Times New Roman" w:hAnsi="Times New Roman" w:cs="Times New Roman"/>
                <w:sz w:val="24"/>
                <w:highlight w:val="none"/>
              </w:rPr>
            </w:pPr>
          </w:p>
        </w:tc>
        <w:tc>
          <w:tcPr>
            <w:tcW w:w="2161" w:type="dxa"/>
            <w:noWrap w:val="0"/>
            <w:vAlign w:val="center"/>
          </w:tcPr>
          <w:p w14:paraId="68606787">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4282" w:type="dxa"/>
            <w:noWrap w:val="0"/>
            <w:vAlign w:val="center"/>
          </w:tcPr>
          <w:p w14:paraId="1954A445">
            <w:pPr>
              <w:pageBreakBefore w:val="0"/>
              <w:kinsoku/>
              <w:wordWrap w:val="0"/>
              <w:bidi w:val="0"/>
              <w:spacing w:line="400" w:lineRule="atLeast"/>
              <w:rPr>
                <w:rFonts w:hint="default" w:ascii="Times New Roman" w:hAnsi="Times New Roman" w:cs="Times New Roman"/>
                <w:sz w:val="24"/>
                <w:highlight w:val="none"/>
              </w:rPr>
            </w:pPr>
          </w:p>
        </w:tc>
      </w:tr>
      <w:tr w14:paraId="59B98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14:paraId="27D35305">
            <w:pPr>
              <w:pageBreakBefore w:val="0"/>
              <w:kinsoku/>
              <w:wordWrap w:val="0"/>
              <w:bidi w:val="0"/>
              <w:spacing w:line="400" w:lineRule="atLeast"/>
              <w:jc w:val="center"/>
              <w:rPr>
                <w:rFonts w:hint="default" w:ascii="Times New Roman" w:hAnsi="Times New Roman" w:cs="Times New Roman"/>
                <w:sz w:val="24"/>
                <w:highlight w:val="none"/>
              </w:rPr>
            </w:pPr>
          </w:p>
        </w:tc>
        <w:tc>
          <w:tcPr>
            <w:tcW w:w="2161" w:type="dxa"/>
            <w:noWrap w:val="0"/>
            <w:vAlign w:val="center"/>
          </w:tcPr>
          <w:p w14:paraId="2CA99B39">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4282" w:type="dxa"/>
            <w:noWrap w:val="0"/>
            <w:vAlign w:val="center"/>
          </w:tcPr>
          <w:p w14:paraId="24C557D8">
            <w:pPr>
              <w:pageBreakBefore w:val="0"/>
              <w:kinsoku/>
              <w:wordWrap w:val="0"/>
              <w:bidi w:val="0"/>
              <w:spacing w:line="400" w:lineRule="atLeast"/>
              <w:rPr>
                <w:rFonts w:hint="default" w:ascii="Times New Roman" w:hAnsi="Times New Roman" w:cs="Times New Roman"/>
                <w:sz w:val="24"/>
                <w:highlight w:val="none"/>
              </w:rPr>
            </w:pPr>
          </w:p>
        </w:tc>
      </w:tr>
      <w:tr w14:paraId="35E74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14:paraId="24B405B3">
            <w:pPr>
              <w:pageBreakBefore w:val="0"/>
              <w:kinsoku/>
              <w:wordWrap w:val="0"/>
              <w:bidi w:val="0"/>
              <w:spacing w:line="400" w:lineRule="atLeast"/>
              <w:jc w:val="center"/>
              <w:rPr>
                <w:rFonts w:hint="default" w:ascii="Times New Roman" w:hAnsi="Times New Roman" w:cs="Times New Roman"/>
                <w:sz w:val="24"/>
                <w:highlight w:val="none"/>
              </w:rPr>
            </w:pPr>
          </w:p>
        </w:tc>
        <w:tc>
          <w:tcPr>
            <w:tcW w:w="2161" w:type="dxa"/>
            <w:noWrap w:val="0"/>
            <w:vAlign w:val="center"/>
          </w:tcPr>
          <w:p w14:paraId="083C4DA5">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4282" w:type="dxa"/>
            <w:noWrap w:val="0"/>
            <w:vAlign w:val="center"/>
          </w:tcPr>
          <w:p w14:paraId="486BDD5A">
            <w:pPr>
              <w:pageBreakBefore w:val="0"/>
              <w:kinsoku/>
              <w:wordWrap w:val="0"/>
              <w:bidi w:val="0"/>
              <w:spacing w:line="400" w:lineRule="atLeast"/>
              <w:rPr>
                <w:rFonts w:hint="default" w:ascii="Times New Roman" w:hAnsi="Times New Roman" w:cs="Times New Roman"/>
                <w:sz w:val="24"/>
                <w:highlight w:val="none"/>
              </w:rPr>
            </w:pPr>
          </w:p>
        </w:tc>
      </w:tr>
      <w:tr w14:paraId="5CD32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14:paraId="26151DB2">
            <w:pPr>
              <w:pageBreakBefore w:val="0"/>
              <w:kinsoku/>
              <w:wordWrap w:val="0"/>
              <w:bidi w:val="0"/>
              <w:spacing w:line="400" w:lineRule="atLeast"/>
              <w:jc w:val="center"/>
              <w:rPr>
                <w:rFonts w:hint="default" w:ascii="Times New Roman" w:hAnsi="Times New Roman" w:cs="Times New Roman"/>
                <w:sz w:val="24"/>
                <w:highlight w:val="none"/>
              </w:rPr>
            </w:pPr>
          </w:p>
        </w:tc>
        <w:tc>
          <w:tcPr>
            <w:tcW w:w="2161" w:type="dxa"/>
            <w:noWrap w:val="0"/>
            <w:vAlign w:val="center"/>
          </w:tcPr>
          <w:p w14:paraId="144C0F75">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4282" w:type="dxa"/>
            <w:noWrap w:val="0"/>
            <w:vAlign w:val="center"/>
          </w:tcPr>
          <w:p w14:paraId="2AEAF0E4">
            <w:pPr>
              <w:pageBreakBefore w:val="0"/>
              <w:kinsoku/>
              <w:wordWrap w:val="0"/>
              <w:bidi w:val="0"/>
              <w:spacing w:line="400" w:lineRule="atLeast"/>
              <w:rPr>
                <w:rFonts w:hint="default" w:ascii="Times New Roman" w:hAnsi="Times New Roman" w:cs="Times New Roman"/>
                <w:sz w:val="24"/>
                <w:highlight w:val="none"/>
              </w:rPr>
            </w:pPr>
          </w:p>
        </w:tc>
      </w:tr>
      <w:tr w14:paraId="69E11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14:paraId="476AA04F">
            <w:pPr>
              <w:pageBreakBefore w:val="0"/>
              <w:kinsoku/>
              <w:wordWrap w:val="0"/>
              <w:bidi w:val="0"/>
              <w:spacing w:line="400" w:lineRule="atLeast"/>
              <w:jc w:val="center"/>
              <w:rPr>
                <w:rFonts w:hint="default" w:ascii="Times New Roman" w:hAnsi="Times New Roman" w:cs="Times New Roman"/>
                <w:sz w:val="24"/>
                <w:highlight w:val="none"/>
              </w:rPr>
            </w:pPr>
          </w:p>
        </w:tc>
        <w:tc>
          <w:tcPr>
            <w:tcW w:w="2161" w:type="dxa"/>
            <w:noWrap w:val="0"/>
            <w:vAlign w:val="center"/>
          </w:tcPr>
          <w:p w14:paraId="6D78DF0F">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4282" w:type="dxa"/>
            <w:noWrap w:val="0"/>
            <w:vAlign w:val="center"/>
          </w:tcPr>
          <w:p w14:paraId="0D323465">
            <w:pPr>
              <w:pageBreakBefore w:val="0"/>
              <w:kinsoku/>
              <w:wordWrap w:val="0"/>
              <w:bidi w:val="0"/>
              <w:spacing w:line="400" w:lineRule="atLeast"/>
              <w:rPr>
                <w:rFonts w:hint="default" w:ascii="Times New Roman" w:hAnsi="Times New Roman" w:cs="Times New Roman"/>
                <w:sz w:val="24"/>
                <w:highlight w:val="none"/>
              </w:rPr>
            </w:pPr>
          </w:p>
        </w:tc>
      </w:tr>
      <w:tr w14:paraId="79ED2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14:paraId="67608CD7">
            <w:pPr>
              <w:pageBreakBefore w:val="0"/>
              <w:kinsoku/>
              <w:wordWrap w:val="0"/>
              <w:bidi w:val="0"/>
              <w:spacing w:line="400" w:lineRule="atLeast"/>
              <w:jc w:val="center"/>
              <w:rPr>
                <w:rFonts w:hint="default" w:ascii="Times New Roman" w:hAnsi="Times New Roman" w:cs="Times New Roman"/>
                <w:sz w:val="24"/>
                <w:highlight w:val="none"/>
              </w:rPr>
            </w:pPr>
          </w:p>
        </w:tc>
        <w:tc>
          <w:tcPr>
            <w:tcW w:w="2161" w:type="dxa"/>
            <w:noWrap w:val="0"/>
            <w:vAlign w:val="center"/>
          </w:tcPr>
          <w:p w14:paraId="326F7DE4">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4282" w:type="dxa"/>
            <w:noWrap w:val="0"/>
            <w:vAlign w:val="center"/>
          </w:tcPr>
          <w:p w14:paraId="37104C76">
            <w:pPr>
              <w:pageBreakBefore w:val="0"/>
              <w:kinsoku/>
              <w:wordWrap w:val="0"/>
              <w:bidi w:val="0"/>
              <w:spacing w:line="400" w:lineRule="atLeast"/>
              <w:rPr>
                <w:rFonts w:hint="default" w:ascii="Times New Roman" w:hAnsi="Times New Roman" w:cs="Times New Roman"/>
                <w:sz w:val="24"/>
                <w:highlight w:val="none"/>
              </w:rPr>
            </w:pPr>
          </w:p>
        </w:tc>
      </w:tr>
      <w:tr w14:paraId="48F4B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14:paraId="6FF15B71">
            <w:pPr>
              <w:pageBreakBefore w:val="0"/>
              <w:kinsoku/>
              <w:wordWrap w:val="0"/>
              <w:bidi w:val="0"/>
              <w:spacing w:line="400" w:lineRule="atLeast"/>
              <w:jc w:val="center"/>
              <w:rPr>
                <w:rFonts w:hint="default" w:ascii="Times New Roman" w:hAnsi="Times New Roman" w:cs="Times New Roman"/>
                <w:sz w:val="24"/>
                <w:highlight w:val="none"/>
              </w:rPr>
            </w:pPr>
          </w:p>
        </w:tc>
        <w:tc>
          <w:tcPr>
            <w:tcW w:w="2161" w:type="dxa"/>
            <w:noWrap w:val="0"/>
            <w:vAlign w:val="center"/>
          </w:tcPr>
          <w:p w14:paraId="7C63A55A">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4282" w:type="dxa"/>
            <w:noWrap w:val="0"/>
            <w:vAlign w:val="center"/>
          </w:tcPr>
          <w:p w14:paraId="4C79FD8B">
            <w:pPr>
              <w:pageBreakBefore w:val="0"/>
              <w:kinsoku/>
              <w:wordWrap w:val="0"/>
              <w:bidi w:val="0"/>
              <w:spacing w:line="400" w:lineRule="atLeast"/>
              <w:rPr>
                <w:rFonts w:hint="default" w:ascii="Times New Roman" w:hAnsi="Times New Roman" w:cs="Times New Roman"/>
                <w:sz w:val="24"/>
                <w:highlight w:val="none"/>
              </w:rPr>
            </w:pPr>
          </w:p>
        </w:tc>
      </w:tr>
      <w:tr w14:paraId="50B82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14:paraId="6AB7F4ED">
            <w:pPr>
              <w:pageBreakBefore w:val="0"/>
              <w:kinsoku/>
              <w:wordWrap w:val="0"/>
              <w:bidi w:val="0"/>
              <w:spacing w:line="400" w:lineRule="atLeast"/>
              <w:jc w:val="center"/>
              <w:rPr>
                <w:rFonts w:hint="default" w:ascii="Times New Roman" w:hAnsi="Times New Roman" w:cs="Times New Roman"/>
                <w:sz w:val="24"/>
                <w:highlight w:val="none"/>
              </w:rPr>
            </w:pPr>
          </w:p>
        </w:tc>
        <w:tc>
          <w:tcPr>
            <w:tcW w:w="2161" w:type="dxa"/>
            <w:noWrap w:val="0"/>
            <w:vAlign w:val="center"/>
          </w:tcPr>
          <w:p w14:paraId="74A299D2">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4282" w:type="dxa"/>
            <w:noWrap w:val="0"/>
            <w:vAlign w:val="center"/>
          </w:tcPr>
          <w:p w14:paraId="6B6C582A">
            <w:pPr>
              <w:pageBreakBefore w:val="0"/>
              <w:kinsoku/>
              <w:wordWrap w:val="0"/>
              <w:bidi w:val="0"/>
              <w:spacing w:line="400" w:lineRule="atLeast"/>
              <w:rPr>
                <w:rFonts w:hint="default" w:ascii="Times New Roman" w:hAnsi="Times New Roman" w:cs="Times New Roman"/>
                <w:sz w:val="24"/>
                <w:highlight w:val="none"/>
              </w:rPr>
            </w:pPr>
          </w:p>
        </w:tc>
      </w:tr>
      <w:tr w14:paraId="298B8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14:paraId="55C1F80D">
            <w:pPr>
              <w:pageBreakBefore w:val="0"/>
              <w:kinsoku/>
              <w:wordWrap w:val="0"/>
              <w:bidi w:val="0"/>
              <w:spacing w:line="400" w:lineRule="atLeast"/>
              <w:jc w:val="center"/>
              <w:rPr>
                <w:rFonts w:hint="default" w:ascii="Times New Roman" w:hAnsi="Times New Roman" w:cs="Times New Roman"/>
                <w:sz w:val="24"/>
                <w:highlight w:val="none"/>
              </w:rPr>
            </w:pPr>
          </w:p>
        </w:tc>
        <w:tc>
          <w:tcPr>
            <w:tcW w:w="2161" w:type="dxa"/>
            <w:noWrap w:val="0"/>
            <w:vAlign w:val="center"/>
          </w:tcPr>
          <w:p w14:paraId="1B9797F1">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4282" w:type="dxa"/>
            <w:noWrap w:val="0"/>
            <w:vAlign w:val="center"/>
          </w:tcPr>
          <w:p w14:paraId="3EF10763">
            <w:pPr>
              <w:pageBreakBefore w:val="0"/>
              <w:kinsoku/>
              <w:wordWrap w:val="0"/>
              <w:bidi w:val="0"/>
              <w:spacing w:line="400" w:lineRule="atLeast"/>
              <w:rPr>
                <w:rFonts w:hint="default" w:ascii="Times New Roman" w:hAnsi="Times New Roman" w:cs="Times New Roman"/>
                <w:sz w:val="24"/>
                <w:highlight w:val="none"/>
              </w:rPr>
            </w:pPr>
          </w:p>
        </w:tc>
      </w:tr>
      <w:tr w14:paraId="0E12B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14:paraId="300EE4EF">
            <w:pPr>
              <w:pageBreakBefore w:val="0"/>
              <w:kinsoku/>
              <w:wordWrap w:val="0"/>
              <w:bidi w:val="0"/>
              <w:spacing w:line="400" w:lineRule="atLeast"/>
              <w:jc w:val="center"/>
              <w:rPr>
                <w:rFonts w:hint="default" w:ascii="Times New Roman" w:hAnsi="Times New Roman" w:cs="Times New Roman"/>
                <w:sz w:val="24"/>
                <w:highlight w:val="none"/>
              </w:rPr>
            </w:pPr>
          </w:p>
        </w:tc>
        <w:tc>
          <w:tcPr>
            <w:tcW w:w="2161" w:type="dxa"/>
            <w:noWrap w:val="0"/>
            <w:vAlign w:val="center"/>
          </w:tcPr>
          <w:p w14:paraId="137F87E7">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4282" w:type="dxa"/>
            <w:noWrap w:val="0"/>
            <w:vAlign w:val="center"/>
          </w:tcPr>
          <w:p w14:paraId="5460D216">
            <w:pPr>
              <w:pageBreakBefore w:val="0"/>
              <w:kinsoku/>
              <w:wordWrap w:val="0"/>
              <w:bidi w:val="0"/>
              <w:spacing w:line="400" w:lineRule="atLeast"/>
              <w:rPr>
                <w:rFonts w:hint="default" w:ascii="Times New Roman" w:hAnsi="Times New Roman" w:cs="Times New Roman"/>
                <w:sz w:val="24"/>
                <w:highlight w:val="none"/>
              </w:rPr>
            </w:pPr>
          </w:p>
        </w:tc>
      </w:tr>
    </w:tbl>
    <w:p w14:paraId="7D309732">
      <w:pPr>
        <w:pStyle w:val="2"/>
        <w:pageBreakBefore w:val="0"/>
        <w:kinsoku/>
        <w:wordWrap w:val="0"/>
        <w:bidi w:val="0"/>
        <w:spacing w:before="0" w:after="0" w:line="380" w:lineRule="atLeast"/>
        <w:rPr>
          <w:rFonts w:hint="default" w:ascii="Times New Roman" w:hAnsi="Times New Roman" w:eastAsia="黑体" w:cs="Times New Roman"/>
          <w:b w:val="0"/>
          <w:sz w:val="24"/>
          <w:szCs w:val="24"/>
          <w:highlight w:val="none"/>
        </w:rPr>
      </w:pPr>
      <w:r>
        <w:rPr>
          <w:rFonts w:hint="default" w:ascii="Times New Roman" w:hAnsi="Times New Roman" w:eastAsia="黑体" w:cs="Times New Roman"/>
          <w:sz w:val="24"/>
          <w:highlight w:val="none"/>
        </w:rPr>
        <w:br w:type="page"/>
      </w:r>
      <w:bookmarkStart w:id="1406" w:name="_Toc22982"/>
      <w:bookmarkStart w:id="1407" w:name="_Toc234833235"/>
      <w:bookmarkStart w:id="1408" w:name="_Toc28190"/>
      <w:bookmarkStart w:id="1409" w:name="_Toc30601"/>
      <w:r>
        <w:rPr>
          <w:rFonts w:hint="default" w:ascii="Times New Roman" w:hAnsi="Times New Roman" w:eastAsia="黑体" w:cs="Times New Roman"/>
          <w:b w:val="0"/>
          <w:sz w:val="24"/>
          <w:szCs w:val="24"/>
          <w:highlight w:val="none"/>
        </w:rPr>
        <w:t>附件五</w:t>
      </w:r>
      <w:r>
        <w:rPr>
          <w:rFonts w:hint="default" w:ascii="Times New Roman" w:hAnsi="Times New Roman" w:eastAsia="黑体" w:cs="Times New Roman"/>
          <w:b w:val="0"/>
          <w:sz w:val="24"/>
          <w:szCs w:val="24"/>
          <w:highlight w:val="none"/>
          <w:lang w:eastAsia="zh-CN"/>
        </w:rPr>
        <w:t xml:space="preserve"> </w:t>
      </w:r>
      <w:r>
        <w:rPr>
          <w:rFonts w:hint="default" w:ascii="Times New Roman" w:hAnsi="Times New Roman" w:eastAsia="黑体" w:cs="Times New Roman"/>
          <w:b w:val="0"/>
          <w:sz w:val="24"/>
          <w:szCs w:val="24"/>
          <w:highlight w:val="none"/>
        </w:rPr>
        <w:t>主要机械设备和试验检测设备最低要求</w:t>
      </w:r>
      <w:r>
        <w:rPr>
          <w:rFonts w:hint="default" w:ascii="Times New Roman" w:hAnsi="Times New Roman" w:cs="Times New Roman"/>
          <w:sz w:val="24"/>
          <w:szCs w:val="24"/>
          <w:highlight w:val="none"/>
          <w:vertAlign w:val="superscript"/>
        </w:rPr>
        <w:footnoteReference w:id="31"/>
      </w:r>
      <w:bookmarkEnd w:id="1406"/>
      <w:bookmarkEnd w:id="1407"/>
      <w:bookmarkEnd w:id="1408"/>
      <w:bookmarkEnd w:id="1409"/>
    </w:p>
    <w:p w14:paraId="6A1AC778">
      <w:pPr>
        <w:pageBreakBefore w:val="0"/>
        <w:kinsoku/>
        <w:wordWrap w:val="0"/>
        <w:bidi w:val="0"/>
        <w:adjustRightInd w:val="0"/>
        <w:snapToGrid w:val="0"/>
        <w:spacing w:line="400" w:lineRule="atLeast"/>
        <w:rPr>
          <w:rFonts w:hint="default" w:ascii="Times New Roman" w:hAnsi="Times New Roman" w:cs="Times New Roman"/>
          <w:bCs/>
          <w:highlight w:val="none"/>
        </w:rPr>
      </w:pP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2"/>
        <w:gridCol w:w="2745"/>
        <w:gridCol w:w="1386"/>
        <w:gridCol w:w="2194"/>
      </w:tblGrid>
      <w:tr w14:paraId="15599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noWrap w:val="0"/>
            <w:vAlign w:val="center"/>
          </w:tcPr>
          <w:p w14:paraId="5A9A8741">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r>
              <w:rPr>
                <w:rFonts w:hint="default" w:ascii="Times New Roman" w:hAnsi="Times New Roman" w:cs="Times New Roman"/>
                <w:sz w:val="24"/>
                <w:highlight w:val="none"/>
              </w:rPr>
              <w:t>设备名称</w:t>
            </w:r>
          </w:p>
        </w:tc>
        <w:tc>
          <w:tcPr>
            <w:tcW w:w="2745" w:type="dxa"/>
            <w:noWrap w:val="0"/>
            <w:vAlign w:val="center"/>
          </w:tcPr>
          <w:p w14:paraId="15D7CD5D">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r>
              <w:rPr>
                <w:rFonts w:hint="default" w:ascii="Times New Roman" w:hAnsi="Times New Roman" w:cs="Times New Roman"/>
                <w:sz w:val="24"/>
                <w:highlight w:val="none"/>
              </w:rPr>
              <w:t>规格、功率及容量</w:t>
            </w:r>
          </w:p>
        </w:tc>
        <w:tc>
          <w:tcPr>
            <w:tcW w:w="1386" w:type="dxa"/>
            <w:noWrap w:val="0"/>
            <w:vAlign w:val="center"/>
          </w:tcPr>
          <w:p w14:paraId="1B736A2B">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r>
              <w:rPr>
                <w:rFonts w:hint="default" w:ascii="Times New Roman" w:hAnsi="Times New Roman" w:cs="Times New Roman"/>
                <w:sz w:val="24"/>
                <w:highlight w:val="none"/>
              </w:rPr>
              <w:t>单位</w:t>
            </w:r>
          </w:p>
        </w:tc>
        <w:tc>
          <w:tcPr>
            <w:tcW w:w="2194" w:type="dxa"/>
            <w:noWrap w:val="0"/>
            <w:vAlign w:val="center"/>
          </w:tcPr>
          <w:p w14:paraId="62103146">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r>
              <w:rPr>
                <w:rFonts w:hint="default" w:ascii="Times New Roman" w:hAnsi="Times New Roman" w:cs="Times New Roman"/>
                <w:sz w:val="24"/>
                <w:highlight w:val="none"/>
              </w:rPr>
              <w:t>最低数量要求</w:t>
            </w:r>
          </w:p>
        </w:tc>
      </w:tr>
      <w:tr w14:paraId="0A72C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noWrap w:val="0"/>
            <w:vAlign w:val="center"/>
          </w:tcPr>
          <w:p w14:paraId="704C80A3">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745" w:type="dxa"/>
            <w:noWrap w:val="0"/>
            <w:vAlign w:val="center"/>
          </w:tcPr>
          <w:p w14:paraId="6A4C52EB">
            <w:pPr>
              <w:pageBreakBefore w:val="0"/>
              <w:kinsoku/>
              <w:wordWrap w:val="0"/>
              <w:bidi w:val="0"/>
              <w:spacing w:line="400" w:lineRule="atLeast"/>
              <w:rPr>
                <w:rFonts w:hint="default" w:ascii="Times New Roman" w:hAnsi="Times New Roman" w:cs="Times New Roman"/>
                <w:sz w:val="24"/>
                <w:highlight w:val="none"/>
              </w:rPr>
            </w:pPr>
          </w:p>
        </w:tc>
        <w:tc>
          <w:tcPr>
            <w:tcW w:w="1386" w:type="dxa"/>
            <w:noWrap w:val="0"/>
            <w:vAlign w:val="center"/>
          </w:tcPr>
          <w:p w14:paraId="127BAC1B">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194" w:type="dxa"/>
            <w:noWrap w:val="0"/>
            <w:vAlign w:val="center"/>
          </w:tcPr>
          <w:p w14:paraId="311E642D">
            <w:pPr>
              <w:pageBreakBefore w:val="0"/>
              <w:kinsoku/>
              <w:wordWrap w:val="0"/>
              <w:bidi w:val="0"/>
              <w:spacing w:line="400" w:lineRule="atLeast"/>
              <w:rPr>
                <w:rFonts w:hint="default" w:ascii="Times New Roman" w:hAnsi="Times New Roman" w:cs="Times New Roman"/>
                <w:sz w:val="24"/>
                <w:highlight w:val="none"/>
              </w:rPr>
            </w:pPr>
          </w:p>
        </w:tc>
      </w:tr>
      <w:tr w14:paraId="72631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noWrap w:val="0"/>
            <w:vAlign w:val="center"/>
          </w:tcPr>
          <w:p w14:paraId="26190DB5">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745" w:type="dxa"/>
            <w:noWrap w:val="0"/>
            <w:vAlign w:val="center"/>
          </w:tcPr>
          <w:p w14:paraId="4C1E3FFE">
            <w:pPr>
              <w:pageBreakBefore w:val="0"/>
              <w:kinsoku/>
              <w:wordWrap w:val="0"/>
              <w:bidi w:val="0"/>
              <w:spacing w:line="400" w:lineRule="atLeast"/>
              <w:rPr>
                <w:rFonts w:hint="default" w:ascii="Times New Roman" w:hAnsi="Times New Roman" w:cs="Times New Roman"/>
                <w:sz w:val="24"/>
                <w:highlight w:val="none"/>
              </w:rPr>
            </w:pPr>
          </w:p>
        </w:tc>
        <w:tc>
          <w:tcPr>
            <w:tcW w:w="1386" w:type="dxa"/>
            <w:noWrap w:val="0"/>
            <w:vAlign w:val="center"/>
          </w:tcPr>
          <w:p w14:paraId="7E8127AA">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194" w:type="dxa"/>
            <w:noWrap w:val="0"/>
            <w:vAlign w:val="center"/>
          </w:tcPr>
          <w:p w14:paraId="0B5AB5AB">
            <w:pPr>
              <w:pageBreakBefore w:val="0"/>
              <w:kinsoku/>
              <w:wordWrap w:val="0"/>
              <w:bidi w:val="0"/>
              <w:spacing w:line="400" w:lineRule="atLeast"/>
              <w:rPr>
                <w:rFonts w:hint="default" w:ascii="Times New Roman" w:hAnsi="Times New Roman" w:cs="Times New Roman"/>
                <w:sz w:val="24"/>
                <w:highlight w:val="none"/>
              </w:rPr>
            </w:pPr>
          </w:p>
        </w:tc>
      </w:tr>
      <w:tr w14:paraId="6445C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noWrap w:val="0"/>
            <w:vAlign w:val="center"/>
          </w:tcPr>
          <w:p w14:paraId="70718881">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745" w:type="dxa"/>
            <w:noWrap w:val="0"/>
            <w:vAlign w:val="center"/>
          </w:tcPr>
          <w:p w14:paraId="34EAB116">
            <w:pPr>
              <w:pageBreakBefore w:val="0"/>
              <w:kinsoku/>
              <w:wordWrap w:val="0"/>
              <w:bidi w:val="0"/>
              <w:spacing w:line="400" w:lineRule="atLeast"/>
              <w:rPr>
                <w:rFonts w:hint="default" w:ascii="Times New Roman" w:hAnsi="Times New Roman" w:cs="Times New Roman"/>
                <w:sz w:val="24"/>
                <w:highlight w:val="none"/>
              </w:rPr>
            </w:pPr>
          </w:p>
        </w:tc>
        <w:tc>
          <w:tcPr>
            <w:tcW w:w="1386" w:type="dxa"/>
            <w:noWrap w:val="0"/>
            <w:vAlign w:val="center"/>
          </w:tcPr>
          <w:p w14:paraId="376E5601">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194" w:type="dxa"/>
            <w:noWrap w:val="0"/>
            <w:vAlign w:val="center"/>
          </w:tcPr>
          <w:p w14:paraId="6EDB9E62">
            <w:pPr>
              <w:pageBreakBefore w:val="0"/>
              <w:kinsoku/>
              <w:wordWrap w:val="0"/>
              <w:bidi w:val="0"/>
              <w:spacing w:line="400" w:lineRule="atLeast"/>
              <w:rPr>
                <w:rFonts w:hint="default" w:ascii="Times New Roman" w:hAnsi="Times New Roman" w:cs="Times New Roman"/>
                <w:sz w:val="24"/>
                <w:highlight w:val="none"/>
              </w:rPr>
            </w:pPr>
          </w:p>
        </w:tc>
      </w:tr>
      <w:tr w14:paraId="00086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tcBorders>
              <w:top w:val="single" w:color="auto" w:sz="4" w:space="0"/>
              <w:left w:val="single" w:color="auto" w:sz="4" w:space="0"/>
              <w:bottom w:val="single" w:color="auto" w:sz="4" w:space="0"/>
              <w:right w:val="single" w:color="auto" w:sz="4" w:space="0"/>
            </w:tcBorders>
            <w:noWrap w:val="0"/>
            <w:vAlign w:val="center"/>
          </w:tcPr>
          <w:p w14:paraId="11100637">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745" w:type="dxa"/>
            <w:tcBorders>
              <w:top w:val="single" w:color="auto" w:sz="4" w:space="0"/>
              <w:left w:val="single" w:color="auto" w:sz="4" w:space="0"/>
              <w:bottom w:val="single" w:color="auto" w:sz="4" w:space="0"/>
              <w:right w:val="single" w:color="auto" w:sz="4" w:space="0"/>
            </w:tcBorders>
            <w:noWrap w:val="0"/>
            <w:vAlign w:val="center"/>
          </w:tcPr>
          <w:p w14:paraId="7616212F">
            <w:pPr>
              <w:pageBreakBefore w:val="0"/>
              <w:kinsoku/>
              <w:wordWrap w:val="0"/>
              <w:bidi w:val="0"/>
              <w:spacing w:line="400" w:lineRule="atLeast"/>
              <w:rPr>
                <w:rFonts w:hint="default" w:ascii="Times New Roman" w:hAnsi="Times New Roman" w:cs="Times New Roman"/>
                <w:sz w:val="24"/>
                <w:highlight w:val="none"/>
              </w:rPr>
            </w:pPr>
          </w:p>
        </w:tc>
        <w:tc>
          <w:tcPr>
            <w:tcW w:w="1386" w:type="dxa"/>
            <w:tcBorders>
              <w:top w:val="single" w:color="auto" w:sz="4" w:space="0"/>
              <w:left w:val="single" w:color="auto" w:sz="4" w:space="0"/>
              <w:bottom w:val="single" w:color="auto" w:sz="4" w:space="0"/>
              <w:right w:val="single" w:color="auto" w:sz="4" w:space="0"/>
            </w:tcBorders>
            <w:noWrap w:val="0"/>
            <w:vAlign w:val="center"/>
          </w:tcPr>
          <w:p w14:paraId="012CC63A">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194" w:type="dxa"/>
            <w:tcBorders>
              <w:top w:val="single" w:color="auto" w:sz="4" w:space="0"/>
              <w:left w:val="single" w:color="auto" w:sz="4" w:space="0"/>
              <w:bottom w:val="single" w:color="auto" w:sz="4" w:space="0"/>
              <w:right w:val="single" w:color="auto" w:sz="4" w:space="0"/>
            </w:tcBorders>
            <w:noWrap w:val="0"/>
            <w:vAlign w:val="center"/>
          </w:tcPr>
          <w:p w14:paraId="33108765">
            <w:pPr>
              <w:pageBreakBefore w:val="0"/>
              <w:kinsoku/>
              <w:wordWrap w:val="0"/>
              <w:bidi w:val="0"/>
              <w:spacing w:line="400" w:lineRule="atLeast"/>
              <w:rPr>
                <w:rFonts w:hint="default" w:ascii="Times New Roman" w:hAnsi="Times New Roman" w:cs="Times New Roman"/>
                <w:sz w:val="24"/>
                <w:highlight w:val="none"/>
              </w:rPr>
            </w:pPr>
          </w:p>
        </w:tc>
      </w:tr>
      <w:tr w14:paraId="5983F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tcBorders>
              <w:top w:val="single" w:color="auto" w:sz="4" w:space="0"/>
              <w:left w:val="single" w:color="auto" w:sz="4" w:space="0"/>
              <w:bottom w:val="single" w:color="auto" w:sz="4" w:space="0"/>
              <w:right w:val="single" w:color="auto" w:sz="4" w:space="0"/>
            </w:tcBorders>
            <w:noWrap w:val="0"/>
            <w:vAlign w:val="center"/>
          </w:tcPr>
          <w:p w14:paraId="4C3193A2">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745" w:type="dxa"/>
            <w:tcBorders>
              <w:top w:val="single" w:color="auto" w:sz="4" w:space="0"/>
              <w:left w:val="single" w:color="auto" w:sz="4" w:space="0"/>
              <w:bottom w:val="single" w:color="auto" w:sz="4" w:space="0"/>
              <w:right w:val="single" w:color="auto" w:sz="4" w:space="0"/>
            </w:tcBorders>
            <w:noWrap w:val="0"/>
            <w:vAlign w:val="center"/>
          </w:tcPr>
          <w:p w14:paraId="47003FBD">
            <w:pPr>
              <w:pageBreakBefore w:val="0"/>
              <w:kinsoku/>
              <w:wordWrap w:val="0"/>
              <w:bidi w:val="0"/>
              <w:spacing w:line="400" w:lineRule="atLeast"/>
              <w:rPr>
                <w:rFonts w:hint="default" w:ascii="Times New Roman" w:hAnsi="Times New Roman" w:cs="Times New Roman"/>
                <w:sz w:val="24"/>
                <w:highlight w:val="none"/>
              </w:rPr>
            </w:pPr>
          </w:p>
        </w:tc>
        <w:tc>
          <w:tcPr>
            <w:tcW w:w="1386" w:type="dxa"/>
            <w:tcBorders>
              <w:top w:val="single" w:color="auto" w:sz="4" w:space="0"/>
              <w:left w:val="single" w:color="auto" w:sz="4" w:space="0"/>
              <w:bottom w:val="single" w:color="auto" w:sz="4" w:space="0"/>
              <w:right w:val="single" w:color="auto" w:sz="4" w:space="0"/>
            </w:tcBorders>
            <w:noWrap w:val="0"/>
            <w:vAlign w:val="center"/>
          </w:tcPr>
          <w:p w14:paraId="6ED2EA3C">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194" w:type="dxa"/>
            <w:tcBorders>
              <w:top w:val="single" w:color="auto" w:sz="4" w:space="0"/>
              <w:left w:val="single" w:color="auto" w:sz="4" w:space="0"/>
              <w:bottom w:val="single" w:color="auto" w:sz="4" w:space="0"/>
              <w:right w:val="single" w:color="auto" w:sz="4" w:space="0"/>
            </w:tcBorders>
            <w:noWrap w:val="0"/>
            <w:vAlign w:val="center"/>
          </w:tcPr>
          <w:p w14:paraId="48F30DC5">
            <w:pPr>
              <w:pageBreakBefore w:val="0"/>
              <w:kinsoku/>
              <w:wordWrap w:val="0"/>
              <w:bidi w:val="0"/>
              <w:spacing w:line="400" w:lineRule="atLeast"/>
              <w:rPr>
                <w:rFonts w:hint="default" w:ascii="Times New Roman" w:hAnsi="Times New Roman" w:cs="Times New Roman"/>
                <w:sz w:val="24"/>
                <w:highlight w:val="none"/>
              </w:rPr>
            </w:pPr>
          </w:p>
        </w:tc>
      </w:tr>
      <w:tr w14:paraId="6D0B0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tcBorders>
              <w:top w:val="single" w:color="auto" w:sz="4" w:space="0"/>
              <w:left w:val="single" w:color="auto" w:sz="4" w:space="0"/>
              <w:bottom w:val="single" w:color="auto" w:sz="4" w:space="0"/>
              <w:right w:val="single" w:color="auto" w:sz="4" w:space="0"/>
            </w:tcBorders>
            <w:noWrap w:val="0"/>
            <w:vAlign w:val="center"/>
          </w:tcPr>
          <w:p w14:paraId="4F043EC2">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745" w:type="dxa"/>
            <w:tcBorders>
              <w:top w:val="single" w:color="auto" w:sz="4" w:space="0"/>
              <w:left w:val="single" w:color="auto" w:sz="4" w:space="0"/>
              <w:bottom w:val="single" w:color="auto" w:sz="4" w:space="0"/>
              <w:right w:val="single" w:color="auto" w:sz="4" w:space="0"/>
            </w:tcBorders>
            <w:noWrap w:val="0"/>
            <w:vAlign w:val="center"/>
          </w:tcPr>
          <w:p w14:paraId="31EBBC26">
            <w:pPr>
              <w:pageBreakBefore w:val="0"/>
              <w:kinsoku/>
              <w:wordWrap w:val="0"/>
              <w:bidi w:val="0"/>
              <w:spacing w:line="400" w:lineRule="atLeast"/>
              <w:rPr>
                <w:rFonts w:hint="default" w:ascii="Times New Roman" w:hAnsi="Times New Roman" w:cs="Times New Roman"/>
                <w:sz w:val="24"/>
                <w:highlight w:val="none"/>
              </w:rPr>
            </w:pPr>
          </w:p>
        </w:tc>
        <w:tc>
          <w:tcPr>
            <w:tcW w:w="1386" w:type="dxa"/>
            <w:tcBorders>
              <w:top w:val="single" w:color="auto" w:sz="4" w:space="0"/>
              <w:left w:val="single" w:color="auto" w:sz="4" w:space="0"/>
              <w:bottom w:val="single" w:color="auto" w:sz="4" w:space="0"/>
              <w:right w:val="single" w:color="auto" w:sz="4" w:space="0"/>
            </w:tcBorders>
            <w:noWrap w:val="0"/>
            <w:vAlign w:val="center"/>
          </w:tcPr>
          <w:p w14:paraId="1D812769">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194" w:type="dxa"/>
            <w:tcBorders>
              <w:top w:val="single" w:color="auto" w:sz="4" w:space="0"/>
              <w:left w:val="single" w:color="auto" w:sz="4" w:space="0"/>
              <w:bottom w:val="single" w:color="auto" w:sz="4" w:space="0"/>
              <w:right w:val="single" w:color="auto" w:sz="4" w:space="0"/>
            </w:tcBorders>
            <w:noWrap w:val="0"/>
            <w:vAlign w:val="center"/>
          </w:tcPr>
          <w:p w14:paraId="68C0B8FA">
            <w:pPr>
              <w:pageBreakBefore w:val="0"/>
              <w:kinsoku/>
              <w:wordWrap w:val="0"/>
              <w:bidi w:val="0"/>
              <w:spacing w:line="400" w:lineRule="atLeast"/>
              <w:rPr>
                <w:rFonts w:hint="default" w:ascii="Times New Roman" w:hAnsi="Times New Roman" w:cs="Times New Roman"/>
                <w:sz w:val="24"/>
                <w:highlight w:val="none"/>
              </w:rPr>
            </w:pPr>
          </w:p>
        </w:tc>
      </w:tr>
      <w:tr w14:paraId="03DA1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tcBorders>
              <w:top w:val="single" w:color="auto" w:sz="4" w:space="0"/>
              <w:left w:val="single" w:color="auto" w:sz="4" w:space="0"/>
              <w:bottom w:val="single" w:color="auto" w:sz="4" w:space="0"/>
              <w:right w:val="single" w:color="auto" w:sz="4" w:space="0"/>
            </w:tcBorders>
            <w:noWrap w:val="0"/>
            <w:vAlign w:val="center"/>
          </w:tcPr>
          <w:p w14:paraId="0F8B7D72">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745" w:type="dxa"/>
            <w:tcBorders>
              <w:top w:val="single" w:color="auto" w:sz="4" w:space="0"/>
              <w:left w:val="single" w:color="auto" w:sz="4" w:space="0"/>
              <w:bottom w:val="single" w:color="auto" w:sz="4" w:space="0"/>
              <w:right w:val="single" w:color="auto" w:sz="4" w:space="0"/>
            </w:tcBorders>
            <w:noWrap w:val="0"/>
            <w:vAlign w:val="center"/>
          </w:tcPr>
          <w:p w14:paraId="66922217">
            <w:pPr>
              <w:pageBreakBefore w:val="0"/>
              <w:kinsoku/>
              <w:wordWrap w:val="0"/>
              <w:bidi w:val="0"/>
              <w:spacing w:line="400" w:lineRule="atLeast"/>
              <w:rPr>
                <w:rFonts w:hint="default" w:ascii="Times New Roman" w:hAnsi="Times New Roman" w:cs="Times New Roman"/>
                <w:sz w:val="24"/>
                <w:highlight w:val="none"/>
              </w:rPr>
            </w:pPr>
          </w:p>
        </w:tc>
        <w:tc>
          <w:tcPr>
            <w:tcW w:w="1386" w:type="dxa"/>
            <w:tcBorders>
              <w:top w:val="single" w:color="auto" w:sz="4" w:space="0"/>
              <w:left w:val="single" w:color="auto" w:sz="4" w:space="0"/>
              <w:bottom w:val="single" w:color="auto" w:sz="4" w:space="0"/>
              <w:right w:val="single" w:color="auto" w:sz="4" w:space="0"/>
            </w:tcBorders>
            <w:noWrap w:val="0"/>
            <w:vAlign w:val="center"/>
          </w:tcPr>
          <w:p w14:paraId="72F9B591">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194" w:type="dxa"/>
            <w:tcBorders>
              <w:top w:val="single" w:color="auto" w:sz="4" w:space="0"/>
              <w:left w:val="single" w:color="auto" w:sz="4" w:space="0"/>
              <w:bottom w:val="single" w:color="auto" w:sz="4" w:space="0"/>
              <w:right w:val="single" w:color="auto" w:sz="4" w:space="0"/>
            </w:tcBorders>
            <w:noWrap w:val="0"/>
            <w:vAlign w:val="center"/>
          </w:tcPr>
          <w:p w14:paraId="6ECD5B77">
            <w:pPr>
              <w:pageBreakBefore w:val="0"/>
              <w:kinsoku/>
              <w:wordWrap w:val="0"/>
              <w:bidi w:val="0"/>
              <w:spacing w:line="400" w:lineRule="atLeast"/>
              <w:rPr>
                <w:rFonts w:hint="default" w:ascii="Times New Roman" w:hAnsi="Times New Roman" w:cs="Times New Roman"/>
                <w:sz w:val="24"/>
                <w:highlight w:val="none"/>
              </w:rPr>
            </w:pPr>
          </w:p>
        </w:tc>
      </w:tr>
      <w:tr w14:paraId="5B29D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tcBorders>
              <w:top w:val="single" w:color="auto" w:sz="4" w:space="0"/>
              <w:left w:val="single" w:color="auto" w:sz="4" w:space="0"/>
              <w:bottom w:val="single" w:color="auto" w:sz="4" w:space="0"/>
              <w:right w:val="single" w:color="auto" w:sz="4" w:space="0"/>
            </w:tcBorders>
            <w:noWrap w:val="0"/>
            <w:vAlign w:val="center"/>
          </w:tcPr>
          <w:p w14:paraId="33C1B17C">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745" w:type="dxa"/>
            <w:tcBorders>
              <w:top w:val="single" w:color="auto" w:sz="4" w:space="0"/>
              <w:left w:val="single" w:color="auto" w:sz="4" w:space="0"/>
              <w:bottom w:val="single" w:color="auto" w:sz="4" w:space="0"/>
              <w:right w:val="single" w:color="auto" w:sz="4" w:space="0"/>
            </w:tcBorders>
            <w:noWrap w:val="0"/>
            <w:vAlign w:val="center"/>
          </w:tcPr>
          <w:p w14:paraId="646178FE">
            <w:pPr>
              <w:pageBreakBefore w:val="0"/>
              <w:kinsoku/>
              <w:wordWrap w:val="0"/>
              <w:bidi w:val="0"/>
              <w:spacing w:line="400" w:lineRule="atLeast"/>
              <w:rPr>
                <w:rFonts w:hint="default" w:ascii="Times New Roman" w:hAnsi="Times New Roman" w:cs="Times New Roman"/>
                <w:sz w:val="24"/>
                <w:highlight w:val="none"/>
              </w:rPr>
            </w:pPr>
          </w:p>
        </w:tc>
        <w:tc>
          <w:tcPr>
            <w:tcW w:w="1386" w:type="dxa"/>
            <w:tcBorders>
              <w:top w:val="single" w:color="auto" w:sz="4" w:space="0"/>
              <w:left w:val="single" w:color="auto" w:sz="4" w:space="0"/>
              <w:bottom w:val="single" w:color="auto" w:sz="4" w:space="0"/>
              <w:right w:val="single" w:color="auto" w:sz="4" w:space="0"/>
            </w:tcBorders>
            <w:noWrap w:val="0"/>
            <w:vAlign w:val="center"/>
          </w:tcPr>
          <w:p w14:paraId="57B3ED41">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194" w:type="dxa"/>
            <w:tcBorders>
              <w:top w:val="single" w:color="auto" w:sz="4" w:space="0"/>
              <w:left w:val="single" w:color="auto" w:sz="4" w:space="0"/>
              <w:bottom w:val="single" w:color="auto" w:sz="4" w:space="0"/>
              <w:right w:val="single" w:color="auto" w:sz="4" w:space="0"/>
            </w:tcBorders>
            <w:noWrap w:val="0"/>
            <w:vAlign w:val="center"/>
          </w:tcPr>
          <w:p w14:paraId="24EE217A">
            <w:pPr>
              <w:pageBreakBefore w:val="0"/>
              <w:kinsoku/>
              <w:wordWrap w:val="0"/>
              <w:bidi w:val="0"/>
              <w:spacing w:line="400" w:lineRule="atLeast"/>
              <w:rPr>
                <w:rFonts w:hint="default" w:ascii="Times New Roman" w:hAnsi="Times New Roman" w:cs="Times New Roman"/>
                <w:sz w:val="24"/>
                <w:highlight w:val="none"/>
              </w:rPr>
            </w:pPr>
          </w:p>
        </w:tc>
      </w:tr>
      <w:tr w14:paraId="1C9C4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tcBorders>
              <w:top w:val="single" w:color="auto" w:sz="4" w:space="0"/>
              <w:left w:val="single" w:color="auto" w:sz="4" w:space="0"/>
              <w:bottom w:val="single" w:color="auto" w:sz="4" w:space="0"/>
              <w:right w:val="single" w:color="auto" w:sz="4" w:space="0"/>
            </w:tcBorders>
            <w:noWrap w:val="0"/>
            <w:vAlign w:val="center"/>
          </w:tcPr>
          <w:p w14:paraId="74A121EE">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745" w:type="dxa"/>
            <w:tcBorders>
              <w:top w:val="single" w:color="auto" w:sz="4" w:space="0"/>
              <w:left w:val="single" w:color="auto" w:sz="4" w:space="0"/>
              <w:bottom w:val="single" w:color="auto" w:sz="4" w:space="0"/>
              <w:right w:val="single" w:color="auto" w:sz="4" w:space="0"/>
            </w:tcBorders>
            <w:noWrap w:val="0"/>
            <w:vAlign w:val="center"/>
          </w:tcPr>
          <w:p w14:paraId="045E4465">
            <w:pPr>
              <w:pageBreakBefore w:val="0"/>
              <w:kinsoku/>
              <w:wordWrap w:val="0"/>
              <w:bidi w:val="0"/>
              <w:spacing w:line="400" w:lineRule="atLeast"/>
              <w:rPr>
                <w:rFonts w:hint="default" w:ascii="Times New Roman" w:hAnsi="Times New Roman" w:cs="Times New Roman"/>
                <w:sz w:val="24"/>
                <w:highlight w:val="none"/>
              </w:rPr>
            </w:pPr>
          </w:p>
        </w:tc>
        <w:tc>
          <w:tcPr>
            <w:tcW w:w="1386" w:type="dxa"/>
            <w:tcBorders>
              <w:top w:val="single" w:color="auto" w:sz="4" w:space="0"/>
              <w:left w:val="single" w:color="auto" w:sz="4" w:space="0"/>
              <w:bottom w:val="single" w:color="auto" w:sz="4" w:space="0"/>
              <w:right w:val="single" w:color="auto" w:sz="4" w:space="0"/>
            </w:tcBorders>
            <w:noWrap w:val="0"/>
            <w:vAlign w:val="center"/>
          </w:tcPr>
          <w:p w14:paraId="40306995">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194" w:type="dxa"/>
            <w:tcBorders>
              <w:top w:val="single" w:color="auto" w:sz="4" w:space="0"/>
              <w:left w:val="single" w:color="auto" w:sz="4" w:space="0"/>
              <w:bottom w:val="single" w:color="auto" w:sz="4" w:space="0"/>
              <w:right w:val="single" w:color="auto" w:sz="4" w:space="0"/>
            </w:tcBorders>
            <w:noWrap w:val="0"/>
            <w:vAlign w:val="center"/>
          </w:tcPr>
          <w:p w14:paraId="03B68B85">
            <w:pPr>
              <w:pageBreakBefore w:val="0"/>
              <w:kinsoku/>
              <w:wordWrap w:val="0"/>
              <w:bidi w:val="0"/>
              <w:spacing w:line="400" w:lineRule="atLeast"/>
              <w:rPr>
                <w:rFonts w:hint="default" w:ascii="Times New Roman" w:hAnsi="Times New Roman" w:cs="Times New Roman"/>
                <w:sz w:val="24"/>
                <w:highlight w:val="none"/>
              </w:rPr>
            </w:pPr>
          </w:p>
        </w:tc>
      </w:tr>
      <w:tr w14:paraId="357B8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tcBorders>
              <w:top w:val="single" w:color="auto" w:sz="4" w:space="0"/>
              <w:left w:val="single" w:color="auto" w:sz="4" w:space="0"/>
              <w:bottom w:val="single" w:color="auto" w:sz="4" w:space="0"/>
              <w:right w:val="single" w:color="auto" w:sz="4" w:space="0"/>
            </w:tcBorders>
            <w:noWrap w:val="0"/>
            <w:vAlign w:val="center"/>
          </w:tcPr>
          <w:p w14:paraId="3C246390">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745" w:type="dxa"/>
            <w:tcBorders>
              <w:top w:val="single" w:color="auto" w:sz="4" w:space="0"/>
              <w:left w:val="single" w:color="auto" w:sz="4" w:space="0"/>
              <w:bottom w:val="single" w:color="auto" w:sz="4" w:space="0"/>
              <w:right w:val="single" w:color="auto" w:sz="4" w:space="0"/>
            </w:tcBorders>
            <w:noWrap w:val="0"/>
            <w:vAlign w:val="center"/>
          </w:tcPr>
          <w:p w14:paraId="2872E531">
            <w:pPr>
              <w:pageBreakBefore w:val="0"/>
              <w:kinsoku/>
              <w:wordWrap w:val="0"/>
              <w:bidi w:val="0"/>
              <w:spacing w:line="400" w:lineRule="atLeast"/>
              <w:rPr>
                <w:rFonts w:hint="default" w:ascii="Times New Roman" w:hAnsi="Times New Roman" w:cs="Times New Roman"/>
                <w:sz w:val="24"/>
                <w:highlight w:val="none"/>
              </w:rPr>
            </w:pPr>
          </w:p>
        </w:tc>
        <w:tc>
          <w:tcPr>
            <w:tcW w:w="1386" w:type="dxa"/>
            <w:tcBorders>
              <w:top w:val="single" w:color="auto" w:sz="4" w:space="0"/>
              <w:left w:val="single" w:color="auto" w:sz="4" w:space="0"/>
              <w:bottom w:val="single" w:color="auto" w:sz="4" w:space="0"/>
              <w:right w:val="single" w:color="auto" w:sz="4" w:space="0"/>
            </w:tcBorders>
            <w:noWrap w:val="0"/>
            <w:vAlign w:val="center"/>
          </w:tcPr>
          <w:p w14:paraId="4993E97F">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194" w:type="dxa"/>
            <w:tcBorders>
              <w:top w:val="single" w:color="auto" w:sz="4" w:space="0"/>
              <w:left w:val="single" w:color="auto" w:sz="4" w:space="0"/>
              <w:bottom w:val="single" w:color="auto" w:sz="4" w:space="0"/>
              <w:right w:val="single" w:color="auto" w:sz="4" w:space="0"/>
            </w:tcBorders>
            <w:noWrap w:val="0"/>
            <w:vAlign w:val="center"/>
          </w:tcPr>
          <w:p w14:paraId="44138AA0">
            <w:pPr>
              <w:pageBreakBefore w:val="0"/>
              <w:kinsoku/>
              <w:wordWrap w:val="0"/>
              <w:bidi w:val="0"/>
              <w:spacing w:line="400" w:lineRule="atLeast"/>
              <w:rPr>
                <w:rFonts w:hint="default" w:ascii="Times New Roman" w:hAnsi="Times New Roman" w:cs="Times New Roman"/>
                <w:sz w:val="24"/>
                <w:highlight w:val="none"/>
              </w:rPr>
            </w:pPr>
          </w:p>
        </w:tc>
      </w:tr>
      <w:tr w14:paraId="70B8B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tcBorders>
              <w:top w:val="single" w:color="auto" w:sz="4" w:space="0"/>
              <w:left w:val="single" w:color="auto" w:sz="4" w:space="0"/>
              <w:bottom w:val="single" w:color="auto" w:sz="4" w:space="0"/>
              <w:right w:val="single" w:color="auto" w:sz="4" w:space="0"/>
            </w:tcBorders>
            <w:noWrap w:val="0"/>
            <w:vAlign w:val="center"/>
          </w:tcPr>
          <w:p w14:paraId="747B40AB">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745" w:type="dxa"/>
            <w:tcBorders>
              <w:top w:val="single" w:color="auto" w:sz="4" w:space="0"/>
              <w:left w:val="single" w:color="auto" w:sz="4" w:space="0"/>
              <w:bottom w:val="single" w:color="auto" w:sz="4" w:space="0"/>
              <w:right w:val="single" w:color="auto" w:sz="4" w:space="0"/>
            </w:tcBorders>
            <w:noWrap w:val="0"/>
            <w:vAlign w:val="center"/>
          </w:tcPr>
          <w:p w14:paraId="4865CE58">
            <w:pPr>
              <w:pageBreakBefore w:val="0"/>
              <w:kinsoku/>
              <w:wordWrap w:val="0"/>
              <w:bidi w:val="0"/>
              <w:spacing w:line="400" w:lineRule="atLeast"/>
              <w:rPr>
                <w:rFonts w:hint="default" w:ascii="Times New Roman" w:hAnsi="Times New Roman" w:cs="Times New Roman"/>
                <w:sz w:val="24"/>
                <w:highlight w:val="none"/>
              </w:rPr>
            </w:pPr>
          </w:p>
        </w:tc>
        <w:tc>
          <w:tcPr>
            <w:tcW w:w="1386" w:type="dxa"/>
            <w:tcBorders>
              <w:top w:val="single" w:color="auto" w:sz="4" w:space="0"/>
              <w:left w:val="single" w:color="auto" w:sz="4" w:space="0"/>
              <w:bottom w:val="single" w:color="auto" w:sz="4" w:space="0"/>
              <w:right w:val="single" w:color="auto" w:sz="4" w:space="0"/>
            </w:tcBorders>
            <w:noWrap w:val="0"/>
            <w:vAlign w:val="center"/>
          </w:tcPr>
          <w:p w14:paraId="6E2A36C5">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194" w:type="dxa"/>
            <w:tcBorders>
              <w:top w:val="single" w:color="auto" w:sz="4" w:space="0"/>
              <w:left w:val="single" w:color="auto" w:sz="4" w:space="0"/>
              <w:bottom w:val="single" w:color="auto" w:sz="4" w:space="0"/>
              <w:right w:val="single" w:color="auto" w:sz="4" w:space="0"/>
            </w:tcBorders>
            <w:noWrap w:val="0"/>
            <w:vAlign w:val="center"/>
          </w:tcPr>
          <w:p w14:paraId="3C2D0C24">
            <w:pPr>
              <w:pageBreakBefore w:val="0"/>
              <w:kinsoku/>
              <w:wordWrap w:val="0"/>
              <w:bidi w:val="0"/>
              <w:spacing w:line="400" w:lineRule="atLeast"/>
              <w:rPr>
                <w:rFonts w:hint="default" w:ascii="Times New Roman" w:hAnsi="Times New Roman" w:cs="Times New Roman"/>
                <w:sz w:val="24"/>
                <w:highlight w:val="none"/>
              </w:rPr>
            </w:pPr>
          </w:p>
        </w:tc>
      </w:tr>
      <w:tr w14:paraId="5AC73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tcBorders>
              <w:top w:val="single" w:color="auto" w:sz="4" w:space="0"/>
              <w:left w:val="single" w:color="auto" w:sz="4" w:space="0"/>
              <w:bottom w:val="single" w:color="auto" w:sz="4" w:space="0"/>
              <w:right w:val="single" w:color="auto" w:sz="4" w:space="0"/>
            </w:tcBorders>
            <w:noWrap w:val="0"/>
            <w:vAlign w:val="center"/>
          </w:tcPr>
          <w:p w14:paraId="40ABD32C">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745" w:type="dxa"/>
            <w:tcBorders>
              <w:top w:val="single" w:color="auto" w:sz="4" w:space="0"/>
              <w:left w:val="single" w:color="auto" w:sz="4" w:space="0"/>
              <w:bottom w:val="single" w:color="auto" w:sz="4" w:space="0"/>
              <w:right w:val="single" w:color="auto" w:sz="4" w:space="0"/>
            </w:tcBorders>
            <w:noWrap w:val="0"/>
            <w:vAlign w:val="center"/>
          </w:tcPr>
          <w:p w14:paraId="2156BE0E">
            <w:pPr>
              <w:pageBreakBefore w:val="0"/>
              <w:kinsoku/>
              <w:wordWrap w:val="0"/>
              <w:bidi w:val="0"/>
              <w:spacing w:line="400" w:lineRule="atLeast"/>
              <w:rPr>
                <w:rFonts w:hint="default" w:ascii="Times New Roman" w:hAnsi="Times New Roman" w:cs="Times New Roman"/>
                <w:sz w:val="24"/>
                <w:highlight w:val="none"/>
              </w:rPr>
            </w:pPr>
          </w:p>
        </w:tc>
        <w:tc>
          <w:tcPr>
            <w:tcW w:w="1386" w:type="dxa"/>
            <w:tcBorders>
              <w:top w:val="single" w:color="auto" w:sz="4" w:space="0"/>
              <w:left w:val="single" w:color="auto" w:sz="4" w:space="0"/>
              <w:bottom w:val="single" w:color="auto" w:sz="4" w:space="0"/>
              <w:right w:val="single" w:color="auto" w:sz="4" w:space="0"/>
            </w:tcBorders>
            <w:noWrap w:val="0"/>
            <w:vAlign w:val="center"/>
          </w:tcPr>
          <w:p w14:paraId="15274AC9">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194" w:type="dxa"/>
            <w:tcBorders>
              <w:top w:val="single" w:color="auto" w:sz="4" w:space="0"/>
              <w:left w:val="single" w:color="auto" w:sz="4" w:space="0"/>
              <w:bottom w:val="single" w:color="auto" w:sz="4" w:space="0"/>
              <w:right w:val="single" w:color="auto" w:sz="4" w:space="0"/>
            </w:tcBorders>
            <w:noWrap w:val="0"/>
            <w:vAlign w:val="center"/>
          </w:tcPr>
          <w:p w14:paraId="4BD0E995">
            <w:pPr>
              <w:pageBreakBefore w:val="0"/>
              <w:kinsoku/>
              <w:wordWrap w:val="0"/>
              <w:bidi w:val="0"/>
              <w:spacing w:line="400" w:lineRule="atLeast"/>
              <w:rPr>
                <w:rFonts w:hint="default" w:ascii="Times New Roman" w:hAnsi="Times New Roman" w:cs="Times New Roman"/>
                <w:sz w:val="24"/>
                <w:highlight w:val="none"/>
              </w:rPr>
            </w:pPr>
          </w:p>
        </w:tc>
      </w:tr>
      <w:tr w14:paraId="06734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tcBorders>
              <w:top w:val="single" w:color="auto" w:sz="4" w:space="0"/>
              <w:left w:val="single" w:color="auto" w:sz="4" w:space="0"/>
              <w:bottom w:val="single" w:color="auto" w:sz="4" w:space="0"/>
              <w:right w:val="single" w:color="auto" w:sz="4" w:space="0"/>
            </w:tcBorders>
            <w:noWrap w:val="0"/>
            <w:vAlign w:val="center"/>
          </w:tcPr>
          <w:p w14:paraId="180C8F76">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745" w:type="dxa"/>
            <w:tcBorders>
              <w:top w:val="single" w:color="auto" w:sz="4" w:space="0"/>
              <w:left w:val="single" w:color="auto" w:sz="4" w:space="0"/>
              <w:bottom w:val="single" w:color="auto" w:sz="4" w:space="0"/>
              <w:right w:val="single" w:color="auto" w:sz="4" w:space="0"/>
            </w:tcBorders>
            <w:noWrap w:val="0"/>
            <w:vAlign w:val="center"/>
          </w:tcPr>
          <w:p w14:paraId="1655823E">
            <w:pPr>
              <w:pageBreakBefore w:val="0"/>
              <w:kinsoku/>
              <w:wordWrap w:val="0"/>
              <w:bidi w:val="0"/>
              <w:spacing w:line="400" w:lineRule="atLeast"/>
              <w:rPr>
                <w:rFonts w:hint="default" w:ascii="Times New Roman" w:hAnsi="Times New Roman" w:cs="Times New Roman"/>
                <w:sz w:val="24"/>
                <w:highlight w:val="none"/>
              </w:rPr>
            </w:pPr>
          </w:p>
        </w:tc>
        <w:tc>
          <w:tcPr>
            <w:tcW w:w="1386" w:type="dxa"/>
            <w:tcBorders>
              <w:top w:val="single" w:color="auto" w:sz="4" w:space="0"/>
              <w:left w:val="single" w:color="auto" w:sz="4" w:space="0"/>
              <w:bottom w:val="single" w:color="auto" w:sz="4" w:space="0"/>
              <w:right w:val="single" w:color="auto" w:sz="4" w:space="0"/>
            </w:tcBorders>
            <w:noWrap w:val="0"/>
            <w:vAlign w:val="center"/>
          </w:tcPr>
          <w:p w14:paraId="47DBA297">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194" w:type="dxa"/>
            <w:tcBorders>
              <w:top w:val="single" w:color="auto" w:sz="4" w:space="0"/>
              <w:left w:val="single" w:color="auto" w:sz="4" w:space="0"/>
              <w:bottom w:val="single" w:color="auto" w:sz="4" w:space="0"/>
              <w:right w:val="single" w:color="auto" w:sz="4" w:space="0"/>
            </w:tcBorders>
            <w:noWrap w:val="0"/>
            <w:vAlign w:val="center"/>
          </w:tcPr>
          <w:p w14:paraId="46C67BB1">
            <w:pPr>
              <w:pageBreakBefore w:val="0"/>
              <w:kinsoku/>
              <w:wordWrap w:val="0"/>
              <w:bidi w:val="0"/>
              <w:spacing w:line="400" w:lineRule="atLeast"/>
              <w:rPr>
                <w:rFonts w:hint="default" w:ascii="Times New Roman" w:hAnsi="Times New Roman" w:cs="Times New Roman"/>
                <w:sz w:val="24"/>
                <w:highlight w:val="none"/>
              </w:rPr>
            </w:pPr>
          </w:p>
        </w:tc>
      </w:tr>
      <w:tr w14:paraId="34A23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tcBorders>
              <w:top w:val="single" w:color="auto" w:sz="4" w:space="0"/>
              <w:left w:val="single" w:color="auto" w:sz="4" w:space="0"/>
              <w:bottom w:val="single" w:color="auto" w:sz="4" w:space="0"/>
              <w:right w:val="single" w:color="auto" w:sz="4" w:space="0"/>
            </w:tcBorders>
            <w:noWrap w:val="0"/>
            <w:vAlign w:val="center"/>
          </w:tcPr>
          <w:p w14:paraId="4BD4F340">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745" w:type="dxa"/>
            <w:tcBorders>
              <w:top w:val="single" w:color="auto" w:sz="4" w:space="0"/>
              <w:left w:val="single" w:color="auto" w:sz="4" w:space="0"/>
              <w:bottom w:val="single" w:color="auto" w:sz="4" w:space="0"/>
              <w:right w:val="single" w:color="auto" w:sz="4" w:space="0"/>
            </w:tcBorders>
            <w:noWrap w:val="0"/>
            <w:vAlign w:val="center"/>
          </w:tcPr>
          <w:p w14:paraId="627F1155">
            <w:pPr>
              <w:pageBreakBefore w:val="0"/>
              <w:kinsoku/>
              <w:wordWrap w:val="0"/>
              <w:bidi w:val="0"/>
              <w:spacing w:line="400" w:lineRule="atLeast"/>
              <w:rPr>
                <w:rFonts w:hint="default" w:ascii="Times New Roman" w:hAnsi="Times New Roman" w:cs="Times New Roman"/>
                <w:sz w:val="24"/>
                <w:highlight w:val="none"/>
              </w:rPr>
            </w:pPr>
          </w:p>
        </w:tc>
        <w:tc>
          <w:tcPr>
            <w:tcW w:w="1386" w:type="dxa"/>
            <w:tcBorders>
              <w:top w:val="single" w:color="auto" w:sz="4" w:space="0"/>
              <w:left w:val="single" w:color="auto" w:sz="4" w:space="0"/>
              <w:bottom w:val="single" w:color="auto" w:sz="4" w:space="0"/>
              <w:right w:val="single" w:color="auto" w:sz="4" w:space="0"/>
            </w:tcBorders>
            <w:noWrap w:val="0"/>
            <w:vAlign w:val="center"/>
          </w:tcPr>
          <w:p w14:paraId="3B420734">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194" w:type="dxa"/>
            <w:tcBorders>
              <w:top w:val="single" w:color="auto" w:sz="4" w:space="0"/>
              <w:left w:val="single" w:color="auto" w:sz="4" w:space="0"/>
              <w:bottom w:val="single" w:color="auto" w:sz="4" w:space="0"/>
              <w:right w:val="single" w:color="auto" w:sz="4" w:space="0"/>
            </w:tcBorders>
            <w:noWrap w:val="0"/>
            <w:vAlign w:val="center"/>
          </w:tcPr>
          <w:p w14:paraId="612C4213">
            <w:pPr>
              <w:pageBreakBefore w:val="0"/>
              <w:kinsoku/>
              <w:wordWrap w:val="0"/>
              <w:bidi w:val="0"/>
              <w:spacing w:line="400" w:lineRule="atLeast"/>
              <w:rPr>
                <w:rFonts w:hint="default" w:ascii="Times New Roman" w:hAnsi="Times New Roman" w:cs="Times New Roman"/>
                <w:sz w:val="24"/>
                <w:highlight w:val="none"/>
              </w:rPr>
            </w:pPr>
          </w:p>
        </w:tc>
      </w:tr>
      <w:tr w14:paraId="332D0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tcBorders>
              <w:top w:val="single" w:color="auto" w:sz="4" w:space="0"/>
              <w:left w:val="single" w:color="auto" w:sz="4" w:space="0"/>
              <w:bottom w:val="single" w:color="auto" w:sz="4" w:space="0"/>
              <w:right w:val="single" w:color="auto" w:sz="4" w:space="0"/>
            </w:tcBorders>
            <w:noWrap w:val="0"/>
            <w:vAlign w:val="center"/>
          </w:tcPr>
          <w:p w14:paraId="6A0A9F40">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745" w:type="dxa"/>
            <w:tcBorders>
              <w:top w:val="single" w:color="auto" w:sz="4" w:space="0"/>
              <w:left w:val="single" w:color="auto" w:sz="4" w:space="0"/>
              <w:bottom w:val="single" w:color="auto" w:sz="4" w:space="0"/>
              <w:right w:val="single" w:color="auto" w:sz="4" w:space="0"/>
            </w:tcBorders>
            <w:noWrap w:val="0"/>
            <w:vAlign w:val="center"/>
          </w:tcPr>
          <w:p w14:paraId="5C9DCA91">
            <w:pPr>
              <w:pageBreakBefore w:val="0"/>
              <w:kinsoku/>
              <w:wordWrap w:val="0"/>
              <w:bidi w:val="0"/>
              <w:spacing w:line="400" w:lineRule="atLeast"/>
              <w:rPr>
                <w:rFonts w:hint="default" w:ascii="Times New Roman" w:hAnsi="Times New Roman" w:cs="Times New Roman"/>
                <w:sz w:val="24"/>
                <w:highlight w:val="none"/>
              </w:rPr>
            </w:pPr>
          </w:p>
        </w:tc>
        <w:tc>
          <w:tcPr>
            <w:tcW w:w="1386" w:type="dxa"/>
            <w:tcBorders>
              <w:top w:val="single" w:color="auto" w:sz="4" w:space="0"/>
              <w:left w:val="single" w:color="auto" w:sz="4" w:space="0"/>
              <w:bottom w:val="single" w:color="auto" w:sz="4" w:space="0"/>
              <w:right w:val="single" w:color="auto" w:sz="4" w:space="0"/>
            </w:tcBorders>
            <w:noWrap w:val="0"/>
            <w:vAlign w:val="center"/>
          </w:tcPr>
          <w:p w14:paraId="139DEE98">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194" w:type="dxa"/>
            <w:tcBorders>
              <w:top w:val="single" w:color="auto" w:sz="4" w:space="0"/>
              <w:left w:val="single" w:color="auto" w:sz="4" w:space="0"/>
              <w:bottom w:val="single" w:color="auto" w:sz="4" w:space="0"/>
              <w:right w:val="single" w:color="auto" w:sz="4" w:space="0"/>
            </w:tcBorders>
            <w:noWrap w:val="0"/>
            <w:vAlign w:val="center"/>
          </w:tcPr>
          <w:p w14:paraId="6F58D2B9">
            <w:pPr>
              <w:pageBreakBefore w:val="0"/>
              <w:kinsoku/>
              <w:wordWrap w:val="0"/>
              <w:bidi w:val="0"/>
              <w:spacing w:line="400" w:lineRule="atLeast"/>
              <w:rPr>
                <w:rFonts w:hint="default" w:ascii="Times New Roman" w:hAnsi="Times New Roman" w:cs="Times New Roman"/>
                <w:sz w:val="24"/>
                <w:highlight w:val="none"/>
              </w:rPr>
            </w:pPr>
          </w:p>
        </w:tc>
      </w:tr>
    </w:tbl>
    <w:p w14:paraId="7D938BAF">
      <w:pPr>
        <w:pageBreakBefore w:val="0"/>
        <w:kinsoku/>
        <w:wordWrap w:val="0"/>
        <w:bidi w:val="0"/>
        <w:spacing w:line="400" w:lineRule="atLeast"/>
        <w:rPr>
          <w:rFonts w:hint="default" w:ascii="Times New Roman" w:hAnsi="Times New Roman" w:eastAsia="黑体" w:cs="Times New Roman"/>
          <w:sz w:val="24"/>
          <w:highlight w:val="none"/>
        </w:rPr>
      </w:pPr>
    </w:p>
    <w:p w14:paraId="29ED7659">
      <w:pPr>
        <w:pStyle w:val="2"/>
        <w:pageBreakBefore w:val="0"/>
        <w:kinsoku/>
        <w:wordWrap w:val="0"/>
        <w:bidi w:val="0"/>
        <w:spacing w:before="0" w:after="0" w:line="380" w:lineRule="atLeast"/>
        <w:rPr>
          <w:rFonts w:hint="default" w:ascii="Times New Roman" w:hAnsi="Times New Roman" w:eastAsia="黑体" w:cs="Times New Roman"/>
          <w:b w:val="0"/>
          <w:sz w:val="24"/>
          <w:szCs w:val="24"/>
          <w:highlight w:val="none"/>
        </w:rPr>
      </w:pPr>
      <w:bookmarkStart w:id="1410" w:name="_Toc13117"/>
      <w:bookmarkStart w:id="1411" w:name="_Toc9623"/>
      <w:bookmarkStart w:id="1412" w:name="_Toc4634"/>
      <w:bookmarkStart w:id="1413" w:name="_Toc234833236"/>
      <w:r>
        <w:rPr>
          <w:rFonts w:hint="default" w:ascii="Times New Roman" w:hAnsi="Times New Roman" w:eastAsia="黑体" w:cs="Times New Roman"/>
          <w:b w:val="0"/>
          <w:sz w:val="24"/>
          <w:szCs w:val="24"/>
          <w:highlight w:val="none"/>
        </w:rPr>
        <w:t>附件六</w:t>
      </w:r>
      <w:r>
        <w:rPr>
          <w:rFonts w:hint="default" w:ascii="Times New Roman" w:hAnsi="Times New Roman" w:eastAsia="黑体" w:cs="Times New Roman"/>
          <w:b w:val="0"/>
          <w:sz w:val="24"/>
          <w:szCs w:val="24"/>
          <w:highlight w:val="none"/>
          <w:lang w:eastAsia="zh-CN"/>
        </w:rPr>
        <w:t xml:space="preserve"> </w:t>
      </w:r>
      <w:r>
        <w:rPr>
          <w:rFonts w:hint="default" w:ascii="Times New Roman" w:hAnsi="Times New Roman" w:eastAsia="黑体" w:cs="Times New Roman"/>
          <w:b w:val="0"/>
          <w:sz w:val="24"/>
          <w:szCs w:val="24"/>
          <w:highlight w:val="none"/>
        </w:rPr>
        <w:t>项目经理委任书</w:t>
      </w:r>
      <w:bookmarkEnd w:id="1410"/>
      <w:bookmarkEnd w:id="1411"/>
      <w:bookmarkEnd w:id="1412"/>
      <w:bookmarkEnd w:id="1413"/>
    </w:p>
    <w:p w14:paraId="4EFA96FF">
      <w:pPr>
        <w:pageBreakBefore w:val="0"/>
        <w:kinsoku/>
        <w:wordWrap w:val="0"/>
        <w:bidi w:val="0"/>
        <w:snapToGrid w:val="0"/>
        <w:spacing w:line="400" w:lineRule="atLeast"/>
        <w:jc w:val="center"/>
        <w:rPr>
          <w:rFonts w:hint="default" w:ascii="Times New Roman" w:hAnsi="Times New Roman" w:eastAsia="黑体" w:cs="Times New Roman"/>
          <w:sz w:val="28"/>
          <w:szCs w:val="28"/>
          <w:highlight w:val="none"/>
          <w:u w:val="single"/>
        </w:rPr>
      </w:pPr>
      <w:r>
        <w:rPr>
          <w:rFonts w:hint="default" w:ascii="Times New Roman" w:hAnsi="Times New Roman" w:eastAsia="黑体" w:cs="Times New Roman"/>
          <w:sz w:val="28"/>
          <w:szCs w:val="28"/>
          <w:highlight w:val="none"/>
          <w:u w:val="single"/>
        </w:rPr>
        <w:t>（承包人全称）</w:t>
      </w:r>
    </w:p>
    <w:p w14:paraId="01C9E49C">
      <w:pPr>
        <w:pageBreakBefore w:val="0"/>
        <w:kinsoku/>
        <w:wordWrap w:val="0"/>
        <w:bidi w:val="0"/>
        <w:snapToGrid w:val="0"/>
        <w:spacing w:line="400" w:lineRule="atLeast"/>
        <w:jc w:val="center"/>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u w:val="single"/>
        </w:rPr>
        <w:t xml:space="preserve">（合同工程名称） </w:t>
      </w:r>
      <w:r>
        <w:rPr>
          <w:rFonts w:hint="default" w:ascii="Times New Roman" w:hAnsi="Times New Roman" w:eastAsia="黑体" w:cs="Times New Roman"/>
          <w:sz w:val="28"/>
          <w:szCs w:val="28"/>
          <w:highlight w:val="none"/>
        </w:rPr>
        <w:t>项目经理委任书</w:t>
      </w:r>
    </w:p>
    <w:p w14:paraId="1514F906">
      <w:pPr>
        <w:pageBreakBefore w:val="0"/>
        <w:kinsoku/>
        <w:wordWrap w:val="0"/>
        <w:bidi w:val="0"/>
        <w:snapToGrid w:val="0"/>
        <w:spacing w:line="400" w:lineRule="atLeast"/>
        <w:rPr>
          <w:rFonts w:hint="default" w:ascii="Times New Roman" w:hAnsi="Times New Roman" w:eastAsia="黑体" w:cs="Times New Roman"/>
          <w:sz w:val="24"/>
          <w:highlight w:val="none"/>
        </w:rPr>
      </w:pPr>
    </w:p>
    <w:p w14:paraId="346F1C8B">
      <w:pPr>
        <w:pageBreakBefore w:val="0"/>
        <w:kinsoku/>
        <w:wordWrap w:val="0"/>
        <w:bidi w:val="0"/>
        <w:snapToGrid w:val="0"/>
        <w:spacing w:line="400" w:lineRule="atLeast"/>
        <w:rPr>
          <w:rFonts w:hint="default" w:ascii="Times New Roman" w:hAnsi="Times New Roman" w:eastAsia="黑体" w:cs="Times New Roman"/>
          <w:sz w:val="24"/>
          <w:highlight w:val="none"/>
        </w:rPr>
      </w:pPr>
    </w:p>
    <w:p w14:paraId="0C45F719">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致：</w:t>
      </w:r>
      <w:r>
        <w:rPr>
          <w:rFonts w:hint="default" w:ascii="Times New Roman" w:hAnsi="Times New Roman" w:cs="Times New Roman"/>
          <w:sz w:val="24"/>
          <w:highlight w:val="none"/>
          <w:u w:val="single"/>
        </w:rPr>
        <w:t>（发包人全称）</w:t>
      </w:r>
    </w:p>
    <w:p w14:paraId="36D5DFF1">
      <w:pPr>
        <w:pageBreakBefore w:val="0"/>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u w:val="single"/>
        </w:rPr>
        <w:t xml:space="preserve">  （承包人全称） </w:t>
      </w:r>
      <w:r>
        <w:rPr>
          <w:rFonts w:hint="default" w:ascii="Times New Roman" w:hAnsi="Times New Roman" w:cs="Times New Roman"/>
          <w:sz w:val="24"/>
          <w:highlight w:val="none"/>
        </w:rPr>
        <w:t>法定代表人</w:t>
      </w:r>
      <w:r>
        <w:rPr>
          <w:rFonts w:hint="default" w:ascii="Times New Roman" w:hAnsi="Times New Roman" w:cs="Times New Roman"/>
          <w:sz w:val="24"/>
          <w:highlight w:val="none"/>
          <w:u w:val="single"/>
        </w:rPr>
        <w:t xml:space="preserve"> （职务、姓名） </w:t>
      </w:r>
      <w:r>
        <w:rPr>
          <w:rFonts w:hint="default" w:ascii="Times New Roman" w:hAnsi="Times New Roman" w:cs="Times New Roman"/>
          <w:sz w:val="24"/>
          <w:highlight w:val="none"/>
        </w:rPr>
        <w:t>代表本单位委任</w:t>
      </w:r>
      <w:r>
        <w:rPr>
          <w:rFonts w:hint="default" w:ascii="Times New Roman" w:hAnsi="Times New Roman" w:cs="Times New Roman"/>
          <w:sz w:val="24"/>
          <w:highlight w:val="none"/>
          <w:u w:val="single"/>
        </w:rPr>
        <w:t xml:space="preserve"> （职务、姓名） </w:t>
      </w:r>
      <w:r>
        <w:rPr>
          <w:rFonts w:hint="default" w:ascii="Times New Roman" w:hAnsi="Times New Roman" w:cs="Times New Roman"/>
          <w:sz w:val="24"/>
          <w:highlight w:val="none"/>
        </w:rPr>
        <w:t>为</w:t>
      </w:r>
      <w:r>
        <w:rPr>
          <w:rFonts w:hint="default" w:ascii="Times New Roman" w:hAnsi="Times New Roman" w:cs="Times New Roman"/>
          <w:sz w:val="24"/>
          <w:highlight w:val="none"/>
          <w:u w:val="single"/>
        </w:rPr>
        <w:t>（合同工程名称）</w:t>
      </w:r>
      <w:r>
        <w:rPr>
          <w:rFonts w:hint="default" w:ascii="Times New Roman" w:hAnsi="Times New Roman" w:cs="Times New Roman"/>
          <w:sz w:val="24"/>
          <w:highlight w:val="none"/>
        </w:rPr>
        <w:t>的项目经理。凡本合同执行中的有关技术、工程进度、现场管理、质量检验、结算与支付等方面工作，由</w:t>
      </w:r>
      <w:r>
        <w:rPr>
          <w:rFonts w:hint="default" w:ascii="Times New Roman" w:hAnsi="Times New Roman" w:cs="Times New Roman"/>
          <w:sz w:val="24"/>
          <w:highlight w:val="none"/>
          <w:u w:val="single"/>
        </w:rPr>
        <w:t xml:space="preserve">  （姓名） </w:t>
      </w:r>
      <w:r>
        <w:rPr>
          <w:rFonts w:hint="default" w:ascii="Times New Roman" w:hAnsi="Times New Roman" w:cs="Times New Roman"/>
          <w:sz w:val="24"/>
          <w:highlight w:val="none"/>
        </w:rPr>
        <w:t>代表本单位全面负责。</w:t>
      </w:r>
    </w:p>
    <w:p w14:paraId="412D9C03">
      <w:pPr>
        <w:pageBreakBefore w:val="0"/>
        <w:kinsoku/>
        <w:wordWrap w:val="0"/>
        <w:bidi w:val="0"/>
        <w:spacing w:line="400" w:lineRule="atLeast"/>
        <w:ind w:firstLine="616" w:firstLineChars="257"/>
        <w:rPr>
          <w:rFonts w:hint="default" w:ascii="Times New Roman" w:hAnsi="Times New Roman" w:cs="Times New Roman"/>
          <w:sz w:val="24"/>
          <w:highlight w:val="none"/>
        </w:rPr>
      </w:pPr>
    </w:p>
    <w:p w14:paraId="77143B22">
      <w:pPr>
        <w:pageBreakBefore w:val="0"/>
        <w:kinsoku/>
        <w:wordWrap w:val="0"/>
        <w:bidi w:val="0"/>
        <w:snapToGrid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承包人：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（盖单位章）</w:t>
      </w:r>
    </w:p>
    <w:p w14:paraId="44F28E65">
      <w:pPr>
        <w:pageBreakBefore w:val="0"/>
        <w:kinsoku/>
        <w:wordWrap w:val="0"/>
        <w:bidi w:val="0"/>
        <w:snapToGrid w:val="0"/>
        <w:spacing w:line="400" w:lineRule="atLeast"/>
        <w:ind w:firstLine="4603" w:firstLineChars="1918"/>
        <w:jc w:val="left"/>
        <w:rPr>
          <w:rFonts w:hint="default" w:ascii="Times New Roman" w:hAnsi="Times New Roman" w:cs="Times New Roman"/>
          <w:sz w:val="24"/>
          <w:highlight w:val="none"/>
          <w:u w:val="single"/>
        </w:rPr>
      </w:pPr>
      <w:r>
        <w:rPr>
          <w:rFonts w:hint="default" w:ascii="Times New Roman" w:hAnsi="Times New Roman" w:cs="Times New Roman"/>
          <w:sz w:val="24"/>
          <w:highlight w:val="none"/>
        </w:rPr>
        <w:t>法定代表人：</w:t>
      </w:r>
      <w:r>
        <w:rPr>
          <w:rFonts w:hint="default" w:ascii="Times New Roman" w:hAnsi="Times New Roman" w:cs="Times New Roman"/>
          <w:sz w:val="24"/>
          <w:highlight w:val="none"/>
          <w:u w:val="single"/>
        </w:rPr>
        <w:t xml:space="preserve">       （职务）        </w:t>
      </w:r>
    </w:p>
    <w:p w14:paraId="1086F67F">
      <w:pPr>
        <w:pageBreakBefore w:val="0"/>
        <w:kinsoku/>
        <w:wordWrap w:val="0"/>
        <w:bidi w:val="0"/>
        <w:snapToGrid w:val="0"/>
        <w:spacing w:line="400" w:lineRule="atLeast"/>
        <w:rPr>
          <w:rFonts w:hint="default" w:ascii="Times New Roman" w:hAnsi="Times New Roman" w:cs="Times New Roman"/>
          <w:sz w:val="24"/>
          <w:highlight w:val="none"/>
          <w:u w:val="single"/>
        </w:rPr>
      </w:pPr>
      <w:r>
        <w:rPr>
          <w:rFonts w:hint="default" w:ascii="Times New Roman" w:hAnsi="Times New Roman" w:cs="Times New Roman"/>
          <w:sz w:val="24"/>
          <w:highlight w:val="none"/>
        </w:rPr>
        <w:t xml:space="preserve">                                                   </w:t>
      </w:r>
      <w:r>
        <w:rPr>
          <w:rFonts w:hint="default" w:ascii="Times New Roman" w:hAnsi="Times New Roman" w:cs="Times New Roman"/>
          <w:sz w:val="24"/>
          <w:highlight w:val="none"/>
          <w:u w:val="single"/>
        </w:rPr>
        <w:t xml:space="preserve">       （姓名）       </w:t>
      </w:r>
    </w:p>
    <w:p w14:paraId="1FE3335F">
      <w:pPr>
        <w:pageBreakBefore w:val="0"/>
        <w:kinsoku/>
        <w:wordWrap w:val="0"/>
        <w:bidi w:val="0"/>
        <w:snapToGrid w:val="0"/>
        <w:spacing w:line="400" w:lineRule="atLeast"/>
        <w:rPr>
          <w:rFonts w:hint="default" w:ascii="Times New Roman" w:hAnsi="Times New Roman" w:cs="Times New Roman"/>
          <w:sz w:val="24"/>
          <w:highlight w:val="none"/>
          <w:u w:val="single"/>
        </w:rPr>
      </w:pPr>
      <w:r>
        <w:rPr>
          <w:rFonts w:hint="default" w:ascii="Times New Roman" w:hAnsi="Times New Roman" w:cs="Times New Roman"/>
          <w:sz w:val="24"/>
          <w:highlight w:val="none"/>
        </w:rPr>
        <w:t xml:space="preserve">                                                   </w:t>
      </w:r>
      <w:r>
        <w:rPr>
          <w:rFonts w:hint="default" w:ascii="Times New Roman" w:hAnsi="Times New Roman" w:cs="Times New Roman"/>
          <w:sz w:val="24"/>
          <w:highlight w:val="none"/>
          <w:u w:val="single"/>
        </w:rPr>
        <w:t xml:space="preserve">       （签字）       </w:t>
      </w:r>
    </w:p>
    <w:p w14:paraId="43321F63">
      <w:pPr>
        <w:pageBreakBefore w:val="0"/>
        <w:kinsoku/>
        <w:wordWrap w:val="0"/>
        <w:bidi w:val="0"/>
        <w:snapToGrid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月</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日</w:t>
      </w:r>
    </w:p>
    <w:p w14:paraId="1E4C5CE8">
      <w:pPr>
        <w:pStyle w:val="27"/>
        <w:pageBreakBefore w:val="0"/>
        <w:tabs>
          <w:tab w:val="clear" w:pos="4153"/>
          <w:tab w:val="clear" w:pos="8306"/>
        </w:tabs>
        <w:kinsoku/>
        <w:wordWrap w:val="0"/>
        <w:bidi w:val="0"/>
        <w:spacing w:line="400" w:lineRule="atLeas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 xml:space="preserve">  </w:t>
      </w:r>
    </w:p>
    <w:p w14:paraId="533EA836">
      <w:pPr>
        <w:pStyle w:val="27"/>
        <w:pageBreakBefore w:val="0"/>
        <w:tabs>
          <w:tab w:val="clear" w:pos="4153"/>
          <w:tab w:val="clear" w:pos="8306"/>
        </w:tabs>
        <w:kinsoku/>
        <w:wordWrap w:val="0"/>
        <w:bidi w:val="0"/>
        <w:spacing w:line="400" w:lineRule="atLeast"/>
        <w:rPr>
          <w:rFonts w:hint="default" w:ascii="Times New Roman" w:hAnsi="Times New Roman" w:cs="Times New Roman"/>
          <w:sz w:val="24"/>
          <w:szCs w:val="24"/>
          <w:highlight w:val="none"/>
        </w:rPr>
      </w:pPr>
    </w:p>
    <w:p w14:paraId="17E74D96">
      <w:pPr>
        <w:pageBreakBefore w:val="0"/>
        <w:kinsoku/>
        <w:wordWrap w:val="0"/>
        <w:bidi w:val="0"/>
        <w:snapToGrid w:val="0"/>
        <w:spacing w:line="400" w:lineRule="atLeast"/>
        <w:rPr>
          <w:rFonts w:hint="default" w:ascii="Times New Roman" w:hAnsi="Times New Roman" w:cs="Times New Roman"/>
          <w:sz w:val="24"/>
          <w:highlight w:val="none"/>
        </w:rPr>
      </w:pPr>
    </w:p>
    <w:p w14:paraId="243A9112">
      <w:pPr>
        <w:pageBreakBefore w:val="0"/>
        <w:kinsoku/>
        <w:wordWrap w:val="0"/>
        <w:bidi w:val="0"/>
        <w:snapToGrid w:val="0"/>
        <w:spacing w:line="400" w:lineRule="atLeast"/>
        <w:rPr>
          <w:rFonts w:hint="default" w:ascii="Times New Roman" w:hAnsi="Times New Roman" w:eastAsia="黑体" w:cs="Times New Roman"/>
          <w:bCs/>
          <w:kern w:val="44"/>
          <w:sz w:val="24"/>
          <w:highlight w:val="none"/>
        </w:rPr>
      </w:pPr>
      <w:r>
        <w:rPr>
          <w:rFonts w:hint="default" w:ascii="Times New Roman" w:hAnsi="Times New Roman" w:cs="Times New Roman"/>
          <w:sz w:val="24"/>
          <w:highlight w:val="none"/>
        </w:rPr>
        <w:t>抄送：</w:t>
      </w:r>
      <w:r>
        <w:rPr>
          <w:rFonts w:hint="default" w:ascii="Times New Roman" w:hAnsi="Times New Roman" w:cs="Times New Roman"/>
          <w:sz w:val="24"/>
          <w:highlight w:val="none"/>
          <w:u w:val="single"/>
        </w:rPr>
        <w:t xml:space="preserve">  （监理人）  </w:t>
      </w:r>
      <w:r>
        <w:rPr>
          <w:rFonts w:hint="default" w:ascii="Times New Roman" w:hAnsi="Times New Roman" w:cs="Times New Roman"/>
          <w:sz w:val="24"/>
          <w:highlight w:val="none"/>
        </w:rPr>
        <w:br w:type="page"/>
      </w:r>
      <w:r>
        <w:rPr>
          <w:rFonts w:hint="default" w:ascii="Times New Roman" w:hAnsi="Times New Roman" w:eastAsia="黑体" w:cs="Times New Roman"/>
          <w:bCs/>
          <w:kern w:val="44"/>
          <w:sz w:val="24"/>
          <w:highlight w:val="none"/>
        </w:rPr>
        <w:t>附件七 履约保证金格式</w:t>
      </w:r>
    </w:p>
    <w:p w14:paraId="0E3DB1D1">
      <w:pPr>
        <w:pageBreakBefore w:val="0"/>
        <w:kinsoku/>
        <w:wordWrap w:val="0"/>
        <w:bidi w:val="0"/>
        <w:spacing w:line="400" w:lineRule="atLeast"/>
        <w:rPr>
          <w:rFonts w:hint="default" w:ascii="Times New Roman" w:hAnsi="Times New Roman" w:eastAsia="黑体" w:cs="Times New Roman"/>
          <w:sz w:val="24"/>
          <w:highlight w:val="none"/>
        </w:rPr>
      </w:pPr>
      <w:r>
        <w:rPr>
          <w:rFonts w:hint="default" w:ascii="Times New Roman" w:hAnsi="Times New Roman" w:cs="Times New Roman"/>
          <w:sz w:val="24"/>
          <w:highlight w:val="none"/>
        </w:rPr>
        <w:t>如采用银行保函，格式如下。</w:t>
      </w:r>
    </w:p>
    <w:p w14:paraId="742BD4A0">
      <w:pPr>
        <w:pageBreakBefore w:val="0"/>
        <w:kinsoku/>
        <w:wordWrap w:val="0"/>
        <w:bidi w:val="0"/>
        <w:spacing w:line="400" w:lineRule="atLeast"/>
        <w:ind w:firstLine="3360" w:firstLineChars="1200"/>
        <w:rPr>
          <w:rFonts w:hint="default" w:ascii="Times New Roman" w:hAnsi="Times New Roman" w:eastAsia="黑体" w:cs="Times New Roman"/>
          <w:sz w:val="28"/>
          <w:szCs w:val="28"/>
          <w:highlight w:val="none"/>
        </w:rPr>
      </w:pPr>
    </w:p>
    <w:p w14:paraId="0704B6D2">
      <w:pPr>
        <w:pageBreakBefore w:val="0"/>
        <w:kinsoku/>
        <w:wordWrap w:val="0"/>
        <w:bidi w:val="0"/>
        <w:spacing w:line="400" w:lineRule="atLeast"/>
        <w:jc w:val="center"/>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履约保证金</w:t>
      </w:r>
    </w:p>
    <w:p w14:paraId="7E49EFF8">
      <w:pPr>
        <w:pageBreakBefore w:val="0"/>
        <w:kinsoku/>
        <w:wordWrap w:val="0"/>
        <w:bidi w:val="0"/>
        <w:spacing w:line="400" w:lineRule="atLeast"/>
        <w:rPr>
          <w:rFonts w:hint="default" w:ascii="Times New Roman" w:hAnsi="Times New Roman" w:cs="Times New Roman"/>
          <w:sz w:val="24"/>
          <w:highlight w:val="none"/>
        </w:rPr>
      </w:pPr>
    </w:p>
    <w:p w14:paraId="5B9E8EE7">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u w:val="single"/>
        </w:rPr>
        <w:tab/>
      </w:r>
      <w:r>
        <w:rPr>
          <w:rFonts w:hint="default" w:ascii="Times New Roman" w:hAnsi="Times New Roman" w:cs="Times New Roman"/>
          <w:sz w:val="24"/>
          <w:highlight w:val="none"/>
          <w:u w:val="single"/>
        </w:rPr>
        <w:tab/>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（发包人名称）：</w:t>
      </w:r>
    </w:p>
    <w:p w14:paraId="477025DD">
      <w:pPr>
        <w:pageBreakBefore w:val="0"/>
        <w:kinsoku/>
        <w:wordWrap w:val="0"/>
        <w:bidi w:val="0"/>
        <w:spacing w:line="400" w:lineRule="atLeast"/>
        <w:rPr>
          <w:rFonts w:hint="default" w:ascii="Times New Roman" w:hAnsi="Times New Roman" w:cs="Times New Roman"/>
          <w:sz w:val="24"/>
          <w:highlight w:val="none"/>
        </w:rPr>
      </w:pPr>
    </w:p>
    <w:p w14:paraId="7A25DE8B">
      <w:pPr>
        <w:pageBreakBefore w:val="0"/>
        <w:kinsoku/>
        <w:wordWrap w:val="0"/>
        <w:bidi w:val="0"/>
        <w:spacing w:line="400" w:lineRule="atLeast"/>
        <w:ind w:firstLine="600" w:firstLineChars="250"/>
        <w:rPr>
          <w:rFonts w:hint="default" w:ascii="Times New Roman" w:hAnsi="Times New Roman" w:cs="Times New Roman"/>
          <w:sz w:val="24"/>
          <w:highlight w:val="none"/>
        </w:rPr>
      </w:pPr>
      <w:r>
        <w:rPr>
          <w:rFonts w:hint="default" w:ascii="Times New Roman" w:hAnsi="Times New Roman" w:cs="Times New Roman"/>
          <w:sz w:val="24"/>
          <w:highlight w:val="none"/>
        </w:rPr>
        <w:t>鉴于</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（发包人名称，以下简称</w:t>
      </w:r>
      <w:r>
        <w:rPr>
          <w:rFonts w:hint="eastAsia" w:ascii="宋体" w:hAnsi="宋体" w:eastAsia="宋体" w:cs="宋体"/>
          <w:sz w:val="24"/>
          <w:highlight w:val="none"/>
        </w:rPr>
        <w:t>“</w:t>
      </w:r>
      <w:r>
        <w:rPr>
          <w:rFonts w:hint="default" w:ascii="Times New Roman" w:hAnsi="Times New Roman" w:cs="Times New Roman"/>
          <w:sz w:val="24"/>
          <w:highlight w:val="none"/>
        </w:rPr>
        <w:t>发包人</w:t>
      </w:r>
      <w:r>
        <w:rPr>
          <w:rFonts w:hint="eastAsia" w:ascii="宋体" w:hAnsi="宋体" w:eastAsia="宋体" w:cs="宋体"/>
          <w:sz w:val="24"/>
          <w:highlight w:val="none"/>
        </w:rPr>
        <w:t>”</w:t>
      </w:r>
      <w:r>
        <w:rPr>
          <w:rFonts w:hint="default" w:ascii="Times New Roman" w:hAnsi="Times New Roman" w:cs="Times New Roman"/>
          <w:sz w:val="24"/>
          <w:highlight w:val="none"/>
        </w:rPr>
        <w:t>）接受</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（承包人名称，以下简称</w:t>
      </w:r>
      <w:r>
        <w:rPr>
          <w:rFonts w:hint="eastAsia" w:ascii="宋体" w:hAnsi="宋体" w:eastAsia="宋体" w:cs="宋体"/>
          <w:sz w:val="24"/>
          <w:highlight w:val="none"/>
        </w:rPr>
        <w:t>“</w:t>
      </w:r>
      <w:r>
        <w:rPr>
          <w:rFonts w:hint="default" w:ascii="Times New Roman" w:hAnsi="Times New Roman" w:cs="Times New Roman"/>
          <w:sz w:val="24"/>
          <w:highlight w:val="none"/>
        </w:rPr>
        <w:t>承包人</w:t>
      </w:r>
      <w:r>
        <w:rPr>
          <w:rFonts w:hint="eastAsia" w:ascii="宋体" w:hAnsi="宋体" w:eastAsia="宋体" w:cs="宋体"/>
          <w:sz w:val="24"/>
          <w:highlight w:val="none"/>
        </w:rPr>
        <w:t>”</w:t>
      </w:r>
      <w:r>
        <w:rPr>
          <w:rFonts w:hint="default" w:ascii="Times New Roman" w:hAnsi="Times New Roman" w:cs="Times New Roman"/>
          <w:sz w:val="24"/>
          <w:highlight w:val="none"/>
        </w:rPr>
        <w:t>）于</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月</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日参加</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（项目名称）</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标段施工的投标。我方愿意无条件地、不可撤销地就承包人履行与你方订立的合同，向你方提供担保。</w:t>
      </w:r>
    </w:p>
    <w:p w14:paraId="73412956">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 担保金额人民币（大写）</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 元（¥</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w:t>
      </w:r>
    </w:p>
    <w:p w14:paraId="1F05706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 担保有效期自发包人与承包人签订的合同生效之日起至发包人签发交工验收证书且承包人按照合同约定缴纳质量保证金之日止。</w:t>
      </w:r>
      <w:r>
        <w:rPr>
          <w:rStyle w:val="56"/>
          <w:rFonts w:hint="default" w:ascii="Times New Roman" w:hAnsi="Times New Roman" w:eastAsia="黑体" w:cs="Times New Roman"/>
          <w:sz w:val="28"/>
          <w:szCs w:val="28"/>
          <w:highlight w:val="none"/>
        </w:rPr>
        <w:footnoteReference w:id="32"/>
      </w:r>
    </w:p>
    <w:p w14:paraId="5C0F0B2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 在本担保有效期内，因承包人违反合同约定的义务给你方造成经济损失时，我方在收到你方以书面形式提出的在担保金额内的赔偿要求后，在7日内无条件支付，无须你方出具证明或陈述理由。</w:t>
      </w:r>
    </w:p>
    <w:p w14:paraId="2329FC61">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 发包人和承包人按合同条款第15条变更合同时，无论我方是否收到该变更，我方承担本担保规定的义务不变。</w:t>
      </w:r>
    </w:p>
    <w:p w14:paraId="2D838B64">
      <w:pPr>
        <w:pageBreakBefore w:val="0"/>
        <w:kinsoku/>
        <w:wordWrap w:val="0"/>
        <w:bidi w:val="0"/>
        <w:spacing w:line="400" w:lineRule="atLeast"/>
        <w:rPr>
          <w:rFonts w:hint="default" w:ascii="Times New Roman" w:hAnsi="Times New Roman" w:cs="Times New Roman"/>
          <w:sz w:val="24"/>
          <w:highlight w:val="none"/>
        </w:rPr>
      </w:pPr>
    </w:p>
    <w:p w14:paraId="5CD34BD7">
      <w:pPr>
        <w:pageBreakBefore w:val="0"/>
        <w:kinsoku/>
        <w:wordWrap w:val="0"/>
        <w:bidi w:val="0"/>
        <w:spacing w:line="400" w:lineRule="atLeast"/>
        <w:rPr>
          <w:rFonts w:hint="default" w:ascii="Times New Roman" w:hAnsi="Times New Roman" w:cs="Times New Roman"/>
          <w:sz w:val="24"/>
          <w:highlight w:val="none"/>
        </w:rPr>
      </w:pPr>
    </w:p>
    <w:p w14:paraId="4699D46B">
      <w:pPr>
        <w:pageBreakBefore w:val="0"/>
        <w:kinsoku/>
        <w:wordWrap w:val="0"/>
        <w:bidi w:val="0"/>
        <w:spacing w:line="400" w:lineRule="atLeast"/>
        <w:ind w:firstLine="3496" w:firstLineChars="1457"/>
        <w:rPr>
          <w:rFonts w:hint="default" w:ascii="Times New Roman" w:hAnsi="Times New Roman" w:cs="Times New Roman"/>
          <w:sz w:val="24"/>
          <w:highlight w:val="none"/>
        </w:rPr>
      </w:pPr>
      <w:r>
        <w:rPr>
          <w:rFonts w:hint="default" w:ascii="Times New Roman" w:hAnsi="Times New Roman" w:cs="Times New Roman"/>
          <w:sz w:val="24"/>
          <w:highlight w:val="none"/>
        </w:rPr>
        <w:t>担保人名称：</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（盖单位章）</w:t>
      </w:r>
    </w:p>
    <w:p w14:paraId="33CD55F4">
      <w:pPr>
        <w:pageBreakBefore w:val="0"/>
        <w:kinsoku/>
        <w:wordWrap w:val="0"/>
        <w:bidi w:val="0"/>
        <w:spacing w:line="400" w:lineRule="atLeast"/>
        <w:ind w:firstLine="3496" w:firstLineChars="1457"/>
        <w:rPr>
          <w:rFonts w:hint="default" w:ascii="Times New Roman" w:hAnsi="Times New Roman" w:cs="Times New Roman"/>
          <w:sz w:val="24"/>
          <w:highlight w:val="none"/>
        </w:rPr>
      </w:pPr>
      <w:r>
        <w:rPr>
          <w:rFonts w:hint="default" w:ascii="Times New Roman" w:hAnsi="Times New Roman" w:cs="Times New Roman"/>
          <w:sz w:val="24"/>
          <w:highlight w:val="none"/>
        </w:rPr>
        <w:t>法定代表人或其委托代理人：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（签字）</w:t>
      </w:r>
    </w:p>
    <w:p w14:paraId="635F3E8A">
      <w:pPr>
        <w:pageBreakBefore w:val="0"/>
        <w:kinsoku/>
        <w:wordWrap w:val="0"/>
        <w:bidi w:val="0"/>
        <w:spacing w:line="400" w:lineRule="atLeast"/>
        <w:ind w:firstLine="3496" w:firstLineChars="1457"/>
        <w:rPr>
          <w:rFonts w:hint="default" w:ascii="Times New Roman" w:hAnsi="Times New Roman" w:cs="Times New Roman"/>
          <w:sz w:val="24"/>
          <w:highlight w:val="none"/>
        </w:rPr>
      </w:pPr>
      <w:r>
        <w:rPr>
          <w:rFonts w:hint="default" w:ascii="Times New Roman" w:hAnsi="Times New Roman" w:cs="Times New Roman"/>
          <w:sz w:val="24"/>
          <w:highlight w:val="none"/>
        </w:rPr>
        <w:t>地    址：</w:t>
      </w:r>
      <w:r>
        <w:rPr>
          <w:rFonts w:hint="default" w:ascii="Times New Roman" w:hAnsi="Times New Roman" w:cs="Times New Roman"/>
          <w:sz w:val="24"/>
          <w:highlight w:val="none"/>
          <w:u w:val="single"/>
        </w:rPr>
        <w:tab/>
      </w:r>
      <w:r>
        <w:rPr>
          <w:rFonts w:hint="default" w:ascii="Times New Roman" w:hAnsi="Times New Roman" w:cs="Times New Roman"/>
          <w:sz w:val="24"/>
          <w:highlight w:val="none"/>
          <w:u w:val="single"/>
        </w:rPr>
        <w:tab/>
      </w:r>
      <w:r>
        <w:rPr>
          <w:rFonts w:hint="default" w:ascii="Times New Roman" w:hAnsi="Times New Roman" w:cs="Times New Roman"/>
          <w:sz w:val="24"/>
          <w:highlight w:val="none"/>
          <w:u w:val="single"/>
        </w:rPr>
        <w:tab/>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u w:val="single"/>
        </w:rPr>
        <w:tab/>
      </w:r>
      <w:r>
        <w:rPr>
          <w:rFonts w:hint="default" w:ascii="Times New Roman" w:hAnsi="Times New Roman" w:cs="Times New Roman"/>
          <w:sz w:val="24"/>
          <w:highlight w:val="none"/>
          <w:u w:val="single"/>
        </w:rPr>
        <w:tab/>
      </w:r>
      <w:r>
        <w:rPr>
          <w:rFonts w:hint="default" w:ascii="Times New Roman" w:hAnsi="Times New Roman" w:cs="Times New Roman"/>
          <w:sz w:val="24"/>
          <w:highlight w:val="none"/>
          <w:u w:val="single"/>
        </w:rPr>
        <w:tab/>
      </w:r>
    </w:p>
    <w:p w14:paraId="7525A239">
      <w:pPr>
        <w:pageBreakBefore w:val="0"/>
        <w:kinsoku/>
        <w:wordWrap w:val="0"/>
        <w:bidi w:val="0"/>
        <w:spacing w:line="400" w:lineRule="atLeast"/>
        <w:ind w:firstLine="3496" w:firstLineChars="1457"/>
        <w:rPr>
          <w:rFonts w:hint="default" w:ascii="Times New Roman" w:hAnsi="Times New Roman" w:cs="Times New Roman"/>
          <w:sz w:val="24"/>
          <w:highlight w:val="none"/>
        </w:rPr>
      </w:pPr>
      <w:r>
        <w:rPr>
          <w:rFonts w:hint="default" w:ascii="Times New Roman" w:hAnsi="Times New Roman" w:cs="Times New Roman"/>
          <w:sz w:val="24"/>
          <w:highlight w:val="none"/>
        </w:rPr>
        <w:t>邮政编码：</w:t>
      </w:r>
      <w:r>
        <w:rPr>
          <w:rFonts w:hint="default" w:ascii="Times New Roman" w:hAnsi="Times New Roman" w:cs="Times New Roman"/>
          <w:sz w:val="24"/>
          <w:highlight w:val="none"/>
          <w:u w:val="single"/>
        </w:rPr>
        <w:tab/>
      </w:r>
      <w:r>
        <w:rPr>
          <w:rFonts w:hint="default" w:ascii="Times New Roman" w:hAnsi="Times New Roman" w:cs="Times New Roman"/>
          <w:sz w:val="24"/>
          <w:highlight w:val="none"/>
          <w:u w:val="single"/>
        </w:rPr>
        <w:tab/>
      </w:r>
      <w:r>
        <w:rPr>
          <w:rFonts w:hint="default" w:ascii="Times New Roman" w:hAnsi="Times New Roman" w:cs="Times New Roman"/>
          <w:sz w:val="24"/>
          <w:highlight w:val="none"/>
          <w:u w:val="single"/>
        </w:rPr>
        <w:tab/>
      </w:r>
      <w:r>
        <w:rPr>
          <w:rFonts w:hint="default" w:ascii="Times New Roman" w:hAnsi="Times New Roman" w:cs="Times New Roman"/>
          <w:sz w:val="24"/>
          <w:highlight w:val="none"/>
          <w:u w:val="single"/>
        </w:rPr>
        <w:tab/>
      </w:r>
      <w:r>
        <w:rPr>
          <w:rFonts w:hint="default" w:ascii="Times New Roman" w:hAnsi="Times New Roman" w:cs="Times New Roman"/>
          <w:sz w:val="24"/>
          <w:highlight w:val="none"/>
          <w:u w:val="single"/>
        </w:rPr>
        <w:tab/>
      </w:r>
      <w:r>
        <w:rPr>
          <w:rFonts w:hint="default" w:ascii="Times New Roman" w:hAnsi="Times New Roman" w:cs="Times New Roman"/>
          <w:sz w:val="24"/>
          <w:highlight w:val="none"/>
          <w:u w:val="single"/>
        </w:rPr>
        <w:tab/>
      </w:r>
      <w:r>
        <w:rPr>
          <w:rFonts w:hint="default" w:ascii="Times New Roman" w:hAnsi="Times New Roman" w:cs="Times New Roman"/>
          <w:sz w:val="24"/>
          <w:highlight w:val="none"/>
          <w:u w:val="single"/>
        </w:rPr>
        <w:tab/>
      </w:r>
      <w:r>
        <w:rPr>
          <w:rFonts w:hint="default" w:ascii="Times New Roman" w:hAnsi="Times New Roman" w:cs="Times New Roman"/>
          <w:sz w:val="24"/>
          <w:highlight w:val="none"/>
          <w:u w:val="single"/>
        </w:rPr>
        <w:tab/>
      </w:r>
      <w:r>
        <w:rPr>
          <w:rFonts w:hint="default" w:ascii="Times New Roman" w:hAnsi="Times New Roman" w:cs="Times New Roman"/>
          <w:sz w:val="24"/>
          <w:highlight w:val="none"/>
          <w:u w:val="single"/>
        </w:rPr>
        <w:tab/>
      </w:r>
    </w:p>
    <w:p w14:paraId="03560047">
      <w:pPr>
        <w:pageBreakBefore w:val="0"/>
        <w:kinsoku/>
        <w:wordWrap w:val="0"/>
        <w:bidi w:val="0"/>
        <w:spacing w:line="400" w:lineRule="atLeast"/>
        <w:ind w:firstLine="3496" w:firstLineChars="1457"/>
        <w:rPr>
          <w:rFonts w:hint="default" w:ascii="Times New Roman" w:hAnsi="Times New Roman" w:cs="Times New Roman"/>
          <w:sz w:val="24"/>
          <w:highlight w:val="none"/>
        </w:rPr>
      </w:pPr>
      <w:r>
        <w:rPr>
          <w:rFonts w:hint="default" w:ascii="Times New Roman" w:hAnsi="Times New Roman" w:cs="Times New Roman"/>
          <w:sz w:val="24"/>
          <w:highlight w:val="none"/>
        </w:rPr>
        <w:t>电    话：</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 </w:t>
      </w:r>
    </w:p>
    <w:p w14:paraId="00EE098A">
      <w:pPr>
        <w:pageBreakBefore w:val="0"/>
        <w:kinsoku/>
        <w:wordWrap w:val="0"/>
        <w:bidi w:val="0"/>
        <w:spacing w:line="400" w:lineRule="atLeast"/>
        <w:ind w:firstLine="3496" w:firstLineChars="1457"/>
        <w:rPr>
          <w:rFonts w:hint="default" w:ascii="Times New Roman" w:hAnsi="Times New Roman" w:cs="Times New Roman"/>
          <w:sz w:val="24"/>
          <w:highlight w:val="none"/>
        </w:rPr>
      </w:pPr>
      <w:r>
        <w:rPr>
          <w:rFonts w:hint="default" w:ascii="Times New Roman" w:hAnsi="Times New Roman" w:cs="Times New Roman"/>
          <w:sz w:val="24"/>
          <w:highlight w:val="none"/>
        </w:rPr>
        <w:t>传    真：</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 </w:t>
      </w:r>
    </w:p>
    <w:p w14:paraId="4D1B20B0">
      <w:pPr>
        <w:pageBreakBefore w:val="0"/>
        <w:kinsoku/>
        <w:wordWrap w:val="0"/>
        <w:bidi w:val="0"/>
        <w:spacing w:line="400" w:lineRule="atLeast"/>
        <w:ind w:firstLine="4216" w:firstLineChars="1757"/>
        <w:jc w:val="right"/>
        <w:rPr>
          <w:rFonts w:hint="default" w:ascii="Times New Roman" w:hAnsi="Times New Roman" w:cs="Times New Roman"/>
          <w:sz w:val="24"/>
          <w:highlight w:val="none"/>
        </w:rPr>
      </w:pP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 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月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日</w:t>
      </w:r>
    </w:p>
    <w:p w14:paraId="534CAB98">
      <w:pPr>
        <w:pageBreakBefore w:val="0"/>
        <w:kinsoku/>
        <w:wordWrap w:val="0"/>
        <w:bidi w:val="0"/>
        <w:spacing w:line="400" w:lineRule="atLeast"/>
        <w:rPr>
          <w:rFonts w:hint="default" w:ascii="Times New Roman" w:hAnsi="Times New Roman" w:cs="Times New Roman"/>
          <w:sz w:val="24"/>
          <w:highlight w:val="none"/>
        </w:rPr>
      </w:pPr>
    </w:p>
    <w:p w14:paraId="08E4542C">
      <w:pPr>
        <w:pageBreakBefore w:val="0"/>
        <w:kinsoku/>
        <w:wordWrap w:val="0"/>
        <w:bidi w:val="0"/>
        <w:spacing w:line="400" w:lineRule="atLeast"/>
        <w:rPr>
          <w:rFonts w:hint="default" w:ascii="Times New Roman" w:hAnsi="Times New Roman" w:eastAsia="黑体" w:cs="Times New Roman"/>
          <w:sz w:val="24"/>
          <w:highlight w:val="none"/>
        </w:rPr>
      </w:pPr>
    </w:p>
    <w:p w14:paraId="7C48B8BA">
      <w:pPr>
        <w:pStyle w:val="2"/>
        <w:pageBreakBefore w:val="0"/>
        <w:kinsoku/>
        <w:wordWrap w:val="0"/>
        <w:bidi w:val="0"/>
        <w:spacing w:before="0" w:after="0" w:line="380" w:lineRule="atLeast"/>
        <w:rPr>
          <w:rFonts w:hint="default" w:ascii="Times New Roman" w:hAnsi="Times New Roman" w:eastAsia="黑体" w:cs="Times New Roman"/>
          <w:b w:val="0"/>
          <w:sz w:val="24"/>
          <w:szCs w:val="24"/>
          <w:highlight w:val="none"/>
        </w:rPr>
      </w:pPr>
      <w:r>
        <w:rPr>
          <w:rFonts w:hint="default" w:ascii="Times New Roman" w:hAnsi="Times New Roman" w:eastAsia="黑体" w:cs="Times New Roman"/>
          <w:sz w:val="24"/>
          <w:highlight w:val="none"/>
        </w:rPr>
        <w:br w:type="page"/>
      </w:r>
      <w:bookmarkStart w:id="1414" w:name="_Toc8682"/>
      <w:bookmarkStart w:id="1415" w:name="_Toc18852"/>
      <w:bookmarkStart w:id="1416" w:name="_Toc24417"/>
      <w:bookmarkStart w:id="1417" w:name="_Toc234833238"/>
      <w:r>
        <w:rPr>
          <w:rFonts w:hint="default" w:ascii="Times New Roman" w:hAnsi="Times New Roman" w:eastAsia="黑体" w:cs="Times New Roman"/>
          <w:b w:val="0"/>
          <w:sz w:val="24"/>
          <w:szCs w:val="24"/>
          <w:highlight w:val="none"/>
        </w:rPr>
        <w:t>附件八</w:t>
      </w:r>
      <w:r>
        <w:rPr>
          <w:rFonts w:hint="default" w:ascii="Times New Roman" w:hAnsi="Times New Roman" w:eastAsia="黑体" w:cs="Times New Roman"/>
          <w:b w:val="0"/>
          <w:sz w:val="24"/>
          <w:szCs w:val="24"/>
          <w:highlight w:val="none"/>
          <w:lang w:eastAsia="zh-CN"/>
        </w:rPr>
        <w:t xml:space="preserve"> </w:t>
      </w:r>
      <w:r>
        <w:rPr>
          <w:rFonts w:hint="default" w:ascii="Times New Roman" w:hAnsi="Times New Roman" w:eastAsia="黑体" w:cs="Times New Roman"/>
          <w:b w:val="0"/>
          <w:sz w:val="24"/>
          <w:szCs w:val="24"/>
          <w:highlight w:val="none"/>
        </w:rPr>
        <w:t>工程资金监管协议格式</w:t>
      </w:r>
      <w:bookmarkEnd w:id="1414"/>
      <w:bookmarkEnd w:id="1415"/>
      <w:bookmarkEnd w:id="1416"/>
      <w:bookmarkEnd w:id="1417"/>
    </w:p>
    <w:p w14:paraId="5C49115A">
      <w:pPr>
        <w:pageBreakBefore w:val="0"/>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（发包人与承包人签订合同协议书时应与发包人指定的银行签署工程资金监管协议，工程资金监管协议内容在保证本项目资金有效监管的前提下由三方共同商定）</w:t>
      </w:r>
    </w:p>
    <w:p w14:paraId="652D803A">
      <w:pPr>
        <w:pageBreakBefore w:val="0"/>
        <w:kinsoku/>
        <w:wordWrap w:val="0"/>
        <w:bidi w:val="0"/>
        <w:spacing w:line="380" w:lineRule="atLeast"/>
        <w:rPr>
          <w:rFonts w:hint="default" w:ascii="Times New Roman" w:hAnsi="Times New Roman" w:eastAsia="黑体" w:cs="Times New Roman"/>
          <w:sz w:val="24"/>
          <w:highlight w:val="none"/>
        </w:rPr>
      </w:pPr>
    </w:p>
    <w:p w14:paraId="12CE4473">
      <w:pPr>
        <w:pageBreakBefore w:val="0"/>
        <w:kinsoku/>
        <w:wordWrap w:val="0"/>
        <w:bidi w:val="0"/>
        <w:spacing w:line="380" w:lineRule="atLeast"/>
        <w:jc w:val="center"/>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工程资金监管协议</w:t>
      </w:r>
    </w:p>
    <w:p w14:paraId="24AECA0B">
      <w:pPr>
        <w:pageBreakBefore w:val="0"/>
        <w:kinsoku/>
        <w:wordWrap w:val="0"/>
        <w:bidi w:val="0"/>
        <w:spacing w:line="380" w:lineRule="atLeast"/>
        <w:jc w:val="center"/>
        <w:rPr>
          <w:rFonts w:hint="default" w:ascii="Times New Roman" w:hAnsi="Times New Roman" w:eastAsia="黑体" w:cs="Times New Roman"/>
          <w:sz w:val="28"/>
          <w:szCs w:val="28"/>
          <w:highlight w:val="none"/>
        </w:rPr>
      </w:pPr>
    </w:p>
    <w:p w14:paraId="260BF304">
      <w:pPr>
        <w:pageBreakBefore w:val="0"/>
        <w:kinsoku/>
        <w:wordWrap w:val="0"/>
        <w:bidi w:val="0"/>
        <w:spacing w:line="380" w:lineRule="atLeast"/>
        <w:rPr>
          <w:rFonts w:hint="default" w:ascii="Times New Roman" w:hAnsi="Times New Roman" w:cs="Times New Roman"/>
          <w:sz w:val="24"/>
          <w:highlight w:val="none"/>
        </w:rPr>
      </w:pPr>
      <w:bookmarkStart w:id="1418" w:name="_Toc234833239"/>
      <w:r>
        <w:rPr>
          <w:rFonts w:hint="default" w:ascii="Times New Roman" w:hAnsi="Times New Roman" w:cs="Times New Roman"/>
          <w:sz w:val="24"/>
          <w:highlight w:val="none"/>
        </w:rPr>
        <w:t>发包人：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（以下简称</w:t>
      </w:r>
      <w:r>
        <w:rPr>
          <w:rFonts w:hint="eastAsia" w:ascii="宋体" w:hAnsi="宋体" w:eastAsia="宋体" w:cs="宋体"/>
          <w:sz w:val="24"/>
          <w:highlight w:val="none"/>
        </w:rPr>
        <w:t>“</w:t>
      </w:r>
      <w:r>
        <w:rPr>
          <w:rFonts w:hint="default" w:ascii="Times New Roman" w:hAnsi="Times New Roman" w:cs="Times New Roman"/>
          <w:sz w:val="24"/>
          <w:highlight w:val="none"/>
        </w:rPr>
        <w:t>甲方</w:t>
      </w:r>
      <w:r>
        <w:rPr>
          <w:rFonts w:hint="eastAsia" w:ascii="宋体" w:hAnsi="宋体" w:eastAsia="宋体" w:cs="宋体"/>
          <w:sz w:val="24"/>
          <w:highlight w:val="none"/>
        </w:rPr>
        <w:t>”</w:t>
      </w:r>
      <w:r>
        <w:rPr>
          <w:rFonts w:hint="default" w:ascii="Times New Roman" w:hAnsi="Times New Roman" w:cs="Times New Roman"/>
          <w:sz w:val="24"/>
          <w:highlight w:val="none"/>
        </w:rPr>
        <w:t>）</w:t>
      </w:r>
      <w:bookmarkEnd w:id="1418"/>
    </w:p>
    <w:p w14:paraId="2FADE895">
      <w:pPr>
        <w:pageBreakBefore w:val="0"/>
        <w:kinsoku/>
        <w:wordWrap w:val="0"/>
        <w:bidi w:val="0"/>
        <w:spacing w:line="380" w:lineRule="atLeast"/>
        <w:rPr>
          <w:rFonts w:hint="default" w:ascii="Times New Roman" w:hAnsi="Times New Roman" w:cs="Times New Roman"/>
          <w:sz w:val="24"/>
          <w:highlight w:val="none"/>
        </w:rPr>
      </w:pPr>
      <w:r>
        <w:rPr>
          <w:rFonts w:hint="default" w:ascii="Times New Roman" w:hAnsi="Times New Roman" w:cs="Times New Roman"/>
          <w:sz w:val="24"/>
          <w:highlight w:val="none"/>
        </w:rPr>
        <w:t>承包人：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（以下简称</w:t>
      </w:r>
      <w:r>
        <w:rPr>
          <w:rFonts w:hint="eastAsia" w:ascii="宋体" w:hAnsi="宋体" w:eastAsia="宋体" w:cs="宋体"/>
          <w:sz w:val="24"/>
          <w:highlight w:val="none"/>
        </w:rPr>
        <w:t>“</w:t>
      </w:r>
      <w:r>
        <w:rPr>
          <w:rFonts w:hint="default" w:ascii="Times New Roman" w:hAnsi="Times New Roman" w:cs="Times New Roman"/>
          <w:sz w:val="24"/>
          <w:highlight w:val="none"/>
        </w:rPr>
        <w:t>乙方</w:t>
      </w:r>
      <w:r>
        <w:rPr>
          <w:rFonts w:hint="eastAsia" w:ascii="宋体" w:hAnsi="宋体" w:eastAsia="宋体" w:cs="宋体"/>
          <w:sz w:val="24"/>
          <w:highlight w:val="none"/>
        </w:rPr>
        <w:t>”</w:t>
      </w:r>
      <w:r>
        <w:rPr>
          <w:rFonts w:hint="default" w:ascii="Times New Roman" w:hAnsi="Times New Roman" w:cs="Times New Roman"/>
          <w:sz w:val="24"/>
          <w:highlight w:val="none"/>
        </w:rPr>
        <w:t>）</w:t>
      </w:r>
    </w:p>
    <w:p w14:paraId="0BCEA946">
      <w:pPr>
        <w:pageBreakBefore w:val="0"/>
        <w:kinsoku/>
        <w:wordWrap w:val="0"/>
        <w:bidi w:val="0"/>
        <w:spacing w:line="380" w:lineRule="atLeast"/>
        <w:rPr>
          <w:rFonts w:hint="default" w:ascii="Times New Roman" w:hAnsi="Times New Roman" w:cs="Times New Roman"/>
          <w:sz w:val="24"/>
          <w:highlight w:val="none"/>
        </w:rPr>
      </w:pPr>
      <w:r>
        <w:rPr>
          <w:rFonts w:hint="default" w:ascii="Times New Roman" w:hAnsi="Times New Roman" w:cs="Times New Roman"/>
          <w:sz w:val="24"/>
          <w:highlight w:val="none"/>
        </w:rPr>
        <w:t>经办银行：</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（以下简称</w:t>
      </w:r>
      <w:r>
        <w:rPr>
          <w:rFonts w:hint="eastAsia" w:ascii="宋体" w:hAnsi="宋体" w:eastAsia="宋体" w:cs="宋体"/>
          <w:sz w:val="24"/>
          <w:highlight w:val="none"/>
        </w:rPr>
        <w:t>“</w:t>
      </w:r>
      <w:r>
        <w:rPr>
          <w:rFonts w:hint="default" w:ascii="Times New Roman" w:hAnsi="Times New Roman" w:cs="Times New Roman"/>
          <w:sz w:val="24"/>
          <w:highlight w:val="none"/>
        </w:rPr>
        <w:t>丙方</w:t>
      </w:r>
      <w:r>
        <w:rPr>
          <w:rFonts w:hint="eastAsia" w:ascii="宋体" w:hAnsi="宋体" w:eastAsia="宋体" w:cs="宋体"/>
          <w:sz w:val="24"/>
          <w:highlight w:val="none"/>
        </w:rPr>
        <w:t>”</w:t>
      </w:r>
      <w:r>
        <w:rPr>
          <w:rFonts w:hint="default" w:ascii="Times New Roman" w:hAnsi="Times New Roman" w:cs="Times New Roman"/>
          <w:sz w:val="24"/>
          <w:highlight w:val="none"/>
        </w:rPr>
        <w:t>）</w:t>
      </w:r>
    </w:p>
    <w:p w14:paraId="4F294A5B">
      <w:pPr>
        <w:pageBreakBefore w:val="0"/>
        <w:kinsoku/>
        <w:wordWrap w:val="0"/>
        <w:bidi w:val="0"/>
        <w:spacing w:line="380" w:lineRule="atLeast"/>
        <w:jc w:val="left"/>
        <w:rPr>
          <w:rFonts w:hint="default" w:ascii="Times New Roman" w:hAnsi="Times New Roman" w:cs="Times New Roman"/>
          <w:sz w:val="24"/>
          <w:highlight w:val="none"/>
        </w:rPr>
      </w:pPr>
    </w:p>
    <w:p w14:paraId="6E501908">
      <w:pPr>
        <w:pageBreakBefore w:val="0"/>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为了促进</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（项目名称）的顺利实施，管好用好建设资金，确保工程资金专款专用，同时为承包人提供便捷有效的银行业务服务，根据</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（项目名称）合同条款有关规定，经甲、乙、丙三方协商，达成协议如下：</w:t>
      </w:r>
    </w:p>
    <w:p w14:paraId="5AA37DF5">
      <w:pPr>
        <w:pageBreakBefore w:val="0"/>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 资金管理的内容</w:t>
      </w:r>
    </w:p>
    <w:p w14:paraId="3D8DDC90">
      <w:pPr>
        <w:pageBreakBefore w:val="0"/>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（1）乙方为完成</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（项目名称）工程成立的项目经理部在丙方开设基本结算户；</w:t>
      </w:r>
    </w:p>
    <w:p w14:paraId="58805877">
      <w:pPr>
        <w:pageBreakBefore w:val="0"/>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（2）甲方应按合同规定将工程款汇入乙方在丙方开设的账户；</w:t>
      </w:r>
    </w:p>
    <w:p w14:paraId="04564FB2">
      <w:pPr>
        <w:pageBreakBefore w:val="0"/>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（3）乙方应将流动资金及甲方所拨付资金专项用于</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（项目名称）；</w:t>
      </w:r>
    </w:p>
    <w:p w14:paraId="222653E4">
      <w:pPr>
        <w:pageBreakBefore w:val="0"/>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（4）丙方应为乙方提供便捷有效的银行业务服务，并接受甲方委托对乙方在丙方开设的基本结算户资金使用情况进行监督。</w:t>
      </w:r>
    </w:p>
    <w:p w14:paraId="520AF01C">
      <w:pPr>
        <w:pageBreakBefore w:val="0"/>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 甲方的权责</w:t>
      </w:r>
    </w:p>
    <w:p w14:paraId="18C69049">
      <w:pPr>
        <w:pageBreakBefore w:val="0"/>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（1）按照</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（项目名称）合同有关条款规定的时间和方式，向乙方支付工程款；</w:t>
      </w:r>
    </w:p>
    <w:p w14:paraId="1BB25512">
      <w:pPr>
        <w:pageBreakBefore w:val="0"/>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（2）在发现乙方将本项目资金挪用、转移时，甲方有权中止工程支付，直至乙方改正为止；</w:t>
      </w:r>
    </w:p>
    <w:p w14:paraId="37F3583A">
      <w:pPr>
        <w:pageBreakBefore w:val="0"/>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（3）不定期审查丙方对乙方的资金使用监督情况，如丙方不能履行其责任，甲方有权随时终止本协议；</w:t>
      </w:r>
    </w:p>
    <w:p w14:paraId="666CF40F">
      <w:pPr>
        <w:pageBreakBefore w:val="0"/>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（4）在乙、丙双方发生争议时，甲方应负责协调、解决。</w:t>
      </w:r>
    </w:p>
    <w:p w14:paraId="5B58C8C2">
      <w:pPr>
        <w:pageBreakBefore w:val="0"/>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 乙方的权责</w:t>
      </w:r>
    </w:p>
    <w:p w14:paraId="67136193">
      <w:pPr>
        <w:pageBreakBefore w:val="0"/>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（1）项目经理部成立以后，乙方应尽快在丙方开设基本结算户；</w:t>
      </w:r>
    </w:p>
    <w:p w14:paraId="1F1717D3">
      <w:pPr>
        <w:pageBreakBefore w:val="0"/>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（2）确保本项目资金专款专用，不发生挪用、转移资金的现象；保证不通过权益转让、抵押、担保承担债务等任何其他方式使用基本结算户的资金；</w:t>
      </w:r>
    </w:p>
    <w:p w14:paraId="41B5747C">
      <w:pPr>
        <w:pageBreakBefore w:val="0"/>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（3）办理材料、设备等采购业务金额在</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万元以上的，应出示购货合同、协议和发票；在办理总额超过</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万元以上的采购业务时，应将合同、协议和发票复印件送丙方备案；购买应急材料、设备时可先办理支付手续，但事后必须补备有关资料；</w:t>
      </w:r>
    </w:p>
    <w:p w14:paraId="6D3E38A0">
      <w:pPr>
        <w:pageBreakBefore w:val="0"/>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（4）用银行转账支票办理支付款项时，必须将转账支票送交丙方，由丙方负责办理支票转付手续；</w:t>
      </w:r>
    </w:p>
    <w:p w14:paraId="3D5B2B70">
      <w:pPr>
        <w:pageBreakBefore w:val="0"/>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（5）向分包单位支付工程进度款时，应附甲方批准分包的文件；</w:t>
      </w:r>
    </w:p>
    <w:p w14:paraId="06911952">
      <w:pPr>
        <w:pageBreakBefore w:val="0"/>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（6）向上级单位缴纳管理费、机械设备及周转材料租赁摊销费等款项时，应附上级单位出具的转账通知等有关资料，以确保资金专款专用。</w:t>
      </w:r>
    </w:p>
    <w:p w14:paraId="6CFDC4EC">
      <w:pPr>
        <w:pageBreakBefore w:val="0"/>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 丙方的权责</w:t>
      </w:r>
    </w:p>
    <w:p w14:paraId="7E24A5D7">
      <w:pPr>
        <w:pageBreakBefore w:val="0"/>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（1）成立</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（项目名称）工程资金管理服务小组，明确业务流程，提高工作效率，杜绝</w:t>
      </w:r>
      <w:r>
        <w:rPr>
          <w:rFonts w:hint="eastAsia" w:ascii="宋体" w:hAnsi="宋体" w:eastAsia="宋体" w:cs="宋体"/>
          <w:sz w:val="24"/>
          <w:highlight w:val="none"/>
        </w:rPr>
        <w:t>“</w:t>
      </w:r>
      <w:r>
        <w:rPr>
          <w:rFonts w:hint="default" w:ascii="Times New Roman" w:hAnsi="Times New Roman" w:cs="Times New Roman"/>
          <w:sz w:val="24"/>
          <w:highlight w:val="none"/>
        </w:rPr>
        <w:t>压票</w:t>
      </w:r>
      <w:r>
        <w:rPr>
          <w:rFonts w:hint="eastAsia" w:ascii="宋体" w:hAnsi="宋体" w:eastAsia="宋体" w:cs="宋体"/>
          <w:sz w:val="24"/>
          <w:highlight w:val="none"/>
        </w:rPr>
        <w:t>”</w:t>
      </w:r>
      <w:r>
        <w:rPr>
          <w:rFonts w:hint="default" w:ascii="Times New Roman" w:hAnsi="Times New Roman" w:cs="Times New Roman"/>
          <w:sz w:val="24"/>
          <w:highlight w:val="none"/>
        </w:rPr>
        <w:t>现象；</w:t>
      </w:r>
    </w:p>
    <w:p w14:paraId="7A2CB772">
      <w:pPr>
        <w:pageBreakBefore w:val="0"/>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w:t>
      </w:r>
      <w:r>
        <w:rPr>
          <w:rFonts w:hint="default" w:ascii="Times New Roman" w:hAnsi="Times New Roman" w:cs="Times New Roman"/>
          <w:spacing w:val="-6"/>
          <w:sz w:val="24"/>
          <w:highlight w:val="none"/>
        </w:rPr>
        <w:t>根据乙方提供的购货合同、协议和发票，检查其所购材料、设备是否用于</w:t>
      </w:r>
      <w:r>
        <w:rPr>
          <w:rFonts w:hint="default" w:ascii="Times New Roman" w:hAnsi="Times New Roman" w:cs="Times New Roman"/>
          <w:spacing w:val="-6"/>
          <w:sz w:val="24"/>
          <w:highlight w:val="none"/>
          <w:u w:val="single"/>
        </w:rPr>
        <w:t xml:space="preserve">   </w:t>
      </w:r>
      <w:r>
        <w:rPr>
          <w:rFonts w:hint="default" w:ascii="Times New Roman" w:hAnsi="Times New Roman" w:cs="Times New Roman"/>
          <w:sz w:val="24"/>
          <w:highlight w:val="none"/>
        </w:rPr>
        <w:t>（项目名称）工程建设，对本标段以外的购货款项，有权拒绝办理，并及时报告甲方；</w:t>
      </w:r>
    </w:p>
    <w:p w14:paraId="330013B9">
      <w:pPr>
        <w:pageBreakBefore w:val="0"/>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（3）根据乙方与分包单位签订的合同及支付文件，检查其支付款项是否符合有关条件，向分包单位以外单位的支付有权拒绝办理，并及时报告甲方；</w:t>
      </w:r>
    </w:p>
    <w:p w14:paraId="09CD7D9C">
      <w:pPr>
        <w:pageBreakBefore w:val="0"/>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（4）根据乙方提供的上级单位出具的转账通知等有关资料，办理管理费、机械设备及周转材料租赁摊销费等款项的支付；对超出转账通知等有关资料以外的支付，有权拒绝办理，并及时报告甲方；</w:t>
      </w:r>
    </w:p>
    <w:p w14:paraId="3AEACEA8">
      <w:pPr>
        <w:pageBreakBefore w:val="0"/>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（5）定期将乙方前一个周期的支付情况，整理后书面报送甲方；乙方复印备案的材料一并送甲方。</w:t>
      </w:r>
    </w:p>
    <w:p w14:paraId="01F2B840">
      <w:pPr>
        <w:pageBreakBefore w:val="0"/>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 甲、乙、丙三方都应履行保密责任，不得将其他两方的业务情况透露给三方以外的其他单位或个人。</w:t>
      </w:r>
    </w:p>
    <w:p w14:paraId="66E2D747">
      <w:pPr>
        <w:pageBreakBefore w:val="0"/>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6. 本协议有效期自乙方在丙方开户起，至工程交工验收甲方向乙方颁发交工验收证书后结束。</w:t>
      </w:r>
    </w:p>
    <w:p w14:paraId="3E3179C4">
      <w:pPr>
        <w:pageBreakBefore w:val="0"/>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7. 本协议未尽事宜，由甲方牵头，三方协商解决。</w:t>
      </w:r>
    </w:p>
    <w:p w14:paraId="6AD2142F">
      <w:pPr>
        <w:pageBreakBefore w:val="0"/>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8. 本协议正本三份、副本</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份。合同三方各执正本一份、副本</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份，当正本与副本内容不一致时，以正本为准。</w:t>
      </w:r>
    </w:p>
    <w:p w14:paraId="553F142C">
      <w:pPr>
        <w:pageBreakBefore w:val="0"/>
        <w:kinsoku/>
        <w:wordWrap w:val="0"/>
        <w:bidi w:val="0"/>
        <w:spacing w:line="340" w:lineRule="atLeast"/>
        <w:outlineLvl w:val="9"/>
        <w:rPr>
          <w:rFonts w:hint="default" w:ascii="Times New Roman" w:hAnsi="Times New Roman" w:cs="Times New Roman"/>
          <w:b/>
          <w:sz w:val="24"/>
          <w:highlight w:val="none"/>
        </w:rPr>
      </w:pPr>
    </w:p>
    <w:p w14:paraId="19C8E9B5">
      <w:pPr>
        <w:pageBreakBefore w:val="0"/>
        <w:kinsoku/>
        <w:wordWrap w:val="0"/>
        <w:bidi w:val="0"/>
        <w:spacing w:line="340" w:lineRule="atLeast"/>
        <w:rPr>
          <w:rFonts w:hint="default" w:ascii="Times New Roman" w:hAnsi="Times New Roman" w:cs="Times New Roman"/>
          <w:sz w:val="24"/>
          <w:highlight w:val="none"/>
        </w:rPr>
      </w:pPr>
      <w:r>
        <w:rPr>
          <w:rFonts w:hint="default" w:ascii="Times New Roman" w:hAnsi="Times New Roman" w:cs="Times New Roman"/>
          <w:sz w:val="24"/>
          <w:highlight w:val="none"/>
        </w:rPr>
        <w:t>发包人：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（盖单位章）    </w:t>
      </w:r>
    </w:p>
    <w:p w14:paraId="5EFB7892">
      <w:pPr>
        <w:pageBreakBefore w:val="0"/>
        <w:kinsoku/>
        <w:wordWrap w:val="0"/>
        <w:bidi w:val="0"/>
        <w:spacing w:line="340" w:lineRule="atLeast"/>
        <w:rPr>
          <w:rFonts w:hint="default" w:ascii="Times New Roman" w:hAnsi="Times New Roman" w:cs="Times New Roman"/>
          <w:sz w:val="24"/>
          <w:highlight w:val="none"/>
        </w:rPr>
      </w:pPr>
      <w:r>
        <w:rPr>
          <w:rFonts w:hint="default" w:ascii="Times New Roman" w:hAnsi="Times New Roman" w:cs="Times New Roman"/>
          <w:sz w:val="24"/>
          <w:highlight w:val="none"/>
        </w:rPr>
        <w:t>法定代表人或其委托代理人：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（签字）  </w:t>
      </w:r>
    </w:p>
    <w:p w14:paraId="043C6A2D">
      <w:pPr>
        <w:pageBreakBefore w:val="0"/>
        <w:kinsoku/>
        <w:wordWrap w:val="0"/>
        <w:bidi w:val="0"/>
        <w:spacing w:line="340" w:lineRule="atLeast"/>
        <w:ind w:firstLine="1920" w:firstLineChars="800"/>
        <w:rPr>
          <w:rFonts w:hint="default" w:ascii="Times New Roman" w:hAnsi="Times New Roman" w:cs="Times New Roman"/>
          <w:b/>
          <w:bCs/>
          <w:sz w:val="44"/>
          <w:highlight w:val="none"/>
        </w:rPr>
      </w:pP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月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 日    </w:t>
      </w:r>
    </w:p>
    <w:p w14:paraId="65303DC6">
      <w:pPr>
        <w:pageBreakBefore w:val="0"/>
        <w:kinsoku/>
        <w:wordWrap w:val="0"/>
        <w:bidi w:val="0"/>
        <w:spacing w:line="340" w:lineRule="atLeast"/>
        <w:rPr>
          <w:rFonts w:hint="default" w:ascii="Times New Roman" w:hAnsi="Times New Roman" w:cs="Times New Roman"/>
          <w:sz w:val="24"/>
          <w:highlight w:val="none"/>
        </w:rPr>
      </w:pPr>
    </w:p>
    <w:p w14:paraId="083E832D">
      <w:pPr>
        <w:pageBreakBefore w:val="0"/>
        <w:kinsoku/>
        <w:wordWrap w:val="0"/>
        <w:bidi w:val="0"/>
        <w:spacing w:line="340" w:lineRule="atLeast"/>
        <w:rPr>
          <w:rFonts w:hint="default" w:ascii="Times New Roman" w:hAnsi="Times New Roman" w:cs="Times New Roman"/>
          <w:sz w:val="24"/>
          <w:highlight w:val="none"/>
        </w:rPr>
      </w:pPr>
      <w:r>
        <w:rPr>
          <w:rFonts w:hint="default" w:ascii="Times New Roman" w:hAnsi="Times New Roman" w:cs="Times New Roman"/>
          <w:sz w:val="24"/>
          <w:highlight w:val="none"/>
        </w:rPr>
        <w:t>承包人：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（盖单位章）    </w:t>
      </w:r>
    </w:p>
    <w:p w14:paraId="5068DAB8">
      <w:pPr>
        <w:pageBreakBefore w:val="0"/>
        <w:kinsoku/>
        <w:wordWrap w:val="0"/>
        <w:bidi w:val="0"/>
        <w:spacing w:line="340" w:lineRule="atLeast"/>
        <w:rPr>
          <w:rFonts w:hint="default" w:ascii="Times New Roman" w:hAnsi="Times New Roman" w:cs="Times New Roman"/>
          <w:sz w:val="24"/>
          <w:highlight w:val="none"/>
        </w:rPr>
      </w:pPr>
      <w:r>
        <w:rPr>
          <w:rFonts w:hint="default" w:ascii="Times New Roman" w:hAnsi="Times New Roman" w:cs="Times New Roman"/>
          <w:sz w:val="24"/>
          <w:highlight w:val="none"/>
        </w:rPr>
        <w:t>法定代表人或其委托代理人：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（签字）  </w:t>
      </w:r>
    </w:p>
    <w:p w14:paraId="5F17B9F4">
      <w:pPr>
        <w:pageBreakBefore w:val="0"/>
        <w:kinsoku/>
        <w:wordWrap w:val="0"/>
        <w:bidi w:val="0"/>
        <w:spacing w:line="340" w:lineRule="atLeast"/>
        <w:ind w:firstLine="1920" w:firstLineChars="800"/>
        <w:rPr>
          <w:rFonts w:hint="default" w:ascii="Times New Roman" w:hAnsi="Times New Roman" w:cs="Times New Roman"/>
          <w:b/>
          <w:bCs/>
          <w:sz w:val="44"/>
          <w:highlight w:val="none"/>
        </w:rPr>
      </w:pP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月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 日    </w:t>
      </w:r>
    </w:p>
    <w:p w14:paraId="5E55855A">
      <w:pPr>
        <w:pageBreakBefore w:val="0"/>
        <w:kinsoku/>
        <w:wordWrap w:val="0"/>
        <w:bidi w:val="0"/>
        <w:spacing w:line="340" w:lineRule="atLeast"/>
        <w:rPr>
          <w:rFonts w:hint="default" w:ascii="Times New Roman" w:hAnsi="Times New Roman" w:cs="Times New Roman"/>
          <w:sz w:val="24"/>
          <w:highlight w:val="none"/>
        </w:rPr>
      </w:pPr>
    </w:p>
    <w:p w14:paraId="6F9A8A03">
      <w:pPr>
        <w:pageBreakBefore w:val="0"/>
        <w:kinsoku/>
        <w:wordWrap w:val="0"/>
        <w:bidi w:val="0"/>
        <w:spacing w:line="340" w:lineRule="atLeast"/>
        <w:rPr>
          <w:rFonts w:hint="default" w:ascii="Times New Roman" w:hAnsi="Times New Roman" w:cs="Times New Roman"/>
          <w:sz w:val="24"/>
          <w:highlight w:val="none"/>
        </w:rPr>
      </w:pPr>
      <w:r>
        <w:rPr>
          <w:rFonts w:hint="default" w:ascii="Times New Roman" w:hAnsi="Times New Roman" w:cs="Times New Roman"/>
          <w:sz w:val="24"/>
          <w:highlight w:val="none"/>
        </w:rPr>
        <w:t>经办银行：</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（盖单位章）    </w:t>
      </w:r>
    </w:p>
    <w:p w14:paraId="43C209B4">
      <w:pPr>
        <w:pageBreakBefore w:val="0"/>
        <w:kinsoku/>
        <w:wordWrap w:val="0"/>
        <w:bidi w:val="0"/>
        <w:spacing w:line="340" w:lineRule="atLeast"/>
        <w:rPr>
          <w:rFonts w:hint="default" w:ascii="Times New Roman" w:hAnsi="Times New Roman" w:cs="Times New Roman"/>
          <w:sz w:val="24"/>
          <w:highlight w:val="none"/>
        </w:rPr>
      </w:pPr>
      <w:r>
        <w:rPr>
          <w:rFonts w:hint="default" w:ascii="Times New Roman" w:hAnsi="Times New Roman" w:cs="Times New Roman"/>
          <w:sz w:val="24"/>
          <w:highlight w:val="none"/>
        </w:rPr>
        <w:t>法定代表人或其委托代理人：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（签字）  </w:t>
      </w:r>
    </w:p>
    <w:p w14:paraId="3B21F523">
      <w:pPr>
        <w:pageBreakBefore w:val="0"/>
        <w:kinsoku/>
        <w:wordWrap w:val="0"/>
        <w:bidi w:val="0"/>
        <w:spacing w:line="340" w:lineRule="atLeast"/>
        <w:ind w:firstLine="1920" w:firstLineChars="800"/>
        <w:rPr>
          <w:rFonts w:hint="default" w:ascii="Times New Roman" w:hAnsi="Times New Roman" w:cs="Times New Roman"/>
          <w:sz w:val="24"/>
          <w:highlight w:val="none"/>
        </w:rPr>
        <w:sectPr>
          <w:headerReference r:id="rId34" w:type="default"/>
          <w:footerReference r:id="rId35" w:type="default"/>
          <w:footnotePr>
            <w:numFmt w:val="decimalEnclosedCircleChinese"/>
            <w:numRestart w:val="eachPage"/>
          </w:footnotePr>
          <w:pgSz w:w="11907" w:h="16840"/>
          <w:pgMar w:top="1588" w:right="1588" w:bottom="1474" w:left="1644" w:header="851" w:footer="851" w:gutter="0"/>
          <w:pgNumType w:fmt="decimal"/>
          <w:cols w:space="720" w:num="1"/>
          <w:docGrid w:linePitch="312" w:charSpace="0"/>
        </w:sectPr>
      </w:pP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月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 日   </w:t>
      </w:r>
    </w:p>
    <w:p w14:paraId="181B11E5">
      <w:pPr>
        <w:pageBreakBefore w:val="0"/>
        <w:kinsoku/>
        <w:wordWrap w:val="0"/>
        <w:bidi w:val="0"/>
        <w:spacing w:line="340" w:lineRule="atLeast"/>
        <w:ind w:firstLine="3534" w:firstLineChars="800"/>
        <w:rPr>
          <w:rFonts w:hint="default" w:ascii="Times New Roman" w:hAnsi="Times New Roman" w:cs="Times New Roman"/>
          <w:b/>
          <w:bCs/>
          <w:sz w:val="44"/>
          <w:highlight w:val="none"/>
        </w:rPr>
      </w:pPr>
    </w:p>
    <w:p w14:paraId="2746AE0E">
      <w:pPr>
        <w:pageBreakBefore w:val="0"/>
        <w:kinsoku/>
        <w:wordWrap w:val="0"/>
        <w:bidi w:val="0"/>
        <w:spacing w:line="400" w:lineRule="exact"/>
        <w:rPr>
          <w:rFonts w:hint="default" w:ascii="Times New Roman" w:hAnsi="Times New Roman" w:cs="Times New Roman"/>
          <w:sz w:val="24"/>
          <w:highlight w:val="none"/>
        </w:rPr>
      </w:pPr>
    </w:p>
    <w:p w14:paraId="6CEFDDE2">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48805A63">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307B125E">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032C82A1">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61CABB44">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321C9972">
      <w:pPr>
        <w:pageBreakBefore w:val="0"/>
        <w:kinsoku/>
        <w:wordWrap w:val="0"/>
        <w:bidi w:val="0"/>
        <w:spacing w:before="0" w:after="0" w:line="380" w:lineRule="atLeast"/>
        <w:jc w:val="center"/>
        <w:outlineLvl w:val="9"/>
        <w:rPr>
          <w:rFonts w:hint="default" w:ascii="Times New Roman" w:hAnsi="Times New Roman" w:eastAsia="黑体" w:cs="Times New Roman"/>
          <w:b w:val="0"/>
          <w:sz w:val="56"/>
          <w:szCs w:val="56"/>
          <w:highlight w:val="none"/>
        </w:rPr>
      </w:pPr>
    </w:p>
    <w:p w14:paraId="596F9FB3">
      <w:pPr>
        <w:pageBreakBefore w:val="0"/>
        <w:kinsoku/>
        <w:wordWrap w:val="0"/>
        <w:bidi w:val="0"/>
        <w:spacing w:before="0" w:after="0" w:line="380" w:lineRule="atLeast"/>
        <w:jc w:val="center"/>
        <w:outlineLvl w:val="9"/>
        <w:rPr>
          <w:rFonts w:hint="default" w:ascii="Times New Roman" w:hAnsi="Times New Roman" w:eastAsia="黑体" w:cs="Times New Roman"/>
          <w:b w:val="0"/>
          <w:sz w:val="56"/>
          <w:szCs w:val="56"/>
          <w:highlight w:val="none"/>
        </w:rPr>
      </w:pPr>
    </w:p>
    <w:p w14:paraId="4DA2BD33">
      <w:pPr>
        <w:pageBreakBefore w:val="0"/>
        <w:kinsoku/>
        <w:wordWrap w:val="0"/>
        <w:bidi w:val="0"/>
        <w:spacing w:before="0" w:after="0" w:line="380" w:lineRule="atLeast"/>
        <w:jc w:val="center"/>
        <w:outlineLvl w:val="9"/>
        <w:rPr>
          <w:rFonts w:hint="default" w:ascii="Times New Roman" w:hAnsi="Times New Roman" w:eastAsia="黑体" w:cs="Times New Roman"/>
          <w:b w:val="0"/>
          <w:sz w:val="56"/>
          <w:szCs w:val="56"/>
          <w:highlight w:val="none"/>
        </w:rPr>
      </w:pPr>
    </w:p>
    <w:p w14:paraId="64141279">
      <w:pPr>
        <w:pageBreakBefore w:val="0"/>
        <w:kinsoku/>
        <w:wordWrap w:val="0"/>
        <w:bidi w:val="0"/>
        <w:jc w:val="center"/>
        <w:outlineLvl w:val="0"/>
        <w:rPr>
          <w:rFonts w:hint="default" w:ascii="Times New Roman" w:hAnsi="Times New Roman" w:eastAsia="黑体" w:cs="Times New Roman"/>
          <w:sz w:val="56"/>
          <w:szCs w:val="56"/>
          <w:highlight w:val="none"/>
        </w:rPr>
      </w:pPr>
      <w:bookmarkStart w:id="1419" w:name="_Toc28723"/>
      <w:bookmarkStart w:id="1420" w:name="_Toc28897"/>
      <w:bookmarkStart w:id="1421" w:name="_Toc9486"/>
      <w:bookmarkStart w:id="1422" w:name="_Toc234835927"/>
      <w:bookmarkStart w:id="1423" w:name="_Toc234833240"/>
      <w:r>
        <w:rPr>
          <w:rFonts w:hint="default" w:ascii="Times New Roman" w:hAnsi="Times New Roman" w:eastAsia="黑体" w:cs="Times New Roman"/>
          <w:sz w:val="56"/>
          <w:szCs w:val="56"/>
          <w:highlight w:val="none"/>
        </w:rPr>
        <w:t>第五章  工程量清单</w:t>
      </w:r>
      <w:bookmarkEnd w:id="1419"/>
      <w:bookmarkEnd w:id="1420"/>
      <w:bookmarkEnd w:id="1421"/>
      <w:bookmarkEnd w:id="1422"/>
      <w:bookmarkEnd w:id="1423"/>
    </w:p>
    <w:p w14:paraId="75D96316">
      <w:pPr>
        <w:pStyle w:val="2"/>
        <w:pageBreakBefore w:val="0"/>
        <w:kinsoku/>
        <w:wordWrap w:val="0"/>
        <w:bidi w:val="0"/>
        <w:spacing w:before="0" w:after="480" w:afterLines="200" w:line="380" w:lineRule="atLeast"/>
        <w:jc w:val="center"/>
        <w:rPr>
          <w:rFonts w:hint="default" w:ascii="Times New Roman" w:hAnsi="Times New Roman" w:eastAsia="黑体" w:cs="Times New Roman"/>
          <w:b w:val="0"/>
          <w:sz w:val="32"/>
          <w:szCs w:val="32"/>
          <w:highlight w:val="none"/>
        </w:rPr>
        <w:sectPr>
          <w:headerReference r:id="rId36" w:type="default"/>
          <w:footerReference r:id="rId37" w:type="default"/>
          <w:footnotePr>
            <w:numFmt w:val="decimalEnclosedCircleChinese"/>
            <w:numRestart w:val="eachPage"/>
          </w:footnotePr>
          <w:pgSz w:w="11907" w:h="16840"/>
          <w:pgMar w:top="1588" w:right="1588" w:bottom="1474" w:left="1644" w:header="851" w:footer="851" w:gutter="0"/>
          <w:pgNumType w:fmt="decimal"/>
          <w:cols w:space="720" w:num="1"/>
          <w:docGrid w:linePitch="312" w:charSpace="0"/>
        </w:sectPr>
      </w:pPr>
      <w:bookmarkStart w:id="1424" w:name="_Toc234833241"/>
    </w:p>
    <w:p w14:paraId="3F9D7A13">
      <w:pPr>
        <w:pStyle w:val="2"/>
        <w:pageBreakBefore w:val="0"/>
        <w:kinsoku/>
        <w:wordWrap w:val="0"/>
        <w:bidi w:val="0"/>
        <w:spacing w:before="0" w:after="480" w:afterLines="200" w:line="380" w:lineRule="atLeast"/>
        <w:jc w:val="center"/>
        <w:rPr>
          <w:rFonts w:hint="default" w:ascii="Times New Roman" w:hAnsi="Times New Roman" w:eastAsia="黑体" w:cs="Times New Roman"/>
          <w:b w:val="0"/>
          <w:sz w:val="32"/>
          <w:szCs w:val="32"/>
          <w:highlight w:val="none"/>
        </w:rPr>
      </w:pPr>
      <w:bookmarkStart w:id="1425" w:name="_Toc29171"/>
      <w:bookmarkStart w:id="1426" w:name="_Toc2221"/>
      <w:r>
        <w:rPr>
          <w:rFonts w:hint="default" w:ascii="Times New Roman" w:hAnsi="Times New Roman" w:eastAsia="黑体" w:cs="Times New Roman"/>
          <w:b w:val="0"/>
          <w:sz w:val="32"/>
          <w:szCs w:val="32"/>
          <w:highlight w:val="none"/>
        </w:rPr>
        <w:t>第五章  工程量清单</w:t>
      </w:r>
      <w:bookmarkEnd w:id="1424"/>
      <w:bookmarkEnd w:id="1425"/>
      <w:bookmarkEnd w:id="1426"/>
    </w:p>
    <w:p w14:paraId="072EF9B5">
      <w:pPr>
        <w:pStyle w:val="2"/>
        <w:pageBreakBefore w:val="0"/>
        <w:kinsoku/>
        <w:wordWrap w:val="0"/>
        <w:bidi w:val="0"/>
        <w:spacing w:before="240" w:beforeLines="100" w:after="240" w:afterLines="100" w:line="380" w:lineRule="atLeast"/>
        <w:rPr>
          <w:rFonts w:hint="default" w:ascii="Times New Roman" w:hAnsi="Times New Roman" w:eastAsia="黑体" w:cs="Times New Roman"/>
          <w:b w:val="0"/>
          <w:sz w:val="28"/>
          <w:szCs w:val="28"/>
          <w:highlight w:val="none"/>
        </w:rPr>
      </w:pPr>
      <w:bookmarkStart w:id="1427" w:name="_Toc10571"/>
      <w:bookmarkStart w:id="1428" w:name="_Toc234833242"/>
      <w:bookmarkStart w:id="1429" w:name="_Toc27094"/>
      <w:bookmarkStart w:id="1430" w:name="_Toc32385"/>
      <w:r>
        <w:rPr>
          <w:rFonts w:hint="default" w:ascii="Times New Roman" w:hAnsi="Times New Roman" w:eastAsia="黑体" w:cs="Times New Roman"/>
          <w:b w:val="0"/>
          <w:sz w:val="28"/>
          <w:szCs w:val="28"/>
          <w:highlight w:val="none"/>
        </w:rPr>
        <w:t>1. 工程量清单说明</w:t>
      </w:r>
      <w:bookmarkEnd w:id="1427"/>
      <w:bookmarkEnd w:id="1428"/>
      <w:bookmarkEnd w:id="1429"/>
      <w:bookmarkEnd w:id="1430"/>
    </w:p>
    <w:p w14:paraId="603D6E77">
      <w:pPr>
        <w:pageBreakBefore w:val="0"/>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1.1 本工程量清单是根据招标文件中包括的有合同约束力的工程量清单计量规则、图纸以及有关工程量清单的国家标准、行业标准、合同条款中约定的其他规则编制。约定计量规则中没有的子目，其工程量按照有合同约束力的图纸所标示尺寸的理论净量计算。计量采用中华人民共和国法定计量单位。</w:t>
      </w:r>
    </w:p>
    <w:p w14:paraId="55EEFAFA">
      <w:pPr>
        <w:pageBreakBefore w:val="0"/>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1.2 本工程量清单应与招标文件中的投标人须知、通用合同条款、专用合同条款、工程量清单计量规则、技术规范及图纸等一起阅读和理解。</w:t>
      </w:r>
    </w:p>
    <w:p w14:paraId="3EDBE70B">
      <w:pPr>
        <w:pageBreakBefore w:val="0"/>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1.3 本工程量清单中所列工程数量是估算的或设计的预计数量，仅作为投标报价的共同基础，不能作为最终结算与支付的依据。实际支付应按实际完成的工程量，由承包人按工程量清单计量规则规定的计量方法，以监理人认可的尺寸、断面计量，按本工程量清单的单价和总额价计算支付金额；或根据具体情况，按合同条款第15.4款的规定，按监理人确定的单价或总额价计算支付额。</w:t>
      </w:r>
    </w:p>
    <w:p w14:paraId="7A41E3F6">
      <w:pPr>
        <w:pageBreakBefore w:val="0"/>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1.4 工程量清单各章是按第八章</w:t>
      </w:r>
      <w:r>
        <w:rPr>
          <w:rFonts w:hint="eastAsia" w:ascii="宋体" w:hAnsi="宋体" w:eastAsia="宋体" w:cs="宋体"/>
          <w:sz w:val="24"/>
          <w:highlight w:val="none"/>
        </w:rPr>
        <w:t>“</w:t>
      </w:r>
      <w:r>
        <w:rPr>
          <w:rFonts w:hint="default" w:ascii="Times New Roman" w:hAnsi="Times New Roman" w:cs="Times New Roman"/>
          <w:sz w:val="24"/>
          <w:highlight w:val="none"/>
        </w:rPr>
        <w:t>工程量清单计量规则</w:t>
      </w:r>
      <w:r>
        <w:rPr>
          <w:rFonts w:hint="eastAsia" w:ascii="宋体" w:hAnsi="宋体" w:eastAsia="宋体" w:cs="宋体"/>
          <w:sz w:val="24"/>
          <w:highlight w:val="none"/>
        </w:rPr>
        <w:t>”</w:t>
      </w:r>
      <w:r>
        <w:rPr>
          <w:rFonts w:hint="default" w:ascii="Times New Roman" w:hAnsi="Times New Roman" w:cs="Times New Roman"/>
          <w:sz w:val="24"/>
          <w:highlight w:val="none"/>
        </w:rPr>
        <w:t>、第七章</w:t>
      </w:r>
      <w:r>
        <w:rPr>
          <w:rFonts w:hint="eastAsia" w:ascii="宋体" w:hAnsi="宋体" w:eastAsia="宋体" w:cs="宋体"/>
          <w:sz w:val="24"/>
          <w:highlight w:val="none"/>
        </w:rPr>
        <w:t>“</w:t>
      </w:r>
      <w:r>
        <w:rPr>
          <w:rFonts w:hint="default" w:ascii="Times New Roman" w:hAnsi="Times New Roman" w:cs="Times New Roman"/>
          <w:sz w:val="24"/>
          <w:highlight w:val="none"/>
        </w:rPr>
        <w:t>技术规范</w:t>
      </w:r>
      <w:r>
        <w:rPr>
          <w:rFonts w:hint="eastAsia" w:ascii="宋体" w:hAnsi="宋体" w:eastAsia="宋体" w:cs="宋体"/>
          <w:sz w:val="24"/>
          <w:highlight w:val="none"/>
        </w:rPr>
        <w:t>”</w:t>
      </w:r>
      <w:r>
        <w:rPr>
          <w:rFonts w:hint="default" w:ascii="Times New Roman" w:hAnsi="Times New Roman" w:cs="Times New Roman"/>
          <w:sz w:val="24"/>
          <w:highlight w:val="none"/>
        </w:rPr>
        <w:t>的相应章次编号的，因此，工程量清单中各章的工程子目的范围与计量等应与</w:t>
      </w:r>
      <w:r>
        <w:rPr>
          <w:rFonts w:hint="eastAsia" w:ascii="宋体" w:hAnsi="宋体" w:eastAsia="宋体" w:cs="宋体"/>
          <w:sz w:val="24"/>
          <w:highlight w:val="none"/>
        </w:rPr>
        <w:t>“</w:t>
      </w:r>
      <w:r>
        <w:rPr>
          <w:rFonts w:hint="default" w:ascii="Times New Roman" w:hAnsi="Times New Roman" w:cs="Times New Roman"/>
          <w:sz w:val="24"/>
          <w:highlight w:val="none"/>
        </w:rPr>
        <w:t>工程量清单计量规则</w:t>
      </w:r>
      <w:r>
        <w:rPr>
          <w:rFonts w:hint="eastAsia" w:ascii="宋体" w:hAnsi="宋体" w:eastAsia="宋体" w:cs="宋体"/>
          <w:sz w:val="24"/>
          <w:highlight w:val="none"/>
        </w:rPr>
        <w:t>”</w:t>
      </w:r>
      <w:r>
        <w:rPr>
          <w:rFonts w:hint="default" w:ascii="Times New Roman" w:hAnsi="Times New Roman" w:cs="Times New Roman"/>
          <w:sz w:val="24"/>
          <w:highlight w:val="none"/>
        </w:rPr>
        <w:t xml:space="preserve"> </w:t>
      </w:r>
      <w:r>
        <w:rPr>
          <w:rFonts w:hint="eastAsia" w:ascii="宋体" w:hAnsi="宋体" w:eastAsia="宋体" w:cs="宋体"/>
          <w:sz w:val="24"/>
          <w:highlight w:val="none"/>
        </w:rPr>
        <w:t>“</w:t>
      </w:r>
      <w:r>
        <w:rPr>
          <w:rFonts w:hint="default" w:ascii="Times New Roman" w:hAnsi="Times New Roman" w:cs="Times New Roman"/>
          <w:sz w:val="24"/>
          <w:highlight w:val="none"/>
        </w:rPr>
        <w:t>技术规范</w:t>
      </w:r>
      <w:r>
        <w:rPr>
          <w:rFonts w:hint="eastAsia" w:ascii="宋体" w:hAnsi="宋体" w:eastAsia="宋体" w:cs="宋体"/>
          <w:sz w:val="24"/>
          <w:highlight w:val="none"/>
        </w:rPr>
        <w:t>”</w:t>
      </w:r>
      <w:r>
        <w:rPr>
          <w:rFonts w:hint="default" w:ascii="Times New Roman" w:hAnsi="Times New Roman" w:cs="Times New Roman"/>
          <w:sz w:val="24"/>
          <w:highlight w:val="none"/>
        </w:rPr>
        <w:t>相应章节的范围、计量与支付条款结合起来理解或解释。</w:t>
      </w:r>
    </w:p>
    <w:p w14:paraId="6D9C888C">
      <w:pPr>
        <w:pageBreakBefore w:val="0"/>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1.5 对作业和材料的一般说明或规定，未重复写入工程量清单内，在给工程量清单各子目标价前，应参阅第七章</w:t>
      </w:r>
      <w:r>
        <w:rPr>
          <w:rFonts w:hint="eastAsia" w:ascii="宋体" w:hAnsi="宋体" w:eastAsia="宋体" w:cs="宋体"/>
          <w:sz w:val="24"/>
          <w:highlight w:val="none"/>
        </w:rPr>
        <w:t>“</w:t>
      </w:r>
      <w:r>
        <w:rPr>
          <w:rFonts w:hint="default" w:ascii="Times New Roman" w:hAnsi="Times New Roman" w:cs="Times New Roman"/>
          <w:sz w:val="24"/>
          <w:highlight w:val="none"/>
        </w:rPr>
        <w:t>技术规范</w:t>
      </w:r>
      <w:r>
        <w:rPr>
          <w:rFonts w:hint="eastAsia" w:ascii="宋体" w:hAnsi="宋体" w:eastAsia="宋体" w:cs="宋体"/>
          <w:sz w:val="24"/>
          <w:highlight w:val="none"/>
        </w:rPr>
        <w:t>”</w:t>
      </w:r>
      <w:r>
        <w:rPr>
          <w:rFonts w:hint="default" w:ascii="Times New Roman" w:hAnsi="Times New Roman" w:cs="Times New Roman"/>
          <w:sz w:val="24"/>
          <w:highlight w:val="none"/>
        </w:rPr>
        <w:t>的有关内容。</w:t>
      </w:r>
    </w:p>
    <w:p w14:paraId="1B19CF07">
      <w:pPr>
        <w:pageBreakBefore w:val="0"/>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1.6 工程量清单中所列工程量的变动，丝毫不会降低或影响合同条款的效力，也不免除承包人按规定的标准进行施工和修复缺陷的责任。</w:t>
      </w:r>
    </w:p>
    <w:p w14:paraId="6C592B69">
      <w:pPr>
        <w:pageBreakBefore w:val="0"/>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1.7 图纸中所列的工程数量表及数量汇总表仅是提供资料，不是工程量清单的外延。当图纸与工程量清单所列数量不一致时，以工程量清单所列数量作为报价的依据。</w:t>
      </w:r>
    </w:p>
    <w:p w14:paraId="3F91A1D6">
      <w:pPr>
        <w:pStyle w:val="2"/>
        <w:pageBreakBefore w:val="0"/>
        <w:kinsoku/>
        <w:wordWrap w:val="0"/>
        <w:bidi w:val="0"/>
        <w:spacing w:before="360" w:beforeLines="150" w:after="240" w:afterLines="100" w:line="380" w:lineRule="atLeast"/>
        <w:rPr>
          <w:rFonts w:hint="default" w:ascii="Times New Roman" w:hAnsi="Times New Roman" w:eastAsia="黑体" w:cs="Times New Roman"/>
          <w:b w:val="0"/>
          <w:sz w:val="28"/>
          <w:szCs w:val="28"/>
          <w:highlight w:val="none"/>
        </w:rPr>
      </w:pPr>
      <w:bookmarkStart w:id="1431" w:name="_Toc29747"/>
      <w:bookmarkStart w:id="1432" w:name="_Toc31685"/>
      <w:bookmarkStart w:id="1433" w:name="_Toc234833243"/>
      <w:bookmarkStart w:id="1434" w:name="_Toc1611"/>
      <w:r>
        <w:rPr>
          <w:rFonts w:hint="default" w:ascii="Times New Roman" w:hAnsi="Times New Roman" w:eastAsia="黑体" w:cs="Times New Roman"/>
          <w:b w:val="0"/>
          <w:sz w:val="28"/>
          <w:szCs w:val="28"/>
          <w:highlight w:val="none"/>
        </w:rPr>
        <w:t>2. 投标报价说明</w:t>
      </w:r>
      <w:bookmarkEnd w:id="1431"/>
      <w:bookmarkEnd w:id="1432"/>
      <w:bookmarkEnd w:id="1433"/>
      <w:bookmarkEnd w:id="1434"/>
    </w:p>
    <w:p w14:paraId="33B29733">
      <w:pPr>
        <w:pageBreakBefore w:val="0"/>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2.1 工程量清单中的每一子目须填入单价或价格，且只允许有一个报价。</w:t>
      </w:r>
    </w:p>
    <w:p w14:paraId="5DAFA956">
      <w:pPr>
        <w:pageBreakBefore w:val="0"/>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2.2 除非合同另有规定，工程量清单中有标价的单价和总额价均已包括了为实施和完成合同工程所需的劳务、材料、机械、质检（自检）、安装、缺陷修复、管理、保险、税费、利润等费用，以及合同明示或暗示的所有责任、义务和一般风险。</w:t>
      </w:r>
    </w:p>
    <w:p w14:paraId="0713DCB1">
      <w:pPr>
        <w:pageBreakBefore w:val="0"/>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2.3 工程量清单中投标人没有填入单价或价格的子目，其费用视为已分摊在工程量清单中其他相关子目的单价或价格之中。承包人必须按监理人指令完成工程量清单中未填入单价或价格的子目，但不能得到结算与支付。</w:t>
      </w:r>
    </w:p>
    <w:p w14:paraId="273F8D23">
      <w:pPr>
        <w:pageBreakBefore w:val="0"/>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2.4 符合合同条款规定的全部费用应认为已被计入有标价的工程量清单所列各子目之中，未列子目不予计量的工作，其费用应视为已分摊在本合同工程的有关子目的单价或总额价之中。</w:t>
      </w:r>
    </w:p>
    <w:p w14:paraId="630E7FAA">
      <w:pPr>
        <w:pageBreakBefore w:val="0"/>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2.5 承包人用于本合同工程的各类装备的提供、运输、维护、拆卸、拼装等支付的费用，已包括在工程量清单的单价与总额价之中。</w:t>
      </w:r>
    </w:p>
    <w:p w14:paraId="4F53C9D6">
      <w:pPr>
        <w:pageBreakBefore w:val="0"/>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2.6 工程量清单中各项金额均以人民币（元）结算。</w:t>
      </w:r>
    </w:p>
    <w:p w14:paraId="5330C1F6">
      <w:pPr>
        <w:pageBreakBefore w:val="0"/>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2.7 暂列金额（不含计日工总额）的数量及拟用子目的说明：</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w:t>
      </w:r>
    </w:p>
    <w:p w14:paraId="16884495">
      <w:pPr>
        <w:pageBreakBefore w:val="0"/>
        <w:kinsoku/>
        <w:wordWrap w:val="0"/>
        <w:bidi w:val="0"/>
        <w:spacing w:line="400" w:lineRule="atLeast"/>
        <w:ind w:firstLine="540" w:firstLineChars="225"/>
        <w:rPr>
          <w:rFonts w:hint="default" w:ascii="Times New Roman" w:hAnsi="Times New Roman" w:eastAsia="黑体" w:cs="Times New Roman"/>
          <w:sz w:val="24"/>
          <w:highlight w:val="none"/>
        </w:rPr>
      </w:pPr>
      <w:r>
        <w:rPr>
          <w:rFonts w:hint="default" w:ascii="Times New Roman" w:hAnsi="Times New Roman" w:cs="Times New Roman"/>
          <w:sz w:val="24"/>
          <w:highlight w:val="none"/>
        </w:rPr>
        <w:t>2.8 暂估价的数量及拟用子目的说明：</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w:t>
      </w:r>
    </w:p>
    <w:p w14:paraId="39A722AD">
      <w:pPr>
        <w:pStyle w:val="2"/>
        <w:pageBreakBefore w:val="0"/>
        <w:kinsoku/>
        <w:wordWrap w:val="0"/>
        <w:bidi w:val="0"/>
        <w:spacing w:before="360" w:beforeLines="150" w:after="240" w:afterLines="100" w:line="380" w:lineRule="atLeast"/>
        <w:rPr>
          <w:rFonts w:hint="default" w:ascii="Times New Roman" w:hAnsi="Times New Roman" w:eastAsia="黑体" w:cs="Times New Roman"/>
          <w:b w:val="0"/>
          <w:sz w:val="28"/>
          <w:szCs w:val="28"/>
          <w:highlight w:val="none"/>
        </w:rPr>
      </w:pPr>
      <w:bookmarkStart w:id="1435" w:name="_Toc3776"/>
      <w:bookmarkStart w:id="1436" w:name="_Toc19"/>
      <w:bookmarkStart w:id="1437" w:name="_Toc3615"/>
      <w:bookmarkStart w:id="1438" w:name="_Toc234833244"/>
      <w:r>
        <w:rPr>
          <w:rFonts w:hint="default" w:ascii="Times New Roman" w:hAnsi="Times New Roman" w:eastAsia="黑体" w:cs="Times New Roman"/>
          <w:b w:val="0"/>
          <w:sz w:val="28"/>
          <w:szCs w:val="28"/>
          <w:highlight w:val="none"/>
        </w:rPr>
        <w:t>3. 计日工说明</w:t>
      </w:r>
      <w:bookmarkEnd w:id="1435"/>
      <w:bookmarkEnd w:id="1436"/>
      <w:bookmarkEnd w:id="1437"/>
      <w:bookmarkEnd w:id="1438"/>
    </w:p>
    <w:p w14:paraId="4B7E6D55">
      <w:pPr>
        <w:pageBreakBefore w:val="0"/>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3.1 总则</w:t>
      </w:r>
    </w:p>
    <w:p w14:paraId="5EA4BFDA">
      <w:pPr>
        <w:pageBreakBefore w:val="0"/>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（1）本说明应参照通用合同条款第15.7款一并理解。</w:t>
      </w:r>
    </w:p>
    <w:p w14:paraId="01FEFA81">
      <w:pPr>
        <w:pageBreakBefore w:val="0"/>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（2）未经监理人书面指令，任何工程不得按计日工施工；接到监理人按计日工施工的书面指令，承包人也不得拒绝。</w:t>
      </w:r>
    </w:p>
    <w:p w14:paraId="07C32663">
      <w:pPr>
        <w:pageBreakBefore w:val="0"/>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3）投标人应在计日工单价表中填列计日工子目的基本单价或租价，该基本单价或租价适用于监理人指令的任何数量的计日工的结算与支付。计日工的劳务、材料和施工机械由招标人（或发包人）列出正常的估计数量，投标人报出单价，计算出计日工总额后列入工程量清单汇总表中并进入评标价。</w:t>
      </w:r>
    </w:p>
    <w:p w14:paraId="358DF86B">
      <w:pPr>
        <w:pageBreakBefore w:val="0"/>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（4）计日工不调价。</w:t>
      </w:r>
    </w:p>
    <w:p w14:paraId="3A3F84A1">
      <w:pPr>
        <w:pageBreakBefore w:val="0"/>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3.2 计日工劳务</w:t>
      </w:r>
    </w:p>
    <w:p w14:paraId="6D1851DD">
      <w:pPr>
        <w:pageBreakBefore w:val="0"/>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1）在计算应付给承包人的计日工工资时，工时应从工人到达施工现场，并开始从事指定的工作算起，到返回原出发地点为止，扣去用餐和休息的时间。只有直接从事指定的工作，且能胜任该工作的工人才能计工，随同工人一起做工的班长应计算在内，但不包括领工（工长）和其他质检管理人员。</w:t>
      </w:r>
    </w:p>
    <w:p w14:paraId="588A8CEF">
      <w:pPr>
        <w:pageBreakBefore w:val="0"/>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（2）承包人可以得到用于计日工劳务的全部工时的支付，此支付按承包人填报的</w:t>
      </w:r>
      <w:r>
        <w:rPr>
          <w:rFonts w:hint="eastAsia" w:ascii="宋体" w:hAnsi="宋体" w:eastAsia="宋体" w:cs="宋体"/>
          <w:sz w:val="24"/>
          <w:highlight w:val="none"/>
        </w:rPr>
        <w:t>“</w:t>
      </w:r>
      <w:r>
        <w:rPr>
          <w:rFonts w:hint="default" w:ascii="Times New Roman" w:hAnsi="Times New Roman" w:cs="Times New Roman"/>
          <w:sz w:val="24"/>
          <w:highlight w:val="none"/>
        </w:rPr>
        <w:t>计日工劳务单价表</w:t>
      </w:r>
      <w:r>
        <w:rPr>
          <w:rFonts w:hint="eastAsia" w:ascii="宋体" w:hAnsi="宋体" w:eastAsia="宋体" w:cs="宋体"/>
          <w:sz w:val="24"/>
          <w:highlight w:val="none"/>
        </w:rPr>
        <w:t>”</w:t>
      </w:r>
      <w:r>
        <w:rPr>
          <w:rFonts w:hint="default" w:ascii="Times New Roman" w:hAnsi="Times New Roman" w:cs="Times New Roman"/>
          <w:sz w:val="24"/>
          <w:highlight w:val="none"/>
        </w:rPr>
        <w:t>所列单价计算，该单价应包括基本单价及承包人的管理费、税费、利润等所有附加费，说明如下：</w:t>
      </w:r>
    </w:p>
    <w:p w14:paraId="1E1CA0BD">
      <w:pPr>
        <w:pageBreakBefore w:val="0"/>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a. 劳务基本单价包括：承包人劳务的全部直接费用，如：工资、加班费、津贴、福利费及劳动保护费等。</w:t>
      </w:r>
    </w:p>
    <w:p w14:paraId="0539B64B">
      <w:pPr>
        <w:pageBreakBefore w:val="0"/>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b. 承包人的利润、管理、质检、保险、税费；易耗品的使用，水电及照明费，工作台、脚手架、临时设施费，手动机具与工具的使用及维修，以及上述各项伴随而来的费用。</w:t>
      </w:r>
    </w:p>
    <w:p w14:paraId="30A61BC2">
      <w:pPr>
        <w:pageBreakBefore w:val="0"/>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3.3 计日工材料</w:t>
      </w:r>
    </w:p>
    <w:p w14:paraId="49D26D0B">
      <w:pPr>
        <w:pageBreakBefore w:val="0"/>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承包人可以得到计日工使用的材料费用（上述3.2款已计入劳务费内的材料费用除外）的支付，此费用按承包人</w:t>
      </w:r>
      <w:r>
        <w:rPr>
          <w:rFonts w:hint="eastAsia" w:ascii="宋体" w:hAnsi="宋体" w:eastAsia="宋体" w:cs="宋体"/>
          <w:sz w:val="24"/>
          <w:highlight w:val="none"/>
        </w:rPr>
        <w:t>“</w:t>
      </w:r>
      <w:r>
        <w:rPr>
          <w:rFonts w:hint="default" w:ascii="Times New Roman" w:hAnsi="Times New Roman" w:cs="Times New Roman"/>
          <w:sz w:val="24"/>
          <w:highlight w:val="none"/>
        </w:rPr>
        <w:t>计日工材料单价表</w:t>
      </w:r>
      <w:r>
        <w:rPr>
          <w:rFonts w:hint="eastAsia" w:ascii="宋体" w:hAnsi="宋体" w:eastAsia="宋体" w:cs="宋体"/>
          <w:sz w:val="24"/>
          <w:highlight w:val="none"/>
        </w:rPr>
        <w:t>”</w:t>
      </w:r>
      <w:r>
        <w:rPr>
          <w:rFonts w:hint="default" w:ascii="Times New Roman" w:hAnsi="Times New Roman" w:cs="Times New Roman"/>
          <w:sz w:val="24"/>
          <w:highlight w:val="none"/>
        </w:rPr>
        <w:t>中所填报的单价计算，该单价应包括基本单价及承包人的管理费、税费、利润等所有附加费，说明如下：</w:t>
      </w:r>
    </w:p>
    <w:p w14:paraId="7900A284">
      <w:pPr>
        <w:pageBreakBefore w:val="0"/>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（1）材料基本单价按供货价加运杂费（到达承包人现场仓库）、保险费、仓库管理费以及运输损耗等计算；</w:t>
      </w:r>
    </w:p>
    <w:p w14:paraId="15EAA8F3">
      <w:pPr>
        <w:pageBreakBefore w:val="0"/>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（2）承包人的利润、管理、质检、保险、税费及其他附加费；</w:t>
      </w:r>
    </w:p>
    <w:p w14:paraId="5A675D92">
      <w:pPr>
        <w:pageBreakBefore w:val="0"/>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（3）从现场运至使用地点的人工费和施工机械使用费不包括在上述基本单价内。</w:t>
      </w:r>
    </w:p>
    <w:p w14:paraId="5BBD981C">
      <w:pPr>
        <w:pageBreakBefore w:val="0"/>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3.4 计日工施工机械</w:t>
      </w:r>
    </w:p>
    <w:p w14:paraId="3B629F16">
      <w:pPr>
        <w:pageBreakBefore w:val="0"/>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（1）承包人可以得到用于计日工作业的施工机械费用的支付，该费用按承包人填报的</w:t>
      </w:r>
      <w:r>
        <w:rPr>
          <w:rFonts w:hint="eastAsia" w:ascii="宋体" w:hAnsi="宋体" w:eastAsia="宋体" w:cs="宋体"/>
          <w:sz w:val="24"/>
          <w:highlight w:val="none"/>
        </w:rPr>
        <w:t>“</w:t>
      </w:r>
      <w:r>
        <w:rPr>
          <w:rFonts w:hint="default" w:ascii="Times New Roman" w:hAnsi="Times New Roman" w:cs="Times New Roman"/>
          <w:sz w:val="24"/>
          <w:highlight w:val="none"/>
        </w:rPr>
        <w:t>计日工施工机械单价表</w:t>
      </w:r>
      <w:r>
        <w:rPr>
          <w:rFonts w:hint="eastAsia" w:ascii="宋体" w:hAnsi="宋体" w:eastAsia="宋体" w:cs="宋体"/>
          <w:sz w:val="24"/>
          <w:highlight w:val="none"/>
        </w:rPr>
        <w:t>”</w:t>
      </w:r>
      <w:r>
        <w:rPr>
          <w:rFonts w:hint="default" w:ascii="Times New Roman" w:hAnsi="Times New Roman" w:cs="Times New Roman"/>
          <w:sz w:val="24"/>
          <w:highlight w:val="none"/>
        </w:rPr>
        <w:t>中的租价计算。该租价应包括施工机械的折旧、利息、维修、保养、零配件、油燃料、保险和其他消耗品的费用以及全部有关使用这些机械的管理费、税费、利润和司机与助手的劳务费等费用。</w:t>
      </w:r>
    </w:p>
    <w:p w14:paraId="50389193">
      <w:pPr>
        <w:pageBreakBefore w:val="0"/>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2）在计日工作业中，承包人计算所用的施工机械费用时，应按实际工作小时支付。除非经监理人的同意，计算的工作小时才能将施工机械从现场某处运到监理人指令的计日工作业的另一现场往返运送时间包括在内。</w:t>
      </w:r>
    </w:p>
    <w:p w14:paraId="48546D3F">
      <w:pPr>
        <w:pStyle w:val="2"/>
        <w:pageBreakBefore w:val="0"/>
        <w:kinsoku/>
        <w:wordWrap w:val="0"/>
        <w:bidi w:val="0"/>
        <w:spacing w:before="360" w:beforeLines="150" w:after="240" w:afterLines="100" w:line="380" w:lineRule="atLeast"/>
        <w:rPr>
          <w:rFonts w:hint="default" w:ascii="Times New Roman" w:hAnsi="Times New Roman" w:eastAsia="黑体" w:cs="Times New Roman"/>
          <w:b w:val="0"/>
          <w:sz w:val="28"/>
          <w:szCs w:val="28"/>
          <w:highlight w:val="none"/>
        </w:rPr>
      </w:pPr>
      <w:bookmarkStart w:id="1439" w:name="_Toc28230"/>
      <w:bookmarkStart w:id="1440" w:name="_Toc234833245"/>
      <w:bookmarkStart w:id="1441" w:name="_Toc2204"/>
      <w:bookmarkStart w:id="1442" w:name="_Toc25175"/>
      <w:r>
        <w:rPr>
          <w:rFonts w:hint="default" w:ascii="Times New Roman" w:hAnsi="Times New Roman" w:eastAsia="黑体" w:cs="Times New Roman"/>
          <w:b w:val="0"/>
          <w:sz w:val="28"/>
          <w:szCs w:val="28"/>
          <w:highlight w:val="none"/>
        </w:rPr>
        <w:t>4. 其他说明</w:t>
      </w:r>
      <w:bookmarkEnd w:id="1439"/>
      <w:bookmarkEnd w:id="1440"/>
      <w:bookmarkEnd w:id="1441"/>
      <w:bookmarkEnd w:id="1442"/>
    </w:p>
    <w:p w14:paraId="7564C42E">
      <w:pPr>
        <w:pStyle w:val="2"/>
        <w:pageBreakBefore w:val="0"/>
        <w:kinsoku/>
        <w:wordWrap w:val="0"/>
        <w:bidi w:val="0"/>
        <w:spacing w:before="360" w:beforeLines="150" w:after="240" w:afterLines="100" w:line="380" w:lineRule="atLeast"/>
        <w:rPr>
          <w:rFonts w:hint="default" w:ascii="Times New Roman" w:hAnsi="Times New Roman" w:eastAsia="黑体" w:cs="Times New Roman"/>
          <w:b w:val="0"/>
          <w:sz w:val="28"/>
          <w:szCs w:val="28"/>
          <w:highlight w:val="none"/>
        </w:rPr>
        <w:sectPr>
          <w:headerReference r:id="rId38" w:type="default"/>
          <w:footerReference r:id="rId40" w:type="default"/>
          <w:headerReference r:id="rId39" w:type="even"/>
          <w:footerReference r:id="rId41" w:type="even"/>
          <w:footnotePr>
            <w:numFmt w:val="decimalEnclosedCircleChinese"/>
            <w:numRestart w:val="eachPage"/>
          </w:footnotePr>
          <w:pgSz w:w="11907" w:h="16840"/>
          <w:pgMar w:top="1588" w:right="1588" w:bottom="1474" w:left="1644" w:header="851" w:footer="851" w:gutter="0"/>
          <w:pgNumType w:fmt="decimal"/>
          <w:cols w:space="720" w:num="1"/>
          <w:docGrid w:linePitch="312" w:charSpace="0"/>
        </w:sectPr>
      </w:pPr>
      <w:r>
        <w:rPr>
          <w:rFonts w:hint="default" w:ascii="Times New Roman" w:hAnsi="Times New Roman" w:eastAsia="黑体" w:cs="Times New Roman"/>
          <w:sz w:val="24"/>
          <w:highlight w:val="none"/>
        </w:rPr>
        <w:br w:type="page"/>
      </w:r>
      <w:bookmarkStart w:id="1443" w:name="_Toc18734"/>
      <w:bookmarkStart w:id="1444" w:name="_Toc2566"/>
      <w:bookmarkStart w:id="1445" w:name="_Toc30213"/>
      <w:bookmarkStart w:id="1446" w:name="_Toc234833246"/>
      <w:r>
        <w:rPr>
          <w:rFonts w:hint="default" w:ascii="Times New Roman" w:hAnsi="Times New Roman" w:eastAsia="黑体" w:cs="Times New Roman"/>
          <w:b w:val="0"/>
          <w:sz w:val="28"/>
          <w:szCs w:val="28"/>
          <w:highlight w:val="none"/>
        </w:rPr>
        <w:t>5. 工程量清单</w:t>
      </w:r>
      <w:bookmarkEnd w:id="1443"/>
      <w:bookmarkEnd w:id="1444"/>
      <w:bookmarkEnd w:id="1445"/>
      <w:bookmarkEnd w:id="1446"/>
    </w:p>
    <w:p w14:paraId="598546EC">
      <w:pPr>
        <w:rPr>
          <w:rFonts w:hint="default"/>
          <w:highlight w:val="none"/>
        </w:rPr>
      </w:pPr>
    </w:p>
    <w:p w14:paraId="194FD84E">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0F0C5B79">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19107B42">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6452DEDE">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19DBC778">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3FAC26BD">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0F883300">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77654E43">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54B64C9F">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1D1F8DBE">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595DD62B">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1ED5057F">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5BBE3382">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75075E12">
      <w:pPr>
        <w:pageBreakBefore w:val="0"/>
        <w:kinsoku/>
        <w:wordWrap w:val="0"/>
        <w:bidi w:val="0"/>
        <w:jc w:val="center"/>
        <w:outlineLvl w:val="0"/>
        <w:rPr>
          <w:rFonts w:hint="default" w:ascii="Times New Roman" w:hAnsi="Times New Roman" w:eastAsia="黑体" w:cs="Times New Roman"/>
          <w:sz w:val="76"/>
          <w:szCs w:val="76"/>
          <w:highlight w:val="none"/>
        </w:rPr>
      </w:pPr>
      <w:bookmarkStart w:id="1447" w:name="_Toc234833247"/>
      <w:bookmarkStart w:id="1448" w:name="_Toc7411"/>
      <w:bookmarkStart w:id="1449" w:name="_Toc12197"/>
      <w:r>
        <w:rPr>
          <w:rFonts w:hint="default" w:ascii="Times New Roman" w:hAnsi="Times New Roman" w:eastAsia="黑体" w:cs="Times New Roman"/>
          <w:sz w:val="76"/>
          <w:szCs w:val="76"/>
          <w:highlight w:val="none"/>
        </w:rPr>
        <w:t>第  二  卷</w:t>
      </w:r>
      <w:bookmarkEnd w:id="1447"/>
      <w:bookmarkEnd w:id="1448"/>
      <w:bookmarkEnd w:id="1449"/>
    </w:p>
    <w:p w14:paraId="4E7F59A9">
      <w:pPr>
        <w:pageBreakBefore w:val="0"/>
        <w:kinsoku/>
        <w:wordWrap w:val="0"/>
        <w:bidi w:val="0"/>
        <w:jc w:val="center"/>
        <w:rPr>
          <w:rFonts w:hint="default" w:ascii="Times New Roman" w:hAnsi="Times New Roman" w:eastAsia="黑体" w:cs="Times New Roman"/>
          <w:sz w:val="76"/>
          <w:szCs w:val="76"/>
          <w:highlight w:val="none"/>
        </w:rPr>
      </w:pPr>
    </w:p>
    <w:p w14:paraId="4F177B61">
      <w:pPr>
        <w:pageBreakBefore w:val="0"/>
        <w:kinsoku/>
        <w:wordWrap w:val="0"/>
        <w:bidi w:val="0"/>
        <w:jc w:val="center"/>
        <w:rPr>
          <w:rFonts w:hint="default" w:ascii="Times New Roman" w:hAnsi="Times New Roman" w:eastAsia="黑体" w:cs="Times New Roman"/>
          <w:sz w:val="76"/>
          <w:szCs w:val="76"/>
          <w:highlight w:val="none"/>
        </w:rPr>
        <w:sectPr>
          <w:footnotePr>
            <w:numFmt w:val="decimalEnclosedCircleChinese"/>
            <w:numRestart w:val="eachPage"/>
          </w:footnotePr>
          <w:pgSz w:w="11907" w:h="16840"/>
          <w:pgMar w:top="1588" w:right="1588" w:bottom="1474" w:left="1644" w:header="851" w:footer="851" w:gutter="0"/>
          <w:pgNumType w:fmt="decimal"/>
          <w:cols w:space="720" w:num="1"/>
          <w:docGrid w:linePitch="312" w:charSpace="0"/>
        </w:sectPr>
      </w:pPr>
    </w:p>
    <w:p w14:paraId="401BD34C">
      <w:pPr>
        <w:pageBreakBefore w:val="0"/>
        <w:kinsoku/>
        <w:wordWrap w:val="0"/>
        <w:bidi w:val="0"/>
        <w:jc w:val="center"/>
        <w:rPr>
          <w:rFonts w:hint="default" w:ascii="Times New Roman" w:hAnsi="Times New Roman" w:eastAsia="黑体" w:cs="Times New Roman"/>
          <w:sz w:val="76"/>
          <w:szCs w:val="76"/>
          <w:highlight w:val="none"/>
        </w:rPr>
      </w:pPr>
    </w:p>
    <w:p w14:paraId="5A1480A4">
      <w:pPr>
        <w:pageBreakBefore w:val="0"/>
        <w:kinsoku/>
        <w:wordWrap w:val="0"/>
        <w:bidi w:val="0"/>
        <w:spacing w:line="440" w:lineRule="exact"/>
        <w:ind w:firstLine="3045" w:firstLineChars="1050"/>
        <w:rPr>
          <w:rFonts w:hint="default" w:ascii="Times New Roman" w:hAnsi="Times New Roman" w:eastAsia="黑体" w:cs="Times New Roman"/>
          <w:sz w:val="29"/>
          <w:szCs w:val="29"/>
          <w:highlight w:val="none"/>
        </w:rPr>
      </w:pPr>
    </w:p>
    <w:p w14:paraId="19345EED">
      <w:pPr>
        <w:pageBreakBefore w:val="0"/>
        <w:kinsoku/>
        <w:wordWrap w:val="0"/>
        <w:bidi w:val="0"/>
        <w:spacing w:line="440" w:lineRule="exact"/>
        <w:ind w:firstLine="3045" w:firstLineChars="1050"/>
        <w:rPr>
          <w:rFonts w:hint="default" w:ascii="Times New Roman" w:hAnsi="Times New Roman" w:eastAsia="黑体" w:cs="Times New Roman"/>
          <w:sz w:val="29"/>
          <w:szCs w:val="29"/>
          <w:highlight w:val="none"/>
        </w:rPr>
      </w:pPr>
    </w:p>
    <w:p w14:paraId="28928BFD">
      <w:pPr>
        <w:pageBreakBefore w:val="0"/>
        <w:kinsoku/>
        <w:wordWrap w:val="0"/>
        <w:bidi w:val="0"/>
        <w:spacing w:line="440" w:lineRule="exact"/>
        <w:ind w:firstLine="3045" w:firstLineChars="1050"/>
        <w:rPr>
          <w:rFonts w:hint="default" w:ascii="Times New Roman" w:hAnsi="Times New Roman" w:eastAsia="黑体" w:cs="Times New Roman"/>
          <w:sz w:val="29"/>
          <w:szCs w:val="29"/>
          <w:highlight w:val="none"/>
        </w:rPr>
      </w:pPr>
    </w:p>
    <w:p w14:paraId="1A701958">
      <w:pPr>
        <w:pageBreakBefore w:val="0"/>
        <w:kinsoku/>
        <w:wordWrap w:val="0"/>
        <w:bidi w:val="0"/>
        <w:spacing w:line="440" w:lineRule="exact"/>
        <w:ind w:firstLine="3045" w:firstLineChars="1050"/>
        <w:rPr>
          <w:rFonts w:hint="default" w:ascii="Times New Roman" w:hAnsi="Times New Roman" w:eastAsia="黑体" w:cs="Times New Roman"/>
          <w:sz w:val="29"/>
          <w:szCs w:val="29"/>
          <w:highlight w:val="none"/>
        </w:rPr>
      </w:pPr>
    </w:p>
    <w:p w14:paraId="085E6E06">
      <w:pPr>
        <w:pageBreakBefore w:val="0"/>
        <w:kinsoku/>
        <w:wordWrap w:val="0"/>
        <w:bidi w:val="0"/>
        <w:spacing w:line="440" w:lineRule="exact"/>
        <w:ind w:firstLine="3045" w:firstLineChars="1050"/>
        <w:rPr>
          <w:rFonts w:hint="default" w:ascii="Times New Roman" w:hAnsi="Times New Roman" w:eastAsia="黑体" w:cs="Times New Roman"/>
          <w:sz w:val="29"/>
          <w:szCs w:val="29"/>
          <w:highlight w:val="none"/>
        </w:rPr>
      </w:pPr>
    </w:p>
    <w:p w14:paraId="1BB1BE43">
      <w:pPr>
        <w:pageBreakBefore w:val="0"/>
        <w:kinsoku/>
        <w:wordWrap w:val="0"/>
        <w:bidi w:val="0"/>
        <w:spacing w:line="440" w:lineRule="exact"/>
        <w:ind w:firstLine="3045" w:firstLineChars="1050"/>
        <w:rPr>
          <w:rFonts w:hint="default" w:ascii="Times New Roman" w:hAnsi="Times New Roman" w:eastAsia="黑体" w:cs="Times New Roman"/>
          <w:sz w:val="29"/>
          <w:szCs w:val="29"/>
          <w:highlight w:val="none"/>
        </w:rPr>
      </w:pPr>
    </w:p>
    <w:p w14:paraId="768A94F5">
      <w:pPr>
        <w:pageBreakBefore w:val="0"/>
        <w:kinsoku/>
        <w:wordWrap w:val="0"/>
        <w:bidi w:val="0"/>
        <w:spacing w:line="440" w:lineRule="exact"/>
        <w:ind w:firstLine="3045" w:firstLineChars="1050"/>
        <w:rPr>
          <w:rFonts w:hint="default" w:ascii="Times New Roman" w:hAnsi="Times New Roman" w:eastAsia="黑体" w:cs="Times New Roman"/>
          <w:sz w:val="29"/>
          <w:szCs w:val="29"/>
          <w:highlight w:val="none"/>
        </w:rPr>
      </w:pPr>
    </w:p>
    <w:p w14:paraId="630B6DAD">
      <w:pPr>
        <w:pageBreakBefore w:val="0"/>
        <w:kinsoku/>
        <w:wordWrap w:val="0"/>
        <w:bidi w:val="0"/>
        <w:spacing w:line="440" w:lineRule="exact"/>
        <w:ind w:firstLine="3045" w:firstLineChars="1050"/>
        <w:rPr>
          <w:rFonts w:hint="default" w:ascii="Times New Roman" w:hAnsi="Times New Roman" w:eastAsia="黑体" w:cs="Times New Roman"/>
          <w:sz w:val="29"/>
          <w:szCs w:val="29"/>
          <w:highlight w:val="none"/>
        </w:rPr>
      </w:pPr>
    </w:p>
    <w:p w14:paraId="6ACA23E7">
      <w:pPr>
        <w:pageBreakBefore w:val="0"/>
        <w:kinsoku/>
        <w:wordWrap w:val="0"/>
        <w:bidi w:val="0"/>
        <w:spacing w:line="440" w:lineRule="exact"/>
        <w:ind w:firstLine="3045" w:firstLineChars="1050"/>
        <w:rPr>
          <w:rFonts w:hint="default" w:ascii="Times New Roman" w:hAnsi="Times New Roman" w:eastAsia="黑体" w:cs="Times New Roman"/>
          <w:sz w:val="29"/>
          <w:szCs w:val="29"/>
          <w:highlight w:val="none"/>
        </w:rPr>
      </w:pPr>
    </w:p>
    <w:p w14:paraId="6178DEB3">
      <w:pPr>
        <w:pStyle w:val="2"/>
        <w:pageBreakBefore w:val="0"/>
        <w:kinsoku/>
        <w:wordWrap w:val="0"/>
        <w:bidi w:val="0"/>
        <w:spacing w:before="360" w:beforeLines="150" w:after="240" w:afterLines="100" w:line="380" w:lineRule="atLeast"/>
        <w:jc w:val="center"/>
        <w:rPr>
          <w:rFonts w:hint="default" w:ascii="Times New Roman" w:hAnsi="Times New Roman" w:eastAsia="黑体" w:cs="Times New Roman"/>
          <w:b w:val="0"/>
          <w:sz w:val="56"/>
          <w:szCs w:val="56"/>
          <w:highlight w:val="none"/>
        </w:rPr>
      </w:pPr>
      <w:bookmarkStart w:id="1450" w:name="_Toc234833248"/>
      <w:bookmarkStart w:id="1451" w:name="_Toc2995"/>
      <w:bookmarkStart w:id="1452" w:name="_Toc16740"/>
      <w:r>
        <w:rPr>
          <w:rFonts w:hint="default" w:ascii="Times New Roman" w:hAnsi="Times New Roman" w:eastAsia="黑体" w:cs="Times New Roman"/>
          <w:b w:val="0"/>
          <w:sz w:val="56"/>
          <w:szCs w:val="56"/>
          <w:highlight w:val="none"/>
        </w:rPr>
        <w:t>第六章  图纸（另册）</w:t>
      </w:r>
      <w:bookmarkEnd w:id="1450"/>
      <w:bookmarkEnd w:id="1451"/>
      <w:bookmarkEnd w:id="1452"/>
    </w:p>
    <w:p w14:paraId="4CC2A962">
      <w:pPr>
        <w:pStyle w:val="2"/>
        <w:pageBreakBefore w:val="0"/>
        <w:kinsoku/>
        <w:wordWrap w:val="0"/>
        <w:bidi w:val="0"/>
        <w:spacing w:before="360" w:beforeLines="150" w:after="240" w:afterLines="100" w:line="380" w:lineRule="atLeast"/>
        <w:jc w:val="center"/>
        <w:rPr>
          <w:rFonts w:hint="default" w:ascii="Times New Roman" w:hAnsi="Times New Roman" w:eastAsia="黑体" w:cs="Times New Roman"/>
          <w:sz w:val="20"/>
          <w:szCs w:val="20"/>
          <w:highlight w:val="none"/>
        </w:rPr>
        <w:sectPr>
          <w:footnotePr>
            <w:numFmt w:val="decimalEnclosedCircleChinese"/>
            <w:numRestart w:val="eachPage"/>
          </w:footnotePr>
          <w:pgSz w:w="11907" w:h="16840"/>
          <w:pgMar w:top="1588" w:right="1588" w:bottom="1474" w:left="1644" w:header="851" w:footer="851" w:gutter="0"/>
          <w:pgNumType w:fmt="decimal"/>
          <w:cols w:space="720" w:num="1"/>
          <w:docGrid w:linePitch="312" w:charSpace="0"/>
        </w:sectPr>
      </w:pPr>
    </w:p>
    <w:p w14:paraId="6CE9B163">
      <w:pPr>
        <w:pageBreakBefore w:val="0"/>
        <w:kinsoku/>
        <w:wordWrap w:val="0"/>
        <w:bidi w:val="0"/>
        <w:spacing w:before="360" w:beforeLines="150" w:after="240" w:afterLines="100" w:line="380" w:lineRule="atLeast"/>
        <w:jc w:val="center"/>
        <w:outlineLvl w:val="9"/>
        <w:rPr>
          <w:rFonts w:hint="default" w:ascii="Times New Roman" w:hAnsi="Times New Roman" w:eastAsia="黑体" w:cs="Times New Roman"/>
          <w:sz w:val="20"/>
          <w:szCs w:val="20"/>
          <w:highlight w:val="none"/>
        </w:rPr>
      </w:pPr>
    </w:p>
    <w:p w14:paraId="15E02819">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3E4507AA">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47458C07">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6BE50850">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37996FAC">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2C9E733E">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3CE993A5">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0413BBAC">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3158E8EA">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1FA95AAF">
      <w:pPr>
        <w:pageBreakBefore w:val="0"/>
        <w:kinsoku/>
        <w:wordWrap w:val="0"/>
        <w:bidi w:val="0"/>
        <w:jc w:val="center"/>
        <w:outlineLvl w:val="0"/>
        <w:rPr>
          <w:rFonts w:hint="default" w:ascii="Times New Roman" w:hAnsi="Times New Roman" w:eastAsia="黑体" w:cs="Times New Roman"/>
          <w:sz w:val="76"/>
          <w:szCs w:val="76"/>
          <w:highlight w:val="none"/>
        </w:rPr>
      </w:pPr>
      <w:bookmarkStart w:id="1453" w:name="_Toc234833249"/>
      <w:bookmarkStart w:id="1454" w:name="_Toc26613"/>
      <w:bookmarkStart w:id="1455" w:name="_Toc5182"/>
      <w:r>
        <w:rPr>
          <w:rFonts w:hint="default" w:ascii="Times New Roman" w:hAnsi="Times New Roman" w:eastAsia="黑体" w:cs="Times New Roman"/>
          <w:sz w:val="76"/>
          <w:szCs w:val="76"/>
          <w:highlight w:val="none"/>
        </w:rPr>
        <w:t>第  三  卷</w:t>
      </w:r>
      <w:bookmarkEnd w:id="1453"/>
      <w:r>
        <w:rPr>
          <w:rFonts w:hint="default" w:ascii="Times New Roman" w:hAnsi="Times New Roman" w:eastAsia="黑体" w:cs="Times New Roman"/>
          <w:sz w:val="76"/>
          <w:szCs w:val="76"/>
          <w:highlight w:val="none"/>
        </w:rPr>
        <w:br w:type="page"/>
      </w:r>
      <w:bookmarkEnd w:id="1454"/>
      <w:bookmarkEnd w:id="1455"/>
    </w:p>
    <w:p w14:paraId="587FE15C">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1B67D076">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2947AAE0">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05EB2E6F">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50C15049">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35DA55A9">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24080223">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0EE56076">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1930EA8C">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2E38FE5C">
      <w:pPr>
        <w:pStyle w:val="2"/>
        <w:pageBreakBefore w:val="0"/>
        <w:kinsoku/>
        <w:wordWrap w:val="0"/>
        <w:bidi w:val="0"/>
        <w:spacing w:before="360" w:beforeLines="150" w:after="240" w:afterLines="100" w:line="380" w:lineRule="atLeast"/>
        <w:jc w:val="center"/>
        <w:rPr>
          <w:rFonts w:hint="default" w:ascii="Times New Roman" w:hAnsi="Times New Roman" w:eastAsia="黑体" w:cs="Times New Roman"/>
          <w:b w:val="0"/>
          <w:sz w:val="56"/>
          <w:szCs w:val="56"/>
          <w:highlight w:val="none"/>
        </w:rPr>
      </w:pPr>
      <w:bookmarkStart w:id="1456" w:name="_Toc234833250"/>
      <w:bookmarkStart w:id="1457" w:name="_Toc15579"/>
      <w:bookmarkStart w:id="1458" w:name="_Toc15452"/>
      <w:r>
        <w:rPr>
          <w:rFonts w:hint="default" w:ascii="Times New Roman" w:hAnsi="Times New Roman" w:eastAsia="黑体" w:cs="Times New Roman"/>
          <w:b w:val="0"/>
          <w:sz w:val="56"/>
          <w:szCs w:val="56"/>
          <w:highlight w:val="none"/>
        </w:rPr>
        <w:t>第七章  技术规范（另册）</w:t>
      </w:r>
      <w:bookmarkEnd w:id="1456"/>
      <w:bookmarkEnd w:id="1457"/>
      <w:bookmarkEnd w:id="1458"/>
    </w:p>
    <w:p w14:paraId="27346BF3">
      <w:pPr>
        <w:pageBreakBefore w:val="0"/>
        <w:kinsoku/>
        <w:wordWrap w:val="0"/>
        <w:bidi w:val="0"/>
        <w:spacing w:line="440" w:lineRule="exact"/>
        <w:rPr>
          <w:rFonts w:hint="default" w:ascii="Times New Roman" w:hAnsi="Times New Roman" w:eastAsia="黑体" w:cs="Times New Roman"/>
          <w:sz w:val="20"/>
          <w:szCs w:val="20"/>
          <w:highlight w:val="none"/>
        </w:rPr>
      </w:pPr>
    </w:p>
    <w:p w14:paraId="2161C3B3">
      <w:pPr>
        <w:pageBreakBefore w:val="0"/>
        <w:kinsoku/>
        <w:wordWrap w:val="0"/>
        <w:bidi w:val="0"/>
        <w:spacing w:line="440" w:lineRule="exact"/>
        <w:rPr>
          <w:rFonts w:hint="default" w:ascii="Times New Roman" w:hAnsi="Times New Roman" w:eastAsia="黑体" w:cs="Times New Roman"/>
          <w:sz w:val="20"/>
          <w:szCs w:val="20"/>
          <w:highlight w:val="none"/>
        </w:rPr>
      </w:pPr>
    </w:p>
    <w:p w14:paraId="103FAB2B">
      <w:pPr>
        <w:pageBreakBefore w:val="0"/>
        <w:kinsoku/>
        <w:wordWrap w:val="0"/>
        <w:bidi w:val="0"/>
        <w:spacing w:line="440" w:lineRule="exact"/>
        <w:rPr>
          <w:rFonts w:hint="default" w:ascii="Times New Roman" w:hAnsi="Times New Roman" w:eastAsia="黑体" w:cs="Times New Roman"/>
          <w:sz w:val="20"/>
          <w:szCs w:val="20"/>
          <w:highlight w:val="none"/>
        </w:rPr>
      </w:pPr>
    </w:p>
    <w:p w14:paraId="647A1CAB">
      <w:pPr>
        <w:pageBreakBefore w:val="0"/>
        <w:kinsoku/>
        <w:wordWrap w:val="0"/>
        <w:bidi w:val="0"/>
        <w:jc w:val="center"/>
        <w:rPr>
          <w:rFonts w:hint="default" w:ascii="Times New Roman" w:hAnsi="Times New Roman" w:eastAsia="黑体" w:cs="Times New Roman"/>
          <w:sz w:val="76"/>
          <w:szCs w:val="76"/>
          <w:highlight w:val="none"/>
        </w:rPr>
      </w:pPr>
      <w:r>
        <w:rPr>
          <w:rFonts w:hint="default" w:ascii="Times New Roman" w:hAnsi="Times New Roman" w:eastAsia="黑体" w:cs="Times New Roman"/>
          <w:sz w:val="20"/>
          <w:szCs w:val="20"/>
          <w:highlight w:val="none"/>
        </w:rPr>
        <w:br w:type="page"/>
      </w:r>
    </w:p>
    <w:p w14:paraId="4EA72E88">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1D27B307">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5AE37A82">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753BCD84">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02FF7547">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662FACAD">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6D9314B7">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08720703">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4966C155">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3628FAEB">
      <w:pPr>
        <w:pStyle w:val="2"/>
        <w:pageBreakBefore w:val="0"/>
        <w:kinsoku/>
        <w:wordWrap w:val="0"/>
        <w:bidi w:val="0"/>
        <w:spacing w:before="360" w:beforeLines="150" w:after="240" w:afterLines="100" w:line="380" w:lineRule="atLeast"/>
        <w:jc w:val="center"/>
        <w:rPr>
          <w:rFonts w:hint="default" w:ascii="Times New Roman" w:hAnsi="Times New Roman" w:eastAsia="黑体" w:cs="Times New Roman"/>
          <w:b w:val="0"/>
          <w:sz w:val="56"/>
          <w:szCs w:val="56"/>
          <w:highlight w:val="none"/>
        </w:rPr>
      </w:pPr>
      <w:bookmarkStart w:id="1459" w:name="_Toc31352"/>
      <w:bookmarkStart w:id="1460" w:name="_Toc5201"/>
      <w:r>
        <w:rPr>
          <w:rFonts w:hint="default" w:ascii="Times New Roman" w:hAnsi="Times New Roman" w:eastAsia="黑体" w:cs="Times New Roman"/>
          <w:b w:val="0"/>
          <w:sz w:val="56"/>
          <w:szCs w:val="56"/>
          <w:highlight w:val="none"/>
        </w:rPr>
        <w:t>第八章  工程量清单计量规则</w:t>
      </w:r>
      <w:bookmarkEnd w:id="1459"/>
      <w:bookmarkEnd w:id="1460"/>
    </w:p>
    <w:p w14:paraId="013E911D">
      <w:pPr>
        <w:pageBreakBefore w:val="0"/>
        <w:kinsoku/>
        <w:wordWrap w:val="0"/>
        <w:bidi w:val="0"/>
        <w:spacing w:before="360" w:beforeLines="150" w:after="240" w:afterLines="100" w:line="380" w:lineRule="atLeast"/>
        <w:jc w:val="center"/>
        <w:outlineLvl w:val="9"/>
        <w:rPr>
          <w:rFonts w:hint="default" w:ascii="Times New Roman" w:hAnsi="Times New Roman" w:eastAsia="黑体" w:cs="Times New Roman"/>
          <w:b w:val="0"/>
          <w:sz w:val="56"/>
          <w:szCs w:val="56"/>
          <w:highlight w:val="none"/>
        </w:rPr>
      </w:pPr>
      <w:bookmarkStart w:id="1461" w:name="_Toc470752702"/>
      <w:bookmarkStart w:id="1462" w:name="_Toc501257474"/>
      <w:r>
        <w:rPr>
          <w:rFonts w:hint="default" w:ascii="Times New Roman" w:hAnsi="Times New Roman" w:eastAsia="黑体" w:cs="Times New Roman"/>
          <w:b w:val="0"/>
          <w:sz w:val="56"/>
          <w:szCs w:val="56"/>
          <w:highlight w:val="none"/>
        </w:rPr>
        <w:t>（另</w:t>
      </w:r>
      <w:r>
        <w:rPr>
          <w:rFonts w:hint="default" w:ascii="Times New Roman" w:hAnsi="Times New Roman" w:eastAsia="黑体" w:cs="Times New Roman"/>
          <w:b w:val="0"/>
          <w:sz w:val="56"/>
          <w:szCs w:val="56"/>
          <w:highlight w:val="none"/>
          <w:lang w:eastAsia="zh-CN"/>
        </w:rPr>
        <w:t xml:space="preserve">   </w:t>
      </w:r>
      <w:r>
        <w:rPr>
          <w:rFonts w:hint="default" w:ascii="Times New Roman" w:hAnsi="Times New Roman" w:eastAsia="黑体" w:cs="Times New Roman"/>
          <w:b w:val="0"/>
          <w:sz w:val="56"/>
          <w:szCs w:val="56"/>
          <w:highlight w:val="none"/>
        </w:rPr>
        <w:t>册）</w:t>
      </w:r>
      <w:bookmarkEnd w:id="1461"/>
      <w:bookmarkEnd w:id="1462"/>
    </w:p>
    <w:p w14:paraId="4BBA1729">
      <w:pPr>
        <w:pageBreakBefore w:val="0"/>
        <w:kinsoku/>
        <w:wordWrap w:val="0"/>
        <w:bidi w:val="0"/>
        <w:spacing w:line="440" w:lineRule="exact"/>
        <w:rPr>
          <w:rFonts w:hint="default" w:ascii="Times New Roman" w:hAnsi="Times New Roman" w:eastAsia="黑体" w:cs="Times New Roman"/>
          <w:sz w:val="20"/>
          <w:szCs w:val="20"/>
          <w:highlight w:val="none"/>
        </w:rPr>
      </w:pPr>
    </w:p>
    <w:p w14:paraId="5437C9BA">
      <w:pPr>
        <w:pageBreakBefore w:val="0"/>
        <w:kinsoku/>
        <w:wordWrap w:val="0"/>
        <w:bidi w:val="0"/>
        <w:spacing w:line="440" w:lineRule="exact"/>
        <w:rPr>
          <w:rFonts w:hint="default" w:ascii="Times New Roman" w:hAnsi="Times New Roman" w:eastAsia="黑体" w:cs="Times New Roman"/>
          <w:sz w:val="20"/>
          <w:szCs w:val="20"/>
          <w:highlight w:val="none"/>
        </w:rPr>
      </w:pPr>
    </w:p>
    <w:p w14:paraId="56A55FB6">
      <w:pPr>
        <w:pageBreakBefore w:val="0"/>
        <w:kinsoku/>
        <w:wordWrap w:val="0"/>
        <w:bidi w:val="0"/>
        <w:spacing w:line="440" w:lineRule="exact"/>
        <w:rPr>
          <w:rFonts w:hint="default" w:ascii="Times New Roman" w:hAnsi="Times New Roman" w:eastAsia="黑体" w:cs="Times New Roman"/>
          <w:sz w:val="20"/>
          <w:szCs w:val="20"/>
          <w:highlight w:val="none"/>
        </w:rPr>
      </w:pPr>
    </w:p>
    <w:p w14:paraId="303B0B45">
      <w:pPr>
        <w:pageBreakBefore w:val="0"/>
        <w:kinsoku/>
        <w:wordWrap w:val="0"/>
        <w:bidi w:val="0"/>
        <w:spacing w:line="440" w:lineRule="exact"/>
        <w:rPr>
          <w:rFonts w:hint="default" w:ascii="Times New Roman" w:hAnsi="Times New Roman" w:eastAsia="黑体" w:cs="Times New Roman"/>
          <w:sz w:val="20"/>
          <w:szCs w:val="20"/>
          <w:highlight w:val="none"/>
        </w:rPr>
      </w:pPr>
    </w:p>
    <w:p w14:paraId="53C720B3">
      <w:pPr>
        <w:pageBreakBefore w:val="0"/>
        <w:kinsoku/>
        <w:wordWrap w:val="0"/>
        <w:bidi w:val="0"/>
        <w:spacing w:line="440" w:lineRule="exact"/>
        <w:rPr>
          <w:rFonts w:hint="default" w:ascii="Times New Roman" w:hAnsi="Times New Roman" w:eastAsia="黑体" w:cs="Times New Roman"/>
          <w:sz w:val="20"/>
          <w:szCs w:val="20"/>
          <w:highlight w:val="none"/>
        </w:rPr>
      </w:pPr>
    </w:p>
    <w:p w14:paraId="7D18D66B">
      <w:pPr>
        <w:pageBreakBefore w:val="0"/>
        <w:kinsoku/>
        <w:wordWrap w:val="0"/>
        <w:bidi w:val="0"/>
        <w:spacing w:line="440" w:lineRule="exact"/>
        <w:jc w:val="center"/>
        <w:rPr>
          <w:rFonts w:hint="default" w:ascii="Times New Roman" w:hAnsi="Times New Roman" w:eastAsia="黑体" w:cs="Times New Roman"/>
          <w:sz w:val="29"/>
          <w:szCs w:val="29"/>
          <w:highlight w:val="none"/>
        </w:rPr>
      </w:pPr>
      <w:r>
        <w:rPr>
          <w:rFonts w:hint="default" w:ascii="Times New Roman" w:hAnsi="Times New Roman" w:eastAsia="黑体" w:cs="Times New Roman"/>
          <w:sz w:val="20"/>
          <w:szCs w:val="20"/>
          <w:highlight w:val="none"/>
        </w:rPr>
        <w:br w:type="page"/>
      </w:r>
    </w:p>
    <w:p w14:paraId="68EA3D15">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16464EFC">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027943CB">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002DAE53">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6A11FC8F">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73398A3A">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19995FEB">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194F6798">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095CF3B4">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15CFE15A">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20035827">
      <w:pPr>
        <w:pageBreakBefore w:val="0"/>
        <w:kinsoku/>
        <w:wordWrap w:val="0"/>
        <w:bidi w:val="0"/>
        <w:jc w:val="center"/>
        <w:outlineLvl w:val="0"/>
        <w:rPr>
          <w:rFonts w:hint="default" w:ascii="Times New Roman" w:hAnsi="Times New Roman" w:eastAsia="黑体" w:cs="Times New Roman"/>
          <w:sz w:val="29"/>
          <w:szCs w:val="29"/>
          <w:highlight w:val="none"/>
        </w:rPr>
      </w:pPr>
      <w:bookmarkStart w:id="1463" w:name="_Toc234833251"/>
      <w:bookmarkStart w:id="1464" w:name="_Toc2682"/>
      <w:bookmarkStart w:id="1465" w:name="_Toc6883"/>
      <w:r>
        <w:rPr>
          <w:rFonts w:hint="default" w:ascii="Times New Roman" w:hAnsi="Times New Roman" w:eastAsia="黑体" w:cs="Times New Roman"/>
          <w:sz w:val="76"/>
          <w:szCs w:val="76"/>
          <w:highlight w:val="none"/>
        </w:rPr>
        <w:t>第  四  卷</w:t>
      </w:r>
      <w:bookmarkEnd w:id="1463"/>
      <w:r>
        <w:rPr>
          <w:rFonts w:hint="default" w:ascii="Times New Roman" w:hAnsi="Times New Roman" w:eastAsia="黑体" w:cs="Times New Roman"/>
          <w:sz w:val="76"/>
          <w:szCs w:val="76"/>
          <w:highlight w:val="none"/>
        </w:rPr>
        <w:br w:type="page"/>
      </w:r>
      <w:bookmarkEnd w:id="1464"/>
      <w:bookmarkEnd w:id="1465"/>
    </w:p>
    <w:p w14:paraId="3851160D">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34699AE9">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6CEF0BBE">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429ABD2B">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3B14F662">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2C197460">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555D4692">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5722912F">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543A451A">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17FF5073">
      <w:pPr>
        <w:pStyle w:val="2"/>
        <w:pageBreakBefore w:val="0"/>
        <w:kinsoku/>
        <w:wordWrap w:val="0"/>
        <w:bidi w:val="0"/>
        <w:spacing w:before="360" w:beforeLines="150" w:after="240" w:afterLines="100" w:line="380" w:lineRule="atLeast"/>
        <w:jc w:val="center"/>
        <w:rPr>
          <w:rFonts w:hint="default" w:ascii="Times New Roman" w:hAnsi="Times New Roman" w:eastAsia="黑体" w:cs="Times New Roman"/>
          <w:b w:val="0"/>
          <w:sz w:val="56"/>
          <w:szCs w:val="56"/>
          <w:highlight w:val="none"/>
        </w:rPr>
      </w:pPr>
      <w:bookmarkStart w:id="1466" w:name="_Toc29196"/>
      <w:bookmarkStart w:id="1467" w:name="_Toc29271"/>
      <w:bookmarkStart w:id="1468" w:name="_Toc234833252"/>
      <w:r>
        <w:rPr>
          <w:rFonts w:hint="default" w:ascii="Times New Roman" w:hAnsi="Times New Roman" w:eastAsia="黑体" w:cs="Times New Roman"/>
          <w:b w:val="0"/>
          <w:sz w:val="56"/>
          <w:szCs w:val="56"/>
          <w:highlight w:val="none"/>
        </w:rPr>
        <w:t>第九章  投标文件格式</w:t>
      </w:r>
      <w:r>
        <w:rPr>
          <w:rStyle w:val="56"/>
          <w:rFonts w:hint="default" w:ascii="Times New Roman" w:hAnsi="Times New Roman" w:eastAsia="黑体" w:cs="Times New Roman"/>
          <w:sz w:val="56"/>
          <w:szCs w:val="56"/>
          <w:highlight w:val="none"/>
        </w:rPr>
        <w:footnoteReference w:id="33"/>
      </w:r>
      <w:bookmarkEnd w:id="1466"/>
      <w:bookmarkEnd w:id="1467"/>
      <w:bookmarkEnd w:id="1468"/>
    </w:p>
    <w:p w14:paraId="3786E9A2">
      <w:pPr>
        <w:pageBreakBefore w:val="0"/>
        <w:kinsoku/>
        <w:wordWrap w:val="0"/>
        <w:bidi w:val="0"/>
        <w:spacing w:line="440" w:lineRule="exact"/>
        <w:jc w:val="center"/>
        <w:rPr>
          <w:rFonts w:hint="default" w:ascii="Times New Roman" w:hAnsi="Times New Roman" w:eastAsia="黑体" w:cs="Times New Roman"/>
          <w:sz w:val="36"/>
          <w:szCs w:val="36"/>
          <w:highlight w:val="none"/>
        </w:rPr>
      </w:pPr>
    </w:p>
    <w:p w14:paraId="7BC3BE6F">
      <w:pPr>
        <w:pageBreakBefore w:val="0"/>
        <w:kinsoku/>
        <w:wordWrap w:val="0"/>
        <w:bidi w:val="0"/>
        <w:spacing w:line="440" w:lineRule="exact"/>
        <w:rPr>
          <w:rFonts w:hint="default" w:ascii="Times New Roman" w:hAnsi="Times New Roman" w:eastAsia="黑体" w:cs="Times New Roman"/>
          <w:sz w:val="20"/>
          <w:szCs w:val="20"/>
          <w:highlight w:val="none"/>
        </w:rPr>
      </w:pPr>
      <w:r>
        <w:rPr>
          <w:rFonts w:hint="default" w:ascii="Times New Roman" w:hAnsi="Times New Roman" w:eastAsia="黑体" w:cs="Times New Roman"/>
          <w:sz w:val="20"/>
          <w:szCs w:val="20"/>
          <w:highlight w:val="none"/>
        </w:rPr>
        <w:t xml:space="preserve"> </w:t>
      </w:r>
    </w:p>
    <w:p w14:paraId="0088E6AB">
      <w:pPr>
        <w:pageBreakBefore w:val="0"/>
        <w:kinsoku/>
        <w:wordWrap w:val="0"/>
        <w:bidi w:val="0"/>
        <w:spacing w:line="440" w:lineRule="exact"/>
        <w:rPr>
          <w:rFonts w:hint="default" w:ascii="Times New Roman" w:hAnsi="Times New Roman" w:eastAsia="黑体" w:cs="Times New Roman"/>
          <w:sz w:val="20"/>
          <w:szCs w:val="20"/>
          <w:highlight w:val="none"/>
        </w:rPr>
      </w:pPr>
      <w:r>
        <w:rPr>
          <w:rFonts w:hint="default" w:ascii="Times New Roman" w:hAnsi="Times New Roman" w:eastAsia="黑体" w:cs="Times New Roman"/>
          <w:sz w:val="20"/>
          <w:szCs w:val="20"/>
          <w:highlight w:val="none"/>
        </w:rPr>
        <w:br w:type="page"/>
      </w:r>
    </w:p>
    <w:p w14:paraId="71DDAB3D">
      <w:pPr>
        <w:pStyle w:val="15"/>
        <w:keepNext w:val="0"/>
        <w:keepLines w:val="0"/>
        <w:pageBreakBefore w:val="0"/>
        <w:widowControl w:val="0"/>
        <w:kinsoku/>
        <w:overflowPunct/>
        <w:topLinePunct w:val="0"/>
        <w:autoSpaceDE/>
        <w:autoSpaceDN/>
        <w:bidi w:val="0"/>
        <w:adjustRightInd/>
        <w:snapToGrid/>
        <w:spacing w:line="360" w:lineRule="auto"/>
        <w:ind w:firstLine="1705" w:firstLineChars="550"/>
        <w:textAlignment w:val="auto"/>
        <w:rPr>
          <w:rFonts w:hint="default" w:ascii="Times New Roman" w:hAnsi="Times New Roman" w:eastAsia="黑体" w:cs="Times New Roman"/>
          <w:sz w:val="31"/>
          <w:szCs w:val="31"/>
          <w:highlight w:val="none"/>
        </w:rPr>
      </w:pPr>
      <w:r>
        <w:rPr>
          <w:rFonts w:hint="default" w:ascii="Times New Roman" w:hAnsi="Times New Roman" w:eastAsia="黑体" w:cs="Times New Roman"/>
          <w:sz w:val="31"/>
          <w:szCs w:val="31"/>
          <w:highlight w:val="none"/>
          <w:u w:val="single"/>
        </w:rPr>
        <w:t xml:space="preserve">          </w:t>
      </w:r>
      <w:r>
        <w:rPr>
          <w:rFonts w:hint="default" w:ascii="Times New Roman" w:hAnsi="Times New Roman" w:eastAsia="黑体" w:cs="Times New Roman"/>
          <w:sz w:val="31"/>
          <w:szCs w:val="31"/>
          <w:highlight w:val="none"/>
        </w:rPr>
        <w:t>省（自治区、直辖市）</w:t>
      </w:r>
    </w:p>
    <w:p w14:paraId="25ED9FBF">
      <w:pPr>
        <w:pageBreakBefore w:val="0"/>
        <w:kinsoku/>
        <w:wordWrap w:val="0"/>
        <w:bidi w:val="0"/>
        <w:spacing w:line="440" w:lineRule="exact"/>
        <w:rPr>
          <w:rFonts w:hint="default" w:ascii="Times New Roman" w:hAnsi="Times New Roman" w:eastAsia="黑体" w:cs="Times New Roman"/>
          <w:sz w:val="24"/>
          <w:highlight w:val="none"/>
          <w:lang w:val="en-US"/>
        </w:rPr>
      </w:pPr>
      <w:r>
        <w:rPr>
          <w:rFonts w:hint="default" w:ascii="Times New Roman" w:hAnsi="Times New Roman" w:eastAsia="黑体" w:cs="Times New Roman"/>
          <w:b w:val="0"/>
          <w:bCs w:val="0"/>
          <w:color w:val="000000"/>
          <w:sz w:val="31"/>
          <w:szCs w:val="31"/>
          <w:highlight w:val="none"/>
          <w:u w:val="single"/>
        </w:rPr>
        <w:t xml:space="preserve">          </w:t>
      </w:r>
      <w:r>
        <w:rPr>
          <w:rFonts w:hint="default" w:ascii="Times New Roman" w:hAnsi="Times New Roman" w:eastAsia="黑体" w:cs="Times New Roman"/>
          <w:b w:val="0"/>
          <w:bCs w:val="0"/>
          <w:sz w:val="31"/>
          <w:szCs w:val="31"/>
          <w:highlight w:val="none"/>
        </w:rPr>
        <w:t>（项目名称）</w:t>
      </w:r>
      <w:r>
        <w:rPr>
          <w:rFonts w:hint="default" w:ascii="Times New Roman" w:hAnsi="Times New Roman" w:eastAsia="黑体" w:cs="Times New Roman"/>
          <w:b w:val="0"/>
          <w:bCs w:val="0"/>
          <w:color w:val="000000"/>
          <w:sz w:val="31"/>
          <w:szCs w:val="31"/>
          <w:highlight w:val="none"/>
          <w:u w:val="single"/>
        </w:rPr>
        <w:t xml:space="preserve">          </w:t>
      </w:r>
      <w:r>
        <w:rPr>
          <w:rFonts w:hint="default" w:ascii="Times New Roman" w:hAnsi="Times New Roman" w:eastAsia="黑体" w:cs="Times New Roman"/>
          <w:b w:val="0"/>
          <w:bCs w:val="0"/>
          <w:sz w:val="31"/>
          <w:szCs w:val="31"/>
          <w:highlight w:val="none"/>
        </w:rPr>
        <w:t>（</w:t>
      </w:r>
      <w:r>
        <w:rPr>
          <w:rFonts w:hint="default" w:ascii="Times New Roman" w:hAnsi="Times New Roman" w:eastAsia="黑体" w:cs="Times New Roman"/>
          <w:b w:val="0"/>
          <w:bCs w:val="0"/>
          <w:sz w:val="31"/>
          <w:szCs w:val="31"/>
          <w:highlight w:val="none"/>
          <w:lang w:val="en-US" w:eastAsia="zh-CN"/>
        </w:rPr>
        <w:t>标段</w:t>
      </w:r>
      <w:r>
        <w:rPr>
          <w:rFonts w:hint="default" w:ascii="Times New Roman" w:hAnsi="Times New Roman" w:eastAsia="黑体" w:cs="Times New Roman"/>
          <w:b w:val="0"/>
          <w:bCs w:val="0"/>
          <w:sz w:val="31"/>
          <w:szCs w:val="31"/>
          <w:highlight w:val="none"/>
        </w:rPr>
        <w:t>名称</w:t>
      </w:r>
      <w:r>
        <w:rPr>
          <w:rFonts w:hint="default" w:ascii="Times New Roman" w:hAnsi="Times New Roman" w:eastAsia="黑体" w:cs="Times New Roman"/>
          <w:b w:val="0"/>
          <w:bCs w:val="0"/>
          <w:sz w:val="31"/>
          <w:szCs w:val="31"/>
          <w:highlight w:val="none"/>
          <w:lang w:eastAsia="zh-CN"/>
        </w:rPr>
        <w:t>）</w:t>
      </w:r>
      <w:r>
        <w:rPr>
          <w:rFonts w:hint="default" w:ascii="Times New Roman" w:hAnsi="Times New Roman" w:eastAsia="黑体" w:cs="Times New Roman"/>
          <w:b w:val="0"/>
          <w:bCs w:val="0"/>
          <w:sz w:val="31"/>
          <w:szCs w:val="31"/>
          <w:highlight w:val="none"/>
          <w:lang w:val="en-US" w:eastAsia="zh-CN"/>
        </w:rPr>
        <w:t>施工招标</w:t>
      </w:r>
    </w:p>
    <w:p w14:paraId="7B1FEE42">
      <w:pPr>
        <w:pageBreakBefore w:val="0"/>
        <w:kinsoku/>
        <w:wordWrap w:val="0"/>
        <w:bidi w:val="0"/>
        <w:spacing w:line="440" w:lineRule="exact"/>
        <w:rPr>
          <w:rFonts w:hint="default" w:ascii="Times New Roman" w:hAnsi="Times New Roman" w:eastAsia="黑体" w:cs="Times New Roman"/>
          <w:sz w:val="20"/>
          <w:szCs w:val="20"/>
          <w:highlight w:val="none"/>
        </w:rPr>
      </w:pPr>
      <w:r>
        <w:rPr>
          <w:rFonts w:hint="default" w:ascii="Times New Roman" w:hAnsi="Times New Roman" w:eastAsia="黑体" w:cs="Times New Roman"/>
          <w:sz w:val="20"/>
          <w:szCs w:val="20"/>
          <w:highlight w:val="none"/>
        </w:rPr>
        <w:t xml:space="preserve"> </w:t>
      </w:r>
    </w:p>
    <w:p w14:paraId="0995A0A1">
      <w:pPr>
        <w:pageBreakBefore w:val="0"/>
        <w:kinsoku/>
        <w:wordWrap w:val="0"/>
        <w:bidi w:val="0"/>
        <w:spacing w:line="440" w:lineRule="exact"/>
        <w:rPr>
          <w:rFonts w:hint="default" w:ascii="Times New Roman" w:hAnsi="Times New Roman" w:eastAsia="黑体" w:cs="Times New Roman"/>
          <w:sz w:val="40"/>
          <w:szCs w:val="40"/>
          <w:highlight w:val="none"/>
        </w:rPr>
      </w:pPr>
    </w:p>
    <w:p w14:paraId="363BA1AF">
      <w:pPr>
        <w:pageBreakBefore w:val="0"/>
        <w:kinsoku/>
        <w:wordWrap w:val="0"/>
        <w:bidi w:val="0"/>
        <w:spacing w:line="440" w:lineRule="exact"/>
        <w:jc w:val="center"/>
        <w:rPr>
          <w:rFonts w:hint="default" w:ascii="Times New Roman" w:hAnsi="Times New Roman" w:eastAsia="黑体" w:cs="Times New Roman"/>
          <w:sz w:val="40"/>
          <w:szCs w:val="40"/>
          <w:highlight w:val="none"/>
        </w:rPr>
      </w:pPr>
    </w:p>
    <w:p w14:paraId="7B60CD65">
      <w:pPr>
        <w:pStyle w:val="16"/>
        <w:rPr>
          <w:rFonts w:hint="default" w:ascii="Times New Roman" w:hAnsi="Times New Roman" w:eastAsia="黑体" w:cs="Times New Roman"/>
          <w:sz w:val="40"/>
          <w:szCs w:val="40"/>
          <w:highlight w:val="none"/>
        </w:rPr>
      </w:pPr>
    </w:p>
    <w:p w14:paraId="6D07EF2D">
      <w:pPr>
        <w:pStyle w:val="16"/>
        <w:rPr>
          <w:rFonts w:hint="default" w:ascii="Times New Roman" w:hAnsi="Times New Roman" w:eastAsia="黑体" w:cs="Times New Roman"/>
          <w:sz w:val="40"/>
          <w:szCs w:val="40"/>
          <w:highlight w:val="none"/>
        </w:rPr>
      </w:pPr>
    </w:p>
    <w:p w14:paraId="1D458D92">
      <w:pPr>
        <w:pStyle w:val="16"/>
        <w:rPr>
          <w:rFonts w:hint="default" w:ascii="Times New Roman" w:hAnsi="Times New Roman" w:eastAsia="黑体" w:cs="Times New Roman"/>
          <w:sz w:val="40"/>
          <w:szCs w:val="40"/>
          <w:highlight w:val="none"/>
        </w:rPr>
      </w:pPr>
    </w:p>
    <w:p w14:paraId="527A2488">
      <w:pPr>
        <w:pageBreakBefore w:val="0"/>
        <w:kinsoku/>
        <w:wordWrap w:val="0"/>
        <w:bidi w:val="0"/>
        <w:spacing w:line="440" w:lineRule="exact"/>
        <w:jc w:val="center"/>
        <w:rPr>
          <w:rFonts w:hint="default" w:ascii="Times New Roman" w:hAnsi="Times New Roman" w:eastAsia="黑体" w:cs="Times New Roman"/>
          <w:sz w:val="40"/>
          <w:szCs w:val="40"/>
          <w:highlight w:val="none"/>
        </w:rPr>
      </w:pPr>
    </w:p>
    <w:p w14:paraId="05A60CF6">
      <w:pPr>
        <w:pageBreakBefore w:val="0"/>
        <w:kinsoku/>
        <w:wordWrap w:val="0"/>
        <w:bidi w:val="0"/>
        <w:spacing w:line="440" w:lineRule="exact"/>
        <w:jc w:val="center"/>
        <w:rPr>
          <w:rFonts w:hint="default" w:ascii="Times New Roman" w:hAnsi="Times New Roman" w:eastAsia="黑体" w:cs="Times New Roman"/>
          <w:sz w:val="40"/>
          <w:szCs w:val="40"/>
          <w:highlight w:val="none"/>
        </w:rPr>
      </w:pPr>
    </w:p>
    <w:p w14:paraId="67FC6AD5">
      <w:pPr>
        <w:pStyle w:val="2"/>
        <w:pageBreakBefore w:val="0"/>
        <w:kinsoku/>
        <w:wordWrap/>
        <w:bidi w:val="0"/>
        <w:spacing w:before="0" w:after="0" w:line="360" w:lineRule="auto"/>
        <w:jc w:val="center"/>
        <w:rPr>
          <w:rFonts w:hint="default" w:ascii="Times New Roman" w:hAnsi="Times New Roman" w:eastAsia="黑体" w:cs="Times New Roman"/>
          <w:b w:val="0"/>
          <w:sz w:val="30"/>
          <w:szCs w:val="30"/>
          <w:highlight w:val="none"/>
        </w:rPr>
      </w:pPr>
      <w:bookmarkStart w:id="1469" w:name="_Toc11276"/>
      <w:bookmarkStart w:id="1470" w:name="_Toc23497"/>
      <w:bookmarkStart w:id="1471" w:name="_Toc1346"/>
      <w:bookmarkStart w:id="1472" w:name="_Toc10592"/>
      <w:r>
        <w:rPr>
          <w:rFonts w:hint="default" w:ascii="Times New Roman" w:hAnsi="Times New Roman" w:eastAsia="黑体" w:cs="Times New Roman"/>
          <w:b w:val="0"/>
          <w:sz w:val="72"/>
          <w:szCs w:val="72"/>
          <w:highlight w:val="none"/>
        </w:rPr>
        <w:t xml:space="preserve">投  标  文  件 </w:t>
      </w:r>
      <w:r>
        <w:rPr>
          <w:rFonts w:hint="default" w:ascii="Times New Roman" w:hAnsi="Times New Roman" w:eastAsia="黑体" w:cs="Times New Roman"/>
          <w:b w:val="0"/>
          <w:sz w:val="30"/>
          <w:szCs w:val="30"/>
          <w:highlight w:val="none"/>
        </w:rPr>
        <w:t xml:space="preserve">                   </w:t>
      </w:r>
      <w:r>
        <w:rPr>
          <w:rFonts w:hint="default" w:ascii="Times New Roman" w:hAnsi="Times New Roman" w:eastAsia="黑体" w:cs="Times New Roman"/>
          <w:b w:val="0"/>
          <w:sz w:val="32"/>
          <w:szCs w:val="32"/>
          <w:highlight w:val="none"/>
        </w:rPr>
        <w:t>（</w:t>
      </w:r>
      <w:r>
        <w:rPr>
          <w:rFonts w:hint="default" w:ascii="Times New Roman" w:hAnsi="Times New Roman" w:cs="Times New Roman"/>
          <w:b w:val="0"/>
          <w:sz w:val="32"/>
          <w:szCs w:val="32"/>
          <w:highlight w:val="none"/>
          <w:lang w:val="en-US" w:eastAsia="zh-CN"/>
        </w:rPr>
        <w:t xml:space="preserve">第一个信封 </w:t>
      </w:r>
      <w:r>
        <w:rPr>
          <w:rFonts w:hint="default" w:ascii="Times New Roman" w:hAnsi="Times New Roman" w:eastAsia="黑体" w:cs="Times New Roman"/>
          <w:b w:val="0"/>
          <w:sz w:val="32"/>
          <w:szCs w:val="32"/>
          <w:highlight w:val="none"/>
        </w:rPr>
        <w:t>商务及技术文件）</w:t>
      </w:r>
      <w:bookmarkEnd w:id="1469"/>
      <w:bookmarkEnd w:id="1470"/>
      <w:bookmarkEnd w:id="1471"/>
      <w:bookmarkEnd w:id="1472"/>
    </w:p>
    <w:p w14:paraId="1ADB56FC">
      <w:pPr>
        <w:pageBreakBefore w:val="0"/>
        <w:kinsoku/>
        <w:wordWrap w:val="0"/>
        <w:bidi w:val="0"/>
        <w:spacing w:line="440" w:lineRule="exact"/>
        <w:rPr>
          <w:rFonts w:hint="default" w:ascii="Times New Roman" w:hAnsi="Times New Roman" w:eastAsia="黑体" w:cs="Times New Roman"/>
          <w:sz w:val="20"/>
          <w:szCs w:val="20"/>
          <w:highlight w:val="none"/>
        </w:rPr>
      </w:pPr>
    </w:p>
    <w:p w14:paraId="66DB85AA">
      <w:pPr>
        <w:pageBreakBefore w:val="0"/>
        <w:kinsoku/>
        <w:wordWrap w:val="0"/>
        <w:bidi w:val="0"/>
        <w:spacing w:line="440" w:lineRule="exact"/>
        <w:rPr>
          <w:rFonts w:hint="default" w:ascii="Times New Roman" w:hAnsi="Times New Roman" w:eastAsia="黑体" w:cs="Times New Roman"/>
          <w:sz w:val="20"/>
          <w:szCs w:val="20"/>
          <w:highlight w:val="none"/>
        </w:rPr>
      </w:pPr>
    </w:p>
    <w:p w14:paraId="35301A3F">
      <w:pPr>
        <w:pageBreakBefore w:val="0"/>
        <w:kinsoku/>
        <w:wordWrap w:val="0"/>
        <w:bidi w:val="0"/>
        <w:spacing w:line="440" w:lineRule="exact"/>
        <w:rPr>
          <w:rFonts w:hint="default" w:ascii="Times New Roman" w:hAnsi="Times New Roman" w:eastAsia="黑体" w:cs="Times New Roman"/>
          <w:sz w:val="20"/>
          <w:szCs w:val="20"/>
          <w:highlight w:val="none"/>
        </w:rPr>
      </w:pPr>
    </w:p>
    <w:p w14:paraId="5E8C8608">
      <w:pPr>
        <w:pageBreakBefore w:val="0"/>
        <w:kinsoku/>
        <w:wordWrap w:val="0"/>
        <w:bidi w:val="0"/>
        <w:spacing w:line="440" w:lineRule="exact"/>
        <w:rPr>
          <w:rFonts w:hint="default" w:ascii="Times New Roman" w:hAnsi="Times New Roman" w:eastAsia="黑体" w:cs="Times New Roman"/>
          <w:sz w:val="20"/>
          <w:szCs w:val="20"/>
          <w:highlight w:val="none"/>
        </w:rPr>
      </w:pPr>
    </w:p>
    <w:p w14:paraId="6632BB15">
      <w:pPr>
        <w:pageBreakBefore w:val="0"/>
        <w:kinsoku/>
        <w:wordWrap w:val="0"/>
        <w:bidi w:val="0"/>
        <w:spacing w:line="440" w:lineRule="exact"/>
        <w:rPr>
          <w:rFonts w:hint="default" w:ascii="Times New Roman" w:hAnsi="Times New Roman" w:eastAsia="黑体" w:cs="Times New Roman"/>
          <w:sz w:val="20"/>
          <w:szCs w:val="20"/>
          <w:highlight w:val="none"/>
        </w:rPr>
      </w:pPr>
    </w:p>
    <w:p w14:paraId="74DADEA6">
      <w:pPr>
        <w:pageBreakBefore w:val="0"/>
        <w:kinsoku/>
        <w:wordWrap w:val="0"/>
        <w:bidi w:val="0"/>
        <w:spacing w:line="440" w:lineRule="exact"/>
        <w:rPr>
          <w:rFonts w:hint="default" w:ascii="Times New Roman" w:hAnsi="Times New Roman" w:eastAsia="黑体" w:cs="Times New Roman"/>
          <w:sz w:val="20"/>
          <w:szCs w:val="20"/>
          <w:highlight w:val="none"/>
        </w:rPr>
      </w:pPr>
    </w:p>
    <w:p w14:paraId="2C226E05">
      <w:pPr>
        <w:pageBreakBefore w:val="0"/>
        <w:kinsoku/>
        <w:wordWrap w:val="0"/>
        <w:bidi w:val="0"/>
        <w:spacing w:line="440" w:lineRule="exact"/>
        <w:rPr>
          <w:rFonts w:hint="default" w:ascii="Times New Roman" w:hAnsi="Times New Roman" w:eastAsia="黑体" w:cs="Times New Roman"/>
          <w:sz w:val="20"/>
          <w:szCs w:val="20"/>
          <w:highlight w:val="none"/>
        </w:rPr>
      </w:pPr>
    </w:p>
    <w:p w14:paraId="1D4A2C6C">
      <w:pPr>
        <w:pageBreakBefore w:val="0"/>
        <w:kinsoku/>
        <w:wordWrap w:val="0"/>
        <w:bidi w:val="0"/>
        <w:spacing w:line="440" w:lineRule="exact"/>
        <w:rPr>
          <w:rFonts w:hint="default" w:ascii="Times New Roman" w:hAnsi="Times New Roman" w:eastAsia="黑体" w:cs="Times New Roman"/>
          <w:sz w:val="20"/>
          <w:szCs w:val="20"/>
          <w:highlight w:val="none"/>
        </w:rPr>
      </w:pPr>
    </w:p>
    <w:p w14:paraId="7E8BE6F6">
      <w:pPr>
        <w:pageBreakBefore w:val="0"/>
        <w:kinsoku/>
        <w:wordWrap w:val="0"/>
        <w:bidi w:val="0"/>
        <w:spacing w:line="440" w:lineRule="exact"/>
        <w:jc w:val="center"/>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投标人：</w:t>
      </w:r>
      <w:r>
        <w:rPr>
          <w:rFonts w:hint="default" w:ascii="Times New Roman" w:hAnsi="Times New Roman" w:eastAsia="黑体" w:cs="Times New Roman"/>
          <w:sz w:val="28"/>
          <w:szCs w:val="28"/>
          <w:highlight w:val="none"/>
          <w:u w:val="single"/>
        </w:rPr>
        <w:t xml:space="preserve">                                  </w:t>
      </w:r>
      <w:r>
        <w:rPr>
          <w:rFonts w:hint="default" w:ascii="Times New Roman" w:hAnsi="Times New Roman" w:eastAsia="黑体" w:cs="Times New Roman"/>
          <w:sz w:val="28"/>
          <w:szCs w:val="28"/>
          <w:highlight w:val="none"/>
        </w:rPr>
        <w:t>（</w:t>
      </w:r>
      <w:r>
        <w:rPr>
          <w:rFonts w:hint="default" w:ascii="Times New Roman" w:hAnsi="Times New Roman" w:eastAsia="黑体" w:cs="Times New Roman"/>
          <w:color w:val="000000"/>
          <w:sz w:val="28"/>
          <w:highlight w:val="none"/>
          <w:lang w:eastAsia="zh-CN"/>
        </w:rPr>
        <w:t>盖单位电子印章</w:t>
      </w:r>
      <w:r>
        <w:rPr>
          <w:rFonts w:hint="default" w:ascii="Times New Roman" w:hAnsi="Times New Roman" w:eastAsia="黑体" w:cs="Times New Roman"/>
          <w:sz w:val="28"/>
          <w:szCs w:val="28"/>
          <w:highlight w:val="none"/>
        </w:rPr>
        <w:t>）</w:t>
      </w:r>
    </w:p>
    <w:p w14:paraId="78DC7C7F">
      <w:pPr>
        <w:pageBreakBefore w:val="0"/>
        <w:kinsoku/>
        <w:wordWrap w:val="0"/>
        <w:bidi w:val="0"/>
        <w:spacing w:line="440" w:lineRule="exact"/>
        <w:rPr>
          <w:rFonts w:hint="default" w:ascii="Times New Roman" w:hAnsi="Times New Roman" w:eastAsia="黑体" w:cs="Times New Roman"/>
          <w:sz w:val="28"/>
          <w:szCs w:val="28"/>
          <w:highlight w:val="none"/>
        </w:rPr>
      </w:pPr>
    </w:p>
    <w:p w14:paraId="676C016A">
      <w:pPr>
        <w:pageBreakBefore w:val="0"/>
        <w:kinsoku/>
        <w:wordWrap w:val="0"/>
        <w:bidi w:val="0"/>
        <w:spacing w:line="440" w:lineRule="exact"/>
        <w:jc w:val="center"/>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u w:val="single"/>
        </w:rPr>
        <w:t xml:space="preserve">        </w:t>
      </w:r>
      <w:r>
        <w:rPr>
          <w:rFonts w:hint="default" w:ascii="Times New Roman" w:hAnsi="Times New Roman" w:eastAsia="黑体" w:cs="Times New Roman"/>
          <w:sz w:val="28"/>
          <w:szCs w:val="28"/>
          <w:highlight w:val="none"/>
        </w:rPr>
        <w:t>年</w:t>
      </w:r>
      <w:r>
        <w:rPr>
          <w:rFonts w:hint="default" w:ascii="Times New Roman" w:hAnsi="Times New Roman" w:eastAsia="黑体" w:cs="Times New Roman"/>
          <w:sz w:val="28"/>
          <w:szCs w:val="28"/>
          <w:highlight w:val="none"/>
          <w:u w:val="single"/>
        </w:rPr>
        <w:t xml:space="preserve">        </w:t>
      </w:r>
      <w:r>
        <w:rPr>
          <w:rFonts w:hint="default" w:ascii="Times New Roman" w:hAnsi="Times New Roman" w:eastAsia="黑体" w:cs="Times New Roman"/>
          <w:sz w:val="28"/>
          <w:szCs w:val="28"/>
          <w:highlight w:val="none"/>
        </w:rPr>
        <w:t>月</w:t>
      </w:r>
      <w:r>
        <w:rPr>
          <w:rFonts w:hint="default" w:ascii="Times New Roman" w:hAnsi="Times New Roman" w:eastAsia="黑体" w:cs="Times New Roman"/>
          <w:sz w:val="28"/>
          <w:szCs w:val="28"/>
          <w:highlight w:val="none"/>
          <w:u w:val="single"/>
        </w:rPr>
        <w:t xml:space="preserve">         </w:t>
      </w:r>
      <w:r>
        <w:rPr>
          <w:rFonts w:hint="default" w:ascii="Times New Roman" w:hAnsi="Times New Roman" w:eastAsia="黑体" w:cs="Times New Roman"/>
          <w:sz w:val="28"/>
          <w:szCs w:val="28"/>
          <w:highlight w:val="none"/>
        </w:rPr>
        <w:t>日</w:t>
      </w:r>
    </w:p>
    <w:p w14:paraId="4E5A91C8">
      <w:pPr>
        <w:pageBreakBefore w:val="0"/>
        <w:kinsoku/>
        <w:wordWrap w:val="0"/>
        <w:bidi w:val="0"/>
        <w:spacing w:line="440" w:lineRule="exact"/>
        <w:rPr>
          <w:rFonts w:hint="default" w:ascii="Times New Roman" w:hAnsi="Times New Roman" w:eastAsia="黑体" w:cs="Times New Roman"/>
          <w:sz w:val="28"/>
          <w:szCs w:val="28"/>
          <w:highlight w:val="none"/>
        </w:rPr>
      </w:pPr>
    </w:p>
    <w:p w14:paraId="7926B0F4">
      <w:pPr>
        <w:pStyle w:val="2"/>
        <w:pageBreakBefore w:val="0"/>
        <w:kinsoku/>
        <w:wordWrap w:val="0"/>
        <w:bidi w:val="0"/>
        <w:spacing w:before="360" w:beforeLines="150" w:after="240" w:afterLines="100" w:line="380" w:lineRule="atLeast"/>
        <w:jc w:val="center"/>
        <w:rPr>
          <w:rFonts w:hint="default" w:ascii="Times New Roman" w:hAnsi="Times New Roman" w:eastAsia="黑体" w:cs="Times New Roman"/>
          <w:b w:val="0"/>
          <w:sz w:val="30"/>
          <w:szCs w:val="30"/>
          <w:highlight w:val="none"/>
        </w:rPr>
      </w:pPr>
      <w:r>
        <w:rPr>
          <w:rFonts w:hint="default" w:ascii="Times New Roman" w:hAnsi="Times New Roman" w:eastAsia="黑体" w:cs="Times New Roman"/>
          <w:sz w:val="20"/>
          <w:szCs w:val="20"/>
          <w:highlight w:val="none"/>
        </w:rPr>
        <w:br w:type="page"/>
      </w:r>
      <w:bookmarkStart w:id="1473" w:name="_Toc16968"/>
      <w:bookmarkStart w:id="1474" w:name="_Toc234833253"/>
      <w:bookmarkStart w:id="1475" w:name="_Toc18939"/>
      <w:bookmarkStart w:id="1476" w:name="_Toc5289"/>
      <w:bookmarkStart w:id="1477" w:name="_Toc1426"/>
      <w:r>
        <w:rPr>
          <w:rFonts w:hint="default" w:ascii="Times New Roman" w:hAnsi="Times New Roman" w:eastAsia="黑体" w:cs="Times New Roman"/>
          <w:b w:val="0"/>
          <w:sz w:val="30"/>
          <w:szCs w:val="30"/>
          <w:highlight w:val="none"/>
        </w:rPr>
        <w:t>目     录</w:t>
      </w:r>
      <w:bookmarkEnd w:id="1473"/>
      <w:bookmarkEnd w:id="1474"/>
      <w:bookmarkEnd w:id="1475"/>
      <w:bookmarkEnd w:id="1476"/>
      <w:bookmarkEnd w:id="1477"/>
    </w:p>
    <w:p w14:paraId="4519BAAE">
      <w:pPr>
        <w:pageBreakBefore w:val="0"/>
        <w:kinsoku/>
        <w:wordWrap w:val="0"/>
        <w:bidi w:val="0"/>
        <w:spacing w:line="440" w:lineRule="exact"/>
        <w:rPr>
          <w:rFonts w:hint="default" w:ascii="Times New Roman" w:hAnsi="Times New Roman" w:eastAsia="黑体" w:cs="Times New Roman"/>
          <w:sz w:val="20"/>
          <w:szCs w:val="20"/>
          <w:highlight w:val="none"/>
        </w:rPr>
      </w:pPr>
    </w:p>
    <w:p w14:paraId="0E4B428D">
      <w:pPr>
        <w:pageBreakBefore w:val="0"/>
        <w:kinsoku/>
        <w:wordWrap w:val="0"/>
        <w:bidi w:val="0"/>
        <w:spacing w:line="440" w:lineRule="exact"/>
        <w:ind w:left="1619" w:leftChars="771" w:firstLine="1"/>
        <w:rPr>
          <w:rFonts w:hint="default" w:ascii="Times New Roman" w:hAnsi="Times New Roman" w:cs="Times New Roman"/>
          <w:sz w:val="24"/>
          <w:highlight w:val="none"/>
        </w:rPr>
      </w:pPr>
      <w:r>
        <w:rPr>
          <w:rFonts w:hint="default" w:ascii="Times New Roman" w:hAnsi="Times New Roman" w:cs="Times New Roman"/>
          <w:sz w:val="24"/>
          <w:highlight w:val="none"/>
        </w:rPr>
        <w:t>一、投标函及投标函附录</w:t>
      </w:r>
    </w:p>
    <w:p w14:paraId="0A09CD36">
      <w:pPr>
        <w:pageBreakBefore w:val="0"/>
        <w:kinsoku/>
        <w:wordWrap w:val="0"/>
        <w:bidi w:val="0"/>
        <w:spacing w:line="440" w:lineRule="exact"/>
        <w:ind w:left="1619" w:leftChars="771" w:firstLine="1"/>
        <w:rPr>
          <w:rFonts w:hint="default" w:ascii="Times New Roman" w:hAnsi="Times New Roman" w:cs="Times New Roman"/>
          <w:sz w:val="24"/>
          <w:highlight w:val="none"/>
        </w:rPr>
      </w:pPr>
      <w:r>
        <w:rPr>
          <w:rFonts w:hint="default" w:ascii="Times New Roman" w:hAnsi="Times New Roman" w:cs="Times New Roman"/>
          <w:sz w:val="24"/>
          <w:highlight w:val="none"/>
        </w:rPr>
        <w:t>二、授权委托书或法定代表人身份证明</w:t>
      </w:r>
    </w:p>
    <w:p w14:paraId="34326D3E">
      <w:pPr>
        <w:pageBreakBefore w:val="0"/>
        <w:kinsoku/>
        <w:wordWrap w:val="0"/>
        <w:bidi w:val="0"/>
        <w:spacing w:line="440" w:lineRule="exact"/>
        <w:ind w:left="1619" w:leftChars="771" w:firstLine="1"/>
        <w:rPr>
          <w:rFonts w:hint="default" w:ascii="Times New Roman" w:hAnsi="Times New Roman" w:cs="Times New Roman"/>
          <w:sz w:val="24"/>
          <w:highlight w:val="none"/>
        </w:rPr>
      </w:pPr>
      <w:r>
        <w:rPr>
          <w:rFonts w:hint="default" w:ascii="Times New Roman" w:hAnsi="Times New Roman" w:cs="Times New Roman"/>
          <w:sz w:val="24"/>
          <w:highlight w:val="none"/>
        </w:rPr>
        <w:t>三、联合体协议书</w:t>
      </w:r>
    </w:p>
    <w:p w14:paraId="3511A38D">
      <w:pPr>
        <w:pageBreakBefore w:val="0"/>
        <w:kinsoku/>
        <w:wordWrap w:val="0"/>
        <w:bidi w:val="0"/>
        <w:spacing w:line="440" w:lineRule="exact"/>
        <w:ind w:left="1619" w:leftChars="771" w:firstLine="1"/>
        <w:rPr>
          <w:rFonts w:hint="default" w:ascii="Times New Roman" w:hAnsi="Times New Roman" w:cs="Times New Roman"/>
          <w:sz w:val="24"/>
          <w:highlight w:val="none"/>
        </w:rPr>
      </w:pPr>
      <w:r>
        <w:rPr>
          <w:rFonts w:hint="default" w:ascii="Times New Roman" w:hAnsi="Times New Roman" w:cs="Times New Roman"/>
          <w:sz w:val="24"/>
          <w:highlight w:val="none"/>
        </w:rPr>
        <w:t>四、投标保证金</w:t>
      </w:r>
    </w:p>
    <w:p w14:paraId="029F7829">
      <w:pPr>
        <w:pageBreakBefore w:val="0"/>
        <w:kinsoku/>
        <w:wordWrap w:val="0"/>
        <w:bidi w:val="0"/>
        <w:spacing w:line="440" w:lineRule="exact"/>
        <w:ind w:left="1619" w:leftChars="771" w:firstLine="1"/>
        <w:rPr>
          <w:rFonts w:hint="default" w:ascii="Times New Roman" w:hAnsi="Times New Roman" w:cs="Times New Roman"/>
          <w:sz w:val="24"/>
          <w:highlight w:val="none"/>
        </w:rPr>
      </w:pPr>
      <w:r>
        <w:rPr>
          <w:rFonts w:hint="default" w:ascii="Times New Roman" w:hAnsi="Times New Roman" w:cs="Times New Roman"/>
          <w:sz w:val="24"/>
          <w:highlight w:val="none"/>
        </w:rPr>
        <w:t>五、施工组织设计</w:t>
      </w:r>
    </w:p>
    <w:p w14:paraId="46595593">
      <w:pPr>
        <w:pageBreakBefore w:val="0"/>
        <w:kinsoku/>
        <w:wordWrap w:val="0"/>
        <w:bidi w:val="0"/>
        <w:spacing w:line="440" w:lineRule="exact"/>
        <w:ind w:left="1619" w:leftChars="771" w:firstLine="1"/>
        <w:rPr>
          <w:rFonts w:hint="default" w:ascii="Times New Roman" w:hAnsi="Times New Roman" w:cs="Times New Roman"/>
          <w:sz w:val="24"/>
          <w:highlight w:val="none"/>
        </w:rPr>
      </w:pPr>
      <w:r>
        <w:rPr>
          <w:rFonts w:hint="default" w:ascii="Times New Roman" w:hAnsi="Times New Roman" w:cs="Times New Roman"/>
          <w:sz w:val="24"/>
          <w:highlight w:val="none"/>
        </w:rPr>
        <w:t>六、项目管理机构</w:t>
      </w:r>
    </w:p>
    <w:p w14:paraId="7CB3D546">
      <w:pPr>
        <w:pageBreakBefore w:val="0"/>
        <w:kinsoku/>
        <w:wordWrap w:val="0"/>
        <w:bidi w:val="0"/>
        <w:spacing w:line="440" w:lineRule="exact"/>
        <w:ind w:left="1619" w:leftChars="771" w:firstLine="1"/>
        <w:rPr>
          <w:rFonts w:hint="default" w:ascii="Times New Roman" w:hAnsi="Times New Roman" w:cs="Times New Roman"/>
          <w:sz w:val="24"/>
          <w:highlight w:val="none"/>
        </w:rPr>
      </w:pPr>
      <w:r>
        <w:rPr>
          <w:rFonts w:hint="default" w:ascii="Times New Roman" w:hAnsi="Times New Roman" w:cs="Times New Roman"/>
          <w:sz w:val="24"/>
          <w:highlight w:val="none"/>
        </w:rPr>
        <w:t>七、拟分包项目情况表</w:t>
      </w:r>
    </w:p>
    <w:p w14:paraId="004775A3">
      <w:pPr>
        <w:pageBreakBefore w:val="0"/>
        <w:kinsoku/>
        <w:wordWrap w:val="0"/>
        <w:bidi w:val="0"/>
        <w:spacing w:line="440" w:lineRule="exact"/>
        <w:ind w:left="1619" w:leftChars="771" w:firstLine="1"/>
        <w:rPr>
          <w:rFonts w:hint="default" w:ascii="Times New Roman" w:hAnsi="Times New Roman" w:cs="Times New Roman"/>
          <w:sz w:val="24"/>
          <w:highlight w:val="none"/>
        </w:rPr>
      </w:pPr>
      <w:r>
        <w:rPr>
          <w:rFonts w:hint="default" w:ascii="Times New Roman" w:hAnsi="Times New Roman" w:cs="Times New Roman"/>
          <w:sz w:val="24"/>
          <w:highlight w:val="none"/>
        </w:rPr>
        <w:t>八、资格审查资料</w:t>
      </w:r>
    </w:p>
    <w:p w14:paraId="579C68EA">
      <w:pPr>
        <w:pageBreakBefore w:val="0"/>
        <w:kinsoku/>
        <w:wordWrap w:val="0"/>
        <w:overflowPunct/>
        <w:bidi w:val="0"/>
        <w:spacing w:line="440" w:lineRule="exact"/>
        <w:ind w:left="1619" w:leftChars="771" w:firstLine="1"/>
        <w:rPr>
          <w:rFonts w:hint="default" w:ascii="Times New Roman" w:hAnsi="Times New Roman" w:cs="Times New Roman"/>
          <w:sz w:val="24"/>
          <w:highlight w:val="none"/>
        </w:rPr>
      </w:pPr>
      <w:r>
        <w:rPr>
          <w:rFonts w:hint="default" w:ascii="Times New Roman" w:hAnsi="Times New Roman" w:cs="Times New Roman"/>
          <w:sz w:val="24"/>
          <w:highlight w:val="none"/>
        </w:rPr>
        <w:t>九、投标人告知承诺函</w:t>
      </w:r>
    </w:p>
    <w:p w14:paraId="222833E8">
      <w:pPr>
        <w:pageBreakBefore w:val="0"/>
        <w:kinsoku/>
        <w:wordWrap w:val="0"/>
        <w:bidi w:val="0"/>
        <w:spacing w:line="440" w:lineRule="exact"/>
        <w:ind w:left="1619" w:leftChars="771" w:firstLine="1"/>
        <w:rPr>
          <w:rFonts w:hint="default" w:ascii="Times New Roman" w:hAnsi="Times New Roman" w:cs="Times New Roman"/>
          <w:sz w:val="24"/>
          <w:highlight w:val="none"/>
        </w:rPr>
      </w:pPr>
      <w:r>
        <w:rPr>
          <w:rFonts w:hint="default" w:ascii="Times New Roman" w:hAnsi="Times New Roman" w:cs="Times New Roman"/>
          <w:sz w:val="24"/>
          <w:highlight w:val="none"/>
          <w:lang w:val="en-US" w:eastAsia="zh-CN"/>
        </w:rPr>
        <w:t>十、</w:t>
      </w:r>
      <w:r>
        <w:rPr>
          <w:rFonts w:hint="default" w:ascii="Times New Roman" w:hAnsi="Times New Roman" w:cs="Times New Roman"/>
          <w:sz w:val="24"/>
          <w:highlight w:val="none"/>
        </w:rPr>
        <w:t>其他资料</w:t>
      </w:r>
    </w:p>
    <w:p w14:paraId="21B99DA5">
      <w:pPr>
        <w:pageBreakBefore w:val="0"/>
        <w:kinsoku/>
        <w:wordWrap w:val="0"/>
        <w:bidi w:val="0"/>
        <w:spacing w:before="360" w:beforeLines="150" w:after="240" w:afterLines="100" w:line="380" w:lineRule="atLeast"/>
        <w:jc w:val="center"/>
        <w:outlineLvl w:val="9"/>
        <w:rPr>
          <w:rFonts w:hint="default" w:ascii="Times New Roman" w:hAnsi="Times New Roman" w:eastAsia="黑体" w:cs="Times New Roman"/>
          <w:sz w:val="20"/>
          <w:szCs w:val="20"/>
          <w:highlight w:val="none"/>
        </w:rPr>
      </w:pPr>
    </w:p>
    <w:p w14:paraId="2B1AE6D4">
      <w:pPr>
        <w:pStyle w:val="2"/>
        <w:pageBreakBefore w:val="0"/>
        <w:kinsoku/>
        <w:wordWrap w:val="0"/>
        <w:bidi w:val="0"/>
        <w:spacing w:before="360" w:beforeLines="150" w:after="240" w:afterLines="100" w:line="380" w:lineRule="atLeast"/>
        <w:jc w:val="center"/>
        <w:rPr>
          <w:rFonts w:hint="default" w:ascii="Times New Roman" w:hAnsi="Times New Roman" w:eastAsia="黑体" w:cs="Times New Roman"/>
          <w:b w:val="0"/>
          <w:sz w:val="30"/>
          <w:szCs w:val="30"/>
          <w:highlight w:val="none"/>
        </w:rPr>
        <w:sectPr>
          <w:footnotePr>
            <w:numFmt w:val="decimalEnclosedCircleChinese"/>
            <w:numRestart w:val="eachPage"/>
          </w:footnotePr>
          <w:pgSz w:w="11907" w:h="16840"/>
          <w:pgMar w:top="1588" w:right="1588" w:bottom="1474" w:left="1644" w:header="851" w:footer="851" w:gutter="0"/>
          <w:pgNumType w:fmt="decimal"/>
          <w:cols w:space="720" w:num="1"/>
          <w:docGrid w:linePitch="312" w:charSpace="0"/>
        </w:sectPr>
      </w:pPr>
      <w:bookmarkStart w:id="1478" w:name="_Toc234833254"/>
    </w:p>
    <w:bookmarkEnd w:id="1478"/>
    <w:p w14:paraId="4164D718">
      <w:pPr>
        <w:pStyle w:val="2"/>
        <w:pageBreakBefore w:val="0"/>
        <w:kinsoku/>
        <w:wordWrap w:val="0"/>
        <w:bidi w:val="0"/>
        <w:spacing w:before="0" w:after="0" w:line="400" w:lineRule="atLeast"/>
        <w:jc w:val="center"/>
        <w:rPr>
          <w:rFonts w:hint="default" w:ascii="Times New Roman" w:hAnsi="Times New Roman" w:eastAsia="黑体" w:cs="Times New Roman"/>
          <w:b w:val="0"/>
          <w:sz w:val="30"/>
          <w:szCs w:val="30"/>
          <w:highlight w:val="none"/>
        </w:rPr>
      </w:pPr>
      <w:bookmarkStart w:id="1479" w:name="_Toc234833255"/>
      <w:bookmarkStart w:id="1480" w:name="_Toc2030"/>
      <w:bookmarkStart w:id="1481" w:name="_Toc21625"/>
      <w:r>
        <w:rPr>
          <w:rFonts w:hint="default" w:ascii="Times New Roman" w:hAnsi="Times New Roman" w:eastAsia="黑体" w:cs="Times New Roman"/>
          <w:b w:val="0"/>
          <w:sz w:val="30"/>
          <w:szCs w:val="30"/>
          <w:highlight w:val="none"/>
        </w:rPr>
        <w:t>一、投标函及投标函附录</w:t>
      </w:r>
      <w:bookmarkEnd w:id="1479"/>
      <w:bookmarkEnd w:id="1480"/>
      <w:bookmarkEnd w:id="1481"/>
    </w:p>
    <w:p w14:paraId="27EC87E2">
      <w:pPr>
        <w:pStyle w:val="2"/>
        <w:pageBreakBefore w:val="0"/>
        <w:kinsoku/>
        <w:wordWrap w:val="0"/>
        <w:bidi w:val="0"/>
        <w:spacing w:before="360" w:beforeLines="150" w:after="240" w:afterLines="100" w:line="360" w:lineRule="atLeast"/>
        <w:jc w:val="center"/>
        <w:rPr>
          <w:rFonts w:hint="default" w:ascii="Times New Roman" w:hAnsi="Times New Roman" w:eastAsia="黑体" w:cs="Times New Roman"/>
          <w:b w:val="0"/>
          <w:sz w:val="28"/>
          <w:szCs w:val="28"/>
          <w:highlight w:val="none"/>
        </w:rPr>
      </w:pPr>
      <w:bookmarkStart w:id="1482" w:name="_Toc5104"/>
      <w:bookmarkStart w:id="1483" w:name="_Toc585"/>
      <w:bookmarkStart w:id="1484" w:name="_Toc234833256"/>
      <w:r>
        <w:rPr>
          <w:rFonts w:hint="default" w:ascii="Times New Roman" w:hAnsi="Times New Roman" w:eastAsia="黑体" w:cs="Times New Roman"/>
          <w:b w:val="0"/>
          <w:sz w:val="28"/>
          <w:szCs w:val="28"/>
          <w:highlight w:val="none"/>
        </w:rPr>
        <w:t>（一） 投 标 函</w:t>
      </w:r>
      <w:bookmarkEnd w:id="1482"/>
      <w:bookmarkEnd w:id="1483"/>
      <w:bookmarkEnd w:id="1484"/>
    </w:p>
    <w:p w14:paraId="4737E834">
      <w:pPr>
        <w:pageBreakBefore w:val="0"/>
        <w:kinsoku/>
        <w:wordWrap w:val="0"/>
        <w:bidi w:val="0"/>
        <w:spacing w:before="240" w:beforeLines="100" w:after="120" w:afterLines="50" w:line="36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（招标人名称）：</w:t>
      </w:r>
    </w:p>
    <w:p w14:paraId="2FF3F599">
      <w:pPr>
        <w:pageBreakBefore w:val="0"/>
        <w:kinsoku/>
        <w:wordWrap w:val="0"/>
        <w:bidi w:val="0"/>
        <w:spacing w:line="36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1．我方已仔细研究</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（项目名称）</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u w:val="none"/>
        </w:rPr>
        <w:t>（标段名称）</w:t>
      </w:r>
      <w:r>
        <w:rPr>
          <w:rFonts w:hint="default" w:ascii="Times New Roman" w:hAnsi="Times New Roman" w:cs="Times New Roman"/>
          <w:sz w:val="24"/>
          <w:highlight w:val="none"/>
        </w:rPr>
        <w:t>施工招标文件的全部内容（含补遗书第___号至第___号），在考察工程现场后，愿意以第二个信封（报价文件）中的投标总报价（或根据招标文件规定修正核实后确定的另一金额），按合同约定实施和完成承包工程，修补工程中的任何缺陷。</w:t>
      </w:r>
    </w:p>
    <w:p w14:paraId="4C2EC180">
      <w:pPr>
        <w:pageBreakBefore w:val="0"/>
        <w:kinsoku/>
        <w:wordWrap w:val="0"/>
        <w:bidi w:val="0"/>
        <w:spacing w:line="36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2．我方承诺在招标文件规定的投标有效期内不撤销投标文件。</w:t>
      </w:r>
    </w:p>
    <w:p w14:paraId="38A84EF8">
      <w:pPr>
        <w:pageBreakBefore w:val="0"/>
        <w:kinsoku/>
        <w:wordWrap w:val="0"/>
        <w:bidi w:val="0"/>
        <w:spacing w:line="36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3．工程质量：</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，安全目标：</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，工期：</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日历天。</w:t>
      </w:r>
    </w:p>
    <w:p w14:paraId="4354477A">
      <w:pPr>
        <w:pageBreakBefore w:val="0"/>
        <w:kinsoku/>
        <w:wordWrap w:val="0"/>
        <w:bidi w:val="0"/>
        <w:spacing w:line="36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4．如我方中标，我方承诺：</w:t>
      </w:r>
    </w:p>
    <w:p w14:paraId="50A3B3C4">
      <w:pPr>
        <w:pageBreakBefore w:val="0"/>
        <w:kinsoku/>
        <w:wordWrap w:val="0"/>
        <w:bidi w:val="0"/>
        <w:spacing w:line="36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（1）在收到中标通知书后，在中标通知书规定的期限内与你方签订合同；</w:t>
      </w:r>
    </w:p>
    <w:p w14:paraId="50373379">
      <w:pPr>
        <w:pageBreakBefore w:val="0"/>
        <w:kinsoku/>
        <w:wordWrap w:val="0"/>
        <w:bidi w:val="0"/>
        <w:spacing w:line="36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（2）在签订合同时不向你方提出附加条件；</w:t>
      </w:r>
    </w:p>
    <w:p w14:paraId="4AD0F7F1">
      <w:pPr>
        <w:pageBreakBefore w:val="0"/>
        <w:kinsoku/>
        <w:wordWrap w:val="0"/>
        <w:bidi w:val="0"/>
        <w:spacing w:line="36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（3）按照招标文件要求提交履约保证金；</w:t>
      </w:r>
      <w:bookmarkStart w:id="1485" w:name="_Toc352691658"/>
      <w:bookmarkStart w:id="1486" w:name="_Toc1187"/>
      <w:bookmarkStart w:id="1487" w:name="_Toc369531694"/>
    </w:p>
    <w:p w14:paraId="2B473565">
      <w:pPr>
        <w:pageBreakBefore w:val="0"/>
        <w:kinsoku/>
        <w:wordWrap w:val="0"/>
        <w:bidi w:val="0"/>
        <w:spacing w:line="36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（4）在合</w:t>
      </w:r>
      <w:bookmarkEnd w:id="1485"/>
      <w:bookmarkEnd w:id="1486"/>
      <w:bookmarkEnd w:id="1487"/>
      <w:r>
        <w:rPr>
          <w:rFonts w:hint="default" w:ascii="Times New Roman" w:hAnsi="Times New Roman" w:cs="Times New Roman"/>
          <w:sz w:val="24"/>
          <w:highlight w:val="none"/>
        </w:rPr>
        <w:t>同约定的期限内完成合同规定的全部义务；</w:t>
      </w:r>
    </w:p>
    <w:p w14:paraId="75096819">
      <w:pPr>
        <w:pageBreakBefore w:val="0"/>
        <w:kinsoku/>
        <w:wordWrap w:val="0"/>
        <w:bidi w:val="0"/>
        <w:spacing w:line="360" w:lineRule="atLeast"/>
        <w:ind w:firstLine="480" w:firstLineChars="200"/>
        <w:rPr>
          <w:rFonts w:hint="default" w:ascii="Times New Roman" w:hAnsi="Times New Roman" w:cs="Times New Roman"/>
          <w:sz w:val="24"/>
          <w:highlight w:val="none"/>
          <w:vertAlign w:val="superscript"/>
        </w:rPr>
      </w:pPr>
      <w:r>
        <w:rPr>
          <w:rFonts w:hint="default" w:ascii="Times New Roman" w:hAnsi="Times New Roman" w:cs="Times New Roman"/>
          <w:sz w:val="24"/>
          <w:highlight w:val="none"/>
        </w:rPr>
        <w:t>（5）在你方和我方进行合同谈判之前，我方将按照合同附件提出的最低要求填报派驻本标段的其他管理和技术人员及主要机械设备和试验检测设备，经你方审批后作为派驻本标段的项目管理机构主要人员和主要设备且不进行更换。如我方拟派驻的人员和设备不满足合同附件要求，你方有权取消我方中标资格。</w:t>
      </w:r>
      <w:r>
        <w:rPr>
          <w:rFonts w:hint="default" w:ascii="Times New Roman" w:hAnsi="Times New Roman" w:cs="Times New Roman"/>
          <w:sz w:val="24"/>
          <w:highlight w:val="none"/>
          <w:vertAlign w:val="superscript"/>
        </w:rPr>
        <w:footnoteReference w:id="34"/>
      </w:r>
    </w:p>
    <w:p w14:paraId="058F9C4F">
      <w:pPr>
        <w:pageBreakBefore w:val="0"/>
        <w:kinsoku/>
        <w:wordWrap w:val="0"/>
        <w:bidi w:val="0"/>
        <w:spacing w:line="36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5．我方在此声明，所递交的投标文件及有关资料内容完整、真实和准确，且不存在招标文件第二章</w:t>
      </w:r>
      <w:r>
        <w:rPr>
          <w:rFonts w:hint="eastAsia" w:ascii="宋体" w:hAnsi="宋体" w:eastAsia="宋体" w:cs="宋体"/>
          <w:sz w:val="24"/>
          <w:highlight w:val="none"/>
        </w:rPr>
        <w:t>“</w:t>
      </w:r>
      <w:r>
        <w:rPr>
          <w:rFonts w:hint="default" w:ascii="Times New Roman" w:hAnsi="Times New Roman" w:cs="Times New Roman"/>
          <w:sz w:val="24"/>
          <w:highlight w:val="none"/>
        </w:rPr>
        <w:t>投标人须知</w:t>
      </w:r>
      <w:r>
        <w:rPr>
          <w:rFonts w:hint="eastAsia" w:ascii="宋体" w:hAnsi="宋体" w:eastAsia="宋体" w:cs="宋体"/>
          <w:sz w:val="24"/>
          <w:highlight w:val="none"/>
        </w:rPr>
        <w:t>”</w:t>
      </w:r>
      <w:r>
        <w:rPr>
          <w:rFonts w:hint="default" w:ascii="Times New Roman" w:hAnsi="Times New Roman" w:cs="Times New Roman"/>
          <w:sz w:val="24"/>
          <w:highlight w:val="none"/>
        </w:rPr>
        <w:t>第1.4.3项和第1.4.4项规定的任何一种情形。</w:t>
      </w:r>
    </w:p>
    <w:p w14:paraId="32293806">
      <w:pPr>
        <w:pageBreakBefore w:val="0"/>
        <w:kinsoku/>
        <w:wordWrap w:val="0"/>
        <w:bidi w:val="0"/>
        <w:spacing w:line="36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6．在合同协议书正式签署生效之前，本投标函连同你方的中标通知书将构成我们双方之间共同遵守的文件，对双方具有约束力。</w:t>
      </w:r>
    </w:p>
    <w:p w14:paraId="75CEB707">
      <w:pPr>
        <w:pageBreakBefore w:val="0"/>
        <w:kinsoku/>
        <w:wordWrap w:val="0"/>
        <w:bidi w:val="0"/>
        <w:spacing w:line="36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7．</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（其他补充说明）。</w:t>
      </w:r>
    </w:p>
    <w:p w14:paraId="775B9FAE">
      <w:pPr>
        <w:pageBreakBefore w:val="0"/>
        <w:kinsoku/>
        <w:wordWrap w:val="0"/>
        <w:bidi w:val="0"/>
        <w:spacing w:line="360" w:lineRule="atLeast"/>
        <w:ind w:firstLine="480" w:firstLineChars="200"/>
        <w:rPr>
          <w:rFonts w:hint="default" w:ascii="Times New Roman" w:hAnsi="Times New Roman" w:cs="Times New Roman"/>
          <w:sz w:val="24"/>
          <w:highlight w:val="none"/>
        </w:rPr>
      </w:pPr>
    </w:p>
    <w:p w14:paraId="763E48D6">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投 标 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（盖单位</w:t>
      </w:r>
      <w:r>
        <w:rPr>
          <w:rFonts w:hint="default" w:ascii="Times New Roman" w:hAnsi="Times New Roman" w:cs="Times New Roman"/>
          <w:sz w:val="24"/>
          <w:highlight w:val="none"/>
          <w:lang w:val="en-US" w:eastAsia="zh-CN"/>
        </w:rPr>
        <w:t>电子印</w:t>
      </w:r>
      <w:r>
        <w:rPr>
          <w:rFonts w:hint="default" w:ascii="Times New Roman" w:hAnsi="Times New Roman" w:cs="Times New Roman"/>
          <w:sz w:val="24"/>
          <w:highlight w:val="none"/>
        </w:rPr>
        <w:t>章）</w:t>
      </w:r>
    </w:p>
    <w:p w14:paraId="193B3770">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法定代表人或其委托代理人：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（个人电子签名章或个人电子印章）</w:t>
      </w:r>
    </w:p>
    <w:p w14:paraId="40D34C71">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地    址：</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 </w:t>
      </w:r>
    </w:p>
    <w:p w14:paraId="1CBBF818">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网    址：</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u w:val="single"/>
          <w:lang w:val="en-US" w:eastAsia="zh-CN"/>
        </w:rPr>
        <w:t xml:space="preserve">  </w:t>
      </w:r>
      <w:r>
        <w:rPr>
          <w:rFonts w:hint="default" w:ascii="Times New Roman" w:hAnsi="Times New Roman" w:cs="Times New Roman"/>
          <w:sz w:val="24"/>
          <w:highlight w:val="none"/>
          <w:u w:val="single"/>
        </w:rPr>
        <w:t xml:space="preserve">   </w:t>
      </w:r>
    </w:p>
    <w:p w14:paraId="76940F2C">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电    话：</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u w:val="single"/>
          <w:lang w:val="en-US" w:eastAsia="zh-CN"/>
        </w:rPr>
        <w:t xml:space="preserve">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 </w:t>
      </w:r>
    </w:p>
    <w:p w14:paraId="7F5F4518">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传    真：</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 </w:t>
      </w:r>
    </w:p>
    <w:p w14:paraId="0B88BABD">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邮政编码：</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u w:val="single"/>
          <w:lang w:val="en-US" w:eastAsia="zh-CN"/>
        </w:rPr>
        <w:t xml:space="preserve">          </w:t>
      </w:r>
      <w:r>
        <w:rPr>
          <w:rFonts w:hint="default" w:ascii="Times New Roman" w:hAnsi="Times New Roman" w:cs="Times New Roman"/>
          <w:sz w:val="24"/>
          <w:highlight w:val="none"/>
          <w:u w:val="single"/>
        </w:rPr>
        <w:t xml:space="preserve">   </w:t>
      </w:r>
    </w:p>
    <w:p w14:paraId="68F7D068">
      <w:pPr>
        <w:pageBreakBefore w:val="0"/>
        <w:kinsoku/>
        <w:wordWrap w:val="0"/>
        <w:overflowPunct/>
        <w:bidi w:val="0"/>
        <w:spacing w:line="400" w:lineRule="atLeast"/>
        <w:ind w:firstLine="4740" w:firstLineChars="1975"/>
        <w:rPr>
          <w:rFonts w:hint="default" w:ascii="Times New Roman" w:hAnsi="Times New Roman" w:cs="Times New Roman"/>
          <w:sz w:val="24"/>
          <w:highlight w:val="none"/>
        </w:rPr>
      </w:pP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月</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日</w:t>
      </w:r>
    </w:p>
    <w:p w14:paraId="7E306611">
      <w:pPr>
        <w:pStyle w:val="2"/>
        <w:pageBreakBefore w:val="0"/>
        <w:kinsoku/>
        <w:wordWrap w:val="0"/>
        <w:bidi w:val="0"/>
        <w:spacing w:before="360" w:beforeLines="150" w:after="240" w:afterLines="100" w:line="380" w:lineRule="atLeast"/>
        <w:jc w:val="center"/>
        <w:rPr>
          <w:rFonts w:hint="default" w:ascii="Times New Roman" w:hAnsi="Times New Roman" w:eastAsia="黑体" w:cs="Times New Roman"/>
          <w:b w:val="0"/>
          <w:sz w:val="30"/>
          <w:szCs w:val="30"/>
          <w:highlight w:val="none"/>
        </w:rPr>
      </w:pPr>
      <w:r>
        <w:rPr>
          <w:rFonts w:hint="default" w:ascii="Times New Roman" w:hAnsi="Times New Roman" w:eastAsia="黑体" w:cs="Times New Roman"/>
          <w:sz w:val="23"/>
          <w:szCs w:val="23"/>
          <w:highlight w:val="none"/>
        </w:rPr>
        <w:br w:type="page"/>
      </w:r>
      <w:bookmarkStart w:id="1488" w:name="_Toc28391"/>
      <w:bookmarkStart w:id="1489" w:name="_Toc27486"/>
      <w:bookmarkStart w:id="1490" w:name="_Toc234833257"/>
      <w:r>
        <w:rPr>
          <w:rFonts w:hint="default" w:ascii="Times New Roman" w:hAnsi="Times New Roman" w:eastAsia="黑体" w:cs="Times New Roman"/>
          <w:b w:val="0"/>
          <w:sz w:val="30"/>
          <w:szCs w:val="30"/>
          <w:highlight w:val="none"/>
        </w:rPr>
        <w:t>（二）投标函附录</w:t>
      </w:r>
      <w:bookmarkEnd w:id="1488"/>
      <w:bookmarkEnd w:id="1489"/>
      <w:bookmarkEnd w:id="1490"/>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2"/>
        <w:gridCol w:w="2710"/>
        <w:gridCol w:w="1185"/>
        <w:gridCol w:w="3613"/>
        <w:gridCol w:w="749"/>
      </w:tblGrid>
      <w:tr w14:paraId="3242D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noWrap w:val="0"/>
            <w:vAlign w:val="center"/>
          </w:tcPr>
          <w:p w14:paraId="14094437">
            <w:pPr>
              <w:pageBreakBefore w:val="0"/>
              <w:kinsoku/>
              <w:wordWrap w:val="0"/>
              <w:bidi w:val="0"/>
              <w:spacing w:line="400" w:lineRule="atLeast"/>
              <w:ind w:left="-105" w:leftChars="-50" w:right="-105" w:rightChars="-50"/>
              <w:jc w:val="center"/>
              <w:rPr>
                <w:rFonts w:hint="default" w:ascii="Times New Roman" w:hAnsi="Times New Roman" w:cs="Times New Roman"/>
                <w:b/>
                <w:szCs w:val="21"/>
                <w:highlight w:val="none"/>
              </w:rPr>
            </w:pPr>
            <w:r>
              <w:rPr>
                <w:rFonts w:hint="default" w:ascii="Times New Roman" w:hAnsi="Times New Roman" w:cs="Times New Roman"/>
                <w:b/>
                <w:szCs w:val="21"/>
                <w:highlight w:val="none"/>
              </w:rPr>
              <w:t>序号</w:t>
            </w:r>
          </w:p>
        </w:tc>
        <w:tc>
          <w:tcPr>
            <w:tcW w:w="2710" w:type="dxa"/>
            <w:noWrap w:val="0"/>
            <w:vAlign w:val="center"/>
          </w:tcPr>
          <w:p w14:paraId="2C2B43D5">
            <w:pPr>
              <w:pageBreakBefore w:val="0"/>
              <w:kinsoku/>
              <w:wordWrap w:val="0"/>
              <w:bidi w:val="0"/>
              <w:spacing w:line="400" w:lineRule="atLeast"/>
              <w:ind w:left="-105" w:leftChars="-50" w:right="-105" w:rightChars="-50"/>
              <w:jc w:val="center"/>
              <w:rPr>
                <w:rFonts w:hint="default" w:ascii="Times New Roman" w:hAnsi="Times New Roman" w:cs="Times New Roman"/>
                <w:b/>
                <w:szCs w:val="21"/>
                <w:highlight w:val="none"/>
              </w:rPr>
            </w:pPr>
            <w:r>
              <w:rPr>
                <w:rFonts w:hint="default" w:ascii="Times New Roman" w:hAnsi="Times New Roman" w:cs="Times New Roman"/>
                <w:b/>
                <w:szCs w:val="21"/>
                <w:highlight w:val="none"/>
              </w:rPr>
              <w:t>条款名称</w:t>
            </w:r>
          </w:p>
        </w:tc>
        <w:tc>
          <w:tcPr>
            <w:tcW w:w="1185" w:type="dxa"/>
            <w:noWrap w:val="0"/>
            <w:vAlign w:val="center"/>
          </w:tcPr>
          <w:p w14:paraId="44FF85CC">
            <w:pPr>
              <w:pageBreakBefore w:val="0"/>
              <w:kinsoku/>
              <w:wordWrap w:val="0"/>
              <w:bidi w:val="0"/>
              <w:spacing w:line="400" w:lineRule="atLeast"/>
              <w:ind w:left="-105" w:leftChars="-50" w:right="-105" w:rightChars="-50"/>
              <w:jc w:val="center"/>
              <w:rPr>
                <w:rFonts w:hint="default" w:ascii="Times New Roman" w:hAnsi="Times New Roman" w:cs="Times New Roman"/>
                <w:b/>
                <w:szCs w:val="21"/>
                <w:highlight w:val="none"/>
              </w:rPr>
            </w:pPr>
            <w:r>
              <w:rPr>
                <w:rFonts w:hint="default" w:ascii="Times New Roman" w:hAnsi="Times New Roman" w:cs="Times New Roman"/>
                <w:b/>
                <w:szCs w:val="21"/>
                <w:highlight w:val="none"/>
              </w:rPr>
              <w:t>合同条目号</w:t>
            </w:r>
          </w:p>
        </w:tc>
        <w:tc>
          <w:tcPr>
            <w:tcW w:w="3613" w:type="dxa"/>
            <w:noWrap w:val="0"/>
            <w:vAlign w:val="center"/>
          </w:tcPr>
          <w:p w14:paraId="4F458F8C">
            <w:pPr>
              <w:pageBreakBefore w:val="0"/>
              <w:kinsoku/>
              <w:wordWrap w:val="0"/>
              <w:bidi w:val="0"/>
              <w:spacing w:line="400" w:lineRule="atLeast"/>
              <w:ind w:left="-105" w:leftChars="-50" w:right="-105" w:rightChars="-50"/>
              <w:jc w:val="center"/>
              <w:rPr>
                <w:rFonts w:hint="default" w:ascii="Times New Roman" w:hAnsi="Times New Roman" w:cs="Times New Roman"/>
                <w:b/>
                <w:szCs w:val="21"/>
                <w:highlight w:val="none"/>
              </w:rPr>
            </w:pPr>
            <w:r>
              <w:rPr>
                <w:rFonts w:hint="default" w:ascii="Times New Roman" w:hAnsi="Times New Roman" w:cs="Times New Roman"/>
                <w:b/>
                <w:szCs w:val="21"/>
                <w:highlight w:val="none"/>
              </w:rPr>
              <w:t>约定内容</w:t>
            </w:r>
          </w:p>
        </w:tc>
        <w:tc>
          <w:tcPr>
            <w:tcW w:w="749" w:type="dxa"/>
            <w:noWrap w:val="0"/>
            <w:vAlign w:val="center"/>
          </w:tcPr>
          <w:p w14:paraId="2F3827DE">
            <w:pPr>
              <w:pageBreakBefore w:val="0"/>
              <w:kinsoku/>
              <w:wordWrap w:val="0"/>
              <w:bidi w:val="0"/>
              <w:spacing w:line="400" w:lineRule="atLeast"/>
              <w:ind w:left="-105" w:leftChars="-50" w:right="-105" w:rightChars="-50"/>
              <w:jc w:val="center"/>
              <w:rPr>
                <w:rFonts w:hint="default" w:ascii="Times New Roman" w:hAnsi="Times New Roman" w:cs="Times New Roman"/>
                <w:b/>
                <w:szCs w:val="21"/>
                <w:highlight w:val="none"/>
              </w:rPr>
            </w:pPr>
            <w:r>
              <w:rPr>
                <w:rFonts w:hint="default" w:ascii="Times New Roman" w:hAnsi="Times New Roman" w:cs="Times New Roman"/>
                <w:b/>
                <w:szCs w:val="21"/>
                <w:highlight w:val="none"/>
              </w:rPr>
              <w:t>备注</w:t>
            </w:r>
          </w:p>
        </w:tc>
      </w:tr>
      <w:tr w14:paraId="019DD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noWrap w:val="0"/>
            <w:vAlign w:val="center"/>
          </w:tcPr>
          <w:p w14:paraId="4AB908D4">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1</w:t>
            </w:r>
          </w:p>
        </w:tc>
        <w:tc>
          <w:tcPr>
            <w:tcW w:w="2710" w:type="dxa"/>
            <w:noWrap w:val="0"/>
            <w:vAlign w:val="center"/>
          </w:tcPr>
          <w:p w14:paraId="3B816D52">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缺陷责任期</w:t>
            </w:r>
          </w:p>
        </w:tc>
        <w:tc>
          <w:tcPr>
            <w:tcW w:w="1185" w:type="dxa"/>
            <w:noWrap w:val="0"/>
            <w:vAlign w:val="center"/>
          </w:tcPr>
          <w:p w14:paraId="63798BB4">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1.1.4.5</w:t>
            </w:r>
          </w:p>
        </w:tc>
        <w:tc>
          <w:tcPr>
            <w:tcW w:w="3613" w:type="dxa"/>
            <w:noWrap w:val="0"/>
            <w:vAlign w:val="center"/>
          </w:tcPr>
          <w:p w14:paraId="21977AC0">
            <w:pPr>
              <w:pageBreakBefore w:val="0"/>
              <w:kinsoku/>
              <w:wordWrap w:val="0"/>
              <w:bidi w:val="0"/>
              <w:spacing w:line="400" w:lineRule="atLeast"/>
              <w:rPr>
                <w:rFonts w:hint="default" w:ascii="Times New Roman" w:hAnsi="Times New Roman" w:cs="Times New Roman"/>
                <w:szCs w:val="21"/>
                <w:highlight w:val="none"/>
              </w:rPr>
            </w:pPr>
            <w:r>
              <w:rPr>
                <w:rFonts w:hint="default" w:ascii="Times New Roman" w:hAnsi="Times New Roman" w:cs="Times New Roman"/>
                <w:szCs w:val="21"/>
                <w:highlight w:val="none"/>
              </w:rPr>
              <w:t>自实际交工日期起计算</w:t>
            </w: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年</w:t>
            </w:r>
          </w:p>
        </w:tc>
        <w:tc>
          <w:tcPr>
            <w:tcW w:w="749" w:type="dxa"/>
            <w:noWrap w:val="0"/>
            <w:vAlign w:val="center"/>
          </w:tcPr>
          <w:p w14:paraId="4CC8790C">
            <w:pPr>
              <w:pageBreakBefore w:val="0"/>
              <w:kinsoku/>
              <w:wordWrap w:val="0"/>
              <w:bidi w:val="0"/>
              <w:spacing w:line="400" w:lineRule="atLeast"/>
              <w:jc w:val="center"/>
              <w:rPr>
                <w:rFonts w:hint="default" w:ascii="Times New Roman" w:hAnsi="Times New Roman" w:cs="Times New Roman"/>
                <w:szCs w:val="21"/>
                <w:highlight w:val="none"/>
              </w:rPr>
            </w:pPr>
          </w:p>
        </w:tc>
      </w:tr>
      <w:tr w14:paraId="49DC0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noWrap w:val="0"/>
            <w:vAlign w:val="center"/>
          </w:tcPr>
          <w:p w14:paraId="04BEAA3D">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2</w:t>
            </w:r>
          </w:p>
        </w:tc>
        <w:tc>
          <w:tcPr>
            <w:tcW w:w="2710" w:type="dxa"/>
            <w:noWrap w:val="0"/>
            <w:vAlign w:val="center"/>
          </w:tcPr>
          <w:p w14:paraId="3BF2EB0A">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逾期交工违约金</w:t>
            </w:r>
          </w:p>
        </w:tc>
        <w:tc>
          <w:tcPr>
            <w:tcW w:w="1185" w:type="dxa"/>
            <w:noWrap w:val="0"/>
            <w:vAlign w:val="center"/>
          </w:tcPr>
          <w:p w14:paraId="408DD3A3">
            <w:pPr>
              <w:pageBreakBefore w:val="0"/>
              <w:kinsoku/>
              <w:wordWrap w:val="0"/>
              <w:bidi w:val="0"/>
              <w:snapToGrid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11.5（3）</w:t>
            </w:r>
          </w:p>
        </w:tc>
        <w:tc>
          <w:tcPr>
            <w:tcW w:w="3613" w:type="dxa"/>
            <w:noWrap w:val="0"/>
            <w:vAlign w:val="center"/>
          </w:tcPr>
          <w:p w14:paraId="4EEB6E21">
            <w:pPr>
              <w:pageBreakBefore w:val="0"/>
              <w:kinsoku/>
              <w:wordWrap w:val="0"/>
              <w:bidi w:val="0"/>
              <w:snapToGrid w:val="0"/>
              <w:spacing w:line="400" w:lineRule="atLeast"/>
              <w:rPr>
                <w:rFonts w:hint="default" w:ascii="Times New Roman" w:hAnsi="Times New Roman" w:cs="Times New Roman"/>
                <w:szCs w:val="21"/>
                <w:highlight w:val="none"/>
              </w:rPr>
            </w:pP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元/天</w:t>
            </w:r>
          </w:p>
        </w:tc>
        <w:tc>
          <w:tcPr>
            <w:tcW w:w="749" w:type="dxa"/>
            <w:noWrap w:val="0"/>
            <w:vAlign w:val="center"/>
          </w:tcPr>
          <w:p w14:paraId="0B48AF1D">
            <w:pPr>
              <w:pageBreakBefore w:val="0"/>
              <w:kinsoku/>
              <w:wordWrap w:val="0"/>
              <w:bidi w:val="0"/>
              <w:spacing w:line="400" w:lineRule="atLeast"/>
              <w:jc w:val="center"/>
              <w:rPr>
                <w:rFonts w:hint="default" w:ascii="Times New Roman" w:hAnsi="Times New Roman" w:cs="Times New Roman"/>
                <w:szCs w:val="21"/>
                <w:highlight w:val="none"/>
              </w:rPr>
            </w:pPr>
          </w:p>
        </w:tc>
      </w:tr>
      <w:tr w14:paraId="6DEF2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noWrap w:val="0"/>
            <w:vAlign w:val="center"/>
          </w:tcPr>
          <w:p w14:paraId="16FBAB3C">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3</w:t>
            </w:r>
          </w:p>
        </w:tc>
        <w:tc>
          <w:tcPr>
            <w:tcW w:w="2710" w:type="dxa"/>
            <w:noWrap w:val="0"/>
            <w:vAlign w:val="center"/>
          </w:tcPr>
          <w:p w14:paraId="47B974FB">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逾期交工违约金限额</w:t>
            </w:r>
          </w:p>
        </w:tc>
        <w:tc>
          <w:tcPr>
            <w:tcW w:w="1185" w:type="dxa"/>
            <w:noWrap w:val="0"/>
            <w:vAlign w:val="center"/>
          </w:tcPr>
          <w:p w14:paraId="6C1175EA">
            <w:pPr>
              <w:pageBreakBefore w:val="0"/>
              <w:kinsoku/>
              <w:wordWrap w:val="0"/>
              <w:bidi w:val="0"/>
              <w:snapToGrid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11.5（3）</w:t>
            </w:r>
          </w:p>
        </w:tc>
        <w:tc>
          <w:tcPr>
            <w:tcW w:w="3613" w:type="dxa"/>
            <w:noWrap w:val="0"/>
            <w:vAlign w:val="center"/>
          </w:tcPr>
          <w:p w14:paraId="67DD46AB">
            <w:pPr>
              <w:pageBreakBefore w:val="0"/>
              <w:kinsoku/>
              <w:wordWrap w:val="0"/>
              <w:bidi w:val="0"/>
              <w:snapToGrid w:val="0"/>
              <w:spacing w:line="400" w:lineRule="atLeast"/>
              <w:rPr>
                <w:rFonts w:hint="default" w:ascii="Times New Roman" w:hAnsi="Times New Roman" w:cs="Times New Roman"/>
                <w:szCs w:val="21"/>
                <w:highlight w:val="none"/>
              </w:rPr>
            </w:pP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%签约合同价</w:t>
            </w:r>
          </w:p>
        </w:tc>
        <w:tc>
          <w:tcPr>
            <w:tcW w:w="749" w:type="dxa"/>
            <w:noWrap w:val="0"/>
            <w:vAlign w:val="center"/>
          </w:tcPr>
          <w:p w14:paraId="6C4DEB2B">
            <w:pPr>
              <w:pageBreakBefore w:val="0"/>
              <w:kinsoku/>
              <w:wordWrap w:val="0"/>
              <w:bidi w:val="0"/>
              <w:spacing w:line="400" w:lineRule="atLeast"/>
              <w:jc w:val="center"/>
              <w:rPr>
                <w:rFonts w:hint="default" w:ascii="Times New Roman" w:hAnsi="Times New Roman" w:cs="Times New Roman"/>
                <w:szCs w:val="21"/>
                <w:highlight w:val="none"/>
              </w:rPr>
            </w:pPr>
          </w:p>
        </w:tc>
      </w:tr>
      <w:tr w14:paraId="78A0D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noWrap w:val="0"/>
            <w:vAlign w:val="center"/>
          </w:tcPr>
          <w:p w14:paraId="05754E24">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4</w:t>
            </w:r>
          </w:p>
        </w:tc>
        <w:tc>
          <w:tcPr>
            <w:tcW w:w="2710" w:type="dxa"/>
            <w:noWrap w:val="0"/>
            <w:vAlign w:val="center"/>
          </w:tcPr>
          <w:p w14:paraId="3BF7E0E0">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 xml:space="preserve">提前交工的奖金 </w:t>
            </w:r>
          </w:p>
        </w:tc>
        <w:tc>
          <w:tcPr>
            <w:tcW w:w="1185" w:type="dxa"/>
            <w:noWrap w:val="0"/>
            <w:vAlign w:val="center"/>
          </w:tcPr>
          <w:p w14:paraId="129F651F">
            <w:pPr>
              <w:pageBreakBefore w:val="0"/>
              <w:kinsoku/>
              <w:wordWrap w:val="0"/>
              <w:bidi w:val="0"/>
              <w:snapToGrid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11.6</w:t>
            </w:r>
          </w:p>
        </w:tc>
        <w:tc>
          <w:tcPr>
            <w:tcW w:w="3613" w:type="dxa"/>
            <w:noWrap w:val="0"/>
            <w:vAlign w:val="center"/>
          </w:tcPr>
          <w:p w14:paraId="15E0C493">
            <w:pPr>
              <w:pageBreakBefore w:val="0"/>
              <w:kinsoku/>
              <w:wordWrap w:val="0"/>
              <w:bidi w:val="0"/>
              <w:snapToGrid w:val="0"/>
              <w:spacing w:line="400" w:lineRule="atLeast"/>
              <w:rPr>
                <w:rFonts w:hint="default" w:ascii="Times New Roman" w:hAnsi="Times New Roman" w:cs="Times New Roman"/>
                <w:szCs w:val="21"/>
                <w:highlight w:val="none"/>
              </w:rPr>
            </w:pP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元/天</w:t>
            </w:r>
          </w:p>
        </w:tc>
        <w:tc>
          <w:tcPr>
            <w:tcW w:w="749" w:type="dxa"/>
            <w:noWrap w:val="0"/>
            <w:vAlign w:val="center"/>
          </w:tcPr>
          <w:p w14:paraId="4792A063">
            <w:pPr>
              <w:pageBreakBefore w:val="0"/>
              <w:kinsoku/>
              <w:wordWrap w:val="0"/>
              <w:bidi w:val="0"/>
              <w:spacing w:line="400" w:lineRule="atLeast"/>
              <w:jc w:val="center"/>
              <w:rPr>
                <w:rFonts w:hint="default" w:ascii="Times New Roman" w:hAnsi="Times New Roman" w:cs="Times New Roman"/>
                <w:szCs w:val="21"/>
                <w:highlight w:val="none"/>
              </w:rPr>
            </w:pPr>
          </w:p>
        </w:tc>
      </w:tr>
      <w:tr w14:paraId="1122D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noWrap w:val="0"/>
            <w:vAlign w:val="center"/>
          </w:tcPr>
          <w:p w14:paraId="5B5D35DF">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5</w:t>
            </w:r>
          </w:p>
        </w:tc>
        <w:tc>
          <w:tcPr>
            <w:tcW w:w="2710" w:type="dxa"/>
            <w:noWrap w:val="0"/>
            <w:vAlign w:val="center"/>
          </w:tcPr>
          <w:p w14:paraId="4AB47819">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提前交工的奖金限额</w:t>
            </w:r>
          </w:p>
        </w:tc>
        <w:tc>
          <w:tcPr>
            <w:tcW w:w="1185" w:type="dxa"/>
            <w:noWrap w:val="0"/>
            <w:vAlign w:val="center"/>
          </w:tcPr>
          <w:p w14:paraId="6E2E1B31">
            <w:pPr>
              <w:pageBreakBefore w:val="0"/>
              <w:kinsoku/>
              <w:wordWrap w:val="0"/>
              <w:bidi w:val="0"/>
              <w:snapToGrid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11.6</w:t>
            </w:r>
          </w:p>
        </w:tc>
        <w:tc>
          <w:tcPr>
            <w:tcW w:w="3613" w:type="dxa"/>
            <w:noWrap w:val="0"/>
            <w:vAlign w:val="center"/>
          </w:tcPr>
          <w:p w14:paraId="3E27310E">
            <w:pPr>
              <w:pageBreakBefore w:val="0"/>
              <w:kinsoku/>
              <w:wordWrap w:val="0"/>
              <w:bidi w:val="0"/>
              <w:snapToGrid w:val="0"/>
              <w:spacing w:line="400" w:lineRule="atLeast"/>
              <w:rPr>
                <w:rFonts w:hint="default" w:ascii="Times New Roman" w:hAnsi="Times New Roman" w:cs="Times New Roman"/>
                <w:szCs w:val="21"/>
                <w:highlight w:val="none"/>
              </w:rPr>
            </w:pP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%签约合同价</w:t>
            </w:r>
          </w:p>
        </w:tc>
        <w:tc>
          <w:tcPr>
            <w:tcW w:w="749" w:type="dxa"/>
            <w:noWrap w:val="0"/>
            <w:vAlign w:val="center"/>
          </w:tcPr>
          <w:p w14:paraId="484A5978">
            <w:pPr>
              <w:pageBreakBefore w:val="0"/>
              <w:kinsoku/>
              <w:wordWrap w:val="0"/>
              <w:bidi w:val="0"/>
              <w:spacing w:line="400" w:lineRule="atLeast"/>
              <w:jc w:val="center"/>
              <w:rPr>
                <w:rFonts w:hint="default" w:ascii="Times New Roman" w:hAnsi="Times New Roman" w:cs="Times New Roman"/>
                <w:szCs w:val="21"/>
                <w:highlight w:val="none"/>
              </w:rPr>
            </w:pPr>
          </w:p>
        </w:tc>
      </w:tr>
      <w:tr w14:paraId="67327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noWrap w:val="0"/>
            <w:vAlign w:val="center"/>
          </w:tcPr>
          <w:p w14:paraId="0E0DF836">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6</w:t>
            </w:r>
          </w:p>
        </w:tc>
        <w:tc>
          <w:tcPr>
            <w:tcW w:w="2710" w:type="dxa"/>
            <w:noWrap w:val="0"/>
            <w:vAlign w:val="center"/>
          </w:tcPr>
          <w:p w14:paraId="28A4060A">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价格调整的差额计算</w:t>
            </w:r>
          </w:p>
        </w:tc>
        <w:tc>
          <w:tcPr>
            <w:tcW w:w="1185" w:type="dxa"/>
            <w:noWrap w:val="0"/>
            <w:vAlign w:val="center"/>
          </w:tcPr>
          <w:p w14:paraId="48A608C3">
            <w:pPr>
              <w:pageBreakBefore w:val="0"/>
              <w:kinsoku/>
              <w:wordWrap w:val="0"/>
              <w:bidi w:val="0"/>
              <w:snapToGrid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16.1.1</w:t>
            </w:r>
          </w:p>
        </w:tc>
        <w:tc>
          <w:tcPr>
            <w:tcW w:w="3613" w:type="dxa"/>
            <w:noWrap w:val="0"/>
            <w:vAlign w:val="center"/>
          </w:tcPr>
          <w:p w14:paraId="02F41012">
            <w:pPr>
              <w:pageBreakBefore w:val="0"/>
              <w:kinsoku/>
              <w:wordWrap w:val="0"/>
              <w:bidi w:val="0"/>
              <w:snapToGrid w:val="0"/>
              <w:spacing w:line="400" w:lineRule="atLeast"/>
              <w:rPr>
                <w:rFonts w:hint="default" w:ascii="Times New Roman" w:hAnsi="Times New Roman" w:cs="Times New Roman"/>
                <w:szCs w:val="21"/>
                <w:highlight w:val="none"/>
              </w:rPr>
            </w:pPr>
            <w:r>
              <w:rPr>
                <w:rFonts w:hint="default" w:ascii="Times New Roman" w:hAnsi="Times New Roman" w:cs="Times New Roman"/>
                <w:szCs w:val="21"/>
                <w:highlight w:val="none"/>
              </w:rPr>
              <w:t>见价格指数和权重表</w:t>
            </w:r>
          </w:p>
        </w:tc>
        <w:tc>
          <w:tcPr>
            <w:tcW w:w="749" w:type="dxa"/>
            <w:noWrap w:val="0"/>
            <w:vAlign w:val="center"/>
          </w:tcPr>
          <w:p w14:paraId="797ADB69">
            <w:pPr>
              <w:pageBreakBefore w:val="0"/>
              <w:kinsoku/>
              <w:wordWrap w:val="0"/>
              <w:bidi w:val="0"/>
              <w:spacing w:line="400" w:lineRule="atLeast"/>
              <w:jc w:val="center"/>
              <w:rPr>
                <w:rFonts w:hint="default" w:ascii="Times New Roman" w:hAnsi="Times New Roman" w:cs="Times New Roman"/>
                <w:szCs w:val="21"/>
                <w:highlight w:val="none"/>
              </w:rPr>
            </w:pPr>
          </w:p>
        </w:tc>
      </w:tr>
      <w:tr w14:paraId="73CEE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noWrap w:val="0"/>
            <w:vAlign w:val="center"/>
          </w:tcPr>
          <w:p w14:paraId="0E88BF1E">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7</w:t>
            </w:r>
          </w:p>
        </w:tc>
        <w:tc>
          <w:tcPr>
            <w:tcW w:w="2710" w:type="dxa"/>
            <w:noWrap w:val="0"/>
            <w:vAlign w:val="center"/>
          </w:tcPr>
          <w:p w14:paraId="77D2F3D0">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开工预付款金额</w:t>
            </w:r>
          </w:p>
        </w:tc>
        <w:tc>
          <w:tcPr>
            <w:tcW w:w="1185" w:type="dxa"/>
            <w:noWrap w:val="0"/>
            <w:vAlign w:val="center"/>
          </w:tcPr>
          <w:p w14:paraId="7CA63D42">
            <w:pPr>
              <w:pageBreakBefore w:val="0"/>
              <w:kinsoku/>
              <w:wordWrap w:val="0"/>
              <w:bidi w:val="0"/>
              <w:snapToGrid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17.2.1（1）</w:t>
            </w:r>
          </w:p>
        </w:tc>
        <w:tc>
          <w:tcPr>
            <w:tcW w:w="3613" w:type="dxa"/>
            <w:noWrap w:val="0"/>
            <w:vAlign w:val="center"/>
          </w:tcPr>
          <w:p w14:paraId="24E26AF2">
            <w:pPr>
              <w:pageBreakBefore w:val="0"/>
              <w:kinsoku/>
              <w:wordWrap w:val="0"/>
              <w:bidi w:val="0"/>
              <w:snapToGrid w:val="0"/>
              <w:spacing w:line="400" w:lineRule="atLeast"/>
              <w:rPr>
                <w:rFonts w:hint="default" w:ascii="Times New Roman" w:hAnsi="Times New Roman" w:cs="Times New Roman"/>
                <w:szCs w:val="21"/>
                <w:highlight w:val="none"/>
              </w:rPr>
            </w:pP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%签约合同价</w:t>
            </w:r>
          </w:p>
        </w:tc>
        <w:tc>
          <w:tcPr>
            <w:tcW w:w="749" w:type="dxa"/>
            <w:noWrap w:val="0"/>
            <w:vAlign w:val="center"/>
          </w:tcPr>
          <w:p w14:paraId="5628D480">
            <w:pPr>
              <w:pageBreakBefore w:val="0"/>
              <w:kinsoku/>
              <w:wordWrap w:val="0"/>
              <w:bidi w:val="0"/>
              <w:spacing w:line="400" w:lineRule="atLeast"/>
              <w:jc w:val="center"/>
              <w:rPr>
                <w:rFonts w:hint="default" w:ascii="Times New Roman" w:hAnsi="Times New Roman" w:cs="Times New Roman"/>
                <w:szCs w:val="21"/>
                <w:highlight w:val="none"/>
              </w:rPr>
            </w:pPr>
          </w:p>
        </w:tc>
      </w:tr>
      <w:tr w14:paraId="1C667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noWrap w:val="0"/>
            <w:vAlign w:val="center"/>
          </w:tcPr>
          <w:p w14:paraId="34E654B3">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8</w:t>
            </w:r>
          </w:p>
        </w:tc>
        <w:tc>
          <w:tcPr>
            <w:tcW w:w="2710" w:type="dxa"/>
            <w:noWrap w:val="0"/>
            <w:vAlign w:val="center"/>
          </w:tcPr>
          <w:p w14:paraId="31065EEF">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材料、设备预付款比例</w:t>
            </w:r>
          </w:p>
        </w:tc>
        <w:tc>
          <w:tcPr>
            <w:tcW w:w="1185" w:type="dxa"/>
            <w:noWrap w:val="0"/>
            <w:vAlign w:val="center"/>
          </w:tcPr>
          <w:p w14:paraId="32B2D2D7">
            <w:pPr>
              <w:pageBreakBefore w:val="0"/>
              <w:kinsoku/>
              <w:wordWrap w:val="0"/>
              <w:bidi w:val="0"/>
              <w:snapToGrid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17.2.1（2）</w:t>
            </w:r>
          </w:p>
        </w:tc>
        <w:tc>
          <w:tcPr>
            <w:tcW w:w="3613" w:type="dxa"/>
            <w:noWrap w:val="0"/>
            <w:vAlign w:val="center"/>
          </w:tcPr>
          <w:p w14:paraId="69FAB941">
            <w:pPr>
              <w:pageBreakBefore w:val="0"/>
              <w:kinsoku/>
              <w:wordWrap w:val="0"/>
              <w:bidi w:val="0"/>
              <w:snapToGrid w:val="0"/>
              <w:spacing w:line="400" w:lineRule="atLeast"/>
              <w:rPr>
                <w:rFonts w:hint="default" w:ascii="Times New Roman" w:hAnsi="Times New Roman" w:cs="Times New Roman"/>
                <w:szCs w:val="21"/>
                <w:highlight w:val="none"/>
              </w:rPr>
            </w:pP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等主要材料、设备单据所列费用的</w:t>
            </w: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w:t>
            </w:r>
          </w:p>
        </w:tc>
        <w:tc>
          <w:tcPr>
            <w:tcW w:w="749" w:type="dxa"/>
            <w:noWrap w:val="0"/>
            <w:vAlign w:val="center"/>
          </w:tcPr>
          <w:p w14:paraId="0760BF78">
            <w:pPr>
              <w:pageBreakBefore w:val="0"/>
              <w:kinsoku/>
              <w:wordWrap w:val="0"/>
              <w:bidi w:val="0"/>
              <w:spacing w:line="400" w:lineRule="atLeast"/>
              <w:jc w:val="center"/>
              <w:rPr>
                <w:rFonts w:hint="default" w:ascii="Times New Roman" w:hAnsi="Times New Roman" w:cs="Times New Roman"/>
                <w:szCs w:val="21"/>
                <w:highlight w:val="none"/>
              </w:rPr>
            </w:pPr>
          </w:p>
        </w:tc>
      </w:tr>
      <w:tr w14:paraId="266C5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noWrap w:val="0"/>
            <w:vAlign w:val="center"/>
          </w:tcPr>
          <w:p w14:paraId="3A77948D">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9</w:t>
            </w:r>
          </w:p>
        </w:tc>
        <w:tc>
          <w:tcPr>
            <w:tcW w:w="2710" w:type="dxa"/>
            <w:noWrap w:val="0"/>
            <w:vAlign w:val="center"/>
          </w:tcPr>
          <w:p w14:paraId="35E71DA2">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进度付款证书最低限额</w:t>
            </w:r>
          </w:p>
        </w:tc>
        <w:tc>
          <w:tcPr>
            <w:tcW w:w="1185" w:type="dxa"/>
            <w:noWrap w:val="0"/>
            <w:vAlign w:val="center"/>
          </w:tcPr>
          <w:p w14:paraId="4B938FF5">
            <w:pPr>
              <w:pageBreakBefore w:val="0"/>
              <w:kinsoku/>
              <w:wordWrap w:val="0"/>
              <w:bidi w:val="0"/>
              <w:snapToGrid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17.3.3（1）</w:t>
            </w:r>
          </w:p>
        </w:tc>
        <w:tc>
          <w:tcPr>
            <w:tcW w:w="3613" w:type="dxa"/>
            <w:noWrap w:val="0"/>
            <w:vAlign w:val="center"/>
          </w:tcPr>
          <w:p w14:paraId="768721FF">
            <w:pPr>
              <w:pageBreakBefore w:val="0"/>
              <w:kinsoku/>
              <w:wordWrap w:val="0"/>
              <w:bidi w:val="0"/>
              <w:snapToGrid w:val="0"/>
              <w:spacing w:line="400" w:lineRule="atLeast"/>
              <w:rPr>
                <w:rFonts w:hint="default" w:ascii="Times New Roman" w:hAnsi="Times New Roman" w:cs="Times New Roman"/>
                <w:szCs w:val="21"/>
                <w:highlight w:val="none"/>
              </w:rPr>
            </w:pP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%签约合同价或</w:t>
            </w: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万元</w:t>
            </w:r>
          </w:p>
        </w:tc>
        <w:tc>
          <w:tcPr>
            <w:tcW w:w="749" w:type="dxa"/>
            <w:noWrap w:val="0"/>
            <w:vAlign w:val="center"/>
          </w:tcPr>
          <w:p w14:paraId="1BB4EB0A">
            <w:pPr>
              <w:pageBreakBefore w:val="0"/>
              <w:kinsoku/>
              <w:wordWrap w:val="0"/>
              <w:bidi w:val="0"/>
              <w:spacing w:line="400" w:lineRule="atLeast"/>
              <w:jc w:val="center"/>
              <w:rPr>
                <w:rFonts w:hint="default" w:ascii="Times New Roman" w:hAnsi="Times New Roman" w:cs="Times New Roman"/>
                <w:szCs w:val="21"/>
                <w:highlight w:val="none"/>
              </w:rPr>
            </w:pPr>
          </w:p>
        </w:tc>
      </w:tr>
      <w:tr w14:paraId="310CC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noWrap w:val="0"/>
            <w:vAlign w:val="center"/>
          </w:tcPr>
          <w:p w14:paraId="7E0E5379">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10</w:t>
            </w:r>
          </w:p>
        </w:tc>
        <w:tc>
          <w:tcPr>
            <w:tcW w:w="2710" w:type="dxa"/>
            <w:noWrap w:val="0"/>
            <w:vAlign w:val="center"/>
          </w:tcPr>
          <w:p w14:paraId="3AF05AA4">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逾期付款违约金的利率</w:t>
            </w:r>
          </w:p>
        </w:tc>
        <w:tc>
          <w:tcPr>
            <w:tcW w:w="1185" w:type="dxa"/>
            <w:noWrap w:val="0"/>
            <w:vAlign w:val="center"/>
          </w:tcPr>
          <w:p w14:paraId="53709D49">
            <w:pPr>
              <w:pageBreakBefore w:val="0"/>
              <w:kinsoku/>
              <w:wordWrap w:val="0"/>
              <w:bidi w:val="0"/>
              <w:snapToGrid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17.3.3（2）</w:t>
            </w:r>
          </w:p>
        </w:tc>
        <w:tc>
          <w:tcPr>
            <w:tcW w:w="3613" w:type="dxa"/>
            <w:noWrap w:val="0"/>
            <w:vAlign w:val="center"/>
          </w:tcPr>
          <w:p w14:paraId="3D80EE26">
            <w:pPr>
              <w:pageBreakBefore w:val="0"/>
              <w:kinsoku/>
              <w:wordWrap w:val="0"/>
              <w:bidi w:val="0"/>
              <w:snapToGrid w:val="0"/>
              <w:spacing w:line="400" w:lineRule="atLeast"/>
              <w:rPr>
                <w:rFonts w:hint="default" w:ascii="Times New Roman" w:hAnsi="Times New Roman" w:cs="Times New Roman"/>
                <w:szCs w:val="21"/>
                <w:highlight w:val="none"/>
              </w:rPr>
            </w:pP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‰/天</w:t>
            </w:r>
          </w:p>
        </w:tc>
        <w:tc>
          <w:tcPr>
            <w:tcW w:w="749" w:type="dxa"/>
            <w:noWrap w:val="0"/>
            <w:vAlign w:val="center"/>
          </w:tcPr>
          <w:p w14:paraId="11D19C73">
            <w:pPr>
              <w:pageBreakBefore w:val="0"/>
              <w:kinsoku/>
              <w:wordWrap w:val="0"/>
              <w:bidi w:val="0"/>
              <w:spacing w:line="400" w:lineRule="atLeast"/>
              <w:jc w:val="center"/>
              <w:rPr>
                <w:rFonts w:hint="default" w:ascii="Times New Roman" w:hAnsi="Times New Roman" w:cs="Times New Roman"/>
                <w:szCs w:val="21"/>
                <w:highlight w:val="none"/>
              </w:rPr>
            </w:pPr>
          </w:p>
        </w:tc>
      </w:tr>
      <w:tr w14:paraId="035D6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noWrap w:val="0"/>
            <w:vAlign w:val="center"/>
          </w:tcPr>
          <w:p w14:paraId="758487BC">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11</w:t>
            </w:r>
          </w:p>
        </w:tc>
        <w:tc>
          <w:tcPr>
            <w:tcW w:w="2710" w:type="dxa"/>
            <w:noWrap w:val="0"/>
            <w:vAlign w:val="center"/>
          </w:tcPr>
          <w:p w14:paraId="0B48CFA1">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质量保证金金额</w:t>
            </w:r>
          </w:p>
        </w:tc>
        <w:tc>
          <w:tcPr>
            <w:tcW w:w="1185" w:type="dxa"/>
            <w:noWrap w:val="0"/>
            <w:vAlign w:val="center"/>
          </w:tcPr>
          <w:p w14:paraId="28DE56EA">
            <w:pPr>
              <w:pageBreakBefore w:val="0"/>
              <w:kinsoku/>
              <w:wordWrap w:val="0"/>
              <w:bidi w:val="0"/>
              <w:snapToGrid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17.4.1</w:t>
            </w:r>
          </w:p>
        </w:tc>
        <w:tc>
          <w:tcPr>
            <w:tcW w:w="3613" w:type="dxa"/>
            <w:noWrap w:val="0"/>
            <w:vAlign w:val="center"/>
          </w:tcPr>
          <w:p w14:paraId="704B2426">
            <w:pPr>
              <w:pageBreakBefore w:val="0"/>
              <w:kinsoku/>
              <w:wordWrap w:val="0"/>
              <w:bidi w:val="0"/>
              <w:snapToGrid w:val="0"/>
              <w:spacing w:line="400" w:lineRule="atLeast"/>
              <w:rPr>
                <w:rFonts w:hint="default" w:ascii="Times New Roman" w:hAnsi="Times New Roman" w:cs="Times New Roman"/>
                <w:szCs w:val="21"/>
                <w:highlight w:val="none"/>
              </w:rPr>
            </w:pP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%合同价格，若交工验收时承包人具备被招标项目所在地省级交通运输主管部门评定的最高信用等级，发包人给予</w:t>
            </w: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%合同价格质量保证金的优惠</w:t>
            </w:r>
          </w:p>
        </w:tc>
        <w:tc>
          <w:tcPr>
            <w:tcW w:w="749" w:type="dxa"/>
            <w:noWrap w:val="0"/>
            <w:vAlign w:val="center"/>
          </w:tcPr>
          <w:p w14:paraId="04CF78CA">
            <w:pPr>
              <w:pageBreakBefore w:val="0"/>
              <w:kinsoku/>
              <w:wordWrap w:val="0"/>
              <w:bidi w:val="0"/>
              <w:spacing w:line="400" w:lineRule="atLeast"/>
              <w:jc w:val="center"/>
              <w:rPr>
                <w:rFonts w:hint="default" w:ascii="Times New Roman" w:hAnsi="Times New Roman" w:cs="Times New Roman"/>
                <w:szCs w:val="21"/>
                <w:highlight w:val="none"/>
              </w:rPr>
            </w:pPr>
          </w:p>
        </w:tc>
      </w:tr>
      <w:tr w14:paraId="28F38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noWrap w:val="0"/>
            <w:vAlign w:val="center"/>
          </w:tcPr>
          <w:p w14:paraId="1AEBD425">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12</w:t>
            </w:r>
          </w:p>
        </w:tc>
        <w:tc>
          <w:tcPr>
            <w:tcW w:w="2710" w:type="dxa"/>
            <w:noWrap w:val="0"/>
            <w:vAlign w:val="center"/>
          </w:tcPr>
          <w:p w14:paraId="74447422">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保修期</w:t>
            </w:r>
          </w:p>
        </w:tc>
        <w:tc>
          <w:tcPr>
            <w:tcW w:w="1185" w:type="dxa"/>
            <w:noWrap w:val="0"/>
            <w:vAlign w:val="center"/>
          </w:tcPr>
          <w:p w14:paraId="3289D7DE">
            <w:pPr>
              <w:pageBreakBefore w:val="0"/>
              <w:kinsoku/>
              <w:wordWrap w:val="0"/>
              <w:bidi w:val="0"/>
              <w:snapToGrid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19.7（1）</w:t>
            </w:r>
          </w:p>
        </w:tc>
        <w:tc>
          <w:tcPr>
            <w:tcW w:w="3613" w:type="dxa"/>
            <w:noWrap w:val="0"/>
            <w:vAlign w:val="center"/>
          </w:tcPr>
          <w:p w14:paraId="6B7C8C1A">
            <w:pPr>
              <w:pageBreakBefore w:val="0"/>
              <w:kinsoku/>
              <w:wordWrap w:val="0"/>
              <w:bidi w:val="0"/>
              <w:snapToGrid w:val="0"/>
              <w:spacing w:line="400" w:lineRule="atLeast"/>
              <w:rPr>
                <w:rFonts w:hint="default" w:ascii="Times New Roman" w:hAnsi="Times New Roman" w:cs="Times New Roman"/>
                <w:szCs w:val="21"/>
                <w:highlight w:val="none"/>
              </w:rPr>
            </w:pPr>
            <w:r>
              <w:rPr>
                <w:rFonts w:hint="default" w:ascii="Times New Roman" w:hAnsi="Times New Roman" w:cs="Times New Roman"/>
                <w:szCs w:val="21"/>
                <w:highlight w:val="none"/>
              </w:rPr>
              <w:t>自实际交工日期起计算</w:t>
            </w: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年</w:t>
            </w:r>
          </w:p>
        </w:tc>
        <w:tc>
          <w:tcPr>
            <w:tcW w:w="749" w:type="dxa"/>
            <w:noWrap w:val="0"/>
            <w:vAlign w:val="center"/>
          </w:tcPr>
          <w:p w14:paraId="405C365C">
            <w:pPr>
              <w:pageBreakBefore w:val="0"/>
              <w:kinsoku/>
              <w:wordWrap w:val="0"/>
              <w:bidi w:val="0"/>
              <w:spacing w:line="400" w:lineRule="atLeast"/>
              <w:jc w:val="center"/>
              <w:rPr>
                <w:rFonts w:hint="default" w:ascii="Times New Roman" w:hAnsi="Times New Roman" w:cs="Times New Roman"/>
                <w:szCs w:val="21"/>
                <w:highlight w:val="none"/>
              </w:rPr>
            </w:pPr>
          </w:p>
        </w:tc>
      </w:tr>
    </w:tbl>
    <w:p w14:paraId="5719BFC9">
      <w:pPr>
        <w:pageBreakBefore w:val="0"/>
        <w:kinsoku/>
        <w:wordWrap w:val="0"/>
        <w:bidi w:val="0"/>
        <w:snapToGrid w:val="0"/>
        <w:spacing w:line="400" w:lineRule="atLeast"/>
        <w:ind w:firstLine="3240" w:firstLineChars="1350"/>
        <w:rPr>
          <w:rFonts w:hint="default" w:ascii="Times New Roman" w:hAnsi="Times New Roman" w:cs="Times New Roman"/>
          <w:sz w:val="24"/>
          <w:highlight w:val="none"/>
        </w:rPr>
      </w:pPr>
    </w:p>
    <w:p w14:paraId="582D1830">
      <w:pPr>
        <w:pageBreakBefore w:val="0"/>
        <w:kinsoku/>
        <w:wordWrap w:val="0"/>
        <w:bidi w:val="0"/>
        <w:spacing w:line="440" w:lineRule="exact"/>
        <w:rPr>
          <w:rFonts w:hint="default" w:ascii="Times New Roman" w:hAnsi="Times New Roman" w:eastAsia="黑体" w:cs="Times New Roman"/>
          <w:sz w:val="20"/>
          <w:szCs w:val="20"/>
          <w:highlight w:val="none"/>
        </w:rPr>
      </w:pPr>
    </w:p>
    <w:p w14:paraId="474C8098">
      <w:pPr>
        <w:pageBreakBefore w:val="0"/>
        <w:kinsoku/>
        <w:wordWrap w:val="0"/>
        <w:bidi w:val="0"/>
        <w:spacing w:line="440" w:lineRule="exact"/>
        <w:jc w:val="center"/>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br w:type="page"/>
      </w:r>
      <w:r>
        <w:rPr>
          <w:rFonts w:hint="default" w:ascii="Times New Roman" w:hAnsi="Times New Roman" w:eastAsia="黑体" w:cs="Times New Roman"/>
          <w:sz w:val="24"/>
          <w:highlight w:val="none"/>
        </w:rPr>
        <w:t>价格指数和权重表</w:t>
      </w:r>
    </w:p>
    <w:p w14:paraId="7EA408A9">
      <w:pPr>
        <w:pageBreakBefore w:val="0"/>
        <w:kinsoku/>
        <w:wordWrap w:val="0"/>
        <w:bidi w:val="0"/>
        <w:spacing w:line="440" w:lineRule="exact"/>
        <w:jc w:val="center"/>
        <w:rPr>
          <w:rFonts w:hint="default" w:ascii="Times New Roman" w:hAnsi="Times New Roman" w:eastAsia="黑体" w:cs="Times New Roman"/>
          <w:sz w:val="24"/>
          <w:highlight w:val="none"/>
        </w:rPr>
      </w:pPr>
    </w:p>
    <w:tbl>
      <w:tblPr>
        <w:tblStyle w:val="4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
        <w:gridCol w:w="872"/>
        <w:gridCol w:w="748"/>
        <w:gridCol w:w="900"/>
        <w:gridCol w:w="648"/>
        <w:gridCol w:w="1266"/>
        <w:gridCol w:w="1630"/>
        <w:gridCol w:w="1970"/>
      </w:tblGrid>
      <w:tr w14:paraId="3F2E7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1" w:hRule="atLeast"/>
        </w:trPr>
        <w:tc>
          <w:tcPr>
            <w:tcW w:w="1298" w:type="dxa"/>
            <w:gridSpan w:val="2"/>
            <w:vMerge w:val="restart"/>
            <w:noWrap w:val="0"/>
            <w:vAlign w:val="center"/>
          </w:tcPr>
          <w:p w14:paraId="1E3AFC42">
            <w:pPr>
              <w:pageBreakBefore w:val="0"/>
              <w:kinsoku/>
              <w:wordWrap w:val="0"/>
              <w:bidi w:val="0"/>
              <w:spacing w:before="480" w:beforeLines="200" w:after="480" w:afterLines="200" w:line="24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名称</w:t>
            </w:r>
          </w:p>
        </w:tc>
        <w:tc>
          <w:tcPr>
            <w:tcW w:w="1648" w:type="dxa"/>
            <w:gridSpan w:val="2"/>
            <w:noWrap w:val="0"/>
            <w:vAlign w:val="center"/>
          </w:tcPr>
          <w:p w14:paraId="184E6FEA">
            <w:pPr>
              <w:pageBreakBefore w:val="0"/>
              <w:kinsoku/>
              <w:wordWrap w:val="0"/>
              <w:bidi w:val="0"/>
              <w:spacing w:before="480" w:beforeLines="200" w:after="480" w:afterLines="200" w:line="24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基本价格指数</w:t>
            </w:r>
          </w:p>
        </w:tc>
        <w:tc>
          <w:tcPr>
            <w:tcW w:w="3544" w:type="dxa"/>
            <w:gridSpan w:val="3"/>
            <w:noWrap w:val="0"/>
            <w:vAlign w:val="center"/>
          </w:tcPr>
          <w:p w14:paraId="001B166F">
            <w:pPr>
              <w:pageBreakBefore w:val="0"/>
              <w:kinsoku/>
              <w:wordWrap w:val="0"/>
              <w:bidi w:val="0"/>
              <w:spacing w:before="480" w:beforeLines="200" w:after="480" w:afterLines="200" w:line="24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权       重</w:t>
            </w:r>
          </w:p>
        </w:tc>
        <w:tc>
          <w:tcPr>
            <w:tcW w:w="1970" w:type="dxa"/>
            <w:vMerge w:val="restart"/>
            <w:noWrap w:val="0"/>
            <w:vAlign w:val="center"/>
          </w:tcPr>
          <w:p w14:paraId="3AFCA48D">
            <w:pPr>
              <w:pageBreakBefore w:val="0"/>
              <w:kinsoku/>
              <w:wordWrap w:val="0"/>
              <w:bidi w:val="0"/>
              <w:spacing w:before="480" w:beforeLines="200" w:after="480" w:afterLines="200" w:line="24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价格指数来源</w:t>
            </w:r>
          </w:p>
        </w:tc>
      </w:tr>
      <w:tr w14:paraId="01EAA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6" w:hRule="atLeast"/>
        </w:trPr>
        <w:tc>
          <w:tcPr>
            <w:tcW w:w="1298" w:type="dxa"/>
            <w:gridSpan w:val="2"/>
            <w:vMerge w:val="continue"/>
            <w:noWrap w:val="0"/>
            <w:vAlign w:val="center"/>
          </w:tcPr>
          <w:p w14:paraId="234A9D3F">
            <w:pPr>
              <w:pageBreakBefore w:val="0"/>
              <w:kinsoku/>
              <w:wordWrap w:val="0"/>
              <w:bidi w:val="0"/>
              <w:spacing w:before="480" w:beforeLines="200" w:after="480" w:afterLines="200" w:line="240" w:lineRule="atLeast"/>
              <w:jc w:val="center"/>
              <w:rPr>
                <w:rFonts w:hint="default" w:ascii="Times New Roman" w:hAnsi="Times New Roman" w:cs="Times New Roman"/>
                <w:szCs w:val="21"/>
                <w:highlight w:val="none"/>
              </w:rPr>
            </w:pPr>
          </w:p>
        </w:tc>
        <w:tc>
          <w:tcPr>
            <w:tcW w:w="748" w:type="dxa"/>
            <w:noWrap w:val="0"/>
            <w:vAlign w:val="center"/>
          </w:tcPr>
          <w:p w14:paraId="5EEAC4BC">
            <w:pPr>
              <w:pageBreakBefore w:val="0"/>
              <w:kinsoku/>
              <w:wordWrap w:val="0"/>
              <w:bidi w:val="0"/>
              <w:spacing w:before="480" w:beforeLines="200" w:after="480" w:afterLines="200" w:line="24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代号</w:t>
            </w:r>
          </w:p>
        </w:tc>
        <w:tc>
          <w:tcPr>
            <w:tcW w:w="900" w:type="dxa"/>
            <w:noWrap w:val="0"/>
            <w:vAlign w:val="center"/>
          </w:tcPr>
          <w:p w14:paraId="6527129D">
            <w:pPr>
              <w:pageBreakBefore w:val="0"/>
              <w:kinsoku/>
              <w:wordWrap w:val="0"/>
              <w:bidi w:val="0"/>
              <w:spacing w:before="480" w:beforeLines="200" w:after="480" w:afterLines="200" w:line="24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指数值</w:t>
            </w:r>
          </w:p>
        </w:tc>
        <w:tc>
          <w:tcPr>
            <w:tcW w:w="648" w:type="dxa"/>
            <w:noWrap w:val="0"/>
            <w:vAlign w:val="center"/>
          </w:tcPr>
          <w:p w14:paraId="3BEA6D3D">
            <w:pPr>
              <w:pageBreakBefore w:val="0"/>
              <w:kinsoku/>
              <w:wordWrap w:val="0"/>
              <w:bidi w:val="0"/>
              <w:spacing w:before="480" w:beforeLines="200" w:after="480" w:afterLines="200" w:line="24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代号</w:t>
            </w:r>
          </w:p>
        </w:tc>
        <w:tc>
          <w:tcPr>
            <w:tcW w:w="1266" w:type="dxa"/>
            <w:noWrap w:val="0"/>
            <w:vAlign w:val="center"/>
          </w:tcPr>
          <w:p w14:paraId="6F05F48B">
            <w:pPr>
              <w:pageBreakBefore w:val="0"/>
              <w:kinsoku/>
              <w:wordWrap w:val="0"/>
              <w:bidi w:val="0"/>
              <w:spacing w:before="480" w:beforeLines="200" w:after="480" w:afterLines="200" w:line="24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允许范围</w:t>
            </w:r>
          </w:p>
        </w:tc>
        <w:tc>
          <w:tcPr>
            <w:tcW w:w="1630" w:type="dxa"/>
            <w:noWrap w:val="0"/>
            <w:vAlign w:val="center"/>
          </w:tcPr>
          <w:p w14:paraId="6D62B3BB">
            <w:pPr>
              <w:pageBreakBefore w:val="0"/>
              <w:kinsoku/>
              <w:wordWrap w:val="0"/>
              <w:bidi w:val="0"/>
              <w:spacing w:before="480" w:beforeLines="200" w:after="480" w:afterLines="200" w:line="24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投标人建议值</w:t>
            </w:r>
          </w:p>
        </w:tc>
        <w:tc>
          <w:tcPr>
            <w:tcW w:w="1970" w:type="dxa"/>
            <w:vMerge w:val="continue"/>
            <w:noWrap w:val="0"/>
            <w:vAlign w:val="center"/>
          </w:tcPr>
          <w:p w14:paraId="159A178E">
            <w:pPr>
              <w:pageBreakBefore w:val="0"/>
              <w:kinsoku/>
              <w:wordWrap w:val="0"/>
              <w:bidi w:val="0"/>
              <w:spacing w:before="480" w:beforeLines="200" w:after="480" w:afterLines="200" w:line="240" w:lineRule="atLeast"/>
              <w:jc w:val="center"/>
              <w:rPr>
                <w:rFonts w:hint="default" w:ascii="Times New Roman" w:hAnsi="Times New Roman" w:cs="Times New Roman"/>
                <w:szCs w:val="21"/>
                <w:highlight w:val="none"/>
              </w:rPr>
            </w:pPr>
          </w:p>
        </w:tc>
      </w:tr>
      <w:tr w14:paraId="00F0E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1298" w:type="dxa"/>
            <w:gridSpan w:val="2"/>
            <w:noWrap w:val="0"/>
            <w:vAlign w:val="center"/>
          </w:tcPr>
          <w:p w14:paraId="7913D660">
            <w:pPr>
              <w:pageBreakBefore w:val="0"/>
              <w:kinsoku/>
              <w:wordWrap w:val="0"/>
              <w:bidi w:val="0"/>
              <w:spacing w:before="480" w:beforeLines="200" w:after="480" w:afterLines="200" w:line="24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定值部分</w:t>
            </w:r>
          </w:p>
        </w:tc>
        <w:tc>
          <w:tcPr>
            <w:tcW w:w="748" w:type="dxa"/>
            <w:noWrap w:val="0"/>
            <w:vAlign w:val="center"/>
          </w:tcPr>
          <w:p w14:paraId="28429845">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p>
        </w:tc>
        <w:tc>
          <w:tcPr>
            <w:tcW w:w="900" w:type="dxa"/>
            <w:noWrap w:val="0"/>
            <w:vAlign w:val="center"/>
          </w:tcPr>
          <w:p w14:paraId="4F6546A1">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p>
        </w:tc>
        <w:tc>
          <w:tcPr>
            <w:tcW w:w="648" w:type="dxa"/>
            <w:noWrap w:val="0"/>
            <w:vAlign w:val="center"/>
          </w:tcPr>
          <w:p w14:paraId="32AF7092">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r>
              <w:rPr>
                <w:rFonts w:hint="default" w:ascii="Times New Roman" w:hAnsi="Times New Roman" w:cs="Times New Roman"/>
                <w:szCs w:val="21"/>
                <w:highlight w:val="none"/>
              </w:rPr>
              <w:t>A</w:t>
            </w:r>
          </w:p>
        </w:tc>
        <w:tc>
          <w:tcPr>
            <w:tcW w:w="1266" w:type="dxa"/>
            <w:noWrap w:val="0"/>
            <w:vAlign w:val="center"/>
          </w:tcPr>
          <w:p w14:paraId="0BAE03BA">
            <w:pPr>
              <w:pageBreakBefore w:val="0"/>
              <w:kinsoku/>
              <w:wordWrap w:val="0"/>
              <w:bidi w:val="0"/>
              <w:spacing w:before="480" w:beforeLines="200" w:after="480" w:afterLines="200" w:line="240" w:lineRule="atLeast"/>
              <w:jc w:val="center"/>
              <w:rPr>
                <w:rFonts w:hint="default" w:ascii="Times New Roman" w:hAnsi="Times New Roman" w:cs="Times New Roman"/>
                <w:szCs w:val="21"/>
                <w:highlight w:val="none"/>
              </w:rPr>
            </w:pPr>
          </w:p>
        </w:tc>
        <w:tc>
          <w:tcPr>
            <w:tcW w:w="1630" w:type="dxa"/>
            <w:noWrap w:val="0"/>
            <w:vAlign w:val="center"/>
          </w:tcPr>
          <w:p w14:paraId="68A08FB8">
            <w:pPr>
              <w:pageBreakBefore w:val="0"/>
              <w:kinsoku/>
              <w:wordWrap w:val="0"/>
              <w:bidi w:val="0"/>
              <w:spacing w:before="480" w:beforeLines="200" w:after="480" w:afterLines="200" w:line="240" w:lineRule="atLeast"/>
              <w:jc w:val="center"/>
              <w:rPr>
                <w:rFonts w:hint="default" w:ascii="Times New Roman" w:hAnsi="Times New Roman" w:cs="Times New Roman"/>
                <w:szCs w:val="21"/>
                <w:highlight w:val="none"/>
              </w:rPr>
            </w:pPr>
          </w:p>
        </w:tc>
        <w:tc>
          <w:tcPr>
            <w:tcW w:w="1970" w:type="dxa"/>
            <w:noWrap w:val="0"/>
            <w:vAlign w:val="center"/>
          </w:tcPr>
          <w:p w14:paraId="7B4A3C08">
            <w:pPr>
              <w:pageBreakBefore w:val="0"/>
              <w:kinsoku/>
              <w:wordWrap w:val="0"/>
              <w:bidi w:val="0"/>
              <w:spacing w:before="480" w:beforeLines="200" w:after="480" w:afterLines="200" w:line="240" w:lineRule="atLeast"/>
              <w:jc w:val="center"/>
              <w:rPr>
                <w:rFonts w:hint="default" w:ascii="Times New Roman" w:hAnsi="Times New Roman" w:cs="Times New Roman"/>
                <w:szCs w:val="21"/>
                <w:highlight w:val="none"/>
              </w:rPr>
            </w:pPr>
          </w:p>
        </w:tc>
      </w:tr>
      <w:tr w14:paraId="16409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7" w:hRule="atLeast"/>
        </w:trPr>
        <w:tc>
          <w:tcPr>
            <w:tcW w:w="426" w:type="dxa"/>
            <w:vMerge w:val="restart"/>
            <w:noWrap w:val="0"/>
            <w:vAlign w:val="center"/>
          </w:tcPr>
          <w:p w14:paraId="0D7F6ADD">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r>
              <w:rPr>
                <w:rFonts w:hint="default" w:ascii="Times New Roman" w:hAnsi="Times New Roman" w:cs="Times New Roman"/>
                <w:szCs w:val="21"/>
                <w:highlight w:val="none"/>
              </w:rPr>
              <w:t>变值部分</w:t>
            </w:r>
          </w:p>
        </w:tc>
        <w:tc>
          <w:tcPr>
            <w:tcW w:w="872" w:type="dxa"/>
            <w:noWrap w:val="0"/>
            <w:vAlign w:val="center"/>
          </w:tcPr>
          <w:p w14:paraId="39AFFE89">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r>
              <w:rPr>
                <w:rFonts w:hint="default" w:ascii="Times New Roman" w:hAnsi="Times New Roman" w:cs="Times New Roman"/>
                <w:szCs w:val="21"/>
                <w:highlight w:val="none"/>
              </w:rPr>
              <w:t>人工费</w:t>
            </w:r>
          </w:p>
        </w:tc>
        <w:tc>
          <w:tcPr>
            <w:tcW w:w="748" w:type="dxa"/>
            <w:noWrap w:val="0"/>
            <w:vAlign w:val="center"/>
          </w:tcPr>
          <w:p w14:paraId="4279257B">
            <w:pPr>
              <w:pageBreakBefore w:val="0"/>
              <w:kinsoku/>
              <w:wordWrap w:val="0"/>
              <w:bidi w:val="0"/>
              <w:spacing w:before="480" w:beforeLines="200" w:after="480" w:afterLines="200" w:line="240" w:lineRule="atLeast"/>
              <w:rPr>
                <w:rFonts w:hint="default" w:ascii="Times New Roman" w:hAnsi="Times New Roman" w:cs="Times New Roman"/>
                <w:szCs w:val="21"/>
                <w:highlight w:val="none"/>
                <w:vertAlign w:val="subscript"/>
              </w:rPr>
            </w:pPr>
            <w:r>
              <w:rPr>
                <w:rFonts w:hint="default" w:ascii="Times New Roman" w:hAnsi="Times New Roman" w:cs="Times New Roman"/>
                <w:szCs w:val="21"/>
                <w:highlight w:val="none"/>
              </w:rPr>
              <w:t>F</w:t>
            </w:r>
            <w:r>
              <w:rPr>
                <w:rFonts w:hint="default" w:ascii="Times New Roman" w:hAnsi="Times New Roman" w:cs="Times New Roman"/>
                <w:szCs w:val="21"/>
                <w:highlight w:val="none"/>
                <w:vertAlign w:val="subscript"/>
              </w:rPr>
              <w:t>01</w:t>
            </w:r>
          </w:p>
        </w:tc>
        <w:tc>
          <w:tcPr>
            <w:tcW w:w="900" w:type="dxa"/>
            <w:noWrap w:val="0"/>
            <w:vAlign w:val="center"/>
          </w:tcPr>
          <w:p w14:paraId="011F33A4">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p>
        </w:tc>
        <w:tc>
          <w:tcPr>
            <w:tcW w:w="648" w:type="dxa"/>
            <w:noWrap w:val="0"/>
            <w:vAlign w:val="center"/>
          </w:tcPr>
          <w:p w14:paraId="1CF5AB79">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r>
              <w:rPr>
                <w:rFonts w:hint="default" w:ascii="Times New Roman" w:hAnsi="Times New Roman" w:cs="Times New Roman"/>
                <w:szCs w:val="21"/>
                <w:highlight w:val="none"/>
              </w:rPr>
              <w:t>B</w:t>
            </w:r>
            <w:r>
              <w:rPr>
                <w:rFonts w:hint="default" w:ascii="Times New Roman" w:hAnsi="Times New Roman" w:cs="Times New Roman"/>
                <w:szCs w:val="21"/>
                <w:highlight w:val="none"/>
                <w:vertAlign w:val="subscript"/>
              </w:rPr>
              <w:t>1</w:t>
            </w:r>
          </w:p>
        </w:tc>
        <w:tc>
          <w:tcPr>
            <w:tcW w:w="1266" w:type="dxa"/>
            <w:noWrap w:val="0"/>
            <w:vAlign w:val="top"/>
          </w:tcPr>
          <w:p w14:paraId="418FE86B">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至</w:t>
            </w: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 xml:space="preserve">  </w:t>
            </w:r>
          </w:p>
        </w:tc>
        <w:tc>
          <w:tcPr>
            <w:tcW w:w="1630" w:type="dxa"/>
            <w:noWrap w:val="0"/>
            <w:vAlign w:val="top"/>
          </w:tcPr>
          <w:p w14:paraId="0092E737">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p>
        </w:tc>
        <w:tc>
          <w:tcPr>
            <w:tcW w:w="1970" w:type="dxa"/>
            <w:noWrap w:val="0"/>
            <w:vAlign w:val="top"/>
          </w:tcPr>
          <w:p w14:paraId="684647E0">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p>
        </w:tc>
      </w:tr>
      <w:tr w14:paraId="79EB5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 w:hRule="atLeast"/>
        </w:trPr>
        <w:tc>
          <w:tcPr>
            <w:tcW w:w="426" w:type="dxa"/>
            <w:vMerge w:val="continue"/>
            <w:noWrap w:val="0"/>
            <w:vAlign w:val="center"/>
          </w:tcPr>
          <w:p w14:paraId="3D8CB5BB">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p>
        </w:tc>
        <w:tc>
          <w:tcPr>
            <w:tcW w:w="872" w:type="dxa"/>
            <w:noWrap w:val="0"/>
            <w:vAlign w:val="center"/>
          </w:tcPr>
          <w:p w14:paraId="0424C4DB">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r>
              <w:rPr>
                <w:rFonts w:hint="default" w:ascii="Times New Roman" w:hAnsi="Times New Roman" w:cs="Times New Roman"/>
                <w:szCs w:val="21"/>
                <w:highlight w:val="none"/>
              </w:rPr>
              <w:t>钢材</w:t>
            </w:r>
          </w:p>
        </w:tc>
        <w:tc>
          <w:tcPr>
            <w:tcW w:w="748" w:type="dxa"/>
            <w:noWrap w:val="0"/>
            <w:vAlign w:val="center"/>
          </w:tcPr>
          <w:p w14:paraId="209E088D">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r>
              <w:rPr>
                <w:rFonts w:hint="default" w:ascii="Times New Roman" w:hAnsi="Times New Roman" w:cs="Times New Roman"/>
                <w:szCs w:val="21"/>
                <w:highlight w:val="none"/>
              </w:rPr>
              <w:t>F</w:t>
            </w:r>
            <w:r>
              <w:rPr>
                <w:rFonts w:hint="default" w:ascii="Times New Roman" w:hAnsi="Times New Roman" w:cs="Times New Roman"/>
                <w:szCs w:val="21"/>
                <w:highlight w:val="none"/>
                <w:vertAlign w:val="subscript"/>
              </w:rPr>
              <w:t>02</w:t>
            </w:r>
          </w:p>
        </w:tc>
        <w:tc>
          <w:tcPr>
            <w:tcW w:w="900" w:type="dxa"/>
            <w:noWrap w:val="0"/>
            <w:vAlign w:val="center"/>
          </w:tcPr>
          <w:p w14:paraId="50FA7D05">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p>
        </w:tc>
        <w:tc>
          <w:tcPr>
            <w:tcW w:w="648" w:type="dxa"/>
            <w:noWrap w:val="0"/>
            <w:vAlign w:val="center"/>
          </w:tcPr>
          <w:p w14:paraId="4B7EC28C">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r>
              <w:rPr>
                <w:rFonts w:hint="default" w:ascii="Times New Roman" w:hAnsi="Times New Roman" w:cs="Times New Roman"/>
                <w:szCs w:val="21"/>
                <w:highlight w:val="none"/>
              </w:rPr>
              <w:t>B</w:t>
            </w:r>
            <w:r>
              <w:rPr>
                <w:rFonts w:hint="default" w:ascii="Times New Roman" w:hAnsi="Times New Roman" w:cs="Times New Roman"/>
                <w:szCs w:val="21"/>
                <w:highlight w:val="none"/>
                <w:vertAlign w:val="subscript"/>
              </w:rPr>
              <w:t>2</w:t>
            </w:r>
          </w:p>
        </w:tc>
        <w:tc>
          <w:tcPr>
            <w:tcW w:w="1266" w:type="dxa"/>
            <w:noWrap w:val="0"/>
            <w:vAlign w:val="top"/>
          </w:tcPr>
          <w:p w14:paraId="24E23092">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至</w:t>
            </w: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 xml:space="preserve">  </w:t>
            </w:r>
          </w:p>
        </w:tc>
        <w:tc>
          <w:tcPr>
            <w:tcW w:w="1630" w:type="dxa"/>
            <w:noWrap w:val="0"/>
            <w:vAlign w:val="top"/>
          </w:tcPr>
          <w:p w14:paraId="471984A8">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p>
        </w:tc>
        <w:tc>
          <w:tcPr>
            <w:tcW w:w="1970" w:type="dxa"/>
            <w:noWrap w:val="0"/>
            <w:vAlign w:val="top"/>
          </w:tcPr>
          <w:p w14:paraId="03A32196">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p>
        </w:tc>
      </w:tr>
      <w:tr w14:paraId="14AC4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17" w:hRule="atLeast"/>
        </w:trPr>
        <w:tc>
          <w:tcPr>
            <w:tcW w:w="426" w:type="dxa"/>
            <w:vMerge w:val="continue"/>
            <w:noWrap w:val="0"/>
            <w:vAlign w:val="center"/>
          </w:tcPr>
          <w:p w14:paraId="1C797FE3">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p>
        </w:tc>
        <w:tc>
          <w:tcPr>
            <w:tcW w:w="872" w:type="dxa"/>
            <w:noWrap w:val="0"/>
            <w:vAlign w:val="center"/>
          </w:tcPr>
          <w:p w14:paraId="526D59C0">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r>
              <w:rPr>
                <w:rFonts w:hint="default" w:ascii="Times New Roman" w:hAnsi="Times New Roman" w:cs="Times New Roman"/>
                <w:szCs w:val="21"/>
                <w:highlight w:val="none"/>
              </w:rPr>
              <w:t>水泥</w:t>
            </w:r>
          </w:p>
        </w:tc>
        <w:tc>
          <w:tcPr>
            <w:tcW w:w="748" w:type="dxa"/>
            <w:noWrap w:val="0"/>
            <w:vAlign w:val="center"/>
          </w:tcPr>
          <w:p w14:paraId="1ACC380F">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r>
              <w:rPr>
                <w:rFonts w:hint="default" w:ascii="Times New Roman" w:hAnsi="Times New Roman" w:cs="Times New Roman"/>
                <w:szCs w:val="21"/>
                <w:highlight w:val="none"/>
              </w:rPr>
              <w:t>F</w:t>
            </w:r>
            <w:r>
              <w:rPr>
                <w:rFonts w:hint="default" w:ascii="Times New Roman" w:hAnsi="Times New Roman" w:cs="Times New Roman"/>
                <w:szCs w:val="21"/>
                <w:highlight w:val="none"/>
                <w:vertAlign w:val="subscript"/>
              </w:rPr>
              <w:t>03</w:t>
            </w:r>
          </w:p>
        </w:tc>
        <w:tc>
          <w:tcPr>
            <w:tcW w:w="900" w:type="dxa"/>
            <w:noWrap w:val="0"/>
            <w:vAlign w:val="center"/>
          </w:tcPr>
          <w:p w14:paraId="41258823">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p>
        </w:tc>
        <w:tc>
          <w:tcPr>
            <w:tcW w:w="648" w:type="dxa"/>
            <w:noWrap w:val="0"/>
            <w:vAlign w:val="center"/>
          </w:tcPr>
          <w:p w14:paraId="09A23126">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r>
              <w:rPr>
                <w:rFonts w:hint="default" w:ascii="Times New Roman" w:hAnsi="Times New Roman" w:cs="Times New Roman"/>
                <w:szCs w:val="21"/>
                <w:highlight w:val="none"/>
              </w:rPr>
              <w:t>B</w:t>
            </w:r>
            <w:r>
              <w:rPr>
                <w:rFonts w:hint="default" w:ascii="Times New Roman" w:hAnsi="Times New Roman" w:cs="Times New Roman"/>
                <w:szCs w:val="21"/>
                <w:highlight w:val="none"/>
                <w:vertAlign w:val="subscript"/>
              </w:rPr>
              <w:t>3</w:t>
            </w:r>
          </w:p>
        </w:tc>
        <w:tc>
          <w:tcPr>
            <w:tcW w:w="1266" w:type="dxa"/>
            <w:noWrap w:val="0"/>
            <w:vAlign w:val="top"/>
          </w:tcPr>
          <w:p w14:paraId="79CE7631">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至</w:t>
            </w: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 xml:space="preserve">  </w:t>
            </w:r>
          </w:p>
        </w:tc>
        <w:tc>
          <w:tcPr>
            <w:tcW w:w="1630" w:type="dxa"/>
            <w:noWrap w:val="0"/>
            <w:vAlign w:val="top"/>
          </w:tcPr>
          <w:p w14:paraId="414F8D4F">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p>
        </w:tc>
        <w:tc>
          <w:tcPr>
            <w:tcW w:w="1970" w:type="dxa"/>
            <w:noWrap w:val="0"/>
            <w:vAlign w:val="top"/>
          </w:tcPr>
          <w:p w14:paraId="6AB85C08">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p>
        </w:tc>
      </w:tr>
      <w:tr w14:paraId="27B12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88" w:hRule="atLeast"/>
        </w:trPr>
        <w:tc>
          <w:tcPr>
            <w:tcW w:w="426" w:type="dxa"/>
            <w:vMerge w:val="continue"/>
            <w:noWrap w:val="0"/>
            <w:vAlign w:val="center"/>
          </w:tcPr>
          <w:p w14:paraId="6B0403C3">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p>
        </w:tc>
        <w:tc>
          <w:tcPr>
            <w:tcW w:w="872" w:type="dxa"/>
            <w:noWrap w:val="0"/>
            <w:vAlign w:val="center"/>
          </w:tcPr>
          <w:p w14:paraId="4638B5F0">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r>
              <w:rPr>
                <w:rFonts w:hint="default" w:ascii="Times New Roman" w:hAnsi="Times New Roman" w:cs="Times New Roman"/>
                <w:szCs w:val="21"/>
                <w:highlight w:val="none"/>
              </w:rPr>
              <w:t>……</w:t>
            </w:r>
          </w:p>
        </w:tc>
        <w:tc>
          <w:tcPr>
            <w:tcW w:w="748" w:type="dxa"/>
            <w:noWrap w:val="0"/>
            <w:vAlign w:val="center"/>
          </w:tcPr>
          <w:p w14:paraId="2ACB6BBE">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r>
              <w:rPr>
                <w:rFonts w:hint="default" w:ascii="Times New Roman" w:hAnsi="Times New Roman" w:cs="Times New Roman"/>
                <w:szCs w:val="21"/>
                <w:highlight w:val="none"/>
              </w:rPr>
              <w:t>……</w:t>
            </w:r>
          </w:p>
        </w:tc>
        <w:tc>
          <w:tcPr>
            <w:tcW w:w="900" w:type="dxa"/>
            <w:noWrap w:val="0"/>
            <w:vAlign w:val="center"/>
          </w:tcPr>
          <w:p w14:paraId="1E7B5DF1">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p>
        </w:tc>
        <w:tc>
          <w:tcPr>
            <w:tcW w:w="648" w:type="dxa"/>
            <w:noWrap w:val="0"/>
            <w:vAlign w:val="center"/>
          </w:tcPr>
          <w:p w14:paraId="2A553F33">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r>
              <w:rPr>
                <w:rFonts w:hint="default" w:ascii="Times New Roman" w:hAnsi="Times New Roman" w:cs="Times New Roman"/>
                <w:szCs w:val="21"/>
                <w:highlight w:val="none"/>
              </w:rPr>
              <w:t>……</w:t>
            </w:r>
          </w:p>
        </w:tc>
        <w:tc>
          <w:tcPr>
            <w:tcW w:w="1266" w:type="dxa"/>
            <w:noWrap w:val="0"/>
            <w:vAlign w:val="top"/>
          </w:tcPr>
          <w:p w14:paraId="624EF8B1">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r>
              <w:rPr>
                <w:rFonts w:hint="default" w:ascii="Times New Roman" w:hAnsi="Times New Roman" w:cs="Times New Roman"/>
                <w:szCs w:val="21"/>
                <w:highlight w:val="none"/>
              </w:rPr>
              <w:t>……</w:t>
            </w:r>
          </w:p>
        </w:tc>
        <w:tc>
          <w:tcPr>
            <w:tcW w:w="1630" w:type="dxa"/>
            <w:noWrap w:val="0"/>
            <w:vAlign w:val="top"/>
          </w:tcPr>
          <w:p w14:paraId="74E317CA">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p>
        </w:tc>
        <w:tc>
          <w:tcPr>
            <w:tcW w:w="1970" w:type="dxa"/>
            <w:noWrap w:val="0"/>
            <w:vAlign w:val="top"/>
          </w:tcPr>
          <w:p w14:paraId="5B6DB1AF">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p>
        </w:tc>
      </w:tr>
      <w:tr w14:paraId="7143F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49" w:hRule="atLeast"/>
        </w:trPr>
        <w:tc>
          <w:tcPr>
            <w:tcW w:w="426" w:type="dxa"/>
            <w:vMerge w:val="continue"/>
            <w:noWrap w:val="0"/>
            <w:vAlign w:val="center"/>
          </w:tcPr>
          <w:p w14:paraId="5F3F3453">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p>
        </w:tc>
        <w:tc>
          <w:tcPr>
            <w:tcW w:w="872" w:type="dxa"/>
            <w:noWrap w:val="0"/>
            <w:vAlign w:val="center"/>
          </w:tcPr>
          <w:p w14:paraId="1BF234BE">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p>
        </w:tc>
        <w:tc>
          <w:tcPr>
            <w:tcW w:w="748" w:type="dxa"/>
            <w:noWrap w:val="0"/>
            <w:vAlign w:val="center"/>
          </w:tcPr>
          <w:p w14:paraId="3A84A986">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p>
        </w:tc>
        <w:tc>
          <w:tcPr>
            <w:tcW w:w="900" w:type="dxa"/>
            <w:noWrap w:val="0"/>
            <w:vAlign w:val="center"/>
          </w:tcPr>
          <w:p w14:paraId="2B36C858">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p>
        </w:tc>
        <w:tc>
          <w:tcPr>
            <w:tcW w:w="648" w:type="dxa"/>
            <w:noWrap w:val="0"/>
            <w:vAlign w:val="center"/>
          </w:tcPr>
          <w:p w14:paraId="3B0FEB8D">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p>
        </w:tc>
        <w:tc>
          <w:tcPr>
            <w:tcW w:w="1266" w:type="dxa"/>
            <w:noWrap w:val="0"/>
            <w:vAlign w:val="top"/>
          </w:tcPr>
          <w:p w14:paraId="398FA3FC">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p>
        </w:tc>
        <w:tc>
          <w:tcPr>
            <w:tcW w:w="1630" w:type="dxa"/>
            <w:noWrap w:val="0"/>
            <w:vAlign w:val="top"/>
          </w:tcPr>
          <w:p w14:paraId="0245C2A8">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p>
        </w:tc>
        <w:tc>
          <w:tcPr>
            <w:tcW w:w="1970" w:type="dxa"/>
            <w:noWrap w:val="0"/>
            <w:vAlign w:val="top"/>
          </w:tcPr>
          <w:p w14:paraId="7C518487">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p>
        </w:tc>
      </w:tr>
      <w:tr w14:paraId="1D1BB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17" w:hRule="atLeast"/>
        </w:trPr>
        <w:tc>
          <w:tcPr>
            <w:tcW w:w="4860" w:type="dxa"/>
            <w:gridSpan w:val="6"/>
            <w:noWrap w:val="0"/>
            <w:vAlign w:val="center"/>
          </w:tcPr>
          <w:p w14:paraId="612C2D36">
            <w:pPr>
              <w:pageBreakBefore w:val="0"/>
              <w:kinsoku/>
              <w:wordWrap w:val="0"/>
              <w:bidi w:val="0"/>
              <w:spacing w:before="480" w:beforeLines="200" w:after="480" w:afterLines="200" w:line="24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合        计</w:t>
            </w:r>
          </w:p>
        </w:tc>
        <w:tc>
          <w:tcPr>
            <w:tcW w:w="1630" w:type="dxa"/>
            <w:noWrap w:val="0"/>
            <w:vAlign w:val="center"/>
          </w:tcPr>
          <w:p w14:paraId="1B33694A">
            <w:pPr>
              <w:pageBreakBefore w:val="0"/>
              <w:kinsoku/>
              <w:wordWrap w:val="0"/>
              <w:bidi w:val="0"/>
              <w:spacing w:before="480" w:beforeLines="200" w:after="480" w:afterLines="200" w:line="24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1.00</w:t>
            </w:r>
          </w:p>
        </w:tc>
        <w:tc>
          <w:tcPr>
            <w:tcW w:w="1970" w:type="dxa"/>
            <w:noWrap w:val="0"/>
            <w:vAlign w:val="top"/>
          </w:tcPr>
          <w:p w14:paraId="2295D743">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p>
        </w:tc>
      </w:tr>
    </w:tbl>
    <w:p w14:paraId="58241F69">
      <w:pPr>
        <w:pageBreakBefore w:val="0"/>
        <w:kinsoku/>
        <w:wordWrap w:val="0"/>
        <w:bidi w:val="0"/>
        <w:spacing w:line="440" w:lineRule="exact"/>
        <w:rPr>
          <w:rFonts w:hint="default" w:ascii="Times New Roman" w:hAnsi="Times New Roman" w:eastAsia="黑体" w:cs="Times New Roman"/>
          <w:sz w:val="24"/>
          <w:highlight w:val="none"/>
        </w:rPr>
      </w:pPr>
    </w:p>
    <w:p w14:paraId="3E830EA0">
      <w:pPr>
        <w:pageBreakBefore w:val="0"/>
        <w:kinsoku/>
        <w:wordWrap w:val="0"/>
        <w:bidi w:val="0"/>
        <w:spacing w:line="440" w:lineRule="exact"/>
        <w:jc w:val="center"/>
        <w:rPr>
          <w:rFonts w:hint="default" w:ascii="Times New Roman" w:hAnsi="Times New Roman" w:eastAsia="黑体" w:cs="Times New Roman"/>
          <w:sz w:val="20"/>
          <w:szCs w:val="20"/>
          <w:highlight w:val="none"/>
        </w:rPr>
      </w:pPr>
    </w:p>
    <w:p w14:paraId="43D57F21">
      <w:pPr>
        <w:rPr>
          <w:rFonts w:hint="default" w:ascii="Times New Roman" w:hAnsi="Times New Roman" w:cs="Times New Roman"/>
          <w:highlight w:val="none"/>
        </w:rPr>
      </w:pPr>
      <w:bookmarkStart w:id="1491" w:name="_Toc234833261"/>
    </w:p>
    <w:p w14:paraId="3DA1AF6C">
      <w:pPr>
        <w:rPr>
          <w:rFonts w:hint="default" w:ascii="Times New Roman" w:hAnsi="Times New Roman" w:cs="Times New Roman"/>
          <w:highlight w:val="none"/>
        </w:rPr>
      </w:pPr>
    </w:p>
    <w:p w14:paraId="0CB88433">
      <w:pPr>
        <w:rPr>
          <w:rFonts w:hint="default" w:ascii="Times New Roman" w:hAnsi="Times New Roman" w:cs="Times New Roman"/>
          <w:highlight w:val="none"/>
        </w:rPr>
      </w:pPr>
    </w:p>
    <w:p w14:paraId="08B505E6">
      <w:pPr>
        <w:rPr>
          <w:rFonts w:hint="default" w:ascii="Times New Roman" w:hAnsi="Times New Roman" w:cs="Times New Roman"/>
          <w:highlight w:val="none"/>
        </w:rPr>
      </w:pPr>
    </w:p>
    <w:p w14:paraId="6AA9F450">
      <w:pPr>
        <w:rPr>
          <w:rFonts w:hint="default" w:ascii="Times New Roman" w:hAnsi="Times New Roman" w:cs="Times New Roman"/>
          <w:highlight w:val="none"/>
        </w:rPr>
      </w:pPr>
    </w:p>
    <w:p w14:paraId="3260F82D">
      <w:pPr>
        <w:rPr>
          <w:rFonts w:hint="default" w:ascii="Times New Roman" w:hAnsi="Times New Roman" w:cs="Times New Roman"/>
          <w:highlight w:val="none"/>
        </w:rPr>
      </w:pPr>
    </w:p>
    <w:p w14:paraId="083283A1">
      <w:pPr>
        <w:rPr>
          <w:rFonts w:hint="default" w:ascii="Times New Roman" w:hAnsi="Times New Roman" w:cs="Times New Roman"/>
          <w:highlight w:val="none"/>
        </w:rPr>
      </w:pPr>
    </w:p>
    <w:p w14:paraId="02014F10">
      <w:pPr>
        <w:rPr>
          <w:rFonts w:hint="default" w:ascii="Times New Roman" w:hAnsi="Times New Roman" w:cs="Times New Roman"/>
          <w:highlight w:val="none"/>
        </w:rPr>
      </w:pPr>
    </w:p>
    <w:p w14:paraId="309A3DC4">
      <w:pPr>
        <w:rPr>
          <w:rFonts w:hint="default" w:ascii="Times New Roman" w:hAnsi="Times New Roman" w:cs="Times New Roman"/>
          <w:highlight w:val="none"/>
        </w:rPr>
      </w:pPr>
    </w:p>
    <w:p w14:paraId="15A11A44">
      <w:pPr>
        <w:rPr>
          <w:rFonts w:hint="default" w:ascii="Times New Roman" w:hAnsi="Times New Roman" w:cs="Times New Roman"/>
          <w:highlight w:val="none"/>
        </w:rPr>
      </w:pPr>
    </w:p>
    <w:p w14:paraId="29A57611">
      <w:pPr>
        <w:rPr>
          <w:rFonts w:hint="default" w:ascii="Times New Roman" w:hAnsi="Times New Roman" w:cs="Times New Roman"/>
          <w:highlight w:val="none"/>
        </w:rPr>
      </w:pPr>
    </w:p>
    <w:p w14:paraId="20B2F71B">
      <w:pPr>
        <w:jc w:val="center"/>
        <w:rPr>
          <w:rFonts w:hint="default" w:ascii="Times New Roman" w:hAnsi="Times New Roman" w:cs="Times New Roman"/>
          <w:highlight w:val="none"/>
        </w:rPr>
      </w:pPr>
    </w:p>
    <w:p w14:paraId="12C7449F">
      <w:pPr>
        <w:pStyle w:val="3"/>
        <w:numPr>
          <w:ilvl w:val="0"/>
          <w:numId w:val="0"/>
        </w:numPr>
        <w:spacing w:before="0" w:after="0" w:line="400" w:lineRule="atLeast"/>
        <w:ind w:left="180" w:firstLine="280" w:firstLineChars="100"/>
        <w:jc w:val="center"/>
        <w:rPr>
          <w:rFonts w:hint="default" w:ascii="Times New Roman" w:hAnsi="Times New Roman" w:cs="Times New Roman"/>
          <w:bCs w:val="0"/>
          <w:i w:val="0"/>
          <w:iCs w:val="0"/>
          <w:kern w:val="0"/>
          <w:sz w:val="28"/>
          <w:highlight w:val="none"/>
        </w:rPr>
      </w:pPr>
      <w:bookmarkStart w:id="1492" w:name="_Toc26154"/>
      <w:bookmarkStart w:id="1493" w:name="_Toc438571660"/>
      <w:bookmarkStart w:id="1494" w:name="_Toc10083"/>
      <w:bookmarkStart w:id="1495" w:name="_Toc458576166"/>
      <w:bookmarkStart w:id="1496" w:name="_Toc112032692"/>
      <w:bookmarkStart w:id="1497" w:name="_Toc137074942"/>
      <w:bookmarkStart w:id="1498" w:name="_Toc14724"/>
      <w:bookmarkStart w:id="1499" w:name="_Toc500352763"/>
      <w:bookmarkStart w:id="1500" w:name="_Toc4031"/>
      <w:r>
        <w:rPr>
          <w:rFonts w:hint="default" w:ascii="Times New Roman" w:hAnsi="Times New Roman" w:cs="Times New Roman"/>
          <w:bCs w:val="0"/>
          <w:i w:val="0"/>
          <w:iCs w:val="0"/>
          <w:kern w:val="0"/>
          <w:sz w:val="28"/>
          <w:highlight w:val="none"/>
        </w:rPr>
        <w:t>二、授权委托书或法定代表人身份证明</w:t>
      </w:r>
      <w:bookmarkEnd w:id="1492"/>
      <w:bookmarkEnd w:id="1493"/>
      <w:bookmarkEnd w:id="1494"/>
      <w:bookmarkEnd w:id="1495"/>
      <w:bookmarkEnd w:id="1496"/>
      <w:bookmarkEnd w:id="1497"/>
      <w:bookmarkEnd w:id="1498"/>
      <w:bookmarkEnd w:id="1499"/>
      <w:bookmarkEnd w:id="1500"/>
    </w:p>
    <w:p w14:paraId="7FA32478">
      <w:pPr>
        <w:rPr>
          <w:rFonts w:hint="default" w:ascii="Times New Roman" w:hAnsi="Times New Roman" w:eastAsia="黑体" w:cs="Times New Roman"/>
          <w:szCs w:val="21"/>
          <w:highlight w:val="none"/>
        </w:rPr>
      </w:pPr>
    </w:p>
    <w:p w14:paraId="00DC921B">
      <w:pPr>
        <w:rPr>
          <w:rFonts w:hint="default" w:ascii="Times New Roman" w:hAnsi="Times New Roman" w:eastAsia="黑体" w:cs="Times New Roman"/>
          <w:szCs w:val="21"/>
          <w:highlight w:val="none"/>
        </w:rPr>
      </w:pPr>
    </w:p>
    <w:p w14:paraId="35BA0DBF">
      <w:pPr>
        <w:spacing w:line="360" w:lineRule="auto"/>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注：</w:t>
      </w:r>
      <w:r>
        <w:rPr>
          <w:rFonts w:hint="default" w:ascii="Times New Roman" w:hAnsi="Times New Roman" w:cs="Times New Roman"/>
          <w:sz w:val="24"/>
          <w:highlight w:val="none"/>
        </w:rPr>
        <w:t>①</w:t>
      </w:r>
      <w:r>
        <w:rPr>
          <w:rFonts w:hint="default" w:ascii="Times New Roman" w:hAnsi="Times New Roman" w:eastAsia="黑体" w:cs="Times New Roman"/>
          <w:sz w:val="24"/>
          <w:highlight w:val="none"/>
        </w:rPr>
        <w:t>如果由投标人的委托代理人签署投标文件，则只须按要求提供《授权委托书》；</w:t>
      </w:r>
    </w:p>
    <w:p w14:paraId="5DD918BC">
      <w:pPr>
        <w:spacing w:line="360" w:lineRule="auto"/>
        <w:ind w:firstLine="480" w:firstLineChars="200"/>
        <w:rPr>
          <w:rFonts w:hint="default" w:ascii="Times New Roman" w:hAnsi="Times New Roman" w:eastAsia="黑体" w:cs="Times New Roman"/>
          <w:sz w:val="24"/>
          <w:highlight w:val="none"/>
        </w:rPr>
      </w:pPr>
      <w:r>
        <w:rPr>
          <w:rFonts w:hint="default" w:ascii="Times New Roman" w:hAnsi="Times New Roman" w:cs="Times New Roman"/>
          <w:sz w:val="24"/>
          <w:highlight w:val="none"/>
        </w:rPr>
        <w:t>②</w:t>
      </w:r>
      <w:r>
        <w:rPr>
          <w:rFonts w:hint="default" w:ascii="Times New Roman" w:hAnsi="Times New Roman" w:eastAsia="黑体" w:cs="Times New Roman"/>
          <w:sz w:val="24"/>
          <w:highlight w:val="none"/>
        </w:rPr>
        <w:t>如果由投标人的法定代表人亲自签署投标文件，则只须按要求提供《法定代表人身份证明》。</w:t>
      </w:r>
    </w:p>
    <w:p w14:paraId="69D9CCAA">
      <w:pPr>
        <w:spacing w:line="360" w:lineRule="auto"/>
        <w:ind w:firstLine="480" w:firstLineChars="200"/>
        <w:rPr>
          <w:rFonts w:hint="default" w:ascii="Times New Roman" w:hAnsi="Times New Roman" w:eastAsia="黑体" w:cs="Times New Roman"/>
          <w:sz w:val="24"/>
          <w:highlight w:val="none"/>
        </w:rPr>
      </w:pPr>
    </w:p>
    <w:p w14:paraId="684B59BA">
      <w:pPr>
        <w:keepNext/>
        <w:keepLines/>
        <w:widowControl/>
        <w:tabs>
          <w:tab w:val="left" w:pos="1440"/>
        </w:tabs>
        <w:wordWrap w:val="0"/>
        <w:topLinePunct/>
        <w:spacing w:line="440" w:lineRule="exact"/>
        <w:jc w:val="center"/>
        <w:outlineLvl w:val="3"/>
        <w:rPr>
          <w:rFonts w:hint="default" w:ascii="Times New Roman" w:hAnsi="Times New Roman" w:eastAsia="黑体" w:cs="Times New Roman"/>
          <w:bCs/>
          <w:kern w:val="0"/>
          <w:sz w:val="24"/>
          <w:highlight w:val="none"/>
        </w:rPr>
      </w:pPr>
      <w:r>
        <w:rPr>
          <w:rFonts w:hint="default" w:ascii="Times New Roman" w:hAnsi="Times New Roman" w:cs="Times New Roman"/>
          <w:highlight w:val="none"/>
        </w:rPr>
        <w:br w:type="page"/>
      </w:r>
      <w:bookmarkStart w:id="1501" w:name="_Toc483640988"/>
      <w:bookmarkStart w:id="1502" w:name="_Toc500352764"/>
      <w:bookmarkStart w:id="1503" w:name="_Toc495663699"/>
      <w:r>
        <w:rPr>
          <w:rFonts w:hint="default" w:ascii="Times New Roman" w:hAnsi="Times New Roman" w:eastAsia="黑体" w:cs="Times New Roman"/>
          <w:bCs/>
          <w:kern w:val="0"/>
          <w:sz w:val="24"/>
          <w:highlight w:val="none"/>
        </w:rPr>
        <w:t>（一）授权委托书</w:t>
      </w:r>
    </w:p>
    <w:p w14:paraId="4FE1F580">
      <w:pPr>
        <w:topLinePunct/>
        <w:spacing w:line="44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（姓名）系</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（投标人名称）的法定代表人，现委托</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（姓名）为我方代理人。代理人根据授权，以我方名义签署、澄清确认、递交、撤回、修改</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（项目及标段名称）投标文件、签订合同和处理有关事宜，其法律后果由我方承担。</w:t>
      </w:r>
    </w:p>
    <w:p w14:paraId="5F7D55D5">
      <w:pPr>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委托期限：自本委托书签署之日起至投标有效期期满。</w:t>
      </w:r>
    </w:p>
    <w:p w14:paraId="57E47841">
      <w:pPr>
        <w:wordWrap w:val="0"/>
        <w:topLinePunct/>
        <w:spacing w:line="44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代理人无转委托权。</w:t>
      </w:r>
    </w:p>
    <w:p w14:paraId="3AF3AD04">
      <w:pPr>
        <w:wordWrap w:val="0"/>
        <w:topLinePunct/>
        <w:spacing w:line="440" w:lineRule="exact"/>
        <w:ind w:firstLine="480" w:firstLineChars="200"/>
        <w:rPr>
          <w:rFonts w:hint="default" w:ascii="Times New Roman" w:hAnsi="Times New Roman" w:cs="Times New Roman"/>
          <w:sz w:val="24"/>
          <w:highlight w:val="none"/>
        </w:rPr>
      </w:pPr>
    </w:p>
    <w:p w14:paraId="00801BE0">
      <w:pPr>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法定代表人身份证</w:t>
      </w:r>
      <w:r>
        <w:rPr>
          <w:rFonts w:hint="eastAsia" w:eastAsia="黑体" w:cs="Times New Roman"/>
          <w:sz w:val="24"/>
          <w:highlight w:val="none"/>
          <w:lang w:val="en-US" w:eastAsia="zh-CN"/>
        </w:rPr>
        <w:t>原件扫描件</w:t>
      </w:r>
      <w:r>
        <w:rPr>
          <w:rFonts w:hint="default" w:ascii="Times New Roman" w:hAnsi="Times New Roman" w:eastAsia="黑体" w:cs="Times New Roman"/>
          <w:sz w:val="24"/>
          <w:highlight w:val="none"/>
        </w:rPr>
        <w:t xml:space="preserve">       委托代理人身份证</w:t>
      </w:r>
      <w:r>
        <w:rPr>
          <w:rFonts w:hint="eastAsia" w:eastAsia="黑体" w:cs="Times New Roman"/>
          <w:sz w:val="24"/>
          <w:highlight w:val="none"/>
          <w:lang w:val="en-US" w:eastAsia="zh-CN"/>
        </w:rPr>
        <w:t>原件扫描件</w:t>
      </w:r>
    </w:p>
    <w:tbl>
      <w:tblPr>
        <w:tblStyle w:val="40"/>
        <w:tblW w:w="92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45"/>
        <w:gridCol w:w="4644"/>
      </w:tblGrid>
      <w:tr w14:paraId="73A35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8" w:hRule="atLeast"/>
        </w:trPr>
        <w:tc>
          <w:tcPr>
            <w:tcW w:w="4645" w:type="dxa"/>
            <w:vAlign w:val="center"/>
          </w:tcPr>
          <w:p w14:paraId="3AEC69C5">
            <w:pPr>
              <w:topLinePunct/>
              <w:jc w:val="center"/>
              <w:rPr>
                <w:rFonts w:hint="default" w:ascii="Times New Roman" w:hAnsi="Times New Roman" w:cs="Times New Roman"/>
                <w:sz w:val="24"/>
                <w:highlight w:val="none"/>
              </w:rPr>
            </w:pPr>
          </w:p>
          <w:p w14:paraId="50503E39">
            <w:pPr>
              <w:jc w:val="center"/>
              <w:rPr>
                <w:rFonts w:hint="default" w:ascii="Times New Roman" w:hAnsi="Times New Roman" w:cs="Times New Roman"/>
                <w:sz w:val="24"/>
                <w:highlight w:val="none"/>
              </w:rPr>
            </w:pPr>
            <w:r>
              <w:rPr>
                <w:rFonts w:hint="default" w:ascii="Times New Roman" w:hAnsi="Times New Roman" w:cs="Times New Roman"/>
                <w:sz w:val="24"/>
                <w:highlight w:val="none"/>
              </w:rPr>
              <w:t>（正面）</w:t>
            </w:r>
          </w:p>
          <w:p w14:paraId="3E80EA73">
            <w:pPr>
              <w:topLinePunct/>
              <w:jc w:val="center"/>
              <w:rPr>
                <w:rFonts w:hint="default" w:ascii="Times New Roman" w:hAnsi="Times New Roman" w:cs="Times New Roman"/>
                <w:sz w:val="24"/>
                <w:highlight w:val="none"/>
              </w:rPr>
            </w:pPr>
          </w:p>
        </w:tc>
        <w:tc>
          <w:tcPr>
            <w:tcW w:w="4644" w:type="dxa"/>
            <w:vAlign w:val="center"/>
          </w:tcPr>
          <w:p w14:paraId="28CEE14D">
            <w:pPr>
              <w:topLinePunct/>
              <w:jc w:val="center"/>
              <w:rPr>
                <w:rFonts w:hint="default" w:ascii="Times New Roman" w:hAnsi="Times New Roman" w:cs="Times New Roman"/>
                <w:sz w:val="24"/>
                <w:highlight w:val="none"/>
              </w:rPr>
            </w:pPr>
          </w:p>
          <w:p w14:paraId="651AE345">
            <w:pPr>
              <w:topLinePunct/>
              <w:jc w:val="center"/>
              <w:rPr>
                <w:rFonts w:hint="default" w:ascii="Times New Roman" w:hAnsi="Times New Roman" w:cs="Times New Roman"/>
                <w:sz w:val="24"/>
                <w:highlight w:val="none"/>
              </w:rPr>
            </w:pPr>
            <w:r>
              <w:rPr>
                <w:rFonts w:hint="default" w:ascii="Times New Roman" w:hAnsi="Times New Roman" w:cs="Times New Roman"/>
                <w:sz w:val="24"/>
                <w:highlight w:val="none"/>
              </w:rPr>
              <w:t>（正面）</w:t>
            </w:r>
          </w:p>
          <w:p w14:paraId="5BCFBD68">
            <w:pPr>
              <w:topLinePunct/>
              <w:jc w:val="center"/>
              <w:rPr>
                <w:rFonts w:hint="default" w:ascii="Times New Roman" w:hAnsi="Times New Roman" w:cs="Times New Roman"/>
                <w:sz w:val="24"/>
                <w:highlight w:val="none"/>
              </w:rPr>
            </w:pPr>
          </w:p>
        </w:tc>
      </w:tr>
      <w:tr w14:paraId="1452C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8" w:hRule="atLeast"/>
        </w:trPr>
        <w:tc>
          <w:tcPr>
            <w:tcW w:w="4645" w:type="dxa"/>
            <w:vAlign w:val="center"/>
          </w:tcPr>
          <w:p w14:paraId="3F48CD6D">
            <w:pPr>
              <w:topLinePunct/>
              <w:jc w:val="center"/>
              <w:rPr>
                <w:rFonts w:hint="default" w:ascii="Times New Roman" w:hAnsi="Times New Roman" w:cs="Times New Roman"/>
                <w:sz w:val="24"/>
                <w:highlight w:val="none"/>
              </w:rPr>
            </w:pPr>
          </w:p>
          <w:p w14:paraId="3C987CB3">
            <w:pPr>
              <w:jc w:val="center"/>
              <w:rPr>
                <w:rFonts w:hint="default" w:ascii="Times New Roman" w:hAnsi="Times New Roman" w:cs="Times New Roman"/>
                <w:sz w:val="24"/>
                <w:highlight w:val="none"/>
              </w:rPr>
            </w:pPr>
            <w:r>
              <w:rPr>
                <w:rFonts w:hint="default" w:ascii="Times New Roman" w:hAnsi="Times New Roman" w:cs="Times New Roman"/>
                <w:sz w:val="24"/>
                <w:highlight w:val="none"/>
              </w:rPr>
              <w:t>（背面）</w:t>
            </w:r>
          </w:p>
          <w:p w14:paraId="54A81F89">
            <w:pPr>
              <w:topLinePunct/>
              <w:jc w:val="center"/>
              <w:rPr>
                <w:rFonts w:hint="default" w:ascii="Times New Roman" w:hAnsi="Times New Roman" w:cs="Times New Roman"/>
                <w:sz w:val="24"/>
                <w:highlight w:val="none"/>
              </w:rPr>
            </w:pPr>
          </w:p>
        </w:tc>
        <w:tc>
          <w:tcPr>
            <w:tcW w:w="4644" w:type="dxa"/>
            <w:vAlign w:val="center"/>
          </w:tcPr>
          <w:p w14:paraId="39E87515">
            <w:pPr>
              <w:topLinePunct/>
              <w:jc w:val="center"/>
              <w:rPr>
                <w:rFonts w:hint="default" w:ascii="Times New Roman" w:hAnsi="Times New Roman" w:cs="Times New Roman"/>
                <w:sz w:val="24"/>
                <w:highlight w:val="none"/>
              </w:rPr>
            </w:pPr>
          </w:p>
          <w:p w14:paraId="26DBE325">
            <w:pPr>
              <w:jc w:val="center"/>
              <w:rPr>
                <w:rFonts w:hint="default" w:ascii="Times New Roman" w:hAnsi="Times New Roman" w:cs="Times New Roman"/>
                <w:sz w:val="24"/>
                <w:highlight w:val="none"/>
              </w:rPr>
            </w:pPr>
            <w:r>
              <w:rPr>
                <w:rFonts w:hint="default" w:ascii="Times New Roman" w:hAnsi="Times New Roman" w:cs="Times New Roman"/>
                <w:sz w:val="24"/>
                <w:highlight w:val="none"/>
              </w:rPr>
              <w:t>（背面）</w:t>
            </w:r>
          </w:p>
          <w:p w14:paraId="53BF0F38">
            <w:pPr>
              <w:jc w:val="center"/>
              <w:rPr>
                <w:rFonts w:hint="default" w:ascii="Times New Roman" w:hAnsi="Times New Roman" w:cs="Times New Roman"/>
                <w:sz w:val="24"/>
                <w:highlight w:val="none"/>
              </w:rPr>
            </w:pPr>
          </w:p>
        </w:tc>
      </w:tr>
    </w:tbl>
    <w:p w14:paraId="40FC52E0">
      <w:pPr>
        <w:wordWrap w:val="0"/>
        <w:topLinePunct/>
        <w:spacing w:line="440" w:lineRule="exact"/>
        <w:rPr>
          <w:rFonts w:hint="default" w:ascii="Times New Roman" w:hAnsi="Times New Roman" w:cs="Times New Roman"/>
          <w:sz w:val="24"/>
          <w:highlight w:val="none"/>
        </w:rPr>
      </w:pPr>
    </w:p>
    <w:p w14:paraId="08D07704">
      <w:pPr>
        <w:keepNext w:val="0"/>
        <w:keepLines w:val="0"/>
        <w:pageBreakBefore w:val="0"/>
        <w:widowControl w:val="0"/>
        <w:kinsoku/>
        <w:wordWrap w:val="0"/>
        <w:overflowPunct/>
        <w:topLinePunct/>
        <w:autoSpaceDE/>
        <w:autoSpaceDN/>
        <w:bidi w:val="0"/>
        <w:adjustRightInd/>
        <w:snapToGrid/>
        <w:spacing w:line="400" w:lineRule="atLeast"/>
        <w:ind w:firstLine="1920" w:firstLineChars="8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投标人：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（全称） （</w:t>
      </w:r>
      <w:r>
        <w:rPr>
          <w:rFonts w:hint="default" w:ascii="Times New Roman" w:hAnsi="Times New Roman" w:cs="Times New Roman"/>
          <w:sz w:val="24"/>
          <w:highlight w:val="none"/>
          <w:lang w:val="en-US" w:eastAsia="zh-CN"/>
        </w:rPr>
        <w:t>盖单位电子印章</w:t>
      </w:r>
      <w:r>
        <w:rPr>
          <w:rFonts w:hint="default" w:ascii="Times New Roman" w:hAnsi="Times New Roman" w:cs="Times New Roman"/>
          <w:sz w:val="24"/>
          <w:highlight w:val="none"/>
        </w:rPr>
        <w:t>）</w:t>
      </w:r>
    </w:p>
    <w:p w14:paraId="12A096A3">
      <w:pPr>
        <w:keepNext w:val="0"/>
        <w:keepLines w:val="0"/>
        <w:pageBreakBefore w:val="0"/>
        <w:widowControl w:val="0"/>
        <w:kinsoku/>
        <w:wordWrap w:val="0"/>
        <w:overflowPunct/>
        <w:topLinePunct/>
        <w:autoSpaceDE/>
        <w:autoSpaceDN/>
        <w:bidi w:val="0"/>
        <w:adjustRightInd/>
        <w:snapToGrid/>
        <w:spacing w:line="400" w:lineRule="atLeast"/>
        <w:ind w:firstLine="1920" w:firstLineChars="8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法定代表人：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（个人电子签名章或个人电子印章）</w:t>
      </w:r>
    </w:p>
    <w:p w14:paraId="35194F9D">
      <w:pPr>
        <w:keepNext w:val="0"/>
        <w:keepLines w:val="0"/>
        <w:pageBreakBefore w:val="0"/>
        <w:widowControl w:val="0"/>
        <w:kinsoku/>
        <w:wordWrap w:val="0"/>
        <w:overflowPunct/>
        <w:topLinePunct/>
        <w:autoSpaceDE/>
        <w:autoSpaceDN/>
        <w:bidi w:val="0"/>
        <w:adjustRightInd/>
        <w:snapToGrid/>
        <w:spacing w:line="400" w:lineRule="atLeast"/>
        <w:ind w:firstLine="1920" w:firstLineChars="800"/>
        <w:textAlignment w:val="auto"/>
        <w:rPr>
          <w:rFonts w:hint="default" w:ascii="Times New Roman" w:hAnsi="Times New Roman" w:cs="Times New Roman"/>
          <w:sz w:val="24"/>
          <w:highlight w:val="none"/>
          <w:u w:val="single"/>
        </w:rPr>
      </w:pPr>
      <w:r>
        <w:rPr>
          <w:rFonts w:hint="default" w:ascii="Times New Roman" w:hAnsi="Times New Roman" w:cs="Times New Roman"/>
          <w:sz w:val="24"/>
          <w:highlight w:val="none"/>
        </w:rPr>
        <w:t>身份证号码：</w:t>
      </w:r>
      <w:r>
        <w:rPr>
          <w:rFonts w:hint="default" w:ascii="Times New Roman" w:hAnsi="Times New Roman" w:cs="Times New Roman"/>
          <w:sz w:val="24"/>
          <w:highlight w:val="none"/>
          <w:u w:val="single"/>
        </w:rPr>
        <w:t xml:space="preserve">                   </w:t>
      </w:r>
    </w:p>
    <w:p w14:paraId="6CC9C259">
      <w:pPr>
        <w:keepNext w:val="0"/>
        <w:keepLines w:val="0"/>
        <w:pageBreakBefore w:val="0"/>
        <w:widowControl w:val="0"/>
        <w:kinsoku/>
        <w:wordWrap w:val="0"/>
        <w:overflowPunct/>
        <w:topLinePunct/>
        <w:autoSpaceDE/>
        <w:autoSpaceDN/>
        <w:bidi w:val="0"/>
        <w:adjustRightInd/>
        <w:snapToGrid/>
        <w:spacing w:line="400" w:lineRule="atLeast"/>
        <w:ind w:firstLine="1920" w:firstLineChars="800"/>
        <w:textAlignment w:val="auto"/>
        <w:rPr>
          <w:rFonts w:hint="default" w:ascii="Times New Roman" w:hAnsi="Times New Roman" w:cs="Times New Roman"/>
          <w:sz w:val="24"/>
          <w:highlight w:val="none"/>
        </w:rPr>
      </w:pPr>
    </w:p>
    <w:p w14:paraId="42489B1B">
      <w:pPr>
        <w:keepNext w:val="0"/>
        <w:keepLines w:val="0"/>
        <w:pageBreakBefore w:val="0"/>
        <w:widowControl w:val="0"/>
        <w:kinsoku/>
        <w:wordWrap w:val="0"/>
        <w:overflowPunct/>
        <w:topLinePunct/>
        <w:autoSpaceDE/>
        <w:autoSpaceDN/>
        <w:bidi w:val="0"/>
        <w:adjustRightInd/>
        <w:snapToGrid/>
        <w:spacing w:line="400" w:lineRule="atLeast"/>
        <w:ind w:firstLine="1920" w:firstLineChars="8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委托代理人：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（个人电子签名章或个人电子印章）</w:t>
      </w:r>
    </w:p>
    <w:p w14:paraId="4FD03371">
      <w:pPr>
        <w:keepNext w:val="0"/>
        <w:keepLines w:val="0"/>
        <w:pageBreakBefore w:val="0"/>
        <w:widowControl w:val="0"/>
        <w:kinsoku/>
        <w:wordWrap w:val="0"/>
        <w:overflowPunct/>
        <w:topLinePunct/>
        <w:autoSpaceDE/>
        <w:autoSpaceDN/>
        <w:bidi w:val="0"/>
        <w:adjustRightInd/>
        <w:snapToGrid/>
        <w:spacing w:line="400" w:lineRule="atLeast"/>
        <w:ind w:firstLine="1920" w:firstLineChars="8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身份证号码：</w:t>
      </w:r>
      <w:r>
        <w:rPr>
          <w:rFonts w:hint="default" w:ascii="Times New Roman" w:hAnsi="Times New Roman" w:cs="Times New Roman"/>
          <w:sz w:val="24"/>
          <w:highlight w:val="none"/>
          <w:u w:val="single"/>
        </w:rPr>
        <w:t xml:space="preserve">                            </w:t>
      </w:r>
    </w:p>
    <w:p w14:paraId="48FCFA57">
      <w:pPr>
        <w:wordWrap w:val="0"/>
        <w:topLinePunct/>
        <w:spacing w:line="400" w:lineRule="atLeast"/>
        <w:ind w:left="418" w:leftChars="199" w:firstLine="3720" w:firstLineChars="1550"/>
        <w:jc w:val="left"/>
        <w:rPr>
          <w:rFonts w:hint="default" w:ascii="Times New Roman" w:hAnsi="Times New Roman" w:cs="Times New Roman"/>
          <w:sz w:val="24"/>
          <w:highlight w:val="none"/>
        </w:rPr>
      </w:pP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年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月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 日</w:t>
      </w:r>
    </w:p>
    <w:p w14:paraId="5174056D">
      <w:pPr>
        <w:wordWrap w:val="0"/>
        <w:topLinePunct/>
        <w:spacing w:line="400" w:lineRule="atLeast"/>
        <w:ind w:firstLine="420" w:firstLineChars="200"/>
        <w:rPr>
          <w:rFonts w:hint="default" w:ascii="Times New Roman" w:hAnsi="Times New Roman" w:eastAsia="黑体" w:cs="Times New Roman"/>
          <w:szCs w:val="21"/>
          <w:highlight w:val="none"/>
        </w:rPr>
      </w:pPr>
    </w:p>
    <w:p w14:paraId="3B5B1B6E">
      <w:pPr>
        <w:wordWrap w:val="0"/>
        <w:topLinePunct/>
        <w:spacing w:line="400" w:lineRule="atLeast"/>
        <w:ind w:firstLine="420" w:firstLineChars="200"/>
        <w:rPr>
          <w:rFonts w:hint="default" w:ascii="Times New Roman" w:hAnsi="Times New Roman" w:eastAsia="黑体" w:cs="Times New Roman"/>
          <w:szCs w:val="21"/>
          <w:highlight w:val="none"/>
        </w:rPr>
      </w:pPr>
      <w:r>
        <w:rPr>
          <w:rFonts w:hint="default" w:ascii="Times New Roman" w:hAnsi="Times New Roman" w:cs="Times New Roman"/>
          <w:kern w:val="2"/>
          <w:sz w:val="21"/>
          <w:szCs w:val="21"/>
          <w:highlight w:val="none"/>
        </w:rPr>
        <w:t>注：</w:t>
      </w:r>
      <w:r>
        <w:rPr>
          <w:rFonts w:hint="default" w:ascii="Times New Roman" w:hAnsi="Times New Roman" w:cs="Times New Roman"/>
          <w:szCs w:val="21"/>
          <w:highlight w:val="none"/>
        </w:rPr>
        <w:t>以联合体形式投标的，本授权委托书应由联合体牵头人的法定代表人按上述规定签署。</w:t>
      </w:r>
    </w:p>
    <w:p w14:paraId="7E272E0F">
      <w:pPr>
        <w:spacing w:line="360" w:lineRule="auto"/>
        <w:ind w:firstLine="3360"/>
        <w:jc w:val="right"/>
        <w:rPr>
          <w:rFonts w:hint="default" w:ascii="Times New Roman" w:hAnsi="Times New Roman" w:eastAsia="仿宋_GB2312" w:cs="Times New Roman"/>
          <w:sz w:val="32"/>
          <w:szCs w:val="32"/>
          <w:highlight w:val="none"/>
        </w:rPr>
      </w:pPr>
    </w:p>
    <w:p w14:paraId="14FFEA5F">
      <w:pPr>
        <w:keepNext/>
        <w:keepLines/>
        <w:widowControl/>
        <w:tabs>
          <w:tab w:val="left" w:pos="1440"/>
        </w:tabs>
        <w:wordWrap w:val="0"/>
        <w:topLinePunct/>
        <w:spacing w:line="440" w:lineRule="exact"/>
        <w:jc w:val="center"/>
        <w:outlineLvl w:val="3"/>
        <w:rPr>
          <w:rFonts w:hint="default" w:ascii="Times New Roman" w:hAnsi="Times New Roman" w:eastAsia="黑体" w:cs="Times New Roman"/>
          <w:bCs/>
          <w:kern w:val="0"/>
          <w:sz w:val="24"/>
          <w:highlight w:val="none"/>
        </w:rPr>
      </w:pPr>
      <w:r>
        <w:rPr>
          <w:rFonts w:hint="default" w:ascii="Times New Roman" w:hAnsi="Times New Roman" w:cs="Times New Roman"/>
          <w:highlight w:val="none"/>
        </w:rPr>
        <w:br w:type="page"/>
      </w:r>
      <w:r>
        <w:rPr>
          <w:rFonts w:hint="default" w:ascii="Times New Roman" w:hAnsi="Times New Roman" w:eastAsia="黑体" w:cs="Times New Roman"/>
          <w:bCs/>
          <w:kern w:val="0"/>
          <w:sz w:val="24"/>
          <w:highlight w:val="none"/>
        </w:rPr>
        <w:t>（二）法定代表人身份证明</w:t>
      </w:r>
      <w:bookmarkEnd w:id="1501"/>
      <w:bookmarkEnd w:id="1502"/>
      <w:bookmarkEnd w:id="1503"/>
    </w:p>
    <w:p w14:paraId="3B036B93">
      <w:pPr>
        <w:rPr>
          <w:rFonts w:hint="default" w:ascii="Times New Roman" w:hAnsi="Times New Roman" w:cs="Times New Roman"/>
          <w:highlight w:val="none"/>
        </w:rPr>
      </w:pPr>
    </w:p>
    <w:p w14:paraId="6C1511F9">
      <w:pPr>
        <w:rPr>
          <w:rFonts w:hint="default" w:ascii="Times New Roman" w:hAnsi="Times New Roman" w:cs="Times New Roman"/>
          <w:highlight w:val="none"/>
        </w:rPr>
      </w:pPr>
    </w:p>
    <w:p w14:paraId="73213D09">
      <w:pPr>
        <w:wordWrap w:val="0"/>
        <w:topLinePunct/>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投标人名称：</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 </w:t>
      </w:r>
    </w:p>
    <w:p w14:paraId="7A41FAE9">
      <w:pPr>
        <w:wordWrap w:val="0"/>
        <w:topLinePunct/>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姓名：</w:t>
      </w:r>
      <w:r>
        <w:rPr>
          <w:rFonts w:hint="default" w:ascii="Times New Roman" w:hAnsi="Times New Roman" w:cs="Times New Roman"/>
          <w:sz w:val="24"/>
          <w:highlight w:val="none"/>
          <w:u w:val="single"/>
        </w:rPr>
        <w:t xml:space="preserve">  </w:t>
      </w:r>
      <w:r>
        <w:rPr>
          <w:rFonts w:hint="default" w:ascii="Times New Roman" w:hAnsi="Times New Roman" w:cs="Times New Roman"/>
          <w:bCs/>
          <w:sz w:val="24"/>
          <w:highlight w:val="none"/>
          <w:u w:val="single"/>
        </w:rPr>
        <w:t>（法定代表人个人电子签名章或个人电子印章）</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 性别：</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 年龄：</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职务：</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系</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 （投标人名称）的法定代表人。</w:t>
      </w:r>
    </w:p>
    <w:p w14:paraId="39687655">
      <w:pPr>
        <w:wordWrap w:val="0"/>
        <w:topLinePunct/>
        <w:spacing w:line="44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特此证明。</w:t>
      </w:r>
    </w:p>
    <w:p w14:paraId="035E0C5D">
      <w:pPr>
        <w:wordWrap w:val="0"/>
        <w:topLinePunct/>
        <w:spacing w:line="440" w:lineRule="exact"/>
        <w:rPr>
          <w:rFonts w:hint="default" w:ascii="Times New Roman" w:hAnsi="Times New Roman" w:cs="Times New Roman"/>
          <w:sz w:val="24"/>
          <w:highlight w:val="none"/>
        </w:rPr>
      </w:pPr>
    </w:p>
    <w:p w14:paraId="6C616D5C">
      <w:pPr>
        <w:topLinePunct/>
        <w:spacing w:line="440" w:lineRule="exact"/>
        <w:jc w:val="center"/>
        <w:rPr>
          <w:rFonts w:hint="default" w:ascii="Times New Roman" w:hAnsi="Times New Roman" w:eastAsia="黑体" w:cs="Times New Roman"/>
          <w:sz w:val="24"/>
          <w:highlight w:val="none"/>
          <w:lang w:val="en-US" w:eastAsia="zh-CN"/>
        </w:rPr>
      </w:pPr>
      <w:r>
        <w:rPr>
          <w:rFonts w:hint="default" w:ascii="Times New Roman" w:hAnsi="Times New Roman" w:eastAsia="黑体" w:cs="Times New Roman"/>
          <w:sz w:val="24"/>
          <w:highlight w:val="none"/>
        </w:rPr>
        <w:t>法定代表人身份证</w:t>
      </w:r>
      <w:r>
        <w:rPr>
          <w:rFonts w:hint="eastAsia" w:eastAsia="黑体" w:cs="Times New Roman"/>
          <w:sz w:val="24"/>
          <w:highlight w:val="none"/>
          <w:lang w:val="en-US" w:eastAsia="zh-CN"/>
        </w:rPr>
        <w:t>原件扫描件</w:t>
      </w:r>
    </w:p>
    <w:p w14:paraId="413A819D">
      <w:pPr>
        <w:ind w:firstLine="420"/>
        <w:rPr>
          <w:rFonts w:hint="default" w:ascii="Times New Roman" w:hAnsi="Times New Roman" w:cs="Times New Roman"/>
          <w:highlight w:val="none"/>
        </w:rPr>
      </w:pPr>
    </w:p>
    <w:tbl>
      <w:tblPr>
        <w:tblStyle w:val="40"/>
        <w:tblW w:w="92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45"/>
        <w:gridCol w:w="4644"/>
      </w:tblGrid>
      <w:tr w14:paraId="122D1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4" w:hRule="atLeast"/>
        </w:trPr>
        <w:tc>
          <w:tcPr>
            <w:tcW w:w="4645" w:type="dxa"/>
            <w:vAlign w:val="center"/>
          </w:tcPr>
          <w:p w14:paraId="7B4C6182">
            <w:pPr>
              <w:topLinePunct/>
              <w:spacing w:line="440" w:lineRule="exact"/>
              <w:jc w:val="center"/>
              <w:rPr>
                <w:rFonts w:hint="default" w:ascii="Times New Roman" w:hAnsi="Times New Roman" w:cs="Times New Roman"/>
                <w:sz w:val="24"/>
                <w:highlight w:val="none"/>
              </w:rPr>
            </w:pPr>
          </w:p>
          <w:p w14:paraId="168A802A">
            <w:pPr>
              <w:wordWrap w:val="0"/>
              <w:topLinePunct/>
              <w:spacing w:line="440" w:lineRule="exact"/>
              <w:jc w:val="center"/>
              <w:rPr>
                <w:rFonts w:hint="default" w:ascii="Times New Roman" w:hAnsi="Times New Roman" w:cs="Times New Roman"/>
                <w:sz w:val="24"/>
                <w:highlight w:val="none"/>
              </w:rPr>
            </w:pPr>
          </w:p>
          <w:p w14:paraId="12D0A3C3">
            <w:pPr>
              <w:jc w:val="center"/>
              <w:rPr>
                <w:rFonts w:hint="default" w:ascii="Times New Roman" w:hAnsi="Times New Roman" w:cs="Times New Roman"/>
                <w:sz w:val="24"/>
                <w:highlight w:val="none"/>
              </w:rPr>
            </w:pPr>
            <w:r>
              <w:rPr>
                <w:rFonts w:hint="default" w:ascii="Times New Roman" w:hAnsi="Times New Roman" w:cs="Times New Roman"/>
                <w:sz w:val="24"/>
                <w:highlight w:val="none"/>
              </w:rPr>
              <w:t>（正面）</w:t>
            </w:r>
          </w:p>
          <w:p w14:paraId="12D73B34">
            <w:pPr>
              <w:wordWrap w:val="0"/>
              <w:topLinePunct/>
              <w:spacing w:line="440" w:lineRule="exact"/>
              <w:jc w:val="center"/>
              <w:rPr>
                <w:rFonts w:hint="default" w:ascii="Times New Roman" w:hAnsi="Times New Roman" w:cs="Times New Roman"/>
                <w:sz w:val="24"/>
                <w:highlight w:val="none"/>
              </w:rPr>
            </w:pPr>
          </w:p>
          <w:p w14:paraId="72595C69">
            <w:pPr>
              <w:wordWrap w:val="0"/>
              <w:topLinePunct/>
              <w:spacing w:line="440" w:lineRule="exact"/>
              <w:jc w:val="center"/>
              <w:rPr>
                <w:rFonts w:hint="default" w:ascii="Times New Roman" w:hAnsi="Times New Roman" w:cs="Times New Roman"/>
                <w:sz w:val="24"/>
                <w:highlight w:val="none"/>
              </w:rPr>
            </w:pPr>
          </w:p>
        </w:tc>
        <w:tc>
          <w:tcPr>
            <w:tcW w:w="4644" w:type="dxa"/>
            <w:vAlign w:val="center"/>
          </w:tcPr>
          <w:p w14:paraId="1CAAB896">
            <w:pPr>
              <w:wordWrap w:val="0"/>
              <w:topLinePunct/>
              <w:spacing w:line="440" w:lineRule="exact"/>
              <w:jc w:val="center"/>
              <w:rPr>
                <w:rFonts w:hint="default" w:ascii="Times New Roman" w:hAnsi="Times New Roman" w:cs="Times New Roman"/>
                <w:sz w:val="24"/>
                <w:highlight w:val="none"/>
              </w:rPr>
            </w:pPr>
          </w:p>
          <w:p w14:paraId="2105AB84">
            <w:pPr>
              <w:wordWrap w:val="0"/>
              <w:topLinePunct/>
              <w:spacing w:line="440" w:lineRule="exact"/>
              <w:jc w:val="center"/>
              <w:rPr>
                <w:rFonts w:hint="default" w:ascii="Times New Roman" w:hAnsi="Times New Roman" w:cs="Times New Roman"/>
                <w:sz w:val="24"/>
                <w:highlight w:val="none"/>
              </w:rPr>
            </w:pPr>
          </w:p>
          <w:p w14:paraId="182D0293">
            <w:pPr>
              <w:jc w:val="center"/>
              <w:rPr>
                <w:rFonts w:hint="default" w:ascii="Times New Roman" w:hAnsi="Times New Roman" w:cs="Times New Roman"/>
                <w:sz w:val="24"/>
                <w:highlight w:val="none"/>
              </w:rPr>
            </w:pPr>
            <w:r>
              <w:rPr>
                <w:rFonts w:hint="default" w:ascii="Times New Roman" w:hAnsi="Times New Roman" w:cs="Times New Roman"/>
                <w:sz w:val="24"/>
                <w:highlight w:val="none"/>
              </w:rPr>
              <w:t>（背面）</w:t>
            </w:r>
          </w:p>
          <w:p w14:paraId="13200BE8">
            <w:pPr>
              <w:wordWrap w:val="0"/>
              <w:topLinePunct/>
              <w:spacing w:line="440" w:lineRule="exact"/>
              <w:jc w:val="center"/>
              <w:rPr>
                <w:rFonts w:hint="default" w:ascii="Times New Roman" w:hAnsi="Times New Roman" w:cs="Times New Roman"/>
                <w:sz w:val="24"/>
                <w:highlight w:val="none"/>
              </w:rPr>
            </w:pPr>
          </w:p>
          <w:p w14:paraId="20039C5D">
            <w:pPr>
              <w:wordWrap w:val="0"/>
              <w:topLinePunct/>
              <w:spacing w:line="440" w:lineRule="exact"/>
              <w:jc w:val="center"/>
              <w:rPr>
                <w:rFonts w:hint="default" w:ascii="Times New Roman" w:hAnsi="Times New Roman" w:cs="Times New Roman"/>
                <w:sz w:val="24"/>
                <w:highlight w:val="none"/>
              </w:rPr>
            </w:pPr>
          </w:p>
        </w:tc>
      </w:tr>
    </w:tbl>
    <w:p w14:paraId="0029BD1A">
      <w:pPr>
        <w:wordWrap w:val="0"/>
        <w:topLinePunct/>
        <w:spacing w:line="440" w:lineRule="exact"/>
        <w:rPr>
          <w:rFonts w:hint="default" w:ascii="Times New Roman" w:hAnsi="Times New Roman" w:cs="Times New Roman"/>
          <w:sz w:val="24"/>
          <w:highlight w:val="none"/>
        </w:rPr>
      </w:pPr>
    </w:p>
    <w:p w14:paraId="3CE69C2F">
      <w:pPr>
        <w:wordWrap w:val="0"/>
        <w:topLinePunct/>
        <w:spacing w:line="440" w:lineRule="exact"/>
        <w:rPr>
          <w:rFonts w:hint="default" w:ascii="Times New Roman" w:hAnsi="Times New Roman" w:cs="Times New Roman"/>
          <w:sz w:val="24"/>
          <w:highlight w:val="none"/>
        </w:rPr>
      </w:pPr>
    </w:p>
    <w:p w14:paraId="0D25E416">
      <w:pPr>
        <w:wordWrap w:val="0"/>
        <w:topLinePunct/>
        <w:spacing w:line="440" w:lineRule="exact"/>
        <w:rPr>
          <w:rFonts w:hint="default" w:ascii="Times New Roman" w:hAnsi="Times New Roman" w:cs="Times New Roman"/>
          <w:sz w:val="24"/>
          <w:highlight w:val="none"/>
        </w:rPr>
      </w:pPr>
    </w:p>
    <w:p w14:paraId="3C09113F">
      <w:pPr>
        <w:wordWrap w:val="0"/>
        <w:topLinePunct/>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投标人：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（全称） （盖单位</w:t>
      </w:r>
      <w:r>
        <w:rPr>
          <w:rFonts w:hint="default" w:ascii="Times New Roman" w:hAnsi="Times New Roman" w:cs="Times New Roman"/>
          <w:sz w:val="24"/>
          <w:highlight w:val="none"/>
          <w:lang w:val="en-US" w:eastAsia="zh-CN"/>
        </w:rPr>
        <w:t>电子印</w:t>
      </w:r>
      <w:r>
        <w:rPr>
          <w:rFonts w:hint="default" w:ascii="Times New Roman" w:hAnsi="Times New Roman" w:cs="Times New Roman"/>
          <w:sz w:val="24"/>
          <w:highlight w:val="none"/>
        </w:rPr>
        <w:t>章）</w:t>
      </w:r>
    </w:p>
    <w:p w14:paraId="79B5D7DE">
      <w:pPr>
        <w:wordWrap w:val="0"/>
        <w:topLinePunct/>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月</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日</w:t>
      </w:r>
    </w:p>
    <w:p w14:paraId="19D2F32E">
      <w:pPr>
        <w:wordWrap w:val="0"/>
        <w:topLinePunct/>
        <w:spacing w:line="440" w:lineRule="exact"/>
        <w:rPr>
          <w:rFonts w:hint="default" w:ascii="Times New Roman" w:hAnsi="Times New Roman" w:eastAsia="黑体" w:cs="Times New Roman"/>
          <w:sz w:val="24"/>
          <w:highlight w:val="none"/>
        </w:rPr>
      </w:pPr>
    </w:p>
    <w:p w14:paraId="686480A5">
      <w:pPr>
        <w:wordWrap w:val="0"/>
        <w:topLinePunct/>
        <w:spacing w:line="440" w:lineRule="exact"/>
        <w:rPr>
          <w:rFonts w:hint="default" w:ascii="Times New Roman" w:hAnsi="Times New Roman" w:eastAsia="黑体" w:cs="Times New Roman"/>
          <w:sz w:val="24"/>
          <w:highlight w:val="none"/>
        </w:rPr>
      </w:pPr>
    </w:p>
    <w:p w14:paraId="19B78F58">
      <w:pPr>
        <w:pStyle w:val="2"/>
        <w:pageBreakBefore w:val="0"/>
        <w:kinsoku/>
        <w:wordWrap w:val="0"/>
        <w:overflowPunct/>
        <w:bidi w:val="0"/>
        <w:spacing w:beforeLines="150" w:afterLines="100" w:line="380" w:lineRule="atLeast"/>
        <w:jc w:val="center"/>
        <w:rPr>
          <w:rFonts w:hint="default" w:ascii="Times New Roman" w:hAnsi="Times New Roman" w:eastAsia="黑体" w:cs="Times New Roman"/>
          <w:sz w:val="28"/>
          <w:szCs w:val="28"/>
          <w:highlight w:val="none"/>
        </w:rPr>
        <w:sectPr>
          <w:headerReference r:id="rId42" w:type="even"/>
          <w:footnotePr>
            <w:numFmt w:val="decimalEnclosedCircleChinese"/>
            <w:numRestart w:val="eachPage"/>
          </w:footnotePr>
          <w:pgSz w:w="11906" w:h="16838"/>
          <w:pgMar w:top="1588" w:right="1644" w:bottom="1474" w:left="1701" w:header="851" w:footer="851" w:gutter="0"/>
          <w:pgNumType w:fmt="decimal"/>
          <w:cols w:space="425" w:num="1"/>
          <w:docGrid w:linePitch="312" w:charSpace="0"/>
        </w:sectPr>
      </w:pPr>
    </w:p>
    <w:p w14:paraId="21A7DFE4">
      <w:pPr>
        <w:pStyle w:val="2"/>
        <w:pageBreakBefore w:val="0"/>
        <w:kinsoku/>
        <w:wordWrap w:val="0"/>
        <w:bidi w:val="0"/>
        <w:spacing w:before="360" w:beforeLines="150" w:after="240" w:afterLines="100" w:line="380" w:lineRule="atLeast"/>
        <w:jc w:val="center"/>
        <w:rPr>
          <w:rFonts w:hint="default" w:ascii="Times New Roman" w:hAnsi="Times New Roman" w:eastAsia="黑体" w:cs="Times New Roman"/>
          <w:sz w:val="28"/>
          <w:szCs w:val="28"/>
          <w:highlight w:val="none"/>
        </w:rPr>
      </w:pPr>
      <w:bookmarkStart w:id="1504" w:name="_Toc19440"/>
      <w:bookmarkStart w:id="1505" w:name="_Toc29148"/>
      <w:r>
        <w:rPr>
          <w:rFonts w:hint="default" w:ascii="Times New Roman" w:hAnsi="Times New Roman" w:eastAsia="黑体" w:cs="Times New Roman"/>
          <w:sz w:val="28"/>
          <w:szCs w:val="28"/>
          <w:highlight w:val="none"/>
        </w:rPr>
        <w:t>三、</w:t>
      </w:r>
      <w:r>
        <w:rPr>
          <w:rFonts w:hint="default" w:ascii="Times New Roman" w:hAnsi="Times New Roman" w:eastAsia="黑体" w:cs="Times New Roman"/>
          <w:b w:val="0"/>
          <w:sz w:val="28"/>
          <w:szCs w:val="28"/>
          <w:highlight w:val="none"/>
        </w:rPr>
        <w:t>联合体协议书</w:t>
      </w:r>
      <w:r>
        <w:rPr>
          <w:rStyle w:val="56"/>
          <w:rFonts w:hint="default" w:ascii="Times New Roman" w:hAnsi="Times New Roman" w:eastAsia="黑体" w:cs="Times New Roman"/>
          <w:sz w:val="28"/>
          <w:szCs w:val="28"/>
          <w:highlight w:val="none"/>
        </w:rPr>
        <w:footnoteReference w:id="35"/>
      </w:r>
      <w:bookmarkEnd w:id="1491"/>
      <w:bookmarkEnd w:id="1504"/>
      <w:bookmarkEnd w:id="1505"/>
    </w:p>
    <w:p w14:paraId="685CD80E">
      <w:pPr>
        <w:pageBreakBefore w:val="0"/>
        <w:kinsoku/>
        <w:wordWrap w:val="0"/>
        <w:bidi w:val="0"/>
        <w:spacing w:line="440" w:lineRule="exact"/>
        <w:jc w:val="center"/>
        <w:rPr>
          <w:rFonts w:hint="default" w:ascii="Times New Roman" w:hAnsi="Times New Roman" w:eastAsia="黑体" w:cs="Times New Roman"/>
          <w:sz w:val="24"/>
          <w:highlight w:val="none"/>
        </w:rPr>
      </w:pPr>
    </w:p>
    <w:p w14:paraId="6ED65FB1">
      <w:pPr>
        <w:pageBreakBefore w:val="0"/>
        <w:kinsoku/>
        <w:wordWrap w:val="0"/>
        <w:bidi w:val="0"/>
        <w:spacing w:line="400" w:lineRule="atLeast"/>
        <w:ind w:firstLine="360"/>
        <w:rPr>
          <w:rFonts w:hint="default" w:ascii="Times New Roman" w:hAnsi="Times New Roman" w:cs="Times New Roman"/>
          <w:sz w:val="24"/>
          <w:highlight w:val="none"/>
        </w:rPr>
      </w:pPr>
      <w:r>
        <w:rPr>
          <w:rFonts w:hint="default" w:ascii="Times New Roman" w:hAnsi="Times New Roman" w:eastAsia="黑体" w:cs="Times New Roman"/>
          <w:sz w:val="24"/>
          <w:highlight w:val="none"/>
          <w:u w:val="single"/>
        </w:rPr>
        <w:t xml:space="preserve">                </w:t>
      </w:r>
      <w:r>
        <w:rPr>
          <w:rFonts w:hint="default" w:ascii="Times New Roman" w:hAnsi="Times New Roman" w:eastAsia="黑体" w:cs="Times New Roman"/>
          <w:sz w:val="24"/>
          <w:highlight w:val="none"/>
        </w:rPr>
        <w:t>（</w:t>
      </w:r>
      <w:r>
        <w:rPr>
          <w:rFonts w:hint="default" w:ascii="Times New Roman" w:hAnsi="Times New Roman" w:cs="Times New Roman"/>
          <w:sz w:val="24"/>
          <w:highlight w:val="none"/>
        </w:rPr>
        <w:t>所有成员单位名称）自愿组成</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（联合体名称）联合体，共同参加</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（项目名称）</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w:t>
      </w:r>
      <w:r>
        <w:rPr>
          <w:rFonts w:hint="default" w:ascii="Times New Roman" w:hAnsi="Times New Roman" w:cs="Times New Roman"/>
          <w:sz w:val="24"/>
          <w:highlight w:val="none"/>
          <w:lang w:val="en-US" w:eastAsia="zh-CN"/>
        </w:rPr>
        <w:t>标段</w:t>
      </w:r>
      <w:r>
        <w:rPr>
          <w:rFonts w:hint="default" w:ascii="Times New Roman" w:hAnsi="Times New Roman" w:cs="Times New Roman"/>
          <w:sz w:val="24"/>
          <w:highlight w:val="none"/>
        </w:rPr>
        <w:t>名称）施工投标。现就联合体投标事宜订立如下协议。</w:t>
      </w:r>
    </w:p>
    <w:p w14:paraId="72B62993">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1.</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（某成员单位名称）为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（联合体名称）牵头人。</w:t>
      </w:r>
    </w:p>
    <w:p w14:paraId="055B5652">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2.联合体各成员授权牵头人代表联合体参加投标活动，签署文件，提交和接收相</w:t>
      </w:r>
      <w:bookmarkStart w:id="1506" w:name="_Toc247527830"/>
      <w:bookmarkStart w:id="1507" w:name="_Toc152042579"/>
      <w:bookmarkStart w:id="1508" w:name="_Toc144974859"/>
      <w:bookmarkStart w:id="1509" w:name="_Toc247514249"/>
      <w:bookmarkStart w:id="1510" w:name="_Toc300835212"/>
      <w:bookmarkStart w:id="1511" w:name="_Toc152045790"/>
      <w:bookmarkStart w:id="1512" w:name="_Toc361508755"/>
      <w:bookmarkStart w:id="1513" w:name="_Toc384308378"/>
      <w:r>
        <w:rPr>
          <w:rFonts w:hint="default" w:ascii="Times New Roman" w:hAnsi="Times New Roman" w:cs="Times New Roman"/>
          <w:sz w:val="24"/>
          <w:highlight w:val="none"/>
        </w:rPr>
        <w:t>关的</w:t>
      </w:r>
      <w:bookmarkStart w:id="1514" w:name="_Toc352691664"/>
      <w:bookmarkStart w:id="1515" w:name="_Toc369531700"/>
      <w:bookmarkStart w:id="1516" w:name="_Toc7749"/>
      <w:r>
        <w:rPr>
          <w:rFonts w:hint="default" w:ascii="Times New Roman" w:hAnsi="Times New Roman" w:cs="Times New Roman"/>
          <w:sz w:val="24"/>
          <w:highlight w:val="none"/>
        </w:rPr>
        <w:t>资料、信息及</w:t>
      </w:r>
      <w:bookmarkEnd w:id="1514"/>
      <w:bookmarkEnd w:id="1515"/>
      <w:bookmarkEnd w:id="1516"/>
      <w:r>
        <w:rPr>
          <w:rFonts w:hint="default" w:ascii="Times New Roman" w:hAnsi="Times New Roman" w:cs="Times New Roman"/>
          <w:sz w:val="24"/>
          <w:highlight w:val="none"/>
        </w:rPr>
        <w:t>指</w:t>
      </w:r>
      <w:bookmarkEnd w:id="1506"/>
      <w:bookmarkEnd w:id="1507"/>
      <w:bookmarkEnd w:id="1508"/>
      <w:bookmarkEnd w:id="1509"/>
      <w:bookmarkEnd w:id="1510"/>
      <w:bookmarkEnd w:id="1511"/>
      <w:bookmarkEnd w:id="1512"/>
      <w:bookmarkEnd w:id="1513"/>
      <w:r>
        <w:rPr>
          <w:rFonts w:hint="default" w:ascii="Times New Roman" w:hAnsi="Times New Roman" w:cs="Times New Roman"/>
          <w:sz w:val="24"/>
          <w:highlight w:val="none"/>
        </w:rPr>
        <w:t>示，进行合同谈判活动，负责合同实施阶段的组织和协调工作，以及处理与本招标项目有关的一切事宜。</w:t>
      </w:r>
    </w:p>
    <w:p w14:paraId="2D3F1F07">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3.联合体牵头人在本项目中签署的一切文件和处理的一切事宜，联合体各成员均予以承认。联合体各成员将严格按照招标文件、投标文件和合同的要求全面履行义务，并向招标人承担连带责任。</w:t>
      </w:r>
    </w:p>
    <w:p w14:paraId="4CA3F764">
      <w:pPr>
        <w:pageBreakBefore w:val="0"/>
        <w:kinsoku/>
        <w:wordWrap w:val="0"/>
        <w:topLinePunct/>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4.联合体各成员单位内部的职责分工如下：</w:t>
      </w:r>
      <w:r>
        <w:rPr>
          <w:rFonts w:hint="default" w:ascii="Times New Roman" w:hAnsi="Times New Roman" w:cs="Times New Roman"/>
          <w:sz w:val="24"/>
          <w:highlight w:val="none"/>
          <w:u w:val="single"/>
        </w:rPr>
        <w:t>（牵头人名称）</w:t>
      </w:r>
      <w:r>
        <w:rPr>
          <w:rFonts w:hint="default" w:ascii="Times New Roman" w:hAnsi="Times New Roman" w:cs="Times New Roman"/>
          <w:sz w:val="24"/>
          <w:highlight w:val="none"/>
        </w:rPr>
        <w:t>承担</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专业工程，占总工程量的</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w:t>
      </w:r>
      <w:r>
        <w:rPr>
          <w:rFonts w:hint="default" w:ascii="Times New Roman" w:hAnsi="Times New Roman" w:cs="Times New Roman"/>
          <w:sz w:val="24"/>
          <w:highlight w:val="none"/>
          <w:u w:val="single"/>
        </w:rPr>
        <w:t>（成员一名称）</w:t>
      </w:r>
      <w:r>
        <w:rPr>
          <w:rFonts w:hint="default" w:ascii="Times New Roman" w:hAnsi="Times New Roman" w:cs="Times New Roman"/>
          <w:sz w:val="24"/>
          <w:highlight w:val="none"/>
        </w:rPr>
        <w:t>承担</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专业工程，占总工程量的</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w:t>
      </w:r>
    </w:p>
    <w:p w14:paraId="7EC749F1">
      <w:pPr>
        <w:pageBreakBefore w:val="0"/>
        <w:kinsoku/>
        <w:wordWrap w:val="0"/>
        <w:topLinePunct/>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5.投标工作和联合体在中标后工程实施过程中的有关费用按各自承担的工作量分摊。</w:t>
      </w:r>
    </w:p>
    <w:p w14:paraId="56CA127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6.本协议书自所有成员单位法定代表人签字并加盖单位章之日起生效，合同履行完毕后自动失效。</w:t>
      </w:r>
    </w:p>
    <w:p w14:paraId="6ADCB59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7.本协议书一式</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份，联合体成员和招标人各执一份。</w:t>
      </w:r>
    </w:p>
    <w:p w14:paraId="04DA8E91">
      <w:pPr>
        <w:pageBreakBefore w:val="0"/>
        <w:kinsoku/>
        <w:wordWrap w:val="0"/>
        <w:bidi w:val="0"/>
        <w:spacing w:line="400" w:lineRule="atLeast"/>
        <w:ind w:firstLine="480" w:firstLineChars="200"/>
        <w:rPr>
          <w:rFonts w:hint="default" w:ascii="Times New Roman" w:hAnsi="Times New Roman" w:cs="Times New Roman"/>
          <w:sz w:val="24"/>
          <w:highlight w:val="none"/>
        </w:rPr>
      </w:pPr>
    </w:p>
    <w:p w14:paraId="475E7302">
      <w:pPr>
        <w:topLinePunct/>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联合体牵头人名称：</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（盖单位章</w:t>
      </w:r>
      <w:r>
        <w:rPr>
          <w:rFonts w:hint="default" w:ascii="Times New Roman" w:hAnsi="Times New Roman" w:cs="Times New Roman"/>
          <w:sz w:val="24"/>
          <w:highlight w:val="none"/>
          <w:lang w:val="en-US" w:eastAsia="zh-CN"/>
        </w:rPr>
        <w:t>或盖单位电子印章</w:t>
      </w:r>
      <w:r>
        <w:rPr>
          <w:rFonts w:hint="default" w:ascii="Times New Roman" w:hAnsi="Times New Roman" w:cs="Times New Roman"/>
          <w:sz w:val="24"/>
          <w:highlight w:val="none"/>
        </w:rPr>
        <w:t>）</w:t>
      </w:r>
    </w:p>
    <w:p w14:paraId="441640AC">
      <w:pPr>
        <w:topLinePunct/>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法定代表人：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（签字</w:t>
      </w:r>
      <w:r>
        <w:rPr>
          <w:rFonts w:hint="default" w:ascii="Times New Roman" w:hAnsi="Times New Roman" w:cs="Times New Roman"/>
          <w:sz w:val="24"/>
          <w:highlight w:val="none"/>
          <w:lang w:val="en-US" w:eastAsia="zh-CN"/>
        </w:rPr>
        <w:t>或</w:t>
      </w:r>
      <w:r>
        <w:rPr>
          <w:rFonts w:hint="default" w:ascii="Times New Roman" w:hAnsi="Times New Roman" w:cs="Times New Roman"/>
          <w:sz w:val="24"/>
          <w:highlight w:val="none"/>
        </w:rPr>
        <w:t>个人电子签名章或个人电子印章）</w:t>
      </w:r>
    </w:p>
    <w:p w14:paraId="7A80A25C">
      <w:pPr>
        <w:topLinePunct/>
        <w:spacing w:line="400" w:lineRule="atLeast"/>
        <w:ind w:firstLine="411" w:firstLineChars="196"/>
        <w:rPr>
          <w:rFonts w:hint="default" w:ascii="Times New Roman" w:hAnsi="Times New Roman" w:cs="Times New Roman"/>
          <w:szCs w:val="21"/>
          <w:highlight w:val="none"/>
        </w:rPr>
      </w:pPr>
      <w:r>
        <w:rPr>
          <w:rFonts w:hint="default" w:ascii="Times New Roman" w:hAnsi="Times New Roman" w:cs="Times New Roman"/>
          <w:szCs w:val="21"/>
          <w:highlight w:val="none"/>
        </w:rPr>
        <w:t xml:space="preserve"> </w:t>
      </w:r>
    </w:p>
    <w:p w14:paraId="58F8178E">
      <w:pPr>
        <w:topLinePunct/>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联合体成员名称：</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（盖单位章</w:t>
      </w:r>
      <w:r>
        <w:rPr>
          <w:rFonts w:hint="default" w:ascii="Times New Roman" w:hAnsi="Times New Roman" w:cs="Times New Roman"/>
          <w:sz w:val="24"/>
          <w:highlight w:val="none"/>
          <w:lang w:val="en-US" w:eastAsia="zh-CN"/>
        </w:rPr>
        <w:t>或盖单位电子印章</w:t>
      </w:r>
      <w:r>
        <w:rPr>
          <w:rFonts w:hint="default" w:ascii="Times New Roman" w:hAnsi="Times New Roman" w:cs="Times New Roman"/>
          <w:sz w:val="24"/>
          <w:highlight w:val="none"/>
        </w:rPr>
        <w:t>）</w:t>
      </w:r>
    </w:p>
    <w:p w14:paraId="76F36B90">
      <w:pPr>
        <w:pageBreakBefore w:val="0"/>
        <w:kinsoku/>
        <w:wordWrap w:val="0"/>
        <w:overflowPunct/>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法定代表人：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u w:val="single"/>
          <w:lang w:val="en-US" w:eastAsia="zh-CN"/>
        </w:rPr>
        <w:t xml:space="preserve">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（签字</w:t>
      </w:r>
      <w:r>
        <w:rPr>
          <w:rFonts w:hint="default" w:ascii="Times New Roman" w:hAnsi="Times New Roman" w:cs="Times New Roman"/>
          <w:sz w:val="24"/>
          <w:highlight w:val="none"/>
          <w:lang w:val="en-US" w:eastAsia="zh-CN"/>
        </w:rPr>
        <w:t>或</w:t>
      </w:r>
      <w:r>
        <w:rPr>
          <w:rFonts w:hint="default" w:ascii="Times New Roman" w:hAnsi="Times New Roman" w:cs="Times New Roman"/>
          <w:sz w:val="24"/>
          <w:highlight w:val="none"/>
        </w:rPr>
        <w:t>个人电子签名章或个人电子印章）</w:t>
      </w:r>
    </w:p>
    <w:p w14:paraId="7D180A2C">
      <w:pPr>
        <w:pageBreakBefore w:val="0"/>
        <w:kinsoku/>
        <w:wordWrap w:val="0"/>
        <w:overflowPunct/>
        <w:bidi w:val="0"/>
        <w:spacing w:line="400" w:lineRule="atLeast"/>
        <w:ind w:firstLine="480" w:firstLineChars="200"/>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w:t>
      </w:r>
    </w:p>
    <w:p w14:paraId="671F7C6A">
      <w:pPr>
        <w:pageBreakBefore w:val="0"/>
        <w:kinsoku/>
        <w:wordWrap w:val="0"/>
        <w:bidi w:val="0"/>
        <w:spacing w:line="400" w:lineRule="atLeast"/>
        <w:ind w:firstLine="4620" w:firstLineChars="1925"/>
        <w:rPr>
          <w:rFonts w:hint="default" w:ascii="Times New Roman" w:hAnsi="Times New Roman" w:eastAsia="黑体" w:cs="Times New Roman"/>
          <w:sz w:val="24"/>
          <w:highlight w:val="none"/>
          <w:u w:val="single"/>
        </w:rPr>
      </w:pP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年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月</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日</w:t>
      </w:r>
    </w:p>
    <w:p w14:paraId="367A62E8">
      <w:pPr>
        <w:pStyle w:val="2"/>
        <w:pageBreakBefore w:val="0"/>
        <w:kinsoku/>
        <w:wordWrap w:val="0"/>
        <w:bidi w:val="0"/>
        <w:spacing w:before="360" w:beforeLines="150" w:after="240" w:afterLines="100" w:line="380" w:lineRule="atLeast"/>
        <w:jc w:val="center"/>
        <w:rPr>
          <w:rFonts w:hint="default" w:ascii="Times New Roman" w:hAnsi="Times New Roman" w:eastAsia="黑体" w:cs="Times New Roman"/>
          <w:b w:val="0"/>
          <w:sz w:val="28"/>
          <w:szCs w:val="28"/>
          <w:highlight w:val="none"/>
        </w:rPr>
      </w:pPr>
      <w:bookmarkStart w:id="1517" w:name="_Toc234833262"/>
      <w:r>
        <w:rPr>
          <w:rFonts w:hint="default" w:ascii="Times New Roman" w:hAnsi="Times New Roman" w:eastAsia="黑体" w:cs="Times New Roman"/>
          <w:b w:val="0"/>
          <w:sz w:val="28"/>
          <w:szCs w:val="28"/>
          <w:highlight w:val="none"/>
        </w:rPr>
        <w:br w:type="page"/>
      </w:r>
      <w:bookmarkStart w:id="1518" w:name="_Toc25301"/>
      <w:bookmarkStart w:id="1519" w:name="_Toc24413"/>
      <w:r>
        <w:rPr>
          <w:rFonts w:hint="default" w:ascii="Times New Roman" w:hAnsi="Times New Roman" w:eastAsia="黑体" w:cs="Times New Roman"/>
          <w:b w:val="0"/>
          <w:sz w:val="28"/>
          <w:szCs w:val="28"/>
          <w:highlight w:val="none"/>
        </w:rPr>
        <w:t>四、投标保证金</w:t>
      </w:r>
      <w:bookmarkEnd w:id="1517"/>
      <w:bookmarkEnd w:id="1518"/>
      <w:bookmarkEnd w:id="1519"/>
    </w:p>
    <w:p w14:paraId="2F5CAA05">
      <w:pPr>
        <w:pageBreakBefore w:val="0"/>
        <w:kinsoku/>
        <w:wordWrap w:val="0"/>
        <w:bidi w:val="0"/>
        <w:spacing w:line="440" w:lineRule="exact"/>
        <w:jc w:val="center"/>
        <w:rPr>
          <w:rFonts w:hint="default" w:ascii="Times New Roman" w:hAnsi="Times New Roman" w:eastAsia="黑体" w:cs="Times New Roman"/>
          <w:sz w:val="28"/>
          <w:szCs w:val="28"/>
          <w:highlight w:val="none"/>
        </w:rPr>
      </w:pPr>
    </w:p>
    <w:p w14:paraId="0A5C1109">
      <w:pPr>
        <w:spacing w:line="400" w:lineRule="atLeast"/>
        <w:ind w:firstLine="508" w:firstLineChars="212"/>
        <w:rPr>
          <w:rFonts w:hint="default" w:ascii="Times New Roman" w:hAnsi="Times New Roman" w:cs="Times New Roman"/>
          <w:sz w:val="24"/>
          <w:highlight w:val="none"/>
        </w:rPr>
      </w:pPr>
      <w:r>
        <w:rPr>
          <w:rFonts w:hint="default" w:ascii="Times New Roman" w:hAnsi="Times New Roman" w:cs="Times New Roman"/>
          <w:sz w:val="24"/>
          <w:highlight w:val="none"/>
        </w:rPr>
        <w:t>若采用现金，投标人应在此提供汇款凭证的</w:t>
      </w:r>
      <w:r>
        <w:rPr>
          <w:rFonts w:hint="eastAsia" w:cs="Times New Roman"/>
          <w:sz w:val="24"/>
          <w:highlight w:val="none"/>
          <w:lang w:val="en-US" w:eastAsia="zh-CN"/>
        </w:rPr>
        <w:t>原件扫描件</w:t>
      </w:r>
      <w:r>
        <w:rPr>
          <w:rFonts w:hint="default" w:ascii="Times New Roman" w:hAnsi="Times New Roman" w:cs="Times New Roman"/>
          <w:sz w:val="24"/>
          <w:highlight w:val="none"/>
        </w:rPr>
        <w:t>。</w:t>
      </w:r>
    </w:p>
    <w:p w14:paraId="3992E795">
      <w:pPr>
        <w:spacing w:line="400" w:lineRule="exact"/>
        <w:ind w:firstLine="480" w:firstLineChars="200"/>
        <w:rPr>
          <w:rFonts w:hint="default" w:ascii="Times New Roman" w:hAnsi="Times New Roman" w:cs="Times New Roman"/>
          <w:sz w:val="24"/>
          <w:highlight w:val="none"/>
          <w:lang w:val="en-US" w:eastAsia="zh-CN"/>
        </w:rPr>
      </w:pPr>
      <w:r>
        <w:rPr>
          <w:rFonts w:hint="default" w:ascii="Times New Roman" w:hAnsi="Times New Roman" w:cs="Times New Roman"/>
          <w:sz w:val="24"/>
          <w:highlight w:val="none"/>
          <w:lang w:val="en-US" w:eastAsia="zh-CN"/>
        </w:rPr>
        <w:t>若采用电子保函，</w:t>
      </w:r>
      <w:r>
        <w:rPr>
          <w:rFonts w:hint="default" w:ascii="Times New Roman" w:hAnsi="Times New Roman" w:cs="Times New Roman"/>
          <w:sz w:val="24"/>
          <w:highlight w:val="none"/>
        </w:rPr>
        <w:t>投标人应在此提供</w:t>
      </w:r>
      <w:r>
        <w:rPr>
          <w:rFonts w:hint="default" w:ascii="Times New Roman" w:hAnsi="Times New Roman" w:cs="Times New Roman"/>
          <w:b w:val="0"/>
          <w:bCs w:val="0"/>
          <w:sz w:val="24"/>
          <w:szCs w:val="24"/>
          <w:highlight w:val="none"/>
          <w:lang w:val="en-US" w:eastAsia="zh-CN"/>
        </w:rPr>
        <w:t>电子化保函验真渠道和保函财务费用支付信息。</w:t>
      </w:r>
    </w:p>
    <w:p w14:paraId="2E1D0342">
      <w:pPr>
        <w:spacing w:line="400" w:lineRule="exact"/>
        <w:ind w:firstLine="480" w:firstLineChars="200"/>
        <w:rPr>
          <w:rFonts w:hint="default" w:ascii="Times New Roman" w:hAnsi="Times New Roman" w:eastAsia="黑体" w:cs="Times New Roman"/>
          <w:sz w:val="24"/>
          <w:highlight w:val="none"/>
        </w:rPr>
      </w:pPr>
      <w:r>
        <w:rPr>
          <w:rFonts w:hint="default" w:ascii="Times New Roman" w:hAnsi="Times New Roman" w:cs="Times New Roman"/>
          <w:sz w:val="24"/>
          <w:highlight w:val="none"/>
          <w:lang w:val="en-US" w:eastAsia="zh-CN"/>
        </w:rPr>
        <w:t>若</w:t>
      </w:r>
      <w:r>
        <w:rPr>
          <w:rFonts w:hint="default" w:ascii="Times New Roman" w:hAnsi="Times New Roman" w:cs="Times New Roman"/>
          <w:sz w:val="24"/>
          <w:highlight w:val="none"/>
        </w:rPr>
        <w:t>采用银行保函，投标人应在此提供银行保函</w:t>
      </w:r>
      <w:r>
        <w:rPr>
          <w:rFonts w:hint="eastAsia" w:cs="Times New Roman"/>
          <w:sz w:val="24"/>
          <w:highlight w:val="none"/>
          <w:lang w:val="en-US" w:eastAsia="zh-CN"/>
        </w:rPr>
        <w:t>原件扫描件</w:t>
      </w:r>
      <w:r>
        <w:rPr>
          <w:rFonts w:hint="default" w:ascii="Times New Roman" w:hAnsi="Times New Roman" w:cs="Times New Roman"/>
          <w:sz w:val="24"/>
          <w:highlight w:val="none"/>
        </w:rPr>
        <w:t>，格式如下。</w:t>
      </w:r>
    </w:p>
    <w:p w14:paraId="15F8E798">
      <w:pPr>
        <w:spacing w:line="400" w:lineRule="exact"/>
        <w:ind w:firstLine="480" w:firstLineChars="200"/>
        <w:rPr>
          <w:rFonts w:hint="default" w:ascii="Times New Roman" w:hAnsi="Times New Roman" w:cs="Times New Roman"/>
          <w:sz w:val="24"/>
          <w:highlight w:val="none"/>
        </w:rPr>
      </w:pPr>
    </w:p>
    <w:p w14:paraId="57E9EEAE">
      <w:pPr>
        <w:spacing w:line="400" w:lineRule="exact"/>
        <w:jc w:val="center"/>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投标保函</w:t>
      </w:r>
    </w:p>
    <w:p w14:paraId="18D0FB3E">
      <w:pPr>
        <w:spacing w:line="400" w:lineRule="exact"/>
        <w:rPr>
          <w:rFonts w:hint="default" w:ascii="Times New Roman" w:hAnsi="Times New Roman" w:cs="Times New Roman"/>
          <w:sz w:val="24"/>
          <w:highlight w:val="none"/>
          <w:u w:val="single"/>
        </w:rPr>
      </w:pPr>
    </w:p>
    <w:p w14:paraId="7999CD27">
      <w:pPr>
        <w:spacing w:line="400" w:lineRule="exact"/>
        <w:rPr>
          <w:rFonts w:hint="default" w:ascii="Times New Roman" w:hAnsi="Times New Roman" w:cs="Times New Roman"/>
          <w:sz w:val="24"/>
          <w:highlight w:val="none"/>
        </w:rPr>
      </w:pP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（招标人名称，以下简称</w:t>
      </w:r>
      <w:r>
        <w:rPr>
          <w:rFonts w:hint="eastAsia" w:ascii="宋体" w:hAnsi="宋体" w:eastAsia="宋体" w:cs="宋体"/>
          <w:sz w:val="24"/>
          <w:highlight w:val="none"/>
        </w:rPr>
        <w:t>“</w:t>
      </w:r>
      <w:r>
        <w:rPr>
          <w:rFonts w:hint="default" w:ascii="Times New Roman" w:hAnsi="Times New Roman" w:cs="Times New Roman"/>
          <w:sz w:val="24"/>
          <w:highlight w:val="none"/>
        </w:rPr>
        <w:t>你方</w:t>
      </w:r>
      <w:r>
        <w:rPr>
          <w:rFonts w:hint="eastAsia" w:ascii="宋体" w:hAnsi="宋体" w:eastAsia="宋体" w:cs="宋体"/>
          <w:sz w:val="24"/>
          <w:highlight w:val="none"/>
        </w:rPr>
        <w:t>”</w:t>
      </w:r>
      <w:r>
        <w:rPr>
          <w:rFonts w:hint="default" w:ascii="Times New Roman" w:hAnsi="Times New Roman" w:cs="Times New Roman"/>
          <w:sz w:val="24"/>
          <w:highlight w:val="none"/>
        </w:rPr>
        <w:t>）：</w:t>
      </w:r>
    </w:p>
    <w:p w14:paraId="35463919">
      <w:pPr>
        <w:spacing w:line="400" w:lineRule="exact"/>
        <w:jc w:val="center"/>
        <w:rPr>
          <w:rFonts w:hint="default" w:ascii="Times New Roman" w:hAnsi="Times New Roman" w:cs="Times New Roman"/>
          <w:sz w:val="24"/>
          <w:highlight w:val="none"/>
        </w:rPr>
      </w:pPr>
    </w:p>
    <w:p w14:paraId="0756512B">
      <w:pPr>
        <w:wordWrap w:val="0"/>
        <w:spacing w:line="40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鉴于</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（投标人名称）（以下称</w:t>
      </w:r>
      <w:r>
        <w:rPr>
          <w:rFonts w:hint="eastAsia" w:ascii="宋体" w:hAnsi="宋体" w:eastAsia="宋体" w:cs="宋体"/>
          <w:sz w:val="24"/>
          <w:highlight w:val="none"/>
        </w:rPr>
        <w:t>“</w:t>
      </w:r>
      <w:r>
        <w:rPr>
          <w:rFonts w:hint="default" w:ascii="Times New Roman" w:hAnsi="Times New Roman" w:cs="Times New Roman"/>
          <w:sz w:val="24"/>
          <w:highlight w:val="none"/>
        </w:rPr>
        <w:t>投标人</w:t>
      </w:r>
      <w:r>
        <w:rPr>
          <w:rFonts w:hint="eastAsia" w:ascii="宋体" w:hAnsi="宋体" w:eastAsia="宋体" w:cs="宋体"/>
          <w:sz w:val="24"/>
          <w:highlight w:val="none"/>
        </w:rPr>
        <w:t>”</w:t>
      </w:r>
      <w:r>
        <w:rPr>
          <w:rFonts w:hint="default" w:ascii="Times New Roman" w:hAnsi="Times New Roman" w:cs="Times New Roman"/>
          <w:sz w:val="24"/>
          <w:highlight w:val="none"/>
        </w:rPr>
        <w:t>）于</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月</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日参加</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（项目名称）的投标，</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（担保人名称，以下简称</w:t>
      </w:r>
      <w:r>
        <w:rPr>
          <w:rFonts w:hint="eastAsia" w:ascii="宋体" w:hAnsi="宋体" w:eastAsia="宋体" w:cs="宋体"/>
          <w:sz w:val="24"/>
          <w:highlight w:val="none"/>
        </w:rPr>
        <w:t>“</w:t>
      </w:r>
      <w:r>
        <w:rPr>
          <w:rFonts w:hint="default" w:ascii="Times New Roman" w:hAnsi="Times New Roman" w:cs="Times New Roman"/>
          <w:sz w:val="24"/>
          <w:highlight w:val="none"/>
        </w:rPr>
        <w:t>我方</w:t>
      </w:r>
      <w:r>
        <w:rPr>
          <w:rFonts w:hint="eastAsia" w:ascii="宋体" w:hAnsi="宋体" w:eastAsia="宋体" w:cs="宋体"/>
          <w:sz w:val="24"/>
          <w:highlight w:val="none"/>
        </w:rPr>
        <w:t>”</w:t>
      </w:r>
      <w:r>
        <w:rPr>
          <w:rFonts w:hint="default" w:ascii="Times New Roman" w:hAnsi="Times New Roman" w:cs="Times New Roman"/>
          <w:sz w:val="24"/>
          <w:highlight w:val="none"/>
        </w:rPr>
        <w:t>）无条件地、不可撤销地保证：若投标人在投标有效期内撤销投标文件，中标后无正当理由不与招标人订立合同，在签订合同时向招标人提出附加条件，不按照招标文件要求提交履约保证金，或发生招标文件明确规定可以不予退还投标保证金的其他情形，我方承担保证责任。投标人发生以上任一情况时，收到你方书面通知后，我方在7日内向你方无条件支付人民币（大写）</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元。</w:t>
      </w:r>
    </w:p>
    <w:p w14:paraId="5EF0352D">
      <w:pPr>
        <w:spacing w:line="40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本保函在投标有效期或经延长的投标有效期内保持有效。要求我方承担保证责任的通知应在上述期限内送达我方。你方延长投标有效期的决定，应通知我方。</w:t>
      </w:r>
    </w:p>
    <w:p w14:paraId="21D91062">
      <w:pPr>
        <w:rPr>
          <w:rFonts w:hint="default" w:ascii="Times New Roman" w:hAnsi="Times New Roman" w:cs="Times New Roman"/>
          <w:sz w:val="24"/>
          <w:highlight w:val="none"/>
        </w:rPr>
      </w:pPr>
    </w:p>
    <w:p w14:paraId="2E9B665E">
      <w:pPr>
        <w:rPr>
          <w:rFonts w:hint="default" w:ascii="Times New Roman" w:hAnsi="Times New Roman" w:cs="Times New Roman"/>
          <w:sz w:val="24"/>
          <w:highlight w:val="none"/>
        </w:rPr>
      </w:pPr>
    </w:p>
    <w:p w14:paraId="7E92E598">
      <w:pPr>
        <w:spacing w:line="400" w:lineRule="exac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担保人名称：</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（盖单位章）</w:t>
      </w:r>
    </w:p>
    <w:p w14:paraId="325E0942">
      <w:pPr>
        <w:autoSpaceDE w:val="0"/>
        <w:autoSpaceDN w:val="0"/>
        <w:adjustRightInd w:val="0"/>
        <w:spacing w:line="400" w:lineRule="atLeast"/>
        <w:ind w:firstLine="2400" w:firstLineChars="1000"/>
        <w:jc w:val="left"/>
        <w:rPr>
          <w:rFonts w:hint="default" w:ascii="Times New Roman" w:hAnsi="Times New Roman" w:cs="Times New Roman"/>
          <w:sz w:val="24"/>
          <w:highlight w:val="none"/>
        </w:rPr>
      </w:pPr>
      <w:r>
        <w:rPr>
          <w:rFonts w:hint="default" w:ascii="Times New Roman" w:hAnsi="Times New Roman" w:cs="Times New Roman"/>
          <w:sz w:val="24"/>
          <w:highlight w:val="none"/>
        </w:rPr>
        <w:t>担保人法定代表人或其委托代理人（签字）：</w:t>
      </w:r>
      <w:r>
        <w:rPr>
          <w:rFonts w:hint="default" w:ascii="Times New Roman" w:hAnsi="Times New Roman" w:cs="Times New Roman"/>
          <w:sz w:val="24"/>
          <w:highlight w:val="none"/>
          <w:u w:val="single"/>
        </w:rPr>
        <w:t xml:space="preserve">                 </w:t>
      </w:r>
    </w:p>
    <w:p w14:paraId="1FE08D8E">
      <w:pPr>
        <w:autoSpaceDE w:val="0"/>
        <w:autoSpaceDN w:val="0"/>
        <w:adjustRightInd w:val="0"/>
        <w:spacing w:line="400" w:lineRule="atLeast"/>
        <w:ind w:left="2409" w:leftChars="1147"/>
        <w:rPr>
          <w:rFonts w:hint="default" w:ascii="Times New Roman" w:hAnsi="Times New Roman" w:cs="Times New Roman"/>
          <w:sz w:val="24"/>
          <w:highlight w:val="none"/>
          <w:u w:val="single"/>
        </w:rPr>
      </w:pPr>
      <w:r>
        <w:rPr>
          <w:rFonts w:hint="default" w:ascii="Times New Roman" w:hAnsi="Times New Roman" w:cs="Times New Roman"/>
          <w:sz w:val="24"/>
          <w:highlight w:val="none"/>
        </w:rPr>
        <w:t>担保人地址：</w:t>
      </w:r>
      <w:r>
        <w:rPr>
          <w:rFonts w:hint="default" w:ascii="Times New Roman" w:hAnsi="Times New Roman" w:cs="Times New Roman"/>
          <w:sz w:val="24"/>
          <w:highlight w:val="none"/>
          <w:u w:val="single"/>
        </w:rPr>
        <w:t xml:space="preserve">                                        </w:t>
      </w:r>
    </w:p>
    <w:p w14:paraId="3ED9619C">
      <w:pPr>
        <w:autoSpaceDE w:val="0"/>
        <w:autoSpaceDN w:val="0"/>
        <w:adjustRightInd w:val="0"/>
        <w:spacing w:line="400" w:lineRule="atLeast"/>
        <w:ind w:left="2409" w:leftChars="1147"/>
        <w:rPr>
          <w:rFonts w:hint="default" w:ascii="Times New Roman" w:hAnsi="Times New Roman" w:cs="Times New Roman"/>
          <w:sz w:val="24"/>
          <w:highlight w:val="none"/>
          <w:u w:val="single"/>
        </w:rPr>
      </w:pPr>
      <w:r>
        <w:rPr>
          <w:rFonts w:hint="default" w:ascii="Times New Roman" w:hAnsi="Times New Roman" w:cs="Times New Roman"/>
          <w:sz w:val="24"/>
          <w:highlight w:val="none"/>
        </w:rPr>
        <w:t>担保人电话：</w:t>
      </w:r>
      <w:r>
        <w:rPr>
          <w:rFonts w:hint="default" w:ascii="Times New Roman" w:hAnsi="Times New Roman" w:cs="Times New Roman"/>
          <w:sz w:val="24"/>
          <w:highlight w:val="none"/>
          <w:u w:val="single"/>
        </w:rPr>
        <w:t xml:space="preserve">                  </w:t>
      </w:r>
    </w:p>
    <w:p w14:paraId="59F4E4AA">
      <w:pPr>
        <w:autoSpaceDE w:val="0"/>
        <w:autoSpaceDN w:val="0"/>
        <w:adjustRightInd w:val="0"/>
        <w:spacing w:line="400" w:lineRule="atLeast"/>
        <w:ind w:left="2409" w:leftChars="1147"/>
        <w:rPr>
          <w:rFonts w:hint="default" w:ascii="Times New Roman" w:hAnsi="Times New Roman" w:cs="Times New Roman"/>
          <w:sz w:val="24"/>
          <w:highlight w:val="none"/>
          <w:u w:val="single"/>
        </w:rPr>
      </w:pPr>
      <w:r>
        <w:rPr>
          <w:rFonts w:hint="default" w:ascii="Times New Roman" w:hAnsi="Times New Roman" w:cs="Times New Roman"/>
          <w:sz w:val="24"/>
          <w:highlight w:val="none"/>
        </w:rPr>
        <w:t>担保人传真：</w:t>
      </w:r>
      <w:r>
        <w:rPr>
          <w:rFonts w:hint="default" w:ascii="Times New Roman" w:hAnsi="Times New Roman" w:cs="Times New Roman"/>
          <w:sz w:val="24"/>
          <w:highlight w:val="none"/>
          <w:u w:val="single"/>
        </w:rPr>
        <w:t xml:space="preserve">                  </w:t>
      </w:r>
    </w:p>
    <w:p w14:paraId="0041EA62">
      <w:pPr>
        <w:pageBreakBefore w:val="0"/>
        <w:kinsoku/>
        <w:wordWrap w:val="0"/>
        <w:overflowPunct/>
        <w:bidi w:val="0"/>
        <w:spacing w:line="440" w:lineRule="exact"/>
        <w:ind w:firstLine="5040" w:firstLineChars="21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月</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日</w:t>
      </w:r>
    </w:p>
    <w:p w14:paraId="6D029838">
      <w:pPr>
        <w:pageBreakBefore w:val="0"/>
        <w:kinsoku/>
        <w:wordWrap w:val="0"/>
        <w:bidi w:val="0"/>
        <w:spacing w:line="440" w:lineRule="exact"/>
        <w:rPr>
          <w:rFonts w:hint="default" w:ascii="Times New Roman" w:hAnsi="Times New Roman" w:cs="Times New Roman"/>
          <w:sz w:val="24"/>
          <w:highlight w:val="none"/>
        </w:rPr>
      </w:pPr>
    </w:p>
    <w:p w14:paraId="64AAF03A">
      <w:pPr>
        <w:pageBreakBefore w:val="0"/>
        <w:kinsoku/>
        <w:wordWrap w:val="0"/>
        <w:bidi w:val="0"/>
        <w:spacing w:line="440" w:lineRule="exact"/>
        <w:rPr>
          <w:rFonts w:hint="default" w:ascii="Times New Roman" w:hAnsi="Times New Roman" w:eastAsia="黑体" w:cs="Times New Roman"/>
          <w:sz w:val="24"/>
          <w:highlight w:val="none"/>
        </w:rPr>
      </w:pPr>
    </w:p>
    <w:p w14:paraId="6E863237">
      <w:pPr>
        <w:pageBreakBefore w:val="0"/>
        <w:kinsoku/>
        <w:wordWrap w:val="0"/>
        <w:bidi w:val="0"/>
        <w:spacing w:line="440" w:lineRule="exact"/>
        <w:rPr>
          <w:rFonts w:hint="default" w:ascii="Times New Roman" w:hAnsi="Times New Roman" w:eastAsia="黑体" w:cs="Times New Roman"/>
          <w:sz w:val="24"/>
          <w:highlight w:val="none"/>
        </w:rPr>
      </w:pPr>
    </w:p>
    <w:p w14:paraId="2C19025B">
      <w:pPr>
        <w:pStyle w:val="2"/>
        <w:pageBreakBefore w:val="0"/>
        <w:kinsoku/>
        <w:wordWrap w:val="0"/>
        <w:bidi w:val="0"/>
        <w:spacing w:before="360" w:beforeLines="150" w:after="240" w:afterLines="100" w:line="380" w:lineRule="atLeast"/>
        <w:jc w:val="center"/>
        <w:rPr>
          <w:rFonts w:hint="default" w:ascii="Times New Roman" w:hAnsi="Times New Roman" w:eastAsia="黑体" w:cs="Times New Roman"/>
          <w:b w:val="0"/>
          <w:sz w:val="28"/>
          <w:szCs w:val="28"/>
          <w:highlight w:val="none"/>
          <w:lang w:eastAsia="zh-CN"/>
        </w:rPr>
      </w:pPr>
      <w:bookmarkStart w:id="1520" w:name="_Toc234833264"/>
      <w:r>
        <w:rPr>
          <w:rFonts w:hint="default" w:ascii="Times New Roman" w:hAnsi="Times New Roman" w:eastAsia="黑体" w:cs="Times New Roman"/>
          <w:b w:val="0"/>
          <w:sz w:val="28"/>
          <w:szCs w:val="28"/>
          <w:highlight w:val="none"/>
        </w:rPr>
        <w:br w:type="page"/>
      </w:r>
      <w:bookmarkStart w:id="1521" w:name="_Toc8331"/>
      <w:bookmarkStart w:id="1522" w:name="_Toc14539"/>
      <w:r>
        <w:rPr>
          <w:rFonts w:hint="default" w:ascii="Times New Roman" w:hAnsi="Times New Roman" w:eastAsia="黑体" w:cs="Times New Roman"/>
          <w:b w:val="0"/>
          <w:sz w:val="28"/>
          <w:szCs w:val="28"/>
          <w:highlight w:val="none"/>
        </w:rPr>
        <w:t>五、施工组织设计</w:t>
      </w:r>
      <w:r>
        <w:rPr>
          <w:rFonts w:hint="default" w:ascii="Times New Roman" w:hAnsi="Times New Roman" w:eastAsia="黑体" w:cs="Times New Roman"/>
          <w:sz w:val="28"/>
          <w:szCs w:val="28"/>
          <w:highlight w:val="none"/>
          <w:vertAlign w:val="superscript"/>
        </w:rPr>
        <w:footnoteReference w:id="36"/>
      </w:r>
      <w:bookmarkEnd w:id="1521"/>
      <w:bookmarkEnd w:id="1522"/>
    </w:p>
    <w:p w14:paraId="7698B395">
      <w:pPr>
        <w:pageBreakBefore w:val="0"/>
        <w:kinsoku/>
        <w:wordWrap w:val="0"/>
        <w:bidi w:val="0"/>
        <w:jc w:val="center"/>
        <w:rPr>
          <w:rFonts w:hint="default" w:ascii="Times New Roman" w:hAnsi="Times New Roman" w:cs="Times New Roman"/>
          <w:highlight w:val="none"/>
        </w:rPr>
      </w:pPr>
      <w:r>
        <w:rPr>
          <w:rFonts w:hint="default" w:ascii="Times New Roman" w:hAnsi="Times New Roman" w:cs="Times New Roman"/>
          <w:highlight w:val="none"/>
        </w:rPr>
        <w:t>（适用于合理低价法和经评审的最低投标价法）</w:t>
      </w:r>
    </w:p>
    <w:p w14:paraId="0E3003A7">
      <w:pPr>
        <w:pageBreakBefore w:val="0"/>
        <w:kinsoku/>
        <w:wordWrap w:val="0"/>
        <w:bidi w:val="0"/>
        <w:spacing w:line="440" w:lineRule="exact"/>
        <w:rPr>
          <w:rFonts w:hint="default" w:ascii="Times New Roman" w:hAnsi="Times New Roman" w:eastAsia="黑体" w:cs="Times New Roman"/>
          <w:sz w:val="20"/>
          <w:szCs w:val="20"/>
          <w:highlight w:val="none"/>
        </w:rPr>
      </w:pPr>
    </w:p>
    <w:p w14:paraId="0BFFA657">
      <w:pPr>
        <w:pageBreakBefore w:val="0"/>
        <w:kinsoku/>
        <w:wordWrap w:val="0"/>
        <w:bidi w:val="0"/>
        <w:spacing w:line="44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投标人应按以下要点编制施工组织设计（文字宜精炼、内容具有针对性）：</w:t>
      </w:r>
    </w:p>
    <w:p w14:paraId="7372AAD2">
      <w:pPr>
        <w:pageBreakBefore w:val="0"/>
        <w:kinsoku/>
        <w:wordWrap w:val="0"/>
        <w:bidi w:val="0"/>
        <w:spacing w:line="44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1.总体施工组织布置及规划</w:t>
      </w:r>
    </w:p>
    <w:p w14:paraId="41B47B9F">
      <w:pPr>
        <w:pageBreakBefore w:val="0"/>
        <w:kinsoku/>
        <w:wordWrap w:val="0"/>
        <w:bidi w:val="0"/>
        <w:spacing w:line="44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2.重点、关键和难点工程的施工方案</w:t>
      </w:r>
    </w:p>
    <w:p w14:paraId="01F0A5E1">
      <w:pPr>
        <w:pageBreakBefore w:val="0"/>
        <w:kinsoku/>
        <w:wordWrap w:val="0"/>
        <w:bidi w:val="0"/>
        <w:spacing w:line="44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3.工期关键线路图及保证措施</w:t>
      </w:r>
    </w:p>
    <w:p w14:paraId="220AD4C6">
      <w:pPr>
        <w:pageBreakBefore w:val="0"/>
        <w:kinsoku/>
        <w:wordWrap w:val="0"/>
        <w:bidi w:val="0"/>
        <w:spacing w:line="44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4.关键工程质量保证措施</w:t>
      </w:r>
    </w:p>
    <w:p w14:paraId="24C3C8DE">
      <w:pPr>
        <w:pageBreakBefore w:val="0"/>
        <w:kinsoku/>
        <w:wordWrap w:val="0"/>
        <w:bidi w:val="0"/>
        <w:spacing w:line="44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5.安全保证措施</w:t>
      </w:r>
    </w:p>
    <w:p w14:paraId="650EFCF5">
      <w:pPr>
        <w:pageBreakBefore w:val="0"/>
        <w:kinsoku/>
        <w:wordWrap w:val="0"/>
        <w:bidi w:val="0"/>
        <w:spacing w:line="44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6.环境保护、水土保持、文明施工、文物保护保证措施</w:t>
      </w:r>
    </w:p>
    <w:p w14:paraId="3DE56BC5">
      <w:pPr>
        <w:pageBreakBefore w:val="0"/>
        <w:kinsoku/>
        <w:wordWrap w:val="0"/>
        <w:bidi w:val="0"/>
        <w:spacing w:line="44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7.项目风险预测与防范，事故应急预案</w:t>
      </w:r>
    </w:p>
    <w:p w14:paraId="3760E2CA">
      <w:pPr>
        <w:pageBreakBefore w:val="0"/>
        <w:kinsoku/>
        <w:wordWrap w:val="0"/>
        <w:bidi w:val="0"/>
        <w:spacing w:line="44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8.其他应说明的事项</w:t>
      </w:r>
    </w:p>
    <w:p w14:paraId="423817EE">
      <w:pPr>
        <w:pageBreakBefore w:val="0"/>
        <w:kinsoku/>
        <w:wordWrap w:val="0"/>
        <w:bidi w:val="0"/>
        <w:spacing w:line="440" w:lineRule="exact"/>
        <w:ind w:firstLine="480" w:firstLineChars="200"/>
        <w:rPr>
          <w:rFonts w:hint="default" w:ascii="Times New Roman" w:hAnsi="Times New Roman" w:cs="Times New Roman"/>
          <w:sz w:val="24"/>
          <w:highlight w:val="none"/>
        </w:rPr>
      </w:pPr>
    </w:p>
    <w:p w14:paraId="6CED9C85">
      <w:pPr>
        <w:pageBreakBefore w:val="0"/>
        <w:kinsoku/>
        <w:wordWrap w:val="0"/>
        <w:bidi w:val="0"/>
        <w:spacing w:before="0" w:after="0" w:line="380" w:lineRule="atLeast"/>
        <w:outlineLvl w:val="9"/>
        <w:rPr>
          <w:rFonts w:hint="default" w:ascii="Times New Roman" w:hAnsi="Times New Roman" w:eastAsia="黑体" w:cs="Times New Roman"/>
          <w:sz w:val="27"/>
          <w:szCs w:val="27"/>
          <w:highlight w:val="none"/>
        </w:rPr>
      </w:pPr>
      <w:r>
        <w:rPr>
          <w:rFonts w:hint="default" w:ascii="Times New Roman" w:hAnsi="Times New Roman" w:eastAsia="黑体" w:cs="Times New Roman"/>
          <w:b w:val="0"/>
          <w:sz w:val="28"/>
          <w:szCs w:val="28"/>
          <w:highlight w:val="none"/>
        </w:rPr>
        <w:br w:type="page"/>
      </w:r>
      <w:bookmarkEnd w:id="1520"/>
    </w:p>
    <w:p w14:paraId="70E56820">
      <w:pPr>
        <w:pStyle w:val="2"/>
        <w:pageBreakBefore w:val="0"/>
        <w:kinsoku/>
        <w:wordWrap w:val="0"/>
        <w:bidi w:val="0"/>
        <w:spacing w:before="0" w:after="0" w:line="380" w:lineRule="atLeast"/>
        <w:jc w:val="center"/>
        <w:rPr>
          <w:rFonts w:hint="default" w:ascii="Times New Roman" w:hAnsi="Times New Roman" w:eastAsia="黑体" w:cs="Times New Roman"/>
          <w:b w:val="0"/>
          <w:sz w:val="28"/>
          <w:szCs w:val="28"/>
          <w:highlight w:val="none"/>
        </w:rPr>
      </w:pPr>
      <w:bookmarkStart w:id="1523" w:name="_Toc234833275"/>
      <w:bookmarkStart w:id="1524" w:name="_Toc12368"/>
      <w:bookmarkStart w:id="1525" w:name="_Toc7173"/>
      <w:r>
        <w:rPr>
          <w:rFonts w:hint="default" w:ascii="Times New Roman" w:hAnsi="Times New Roman" w:eastAsia="黑体" w:cs="Times New Roman"/>
          <w:b w:val="0"/>
          <w:sz w:val="28"/>
          <w:szCs w:val="28"/>
          <w:highlight w:val="none"/>
        </w:rPr>
        <w:t>六、项目管理机构</w:t>
      </w:r>
      <w:bookmarkEnd w:id="1523"/>
      <w:bookmarkEnd w:id="1524"/>
      <w:bookmarkEnd w:id="1525"/>
    </w:p>
    <w:p w14:paraId="47597723">
      <w:pPr>
        <w:pageBreakBefore w:val="0"/>
        <w:kinsoku/>
        <w:wordWrap w:val="0"/>
        <w:bidi w:val="0"/>
        <w:spacing w:before="0" w:after="0" w:line="380" w:lineRule="atLeast"/>
        <w:outlineLvl w:val="9"/>
        <w:rPr>
          <w:rFonts w:hint="default" w:ascii="Times New Roman" w:hAnsi="Times New Roman" w:eastAsia="黑体" w:cs="Times New Roman"/>
          <w:b w:val="0"/>
          <w:sz w:val="28"/>
          <w:szCs w:val="28"/>
          <w:highlight w:val="none"/>
        </w:rPr>
      </w:pPr>
    </w:p>
    <w:p w14:paraId="360E7CF5">
      <w:pPr>
        <w:pageBreakBefore w:val="0"/>
        <w:widowControl/>
        <w:kinsoku/>
        <w:wordWrap w:val="0"/>
        <w:autoSpaceDE w:val="0"/>
        <w:autoSpaceDN w:val="0"/>
        <w:bidi w:val="0"/>
        <w:spacing w:line="360" w:lineRule="atLeast"/>
        <w:ind w:left="180"/>
        <w:textAlignment w:val="bottom"/>
        <w:rPr>
          <w:rFonts w:hint="default" w:ascii="Times New Roman" w:hAnsi="Times New Roman" w:cs="Times New Roman"/>
          <w:sz w:val="20"/>
          <w:szCs w:val="20"/>
          <w:highlight w:val="none"/>
        </w:rPr>
      </w:pPr>
    </w:p>
    <w:tbl>
      <w:tblPr>
        <w:tblStyle w:val="40"/>
        <w:tblW w:w="0" w:type="auto"/>
        <w:tblInd w:w="108"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724"/>
      </w:tblGrid>
      <w:tr w14:paraId="29C9DF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670" w:hRule="atLeast"/>
        </w:trPr>
        <w:tc>
          <w:tcPr>
            <w:tcW w:w="8724" w:type="dxa"/>
            <w:tcBorders>
              <w:bottom w:val="single" w:color="auto" w:sz="6" w:space="0"/>
            </w:tcBorders>
            <w:noWrap w:val="0"/>
            <w:vAlign w:val="top"/>
          </w:tcPr>
          <w:p w14:paraId="7F66066C">
            <w:pPr>
              <w:pageBreakBefore w:val="0"/>
              <w:kinsoku/>
              <w:wordWrap w:val="0"/>
              <w:bidi w:val="0"/>
              <w:spacing w:line="520" w:lineRule="atLeast"/>
              <w:ind w:left="266" w:hanging="266"/>
              <w:rPr>
                <w:rFonts w:hint="default" w:ascii="Times New Roman" w:hAnsi="Times New Roman" w:cs="Times New Roman"/>
                <w:szCs w:val="21"/>
                <w:highlight w:val="none"/>
              </w:rPr>
            </w:pPr>
          </w:p>
          <w:p w14:paraId="7EFF75E5">
            <w:pPr>
              <w:pageBreakBefore w:val="0"/>
              <w:kinsoku/>
              <w:wordWrap w:val="0"/>
              <w:bidi w:val="0"/>
              <w:spacing w:line="520" w:lineRule="atLeast"/>
              <w:ind w:left="266" w:right="174" w:rightChars="83" w:firstLine="4"/>
              <w:rPr>
                <w:rFonts w:hint="default" w:ascii="Times New Roman" w:hAnsi="Times New Roman" w:cs="Times New Roman"/>
                <w:szCs w:val="21"/>
                <w:highlight w:val="none"/>
              </w:rPr>
            </w:pPr>
            <w:r>
              <w:rPr>
                <w:rFonts w:hint="default" w:ascii="Times New Roman" w:hAnsi="Times New Roman" w:cs="Times New Roman"/>
                <w:szCs w:val="21"/>
                <w:highlight w:val="none"/>
              </w:rPr>
              <w:t>拟为承包本标段工程设立的组织机构以框图方式表示。</w:t>
            </w:r>
          </w:p>
          <w:p w14:paraId="74FE89F1">
            <w:pPr>
              <w:pageBreakBefore w:val="0"/>
              <w:kinsoku/>
              <w:wordWrap w:val="0"/>
              <w:bidi w:val="0"/>
              <w:spacing w:line="520" w:lineRule="atLeast"/>
              <w:rPr>
                <w:rFonts w:hint="default" w:ascii="Times New Roman" w:hAnsi="Times New Roman" w:cs="Times New Roman"/>
                <w:szCs w:val="21"/>
                <w:highlight w:val="none"/>
              </w:rPr>
            </w:pPr>
          </w:p>
          <w:p w14:paraId="08AFFBF8">
            <w:pPr>
              <w:pageBreakBefore w:val="0"/>
              <w:kinsoku/>
              <w:wordWrap w:val="0"/>
              <w:bidi w:val="0"/>
              <w:spacing w:line="520" w:lineRule="atLeast"/>
              <w:rPr>
                <w:rFonts w:hint="default" w:ascii="Times New Roman" w:hAnsi="Times New Roman" w:cs="Times New Roman"/>
                <w:szCs w:val="21"/>
                <w:highlight w:val="none"/>
              </w:rPr>
            </w:pPr>
          </w:p>
          <w:p w14:paraId="67FF7B79">
            <w:pPr>
              <w:pageBreakBefore w:val="0"/>
              <w:kinsoku/>
              <w:wordWrap w:val="0"/>
              <w:bidi w:val="0"/>
              <w:spacing w:line="520" w:lineRule="atLeast"/>
              <w:ind w:right="174" w:rightChars="83"/>
              <w:rPr>
                <w:rFonts w:hint="default" w:ascii="Times New Roman" w:hAnsi="Times New Roman" w:cs="Times New Roman"/>
                <w:szCs w:val="21"/>
                <w:highlight w:val="none"/>
              </w:rPr>
            </w:pPr>
          </w:p>
          <w:p w14:paraId="2775D314">
            <w:pPr>
              <w:pageBreakBefore w:val="0"/>
              <w:kinsoku/>
              <w:wordWrap w:val="0"/>
              <w:bidi w:val="0"/>
              <w:spacing w:line="520" w:lineRule="atLeast"/>
              <w:ind w:right="174" w:rightChars="83"/>
              <w:rPr>
                <w:rFonts w:hint="default" w:ascii="Times New Roman" w:hAnsi="Times New Roman" w:cs="Times New Roman"/>
                <w:szCs w:val="21"/>
                <w:highlight w:val="none"/>
              </w:rPr>
            </w:pPr>
          </w:p>
          <w:p w14:paraId="303E835A">
            <w:pPr>
              <w:pageBreakBefore w:val="0"/>
              <w:kinsoku/>
              <w:wordWrap w:val="0"/>
              <w:bidi w:val="0"/>
              <w:spacing w:line="520" w:lineRule="atLeast"/>
              <w:ind w:right="174" w:rightChars="83"/>
              <w:rPr>
                <w:rFonts w:hint="default" w:ascii="Times New Roman" w:hAnsi="Times New Roman" w:cs="Times New Roman"/>
                <w:szCs w:val="21"/>
                <w:highlight w:val="none"/>
              </w:rPr>
            </w:pPr>
          </w:p>
          <w:p w14:paraId="2FCDA5E4">
            <w:pPr>
              <w:pageBreakBefore w:val="0"/>
              <w:kinsoku/>
              <w:wordWrap w:val="0"/>
              <w:bidi w:val="0"/>
              <w:spacing w:line="520" w:lineRule="atLeast"/>
              <w:ind w:right="174" w:rightChars="83"/>
              <w:rPr>
                <w:rFonts w:hint="default" w:ascii="Times New Roman" w:hAnsi="Times New Roman" w:cs="Times New Roman"/>
                <w:szCs w:val="21"/>
                <w:highlight w:val="none"/>
              </w:rPr>
            </w:pPr>
          </w:p>
          <w:p w14:paraId="1FECCFAF">
            <w:pPr>
              <w:pageBreakBefore w:val="0"/>
              <w:kinsoku/>
              <w:wordWrap w:val="0"/>
              <w:bidi w:val="0"/>
              <w:spacing w:line="520" w:lineRule="atLeast"/>
              <w:ind w:right="174" w:rightChars="83"/>
              <w:rPr>
                <w:rFonts w:hint="default" w:ascii="Times New Roman" w:hAnsi="Times New Roman" w:cs="Times New Roman"/>
                <w:szCs w:val="21"/>
                <w:highlight w:val="none"/>
              </w:rPr>
            </w:pPr>
          </w:p>
          <w:p w14:paraId="7C4EEEE9">
            <w:pPr>
              <w:pageBreakBefore w:val="0"/>
              <w:kinsoku/>
              <w:wordWrap w:val="0"/>
              <w:bidi w:val="0"/>
              <w:spacing w:line="520" w:lineRule="atLeast"/>
              <w:ind w:right="174" w:rightChars="83"/>
              <w:rPr>
                <w:rFonts w:hint="default" w:ascii="Times New Roman" w:hAnsi="Times New Roman" w:cs="Times New Roman"/>
                <w:szCs w:val="21"/>
                <w:highlight w:val="none"/>
              </w:rPr>
            </w:pPr>
          </w:p>
          <w:p w14:paraId="18FCF75C">
            <w:pPr>
              <w:pageBreakBefore w:val="0"/>
              <w:kinsoku/>
              <w:wordWrap w:val="0"/>
              <w:bidi w:val="0"/>
              <w:spacing w:line="520" w:lineRule="atLeast"/>
              <w:ind w:right="174" w:rightChars="83"/>
              <w:rPr>
                <w:rFonts w:hint="default" w:ascii="Times New Roman" w:hAnsi="Times New Roman" w:cs="Times New Roman"/>
                <w:szCs w:val="21"/>
                <w:highlight w:val="none"/>
              </w:rPr>
            </w:pPr>
          </w:p>
          <w:p w14:paraId="6741F87B">
            <w:pPr>
              <w:pageBreakBefore w:val="0"/>
              <w:kinsoku/>
              <w:wordWrap w:val="0"/>
              <w:bidi w:val="0"/>
              <w:spacing w:line="520" w:lineRule="atLeast"/>
              <w:ind w:right="174" w:rightChars="83"/>
              <w:rPr>
                <w:rFonts w:hint="default" w:ascii="Times New Roman" w:hAnsi="Times New Roman" w:cs="Times New Roman"/>
                <w:szCs w:val="21"/>
                <w:highlight w:val="none"/>
              </w:rPr>
            </w:pPr>
          </w:p>
          <w:p w14:paraId="0823C088">
            <w:pPr>
              <w:pageBreakBefore w:val="0"/>
              <w:kinsoku/>
              <w:wordWrap w:val="0"/>
              <w:bidi w:val="0"/>
              <w:spacing w:line="520" w:lineRule="atLeast"/>
              <w:ind w:right="174" w:rightChars="83"/>
              <w:rPr>
                <w:rFonts w:hint="default" w:ascii="Times New Roman" w:hAnsi="Times New Roman" w:cs="Times New Roman"/>
                <w:szCs w:val="21"/>
                <w:highlight w:val="none"/>
              </w:rPr>
            </w:pPr>
          </w:p>
          <w:p w14:paraId="11467498">
            <w:pPr>
              <w:pageBreakBefore w:val="0"/>
              <w:kinsoku/>
              <w:wordWrap w:val="0"/>
              <w:bidi w:val="0"/>
              <w:spacing w:line="520" w:lineRule="atLeast"/>
              <w:rPr>
                <w:rFonts w:hint="default" w:ascii="Times New Roman" w:hAnsi="Times New Roman" w:cs="Times New Roman"/>
                <w:szCs w:val="21"/>
                <w:highlight w:val="none"/>
              </w:rPr>
            </w:pPr>
          </w:p>
          <w:p w14:paraId="59EC0EEE">
            <w:pPr>
              <w:pageBreakBefore w:val="0"/>
              <w:kinsoku/>
              <w:wordWrap w:val="0"/>
              <w:bidi w:val="0"/>
              <w:spacing w:line="520" w:lineRule="atLeast"/>
              <w:rPr>
                <w:rFonts w:hint="default" w:ascii="Times New Roman" w:hAnsi="Times New Roman" w:cs="Times New Roman"/>
                <w:szCs w:val="21"/>
                <w:highlight w:val="none"/>
              </w:rPr>
            </w:pPr>
          </w:p>
        </w:tc>
      </w:tr>
      <w:tr w14:paraId="2193DC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105" w:hRule="atLeast"/>
        </w:trPr>
        <w:tc>
          <w:tcPr>
            <w:tcW w:w="8724" w:type="dxa"/>
            <w:noWrap w:val="0"/>
            <w:vAlign w:val="top"/>
          </w:tcPr>
          <w:p w14:paraId="2D2B9EE5">
            <w:pPr>
              <w:pageBreakBefore w:val="0"/>
              <w:kinsoku/>
              <w:wordWrap w:val="0"/>
              <w:bidi w:val="0"/>
              <w:spacing w:line="520" w:lineRule="atLeast"/>
              <w:ind w:left="266" w:right="174" w:rightChars="83" w:firstLine="4"/>
              <w:rPr>
                <w:rFonts w:hint="default" w:ascii="Times New Roman" w:hAnsi="Times New Roman" w:cs="Times New Roman"/>
                <w:szCs w:val="21"/>
                <w:highlight w:val="none"/>
              </w:rPr>
            </w:pPr>
            <w:r>
              <w:rPr>
                <w:rFonts w:hint="default" w:ascii="Times New Roman" w:hAnsi="Times New Roman" w:cs="Times New Roman"/>
                <w:szCs w:val="21"/>
                <w:highlight w:val="none"/>
              </w:rPr>
              <w:t>说明</w:t>
            </w:r>
          </w:p>
          <w:p w14:paraId="6DCF13D1">
            <w:pPr>
              <w:pageBreakBefore w:val="0"/>
              <w:kinsoku/>
              <w:wordWrap w:val="0"/>
              <w:bidi w:val="0"/>
              <w:spacing w:line="520" w:lineRule="atLeast"/>
              <w:jc w:val="center"/>
              <w:rPr>
                <w:rFonts w:hint="default" w:ascii="Times New Roman" w:hAnsi="Times New Roman" w:cs="Times New Roman"/>
                <w:szCs w:val="21"/>
                <w:highlight w:val="none"/>
              </w:rPr>
            </w:pPr>
          </w:p>
          <w:p w14:paraId="4C706A5D">
            <w:pPr>
              <w:pageBreakBefore w:val="0"/>
              <w:kinsoku/>
              <w:wordWrap w:val="0"/>
              <w:bidi w:val="0"/>
              <w:spacing w:line="520" w:lineRule="atLeast"/>
              <w:jc w:val="center"/>
              <w:rPr>
                <w:rFonts w:hint="default" w:ascii="Times New Roman" w:hAnsi="Times New Roman" w:cs="Times New Roman"/>
                <w:szCs w:val="21"/>
                <w:highlight w:val="none"/>
              </w:rPr>
            </w:pPr>
          </w:p>
          <w:p w14:paraId="6DB5B4C8">
            <w:pPr>
              <w:pageBreakBefore w:val="0"/>
              <w:kinsoku/>
              <w:wordWrap w:val="0"/>
              <w:bidi w:val="0"/>
              <w:spacing w:line="520" w:lineRule="atLeast"/>
              <w:jc w:val="center"/>
              <w:rPr>
                <w:rFonts w:hint="default" w:ascii="Times New Roman" w:hAnsi="Times New Roman" w:cs="Times New Roman"/>
                <w:szCs w:val="21"/>
                <w:highlight w:val="none"/>
              </w:rPr>
            </w:pPr>
          </w:p>
          <w:p w14:paraId="69463101">
            <w:pPr>
              <w:pageBreakBefore w:val="0"/>
              <w:kinsoku/>
              <w:wordWrap w:val="0"/>
              <w:bidi w:val="0"/>
              <w:spacing w:line="520" w:lineRule="atLeast"/>
              <w:jc w:val="center"/>
              <w:rPr>
                <w:rFonts w:hint="default" w:ascii="Times New Roman" w:hAnsi="Times New Roman" w:cs="Times New Roman"/>
                <w:szCs w:val="21"/>
                <w:highlight w:val="none"/>
              </w:rPr>
            </w:pPr>
          </w:p>
        </w:tc>
      </w:tr>
    </w:tbl>
    <w:p w14:paraId="3BD6877D">
      <w:pPr>
        <w:pageBreakBefore w:val="0"/>
        <w:widowControl/>
        <w:kinsoku/>
        <w:wordWrap w:val="0"/>
        <w:autoSpaceDE w:val="0"/>
        <w:autoSpaceDN w:val="0"/>
        <w:bidi w:val="0"/>
        <w:spacing w:line="360" w:lineRule="atLeast"/>
        <w:ind w:left="180"/>
        <w:textAlignment w:val="bottom"/>
        <w:rPr>
          <w:rFonts w:hint="default" w:ascii="Times New Roman" w:hAnsi="Times New Roman" w:cs="Times New Roman"/>
          <w:sz w:val="20"/>
          <w:szCs w:val="20"/>
          <w:highlight w:val="none"/>
        </w:rPr>
      </w:pPr>
    </w:p>
    <w:p w14:paraId="46FBD22E">
      <w:pPr>
        <w:pageBreakBefore w:val="0"/>
        <w:kinsoku/>
        <w:wordWrap w:val="0"/>
        <w:bidi w:val="0"/>
        <w:spacing w:line="440" w:lineRule="exact"/>
        <w:jc w:val="center"/>
        <w:rPr>
          <w:rFonts w:hint="default" w:ascii="Times New Roman" w:hAnsi="Times New Roman" w:eastAsia="黑体" w:cs="Times New Roman"/>
          <w:sz w:val="20"/>
          <w:szCs w:val="20"/>
          <w:highlight w:val="none"/>
        </w:rPr>
      </w:pPr>
    </w:p>
    <w:p w14:paraId="3A1CE17F">
      <w:pPr>
        <w:pStyle w:val="2"/>
        <w:pageBreakBefore w:val="0"/>
        <w:kinsoku/>
        <w:wordWrap w:val="0"/>
        <w:bidi w:val="0"/>
        <w:spacing w:before="0" w:after="0" w:line="380" w:lineRule="atLeast"/>
        <w:jc w:val="center"/>
        <w:rPr>
          <w:rFonts w:hint="default" w:ascii="Times New Roman" w:hAnsi="Times New Roman" w:eastAsia="黑体" w:cs="Times New Roman"/>
          <w:b w:val="0"/>
          <w:sz w:val="28"/>
          <w:szCs w:val="28"/>
          <w:highlight w:val="none"/>
        </w:rPr>
      </w:pPr>
      <w:bookmarkStart w:id="1526" w:name="_Toc26668"/>
      <w:bookmarkStart w:id="1527" w:name="_Toc14603"/>
      <w:bookmarkStart w:id="1528" w:name="_Toc234833276"/>
      <w:r>
        <w:rPr>
          <w:rFonts w:hint="default" w:ascii="Times New Roman" w:hAnsi="Times New Roman" w:eastAsia="黑体" w:cs="Times New Roman"/>
          <w:b w:val="0"/>
          <w:sz w:val="28"/>
          <w:szCs w:val="28"/>
          <w:highlight w:val="none"/>
        </w:rPr>
        <w:t>七、拟分包项目情况表</w:t>
      </w:r>
      <w:bookmarkEnd w:id="1526"/>
      <w:bookmarkEnd w:id="1527"/>
      <w:bookmarkEnd w:id="1528"/>
    </w:p>
    <w:p w14:paraId="679880FE">
      <w:pPr>
        <w:pageBreakBefore w:val="0"/>
        <w:kinsoku/>
        <w:wordWrap w:val="0"/>
        <w:bidi w:val="0"/>
        <w:spacing w:line="440" w:lineRule="exact"/>
        <w:rPr>
          <w:rFonts w:hint="default" w:ascii="Times New Roman" w:hAnsi="Times New Roman" w:eastAsia="黑体" w:cs="Times New Roman"/>
          <w:sz w:val="20"/>
          <w:szCs w:val="20"/>
          <w:highlight w:val="none"/>
        </w:rPr>
      </w:pPr>
      <w:r>
        <w:rPr>
          <w:rFonts w:hint="default" w:ascii="Times New Roman" w:hAnsi="Times New Roman" w:eastAsia="黑体" w:cs="Times New Roman"/>
          <w:sz w:val="20"/>
          <w:szCs w:val="20"/>
          <w:highlight w:val="none"/>
        </w:rPr>
        <w:t xml:space="preserve">                          </w:t>
      </w: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9"/>
        <w:gridCol w:w="2456"/>
        <w:gridCol w:w="1864"/>
        <w:gridCol w:w="2582"/>
      </w:tblGrid>
      <w:tr w14:paraId="4D98A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9" w:type="dxa"/>
            <w:noWrap w:val="0"/>
            <w:vAlign w:val="center"/>
          </w:tcPr>
          <w:p w14:paraId="010DEB41">
            <w:pPr>
              <w:pageBreakBefore w:val="0"/>
              <w:kinsoku/>
              <w:wordWrap w:val="0"/>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拟分包的工程项目</w:t>
            </w:r>
          </w:p>
        </w:tc>
        <w:tc>
          <w:tcPr>
            <w:tcW w:w="2456" w:type="dxa"/>
            <w:noWrap w:val="0"/>
            <w:vAlign w:val="center"/>
          </w:tcPr>
          <w:p w14:paraId="4DD8E4E7">
            <w:pPr>
              <w:pageBreakBefore w:val="0"/>
              <w:kinsoku/>
              <w:wordWrap w:val="0"/>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主要工程内容</w:t>
            </w:r>
          </w:p>
        </w:tc>
        <w:tc>
          <w:tcPr>
            <w:tcW w:w="1864" w:type="dxa"/>
            <w:noWrap w:val="0"/>
            <w:vAlign w:val="center"/>
          </w:tcPr>
          <w:p w14:paraId="5238368D">
            <w:pPr>
              <w:pageBreakBefore w:val="0"/>
              <w:kinsoku/>
              <w:wordWrap w:val="0"/>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预计造价（万元）</w:t>
            </w:r>
          </w:p>
        </w:tc>
        <w:tc>
          <w:tcPr>
            <w:tcW w:w="2582" w:type="dxa"/>
            <w:noWrap w:val="0"/>
            <w:vAlign w:val="center"/>
          </w:tcPr>
          <w:p w14:paraId="50413CA2">
            <w:pPr>
              <w:pageBreakBefore w:val="0"/>
              <w:kinsoku/>
              <w:wordWrap w:val="0"/>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备 注</w:t>
            </w:r>
          </w:p>
        </w:tc>
      </w:tr>
      <w:tr w14:paraId="28906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989" w:type="dxa"/>
            <w:noWrap w:val="0"/>
            <w:vAlign w:val="center"/>
          </w:tcPr>
          <w:p w14:paraId="6A445D50">
            <w:pPr>
              <w:pageBreakBefore w:val="0"/>
              <w:kinsoku/>
              <w:wordWrap w:val="0"/>
              <w:bidi w:val="0"/>
              <w:spacing w:line="440" w:lineRule="exact"/>
              <w:jc w:val="center"/>
              <w:rPr>
                <w:rFonts w:hint="default" w:ascii="Times New Roman" w:hAnsi="Times New Roman" w:cs="Times New Roman"/>
                <w:szCs w:val="21"/>
                <w:highlight w:val="none"/>
              </w:rPr>
            </w:pPr>
          </w:p>
        </w:tc>
        <w:tc>
          <w:tcPr>
            <w:tcW w:w="2456" w:type="dxa"/>
            <w:noWrap w:val="0"/>
            <w:vAlign w:val="center"/>
          </w:tcPr>
          <w:p w14:paraId="629ED3FF">
            <w:pPr>
              <w:pageBreakBefore w:val="0"/>
              <w:kinsoku/>
              <w:wordWrap w:val="0"/>
              <w:bidi w:val="0"/>
              <w:spacing w:line="440" w:lineRule="exact"/>
              <w:jc w:val="center"/>
              <w:rPr>
                <w:rFonts w:hint="default" w:ascii="Times New Roman" w:hAnsi="Times New Roman" w:cs="Times New Roman"/>
                <w:szCs w:val="21"/>
                <w:highlight w:val="none"/>
              </w:rPr>
            </w:pPr>
          </w:p>
        </w:tc>
        <w:tc>
          <w:tcPr>
            <w:tcW w:w="1864" w:type="dxa"/>
            <w:noWrap w:val="0"/>
            <w:vAlign w:val="center"/>
          </w:tcPr>
          <w:p w14:paraId="2BDB4E2A">
            <w:pPr>
              <w:pageBreakBefore w:val="0"/>
              <w:kinsoku/>
              <w:wordWrap w:val="0"/>
              <w:bidi w:val="0"/>
              <w:spacing w:line="440" w:lineRule="exact"/>
              <w:jc w:val="center"/>
              <w:rPr>
                <w:rFonts w:hint="default" w:ascii="Times New Roman" w:hAnsi="Times New Roman" w:cs="Times New Roman"/>
                <w:szCs w:val="21"/>
                <w:highlight w:val="none"/>
              </w:rPr>
            </w:pPr>
          </w:p>
        </w:tc>
        <w:tc>
          <w:tcPr>
            <w:tcW w:w="2582" w:type="dxa"/>
            <w:vMerge w:val="restart"/>
            <w:noWrap w:val="0"/>
            <w:vAlign w:val="center"/>
          </w:tcPr>
          <w:p w14:paraId="73841C66">
            <w:pPr>
              <w:pageBreakBefore w:val="0"/>
              <w:kinsoku/>
              <w:wordWrap w:val="0"/>
              <w:bidi w:val="0"/>
              <w:spacing w:line="440" w:lineRule="exact"/>
              <w:rPr>
                <w:rFonts w:hint="default" w:ascii="Times New Roman" w:hAnsi="Times New Roman" w:cs="Times New Roman"/>
                <w:szCs w:val="21"/>
                <w:highlight w:val="none"/>
              </w:rPr>
            </w:pPr>
            <w:r>
              <w:rPr>
                <w:rFonts w:hint="default" w:ascii="Times New Roman" w:hAnsi="Times New Roman" w:cs="Times New Roman"/>
                <w:szCs w:val="21"/>
                <w:highlight w:val="none"/>
              </w:rPr>
              <w:t>注：若无分包计划，则投标人应在本表填写</w:t>
            </w:r>
            <w:r>
              <w:rPr>
                <w:rFonts w:hint="eastAsia" w:ascii="宋体" w:hAnsi="宋体" w:eastAsia="宋体" w:cs="宋体"/>
                <w:szCs w:val="21"/>
                <w:highlight w:val="none"/>
              </w:rPr>
              <w:t>“</w:t>
            </w:r>
            <w:r>
              <w:rPr>
                <w:rFonts w:hint="default" w:ascii="Times New Roman" w:hAnsi="Times New Roman" w:cs="Times New Roman"/>
                <w:szCs w:val="21"/>
                <w:highlight w:val="none"/>
              </w:rPr>
              <w:t>无</w:t>
            </w:r>
            <w:r>
              <w:rPr>
                <w:rFonts w:hint="eastAsia" w:ascii="宋体" w:hAnsi="宋体" w:eastAsia="宋体" w:cs="宋体"/>
                <w:szCs w:val="21"/>
                <w:highlight w:val="none"/>
              </w:rPr>
              <w:t>”</w:t>
            </w:r>
          </w:p>
        </w:tc>
      </w:tr>
      <w:tr w14:paraId="2144D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trPr>
        <w:tc>
          <w:tcPr>
            <w:tcW w:w="1989" w:type="dxa"/>
            <w:noWrap w:val="0"/>
            <w:vAlign w:val="center"/>
          </w:tcPr>
          <w:p w14:paraId="4B20F704">
            <w:pPr>
              <w:pageBreakBefore w:val="0"/>
              <w:kinsoku/>
              <w:wordWrap w:val="0"/>
              <w:bidi w:val="0"/>
              <w:spacing w:line="440" w:lineRule="exact"/>
              <w:jc w:val="center"/>
              <w:rPr>
                <w:rFonts w:hint="default" w:ascii="Times New Roman" w:hAnsi="Times New Roman" w:cs="Times New Roman"/>
                <w:szCs w:val="21"/>
                <w:highlight w:val="none"/>
              </w:rPr>
            </w:pPr>
          </w:p>
        </w:tc>
        <w:tc>
          <w:tcPr>
            <w:tcW w:w="2456" w:type="dxa"/>
            <w:noWrap w:val="0"/>
            <w:vAlign w:val="center"/>
          </w:tcPr>
          <w:p w14:paraId="2BAC73CD">
            <w:pPr>
              <w:pageBreakBefore w:val="0"/>
              <w:kinsoku/>
              <w:wordWrap w:val="0"/>
              <w:bidi w:val="0"/>
              <w:spacing w:line="440" w:lineRule="exact"/>
              <w:jc w:val="center"/>
              <w:rPr>
                <w:rFonts w:hint="default" w:ascii="Times New Roman" w:hAnsi="Times New Roman" w:cs="Times New Roman"/>
                <w:szCs w:val="21"/>
                <w:highlight w:val="none"/>
              </w:rPr>
            </w:pPr>
          </w:p>
        </w:tc>
        <w:tc>
          <w:tcPr>
            <w:tcW w:w="1864" w:type="dxa"/>
            <w:noWrap w:val="0"/>
            <w:vAlign w:val="center"/>
          </w:tcPr>
          <w:p w14:paraId="396822EB">
            <w:pPr>
              <w:pageBreakBefore w:val="0"/>
              <w:kinsoku/>
              <w:wordWrap w:val="0"/>
              <w:bidi w:val="0"/>
              <w:spacing w:line="440" w:lineRule="exact"/>
              <w:jc w:val="center"/>
              <w:rPr>
                <w:rFonts w:hint="default" w:ascii="Times New Roman" w:hAnsi="Times New Roman" w:cs="Times New Roman"/>
                <w:szCs w:val="21"/>
                <w:highlight w:val="none"/>
              </w:rPr>
            </w:pPr>
          </w:p>
        </w:tc>
        <w:tc>
          <w:tcPr>
            <w:tcW w:w="2582" w:type="dxa"/>
            <w:vMerge w:val="continue"/>
            <w:noWrap w:val="0"/>
            <w:vAlign w:val="center"/>
          </w:tcPr>
          <w:p w14:paraId="0558E4ED">
            <w:pPr>
              <w:pageBreakBefore w:val="0"/>
              <w:kinsoku/>
              <w:wordWrap w:val="0"/>
              <w:bidi w:val="0"/>
              <w:spacing w:line="440" w:lineRule="exact"/>
              <w:jc w:val="center"/>
              <w:rPr>
                <w:rFonts w:hint="default" w:ascii="Times New Roman" w:hAnsi="Times New Roman" w:cs="Times New Roman"/>
                <w:szCs w:val="21"/>
                <w:highlight w:val="none"/>
              </w:rPr>
            </w:pPr>
          </w:p>
        </w:tc>
      </w:tr>
      <w:tr w14:paraId="3A59E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noWrap w:val="0"/>
            <w:vAlign w:val="center"/>
          </w:tcPr>
          <w:p w14:paraId="0F947712">
            <w:pPr>
              <w:pageBreakBefore w:val="0"/>
              <w:kinsoku/>
              <w:wordWrap w:val="0"/>
              <w:bidi w:val="0"/>
              <w:spacing w:line="440" w:lineRule="exact"/>
              <w:jc w:val="center"/>
              <w:rPr>
                <w:rFonts w:hint="default" w:ascii="Times New Roman" w:hAnsi="Times New Roman" w:cs="Times New Roman"/>
                <w:szCs w:val="21"/>
                <w:highlight w:val="none"/>
              </w:rPr>
            </w:pPr>
          </w:p>
        </w:tc>
        <w:tc>
          <w:tcPr>
            <w:tcW w:w="2456" w:type="dxa"/>
            <w:noWrap w:val="0"/>
            <w:vAlign w:val="center"/>
          </w:tcPr>
          <w:p w14:paraId="3A663755">
            <w:pPr>
              <w:pageBreakBefore w:val="0"/>
              <w:kinsoku/>
              <w:wordWrap w:val="0"/>
              <w:bidi w:val="0"/>
              <w:spacing w:line="440" w:lineRule="exact"/>
              <w:jc w:val="center"/>
              <w:rPr>
                <w:rFonts w:hint="default" w:ascii="Times New Roman" w:hAnsi="Times New Roman" w:cs="Times New Roman"/>
                <w:szCs w:val="21"/>
                <w:highlight w:val="none"/>
              </w:rPr>
            </w:pPr>
          </w:p>
        </w:tc>
        <w:tc>
          <w:tcPr>
            <w:tcW w:w="1864" w:type="dxa"/>
            <w:noWrap w:val="0"/>
            <w:vAlign w:val="center"/>
          </w:tcPr>
          <w:p w14:paraId="455043DE">
            <w:pPr>
              <w:pageBreakBefore w:val="0"/>
              <w:kinsoku/>
              <w:wordWrap w:val="0"/>
              <w:bidi w:val="0"/>
              <w:spacing w:line="440" w:lineRule="exact"/>
              <w:jc w:val="center"/>
              <w:rPr>
                <w:rFonts w:hint="default" w:ascii="Times New Roman" w:hAnsi="Times New Roman" w:cs="Times New Roman"/>
                <w:szCs w:val="21"/>
                <w:highlight w:val="none"/>
              </w:rPr>
            </w:pPr>
          </w:p>
        </w:tc>
        <w:tc>
          <w:tcPr>
            <w:tcW w:w="2582" w:type="dxa"/>
            <w:vMerge w:val="continue"/>
            <w:noWrap w:val="0"/>
            <w:vAlign w:val="center"/>
          </w:tcPr>
          <w:p w14:paraId="27B12D72">
            <w:pPr>
              <w:pageBreakBefore w:val="0"/>
              <w:kinsoku/>
              <w:wordWrap w:val="0"/>
              <w:bidi w:val="0"/>
              <w:spacing w:line="440" w:lineRule="exact"/>
              <w:jc w:val="center"/>
              <w:rPr>
                <w:rFonts w:hint="default" w:ascii="Times New Roman" w:hAnsi="Times New Roman" w:cs="Times New Roman"/>
                <w:szCs w:val="21"/>
                <w:highlight w:val="none"/>
              </w:rPr>
            </w:pPr>
          </w:p>
        </w:tc>
      </w:tr>
      <w:tr w14:paraId="61D76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 w:hRule="atLeast"/>
        </w:trPr>
        <w:tc>
          <w:tcPr>
            <w:tcW w:w="1989" w:type="dxa"/>
            <w:noWrap w:val="0"/>
            <w:vAlign w:val="center"/>
          </w:tcPr>
          <w:p w14:paraId="790A97B6">
            <w:pPr>
              <w:pageBreakBefore w:val="0"/>
              <w:kinsoku/>
              <w:wordWrap w:val="0"/>
              <w:bidi w:val="0"/>
              <w:spacing w:line="440" w:lineRule="exact"/>
              <w:jc w:val="center"/>
              <w:rPr>
                <w:rFonts w:hint="default" w:ascii="Times New Roman" w:hAnsi="Times New Roman" w:cs="Times New Roman"/>
                <w:szCs w:val="21"/>
                <w:highlight w:val="none"/>
              </w:rPr>
            </w:pPr>
          </w:p>
        </w:tc>
        <w:tc>
          <w:tcPr>
            <w:tcW w:w="2456" w:type="dxa"/>
            <w:noWrap w:val="0"/>
            <w:vAlign w:val="center"/>
          </w:tcPr>
          <w:p w14:paraId="721E7C15">
            <w:pPr>
              <w:pageBreakBefore w:val="0"/>
              <w:kinsoku/>
              <w:wordWrap w:val="0"/>
              <w:bidi w:val="0"/>
              <w:spacing w:line="440" w:lineRule="exact"/>
              <w:jc w:val="center"/>
              <w:rPr>
                <w:rFonts w:hint="default" w:ascii="Times New Roman" w:hAnsi="Times New Roman" w:cs="Times New Roman"/>
                <w:szCs w:val="21"/>
                <w:highlight w:val="none"/>
              </w:rPr>
            </w:pPr>
          </w:p>
        </w:tc>
        <w:tc>
          <w:tcPr>
            <w:tcW w:w="1864" w:type="dxa"/>
            <w:noWrap w:val="0"/>
            <w:vAlign w:val="center"/>
          </w:tcPr>
          <w:p w14:paraId="28C3DA89">
            <w:pPr>
              <w:pageBreakBefore w:val="0"/>
              <w:kinsoku/>
              <w:wordWrap w:val="0"/>
              <w:bidi w:val="0"/>
              <w:spacing w:line="440" w:lineRule="exact"/>
              <w:jc w:val="center"/>
              <w:rPr>
                <w:rFonts w:hint="default" w:ascii="Times New Roman" w:hAnsi="Times New Roman" w:cs="Times New Roman"/>
                <w:szCs w:val="21"/>
                <w:highlight w:val="none"/>
              </w:rPr>
            </w:pPr>
          </w:p>
        </w:tc>
        <w:tc>
          <w:tcPr>
            <w:tcW w:w="2582" w:type="dxa"/>
            <w:vMerge w:val="continue"/>
            <w:noWrap w:val="0"/>
            <w:vAlign w:val="center"/>
          </w:tcPr>
          <w:p w14:paraId="100D2B64">
            <w:pPr>
              <w:pageBreakBefore w:val="0"/>
              <w:kinsoku/>
              <w:wordWrap w:val="0"/>
              <w:bidi w:val="0"/>
              <w:spacing w:line="440" w:lineRule="exact"/>
              <w:jc w:val="center"/>
              <w:rPr>
                <w:rFonts w:hint="default" w:ascii="Times New Roman" w:hAnsi="Times New Roman" w:cs="Times New Roman"/>
                <w:szCs w:val="21"/>
                <w:highlight w:val="none"/>
              </w:rPr>
            </w:pPr>
          </w:p>
        </w:tc>
      </w:tr>
      <w:tr w14:paraId="4D1EA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0" w:hRule="atLeast"/>
        </w:trPr>
        <w:tc>
          <w:tcPr>
            <w:tcW w:w="1989" w:type="dxa"/>
            <w:noWrap w:val="0"/>
            <w:vAlign w:val="center"/>
          </w:tcPr>
          <w:p w14:paraId="7B93B54D">
            <w:pPr>
              <w:pageBreakBefore w:val="0"/>
              <w:kinsoku/>
              <w:wordWrap w:val="0"/>
              <w:bidi w:val="0"/>
              <w:spacing w:line="440" w:lineRule="exact"/>
              <w:jc w:val="center"/>
              <w:rPr>
                <w:rFonts w:hint="default" w:ascii="Times New Roman" w:hAnsi="Times New Roman" w:cs="Times New Roman"/>
                <w:szCs w:val="21"/>
                <w:highlight w:val="none"/>
              </w:rPr>
            </w:pPr>
          </w:p>
        </w:tc>
        <w:tc>
          <w:tcPr>
            <w:tcW w:w="2456" w:type="dxa"/>
            <w:noWrap w:val="0"/>
            <w:vAlign w:val="center"/>
          </w:tcPr>
          <w:p w14:paraId="0F86922E">
            <w:pPr>
              <w:pageBreakBefore w:val="0"/>
              <w:kinsoku/>
              <w:wordWrap w:val="0"/>
              <w:bidi w:val="0"/>
              <w:spacing w:line="440" w:lineRule="exact"/>
              <w:jc w:val="center"/>
              <w:rPr>
                <w:rFonts w:hint="default" w:ascii="Times New Roman" w:hAnsi="Times New Roman" w:cs="Times New Roman"/>
                <w:szCs w:val="21"/>
                <w:highlight w:val="none"/>
              </w:rPr>
            </w:pPr>
          </w:p>
        </w:tc>
        <w:tc>
          <w:tcPr>
            <w:tcW w:w="1864" w:type="dxa"/>
            <w:noWrap w:val="0"/>
            <w:vAlign w:val="center"/>
          </w:tcPr>
          <w:p w14:paraId="178EB571">
            <w:pPr>
              <w:pageBreakBefore w:val="0"/>
              <w:kinsoku/>
              <w:wordWrap w:val="0"/>
              <w:bidi w:val="0"/>
              <w:spacing w:line="440" w:lineRule="exact"/>
              <w:jc w:val="center"/>
              <w:rPr>
                <w:rFonts w:hint="default" w:ascii="Times New Roman" w:hAnsi="Times New Roman" w:cs="Times New Roman"/>
                <w:szCs w:val="21"/>
                <w:highlight w:val="none"/>
              </w:rPr>
            </w:pPr>
          </w:p>
        </w:tc>
        <w:tc>
          <w:tcPr>
            <w:tcW w:w="2582" w:type="dxa"/>
            <w:vMerge w:val="continue"/>
            <w:noWrap w:val="0"/>
            <w:vAlign w:val="center"/>
          </w:tcPr>
          <w:p w14:paraId="328659BD">
            <w:pPr>
              <w:pageBreakBefore w:val="0"/>
              <w:kinsoku/>
              <w:wordWrap w:val="0"/>
              <w:bidi w:val="0"/>
              <w:spacing w:line="440" w:lineRule="exact"/>
              <w:jc w:val="center"/>
              <w:rPr>
                <w:rFonts w:hint="default" w:ascii="Times New Roman" w:hAnsi="Times New Roman" w:cs="Times New Roman"/>
                <w:szCs w:val="21"/>
                <w:highlight w:val="none"/>
              </w:rPr>
            </w:pPr>
          </w:p>
        </w:tc>
      </w:tr>
      <w:tr w14:paraId="21BE5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noWrap w:val="0"/>
            <w:vAlign w:val="center"/>
          </w:tcPr>
          <w:p w14:paraId="2E5802A3">
            <w:pPr>
              <w:pageBreakBefore w:val="0"/>
              <w:kinsoku/>
              <w:wordWrap w:val="0"/>
              <w:bidi w:val="0"/>
              <w:spacing w:line="440" w:lineRule="exact"/>
              <w:jc w:val="center"/>
              <w:rPr>
                <w:rFonts w:hint="default" w:ascii="Times New Roman" w:hAnsi="Times New Roman" w:cs="Times New Roman"/>
                <w:szCs w:val="21"/>
                <w:highlight w:val="none"/>
              </w:rPr>
            </w:pPr>
          </w:p>
        </w:tc>
        <w:tc>
          <w:tcPr>
            <w:tcW w:w="2456" w:type="dxa"/>
            <w:noWrap w:val="0"/>
            <w:vAlign w:val="center"/>
          </w:tcPr>
          <w:p w14:paraId="7D133992">
            <w:pPr>
              <w:pageBreakBefore w:val="0"/>
              <w:kinsoku/>
              <w:wordWrap w:val="0"/>
              <w:bidi w:val="0"/>
              <w:spacing w:line="440" w:lineRule="exact"/>
              <w:jc w:val="center"/>
              <w:rPr>
                <w:rFonts w:hint="default" w:ascii="Times New Roman" w:hAnsi="Times New Roman" w:cs="Times New Roman"/>
                <w:szCs w:val="21"/>
                <w:highlight w:val="none"/>
              </w:rPr>
            </w:pPr>
          </w:p>
        </w:tc>
        <w:tc>
          <w:tcPr>
            <w:tcW w:w="1864" w:type="dxa"/>
            <w:noWrap w:val="0"/>
            <w:vAlign w:val="center"/>
          </w:tcPr>
          <w:p w14:paraId="1BD10E7B">
            <w:pPr>
              <w:pageBreakBefore w:val="0"/>
              <w:kinsoku/>
              <w:wordWrap w:val="0"/>
              <w:bidi w:val="0"/>
              <w:spacing w:line="440" w:lineRule="exact"/>
              <w:jc w:val="center"/>
              <w:rPr>
                <w:rFonts w:hint="default" w:ascii="Times New Roman" w:hAnsi="Times New Roman" w:cs="Times New Roman"/>
                <w:szCs w:val="21"/>
                <w:highlight w:val="none"/>
              </w:rPr>
            </w:pPr>
          </w:p>
        </w:tc>
        <w:tc>
          <w:tcPr>
            <w:tcW w:w="2582" w:type="dxa"/>
            <w:vMerge w:val="continue"/>
            <w:noWrap w:val="0"/>
            <w:vAlign w:val="center"/>
          </w:tcPr>
          <w:p w14:paraId="65E14AA4">
            <w:pPr>
              <w:pageBreakBefore w:val="0"/>
              <w:kinsoku/>
              <w:wordWrap w:val="0"/>
              <w:bidi w:val="0"/>
              <w:spacing w:line="440" w:lineRule="exact"/>
              <w:jc w:val="center"/>
              <w:rPr>
                <w:rFonts w:hint="default" w:ascii="Times New Roman" w:hAnsi="Times New Roman" w:cs="Times New Roman"/>
                <w:szCs w:val="21"/>
                <w:highlight w:val="none"/>
              </w:rPr>
            </w:pPr>
          </w:p>
        </w:tc>
      </w:tr>
      <w:tr w14:paraId="53A5E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noWrap w:val="0"/>
            <w:vAlign w:val="center"/>
          </w:tcPr>
          <w:p w14:paraId="1561FDF5">
            <w:pPr>
              <w:pageBreakBefore w:val="0"/>
              <w:kinsoku/>
              <w:wordWrap w:val="0"/>
              <w:bidi w:val="0"/>
              <w:spacing w:line="440" w:lineRule="exact"/>
              <w:jc w:val="center"/>
              <w:rPr>
                <w:rFonts w:hint="default" w:ascii="Times New Roman" w:hAnsi="Times New Roman" w:cs="Times New Roman"/>
                <w:szCs w:val="21"/>
                <w:highlight w:val="none"/>
              </w:rPr>
            </w:pPr>
          </w:p>
        </w:tc>
        <w:tc>
          <w:tcPr>
            <w:tcW w:w="2456" w:type="dxa"/>
            <w:noWrap w:val="0"/>
            <w:vAlign w:val="center"/>
          </w:tcPr>
          <w:p w14:paraId="1CBB4627">
            <w:pPr>
              <w:pageBreakBefore w:val="0"/>
              <w:kinsoku/>
              <w:wordWrap w:val="0"/>
              <w:bidi w:val="0"/>
              <w:spacing w:line="440" w:lineRule="exact"/>
              <w:jc w:val="center"/>
              <w:rPr>
                <w:rFonts w:hint="default" w:ascii="Times New Roman" w:hAnsi="Times New Roman" w:cs="Times New Roman"/>
                <w:szCs w:val="21"/>
                <w:highlight w:val="none"/>
              </w:rPr>
            </w:pPr>
          </w:p>
        </w:tc>
        <w:tc>
          <w:tcPr>
            <w:tcW w:w="1864" w:type="dxa"/>
            <w:noWrap w:val="0"/>
            <w:vAlign w:val="center"/>
          </w:tcPr>
          <w:p w14:paraId="560F6E1C">
            <w:pPr>
              <w:pageBreakBefore w:val="0"/>
              <w:kinsoku/>
              <w:wordWrap w:val="0"/>
              <w:bidi w:val="0"/>
              <w:spacing w:line="440" w:lineRule="exact"/>
              <w:jc w:val="center"/>
              <w:rPr>
                <w:rFonts w:hint="default" w:ascii="Times New Roman" w:hAnsi="Times New Roman" w:cs="Times New Roman"/>
                <w:szCs w:val="21"/>
                <w:highlight w:val="none"/>
              </w:rPr>
            </w:pPr>
          </w:p>
        </w:tc>
        <w:tc>
          <w:tcPr>
            <w:tcW w:w="2582" w:type="dxa"/>
            <w:vMerge w:val="continue"/>
            <w:noWrap w:val="0"/>
            <w:vAlign w:val="center"/>
          </w:tcPr>
          <w:p w14:paraId="7BCAAB2E">
            <w:pPr>
              <w:pageBreakBefore w:val="0"/>
              <w:kinsoku/>
              <w:wordWrap w:val="0"/>
              <w:bidi w:val="0"/>
              <w:spacing w:line="440" w:lineRule="exact"/>
              <w:jc w:val="center"/>
              <w:rPr>
                <w:rFonts w:hint="default" w:ascii="Times New Roman" w:hAnsi="Times New Roman" w:cs="Times New Roman"/>
                <w:szCs w:val="21"/>
                <w:highlight w:val="none"/>
              </w:rPr>
            </w:pPr>
          </w:p>
        </w:tc>
      </w:tr>
      <w:tr w14:paraId="38614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noWrap w:val="0"/>
            <w:vAlign w:val="center"/>
          </w:tcPr>
          <w:p w14:paraId="08C0EADF">
            <w:pPr>
              <w:pageBreakBefore w:val="0"/>
              <w:kinsoku/>
              <w:wordWrap w:val="0"/>
              <w:bidi w:val="0"/>
              <w:spacing w:line="440" w:lineRule="exact"/>
              <w:jc w:val="center"/>
              <w:rPr>
                <w:rFonts w:hint="default" w:ascii="Times New Roman" w:hAnsi="Times New Roman" w:cs="Times New Roman"/>
                <w:szCs w:val="21"/>
                <w:highlight w:val="none"/>
              </w:rPr>
            </w:pPr>
          </w:p>
        </w:tc>
        <w:tc>
          <w:tcPr>
            <w:tcW w:w="2456" w:type="dxa"/>
            <w:noWrap w:val="0"/>
            <w:vAlign w:val="center"/>
          </w:tcPr>
          <w:p w14:paraId="18AC8E9B">
            <w:pPr>
              <w:pageBreakBefore w:val="0"/>
              <w:kinsoku/>
              <w:wordWrap w:val="0"/>
              <w:bidi w:val="0"/>
              <w:spacing w:line="440" w:lineRule="exact"/>
              <w:jc w:val="center"/>
              <w:rPr>
                <w:rFonts w:hint="default" w:ascii="Times New Roman" w:hAnsi="Times New Roman" w:cs="Times New Roman"/>
                <w:szCs w:val="21"/>
                <w:highlight w:val="none"/>
              </w:rPr>
            </w:pPr>
          </w:p>
        </w:tc>
        <w:tc>
          <w:tcPr>
            <w:tcW w:w="1864" w:type="dxa"/>
            <w:noWrap w:val="0"/>
            <w:vAlign w:val="center"/>
          </w:tcPr>
          <w:p w14:paraId="50C589E1">
            <w:pPr>
              <w:pageBreakBefore w:val="0"/>
              <w:kinsoku/>
              <w:wordWrap w:val="0"/>
              <w:bidi w:val="0"/>
              <w:spacing w:line="440" w:lineRule="exact"/>
              <w:jc w:val="center"/>
              <w:rPr>
                <w:rFonts w:hint="default" w:ascii="Times New Roman" w:hAnsi="Times New Roman" w:cs="Times New Roman"/>
                <w:szCs w:val="21"/>
                <w:highlight w:val="none"/>
              </w:rPr>
            </w:pPr>
          </w:p>
        </w:tc>
        <w:tc>
          <w:tcPr>
            <w:tcW w:w="2582" w:type="dxa"/>
            <w:vMerge w:val="continue"/>
            <w:noWrap w:val="0"/>
            <w:vAlign w:val="center"/>
          </w:tcPr>
          <w:p w14:paraId="587BCC28">
            <w:pPr>
              <w:pageBreakBefore w:val="0"/>
              <w:kinsoku/>
              <w:wordWrap w:val="0"/>
              <w:bidi w:val="0"/>
              <w:spacing w:line="440" w:lineRule="exact"/>
              <w:jc w:val="center"/>
              <w:rPr>
                <w:rFonts w:hint="default" w:ascii="Times New Roman" w:hAnsi="Times New Roman" w:cs="Times New Roman"/>
                <w:szCs w:val="21"/>
                <w:highlight w:val="none"/>
              </w:rPr>
            </w:pPr>
          </w:p>
        </w:tc>
      </w:tr>
      <w:tr w14:paraId="77734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noWrap w:val="0"/>
            <w:vAlign w:val="center"/>
          </w:tcPr>
          <w:p w14:paraId="39FA704A">
            <w:pPr>
              <w:pageBreakBefore w:val="0"/>
              <w:kinsoku/>
              <w:wordWrap w:val="0"/>
              <w:bidi w:val="0"/>
              <w:spacing w:line="440" w:lineRule="exact"/>
              <w:jc w:val="center"/>
              <w:rPr>
                <w:rFonts w:hint="default" w:ascii="Times New Roman" w:hAnsi="Times New Roman" w:cs="Times New Roman"/>
                <w:szCs w:val="21"/>
                <w:highlight w:val="none"/>
              </w:rPr>
            </w:pPr>
          </w:p>
        </w:tc>
        <w:tc>
          <w:tcPr>
            <w:tcW w:w="2456" w:type="dxa"/>
            <w:noWrap w:val="0"/>
            <w:vAlign w:val="center"/>
          </w:tcPr>
          <w:p w14:paraId="48C0C38A">
            <w:pPr>
              <w:pageBreakBefore w:val="0"/>
              <w:kinsoku/>
              <w:wordWrap w:val="0"/>
              <w:bidi w:val="0"/>
              <w:spacing w:line="440" w:lineRule="exact"/>
              <w:jc w:val="center"/>
              <w:rPr>
                <w:rFonts w:hint="default" w:ascii="Times New Roman" w:hAnsi="Times New Roman" w:cs="Times New Roman"/>
                <w:szCs w:val="21"/>
                <w:highlight w:val="none"/>
              </w:rPr>
            </w:pPr>
          </w:p>
        </w:tc>
        <w:tc>
          <w:tcPr>
            <w:tcW w:w="1864" w:type="dxa"/>
            <w:noWrap w:val="0"/>
            <w:vAlign w:val="center"/>
          </w:tcPr>
          <w:p w14:paraId="7FEAC1C2">
            <w:pPr>
              <w:pageBreakBefore w:val="0"/>
              <w:kinsoku/>
              <w:wordWrap w:val="0"/>
              <w:bidi w:val="0"/>
              <w:spacing w:line="440" w:lineRule="exact"/>
              <w:jc w:val="center"/>
              <w:rPr>
                <w:rFonts w:hint="default" w:ascii="Times New Roman" w:hAnsi="Times New Roman" w:cs="Times New Roman"/>
                <w:szCs w:val="21"/>
                <w:highlight w:val="none"/>
              </w:rPr>
            </w:pPr>
          </w:p>
        </w:tc>
        <w:tc>
          <w:tcPr>
            <w:tcW w:w="2582" w:type="dxa"/>
            <w:vMerge w:val="continue"/>
            <w:noWrap w:val="0"/>
            <w:vAlign w:val="center"/>
          </w:tcPr>
          <w:p w14:paraId="3355C028">
            <w:pPr>
              <w:pageBreakBefore w:val="0"/>
              <w:kinsoku/>
              <w:wordWrap w:val="0"/>
              <w:bidi w:val="0"/>
              <w:spacing w:line="440" w:lineRule="exact"/>
              <w:jc w:val="center"/>
              <w:rPr>
                <w:rFonts w:hint="default" w:ascii="Times New Roman" w:hAnsi="Times New Roman" w:cs="Times New Roman"/>
                <w:szCs w:val="21"/>
                <w:highlight w:val="none"/>
              </w:rPr>
            </w:pPr>
          </w:p>
        </w:tc>
      </w:tr>
      <w:tr w14:paraId="397D4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noWrap w:val="0"/>
            <w:vAlign w:val="center"/>
          </w:tcPr>
          <w:p w14:paraId="27AA2F1B">
            <w:pPr>
              <w:pageBreakBefore w:val="0"/>
              <w:kinsoku/>
              <w:wordWrap w:val="0"/>
              <w:bidi w:val="0"/>
              <w:spacing w:line="440" w:lineRule="exact"/>
              <w:jc w:val="center"/>
              <w:rPr>
                <w:rFonts w:hint="default" w:ascii="Times New Roman" w:hAnsi="Times New Roman" w:cs="Times New Roman"/>
                <w:szCs w:val="21"/>
                <w:highlight w:val="none"/>
              </w:rPr>
            </w:pPr>
          </w:p>
        </w:tc>
        <w:tc>
          <w:tcPr>
            <w:tcW w:w="2456" w:type="dxa"/>
            <w:noWrap w:val="0"/>
            <w:vAlign w:val="center"/>
          </w:tcPr>
          <w:p w14:paraId="048823B1">
            <w:pPr>
              <w:pageBreakBefore w:val="0"/>
              <w:kinsoku/>
              <w:wordWrap w:val="0"/>
              <w:bidi w:val="0"/>
              <w:spacing w:line="440" w:lineRule="exact"/>
              <w:jc w:val="center"/>
              <w:rPr>
                <w:rFonts w:hint="default" w:ascii="Times New Roman" w:hAnsi="Times New Roman" w:cs="Times New Roman"/>
                <w:szCs w:val="21"/>
                <w:highlight w:val="none"/>
              </w:rPr>
            </w:pPr>
          </w:p>
        </w:tc>
        <w:tc>
          <w:tcPr>
            <w:tcW w:w="1864" w:type="dxa"/>
            <w:noWrap w:val="0"/>
            <w:vAlign w:val="center"/>
          </w:tcPr>
          <w:p w14:paraId="6375084D">
            <w:pPr>
              <w:pageBreakBefore w:val="0"/>
              <w:kinsoku/>
              <w:wordWrap w:val="0"/>
              <w:bidi w:val="0"/>
              <w:spacing w:line="440" w:lineRule="exact"/>
              <w:jc w:val="center"/>
              <w:rPr>
                <w:rFonts w:hint="default" w:ascii="Times New Roman" w:hAnsi="Times New Roman" w:cs="Times New Roman"/>
                <w:szCs w:val="21"/>
                <w:highlight w:val="none"/>
              </w:rPr>
            </w:pPr>
          </w:p>
        </w:tc>
        <w:tc>
          <w:tcPr>
            <w:tcW w:w="2582" w:type="dxa"/>
            <w:vMerge w:val="continue"/>
            <w:noWrap w:val="0"/>
            <w:vAlign w:val="center"/>
          </w:tcPr>
          <w:p w14:paraId="1D219F35">
            <w:pPr>
              <w:pageBreakBefore w:val="0"/>
              <w:kinsoku/>
              <w:wordWrap w:val="0"/>
              <w:bidi w:val="0"/>
              <w:spacing w:line="440" w:lineRule="exact"/>
              <w:jc w:val="center"/>
              <w:rPr>
                <w:rFonts w:hint="default" w:ascii="Times New Roman" w:hAnsi="Times New Roman" w:cs="Times New Roman"/>
                <w:szCs w:val="21"/>
                <w:highlight w:val="none"/>
              </w:rPr>
            </w:pPr>
          </w:p>
        </w:tc>
      </w:tr>
      <w:tr w14:paraId="7AF5A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noWrap w:val="0"/>
            <w:vAlign w:val="center"/>
          </w:tcPr>
          <w:p w14:paraId="333D6442">
            <w:pPr>
              <w:pageBreakBefore w:val="0"/>
              <w:kinsoku/>
              <w:wordWrap w:val="0"/>
              <w:bidi w:val="0"/>
              <w:spacing w:line="440" w:lineRule="exact"/>
              <w:jc w:val="center"/>
              <w:rPr>
                <w:rFonts w:hint="default" w:ascii="Times New Roman" w:hAnsi="Times New Roman" w:cs="Times New Roman"/>
                <w:szCs w:val="21"/>
                <w:highlight w:val="none"/>
              </w:rPr>
            </w:pPr>
          </w:p>
        </w:tc>
        <w:tc>
          <w:tcPr>
            <w:tcW w:w="2456" w:type="dxa"/>
            <w:noWrap w:val="0"/>
            <w:vAlign w:val="center"/>
          </w:tcPr>
          <w:p w14:paraId="39B8F20E">
            <w:pPr>
              <w:pageBreakBefore w:val="0"/>
              <w:kinsoku/>
              <w:wordWrap w:val="0"/>
              <w:bidi w:val="0"/>
              <w:spacing w:line="440" w:lineRule="exact"/>
              <w:jc w:val="center"/>
              <w:rPr>
                <w:rFonts w:hint="default" w:ascii="Times New Roman" w:hAnsi="Times New Roman" w:cs="Times New Roman"/>
                <w:szCs w:val="21"/>
                <w:highlight w:val="none"/>
              </w:rPr>
            </w:pPr>
          </w:p>
        </w:tc>
        <w:tc>
          <w:tcPr>
            <w:tcW w:w="1864" w:type="dxa"/>
            <w:noWrap w:val="0"/>
            <w:vAlign w:val="center"/>
          </w:tcPr>
          <w:p w14:paraId="3752EDD9">
            <w:pPr>
              <w:pageBreakBefore w:val="0"/>
              <w:kinsoku/>
              <w:wordWrap w:val="0"/>
              <w:bidi w:val="0"/>
              <w:spacing w:line="440" w:lineRule="exact"/>
              <w:jc w:val="center"/>
              <w:rPr>
                <w:rFonts w:hint="default" w:ascii="Times New Roman" w:hAnsi="Times New Roman" w:cs="Times New Roman"/>
                <w:szCs w:val="21"/>
                <w:highlight w:val="none"/>
              </w:rPr>
            </w:pPr>
          </w:p>
        </w:tc>
        <w:tc>
          <w:tcPr>
            <w:tcW w:w="2582" w:type="dxa"/>
            <w:vMerge w:val="continue"/>
            <w:noWrap w:val="0"/>
            <w:vAlign w:val="center"/>
          </w:tcPr>
          <w:p w14:paraId="4D09BE92">
            <w:pPr>
              <w:pageBreakBefore w:val="0"/>
              <w:kinsoku/>
              <w:wordWrap w:val="0"/>
              <w:bidi w:val="0"/>
              <w:spacing w:line="440" w:lineRule="exact"/>
              <w:jc w:val="center"/>
              <w:rPr>
                <w:rFonts w:hint="default" w:ascii="Times New Roman" w:hAnsi="Times New Roman" w:cs="Times New Roman"/>
                <w:szCs w:val="21"/>
                <w:highlight w:val="none"/>
              </w:rPr>
            </w:pPr>
          </w:p>
        </w:tc>
      </w:tr>
      <w:tr w14:paraId="2DFA7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noWrap w:val="0"/>
            <w:vAlign w:val="center"/>
          </w:tcPr>
          <w:p w14:paraId="4E138AF0">
            <w:pPr>
              <w:pageBreakBefore w:val="0"/>
              <w:kinsoku/>
              <w:wordWrap w:val="0"/>
              <w:bidi w:val="0"/>
              <w:spacing w:line="440" w:lineRule="exact"/>
              <w:jc w:val="center"/>
              <w:rPr>
                <w:rFonts w:hint="default" w:ascii="Times New Roman" w:hAnsi="Times New Roman" w:cs="Times New Roman"/>
                <w:szCs w:val="21"/>
                <w:highlight w:val="none"/>
              </w:rPr>
            </w:pPr>
          </w:p>
        </w:tc>
        <w:tc>
          <w:tcPr>
            <w:tcW w:w="2456" w:type="dxa"/>
            <w:noWrap w:val="0"/>
            <w:vAlign w:val="center"/>
          </w:tcPr>
          <w:p w14:paraId="75A49A96">
            <w:pPr>
              <w:pageBreakBefore w:val="0"/>
              <w:kinsoku/>
              <w:wordWrap w:val="0"/>
              <w:bidi w:val="0"/>
              <w:spacing w:line="440" w:lineRule="exact"/>
              <w:jc w:val="center"/>
              <w:rPr>
                <w:rFonts w:hint="default" w:ascii="Times New Roman" w:hAnsi="Times New Roman" w:cs="Times New Roman"/>
                <w:szCs w:val="21"/>
                <w:highlight w:val="none"/>
              </w:rPr>
            </w:pPr>
          </w:p>
        </w:tc>
        <w:tc>
          <w:tcPr>
            <w:tcW w:w="1864" w:type="dxa"/>
            <w:noWrap w:val="0"/>
            <w:vAlign w:val="center"/>
          </w:tcPr>
          <w:p w14:paraId="03D16493">
            <w:pPr>
              <w:pageBreakBefore w:val="0"/>
              <w:kinsoku/>
              <w:wordWrap w:val="0"/>
              <w:bidi w:val="0"/>
              <w:spacing w:line="440" w:lineRule="exact"/>
              <w:jc w:val="center"/>
              <w:rPr>
                <w:rFonts w:hint="default" w:ascii="Times New Roman" w:hAnsi="Times New Roman" w:cs="Times New Roman"/>
                <w:szCs w:val="21"/>
                <w:highlight w:val="none"/>
              </w:rPr>
            </w:pPr>
          </w:p>
        </w:tc>
        <w:tc>
          <w:tcPr>
            <w:tcW w:w="2582" w:type="dxa"/>
            <w:vMerge w:val="continue"/>
            <w:noWrap w:val="0"/>
            <w:vAlign w:val="center"/>
          </w:tcPr>
          <w:p w14:paraId="0FF1F9DE">
            <w:pPr>
              <w:pageBreakBefore w:val="0"/>
              <w:kinsoku/>
              <w:wordWrap w:val="0"/>
              <w:bidi w:val="0"/>
              <w:spacing w:line="440" w:lineRule="exact"/>
              <w:jc w:val="center"/>
              <w:rPr>
                <w:rFonts w:hint="default" w:ascii="Times New Roman" w:hAnsi="Times New Roman" w:cs="Times New Roman"/>
                <w:szCs w:val="21"/>
                <w:highlight w:val="none"/>
              </w:rPr>
            </w:pPr>
          </w:p>
        </w:tc>
      </w:tr>
      <w:tr w14:paraId="42054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noWrap w:val="0"/>
            <w:vAlign w:val="center"/>
          </w:tcPr>
          <w:p w14:paraId="608F062E">
            <w:pPr>
              <w:pageBreakBefore w:val="0"/>
              <w:kinsoku/>
              <w:wordWrap w:val="0"/>
              <w:bidi w:val="0"/>
              <w:spacing w:line="440" w:lineRule="exact"/>
              <w:jc w:val="center"/>
              <w:rPr>
                <w:rFonts w:hint="default" w:ascii="Times New Roman" w:hAnsi="Times New Roman" w:cs="Times New Roman"/>
                <w:szCs w:val="21"/>
                <w:highlight w:val="none"/>
              </w:rPr>
            </w:pPr>
          </w:p>
        </w:tc>
        <w:tc>
          <w:tcPr>
            <w:tcW w:w="2456" w:type="dxa"/>
            <w:noWrap w:val="0"/>
            <w:vAlign w:val="center"/>
          </w:tcPr>
          <w:p w14:paraId="1C8EB68E">
            <w:pPr>
              <w:pageBreakBefore w:val="0"/>
              <w:kinsoku/>
              <w:wordWrap w:val="0"/>
              <w:bidi w:val="0"/>
              <w:spacing w:line="440" w:lineRule="exact"/>
              <w:jc w:val="center"/>
              <w:rPr>
                <w:rFonts w:hint="default" w:ascii="Times New Roman" w:hAnsi="Times New Roman" w:cs="Times New Roman"/>
                <w:szCs w:val="21"/>
                <w:highlight w:val="none"/>
              </w:rPr>
            </w:pPr>
          </w:p>
        </w:tc>
        <w:tc>
          <w:tcPr>
            <w:tcW w:w="1864" w:type="dxa"/>
            <w:noWrap w:val="0"/>
            <w:vAlign w:val="center"/>
          </w:tcPr>
          <w:p w14:paraId="4AF806BD">
            <w:pPr>
              <w:pageBreakBefore w:val="0"/>
              <w:kinsoku/>
              <w:wordWrap w:val="0"/>
              <w:bidi w:val="0"/>
              <w:spacing w:line="440" w:lineRule="exact"/>
              <w:jc w:val="center"/>
              <w:rPr>
                <w:rFonts w:hint="default" w:ascii="Times New Roman" w:hAnsi="Times New Roman" w:cs="Times New Roman"/>
                <w:szCs w:val="21"/>
                <w:highlight w:val="none"/>
              </w:rPr>
            </w:pPr>
          </w:p>
        </w:tc>
        <w:tc>
          <w:tcPr>
            <w:tcW w:w="2582" w:type="dxa"/>
            <w:vMerge w:val="continue"/>
            <w:noWrap w:val="0"/>
            <w:vAlign w:val="center"/>
          </w:tcPr>
          <w:p w14:paraId="465BEAD3">
            <w:pPr>
              <w:pageBreakBefore w:val="0"/>
              <w:kinsoku/>
              <w:wordWrap w:val="0"/>
              <w:bidi w:val="0"/>
              <w:spacing w:line="440" w:lineRule="exact"/>
              <w:jc w:val="center"/>
              <w:rPr>
                <w:rFonts w:hint="default" w:ascii="Times New Roman" w:hAnsi="Times New Roman" w:cs="Times New Roman"/>
                <w:szCs w:val="21"/>
                <w:highlight w:val="none"/>
              </w:rPr>
            </w:pPr>
          </w:p>
        </w:tc>
      </w:tr>
      <w:tr w14:paraId="54730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noWrap w:val="0"/>
            <w:vAlign w:val="center"/>
          </w:tcPr>
          <w:p w14:paraId="545AE606">
            <w:pPr>
              <w:pageBreakBefore w:val="0"/>
              <w:kinsoku/>
              <w:wordWrap w:val="0"/>
              <w:bidi w:val="0"/>
              <w:spacing w:line="440" w:lineRule="exact"/>
              <w:jc w:val="center"/>
              <w:rPr>
                <w:rFonts w:hint="default" w:ascii="Times New Roman" w:hAnsi="Times New Roman" w:cs="Times New Roman"/>
                <w:szCs w:val="21"/>
                <w:highlight w:val="none"/>
              </w:rPr>
            </w:pPr>
          </w:p>
        </w:tc>
        <w:tc>
          <w:tcPr>
            <w:tcW w:w="2456" w:type="dxa"/>
            <w:noWrap w:val="0"/>
            <w:vAlign w:val="center"/>
          </w:tcPr>
          <w:p w14:paraId="72104F7B">
            <w:pPr>
              <w:pageBreakBefore w:val="0"/>
              <w:kinsoku/>
              <w:wordWrap w:val="0"/>
              <w:bidi w:val="0"/>
              <w:spacing w:line="440" w:lineRule="exact"/>
              <w:jc w:val="center"/>
              <w:rPr>
                <w:rFonts w:hint="default" w:ascii="Times New Roman" w:hAnsi="Times New Roman" w:cs="Times New Roman"/>
                <w:szCs w:val="21"/>
                <w:highlight w:val="none"/>
              </w:rPr>
            </w:pPr>
          </w:p>
        </w:tc>
        <w:tc>
          <w:tcPr>
            <w:tcW w:w="1864" w:type="dxa"/>
            <w:noWrap w:val="0"/>
            <w:vAlign w:val="center"/>
          </w:tcPr>
          <w:p w14:paraId="3AB8969D">
            <w:pPr>
              <w:pageBreakBefore w:val="0"/>
              <w:kinsoku/>
              <w:wordWrap w:val="0"/>
              <w:bidi w:val="0"/>
              <w:spacing w:line="440" w:lineRule="exact"/>
              <w:jc w:val="center"/>
              <w:rPr>
                <w:rFonts w:hint="default" w:ascii="Times New Roman" w:hAnsi="Times New Roman" w:cs="Times New Roman"/>
                <w:szCs w:val="21"/>
                <w:highlight w:val="none"/>
              </w:rPr>
            </w:pPr>
          </w:p>
        </w:tc>
        <w:tc>
          <w:tcPr>
            <w:tcW w:w="2582" w:type="dxa"/>
            <w:vMerge w:val="continue"/>
            <w:noWrap w:val="0"/>
            <w:vAlign w:val="center"/>
          </w:tcPr>
          <w:p w14:paraId="612FBA90">
            <w:pPr>
              <w:pageBreakBefore w:val="0"/>
              <w:kinsoku/>
              <w:wordWrap w:val="0"/>
              <w:bidi w:val="0"/>
              <w:spacing w:line="440" w:lineRule="exact"/>
              <w:jc w:val="center"/>
              <w:rPr>
                <w:rFonts w:hint="default" w:ascii="Times New Roman" w:hAnsi="Times New Roman" w:cs="Times New Roman"/>
                <w:szCs w:val="21"/>
                <w:highlight w:val="none"/>
              </w:rPr>
            </w:pPr>
          </w:p>
        </w:tc>
      </w:tr>
      <w:tr w14:paraId="53C88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noWrap w:val="0"/>
            <w:vAlign w:val="center"/>
          </w:tcPr>
          <w:p w14:paraId="2D5AEF25">
            <w:pPr>
              <w:pageBreakBefore w:val="0"/>
              <w:kinsoku/>
              <w:wordWrap w:val="0"/>
              <w:bidi w:val="0"/>
              <w:spacing w:line="440" w:lineRule="exact"/>
              <w:jc w:val="center"/>
              <w:rPr>
                <w:rFonts w:hint="default" w:ascii="Times New Roman" w:hAnsi="Times New Roman" w:cs="Times New Roman"/>
                <w:szCs w:val="21"/>
                <w:highlight w:val="none"/>
              </w:rPr>
            </w:pPr>
          </w:p>
        </w:tc>
        <w:tc>
          <w:tcPr>
            <w:tcW w:w="2456" w:type="dxa"/>
            <w:noWrap w:val="0"/>
            <w:vAlign w:val="center"/>
          </w:tcPr>
          <w:p w14:paraId="7DC92C16">
            <w:pPr>
              <w:pageBreakBefore w:val="0"/>
              <w:kinsoku/>
              <w:wordWrap w:val="0"/>
              <w:bidi w:val="0"/>
              <w:spacing w:line="440" w:lineRule="exact"/>
              <w:jc w:val="center"/>
              <w:rPr>
                <w:rFonts w:hint="default" w:ascii="Times New Roman" w:hAnsi="Times New Roman" w:cs="Times New Roman"/>
                <w:szCs w:val="21"/>
                <w:highlight w:val="none"/>
              </w:rPr>
            </w:pPr>
          </w:p>
        </w:tc>
        <w:tc>
          <w:tcPr>
            <w:tcW w:w="1864" w:type="dxa"/>
            <w:noWrap w:val="0"/>
            <w:vAlign w:val="center"/>
          </w:tcPr>
          <w:p w14:paraId="32B03E9F">
            <w:pPr>
              <w:pageBreakBefore w:val="0"/>
              <w:kinsoku/>
              <w:wordWrap w:val="0"/>
              <w:bidi w:val="0"/>
              <w:spacing w:line="440" w:lineRule="exact"/>
              <w:jc w:val="center"/>
              <w:rPr>
                <w:rFonts w:hint="default" w:ascii="Times New Roman" w:hAnsi="Times New Roman" w:cs="Times New Roman"/>
                <w:szCs w:val="21"/>
                <w:highlight w:val="none"/>
              </w:rPr>
            </w:pPr>
          </w:p>
        </w:tc>
        <w:tc>
          <w:tcPr>
            <w:tcW w:w="2582" w:type="dxa"/>
            <w:vMerge w:val="continue"/>
            <w:noWrap w:val="0"/>
            <w:vAlign w:val="center"/>
          </w:tcPr>
          <w:p w14:paraId="1D04E4B9">
            <w:pPr>
              <w:pageBreakBefore w:val="0"/>
              <w:kinsoku/>
              <w:wordWrap w:val="0"/>
              <w:bidi w:val="0"/>
              <w:spacing w:line="440" w:lineRule="exact"/>
              <w:jc w:val="center"/>
              <w:rPr>
                <w:rFonts w:hint="default" w:ascii="Times New Roman" w:hAnsi="Times New Roman" w:cs="Times New Roman"/>
                <w:szCs w:val="21"/>
                <w:highlight w:val="none"/>
              </w:rPr>
            </w:pPr>
          </w:p>
        </w:tc>
      </w:tr>
      <w:tr w14:paraId="41A1E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noWrap w:val="0"/>
            <w:vAlign w:val="center"/>
          </w:tcPr>
          <w:p w14:paraId="7CF28F6C">
            <w:pPr>
              <w:pageBreakBefore w:val="0"/>
              <w:kinsoku/>
              <w:wordWrap w:val="0"/>
              <w:bidi w:val="0"/>
              <w:spacing w:line="440" w:lineRule="exact"/>
              <w:jc w:val="center"/>
              <w:rPr>
                <w:rFonts w:hint="default" w:ascii="Times New Roman" w:hAnsi="Times New Roman" w:cs="Times New Roman"/>
                <w:szCs w:val="21"/>
                <w:highlight w:val="none"/>
              </w:rPr>
            </w:pPr>
          </w:p>
        </w:tc>
        <w:tc>
          <w:tcPr>
            <w:tcW w:w="2456" w:type="dxa"/>
            <w:noWrap w:val="0"/>
            <w:vAlign w:val="center"/>
          </w:tcPr>
          <w:p w14:paraId="3DA89EEA">
            <w:pPr>
              <w:pageBreakBefore w:val="0"/>
              <w:kinsoku/>
              <w:wordWrap w:val="0"/>
              <w:bidi w:val="0"/>
              <w:spacing w:line="440" w:lineRule="exact"/>
              <w:jc w:val="center"/>
              <w:rPr>
                <w:rFonts w:hint="default" w:ascii="Times New Roman" w:hAnsi="Times New Roman" w:cs="Times New Roman"/>
                <w:szCs w:val="21"/>
                <w:highlight w:val="none"/>
              </w:rPr>
            </w:pPr>
          </w:p>
        </w:tc>
        <w:tc>
          <w:tcPr>
            <w:tcW w:w="1864" w:type="dxa"/>
            <w:noWrap w:val="0"/>
            <w:vAlign w:val="center"/>
          </w:tcPr>
          <w:p w14:paraId="442C9139">
            <w:pPr>
              <w:pageBreakBefore w:val="0"/>
              <w:kinsoku/>
              <w:wordWrap w:val="0"/>
              <w:bidi w:val="0"/>
              <w:spacing w:line="440" w:lineRule="exact"/>
              <w:jc w:val="center"/>
              <w:rPr>
                <w:rFonts w:hint="default" w:ascii="Times New Roman" w:hAnsi="Times New Roman" w:cs="Times New Roman"/>
                <w:szCs w:val="21"/>
                <w:highlight w:val="none"/>
              </w:rPr>
            </w:pPr>
          </w:p>
        </w:tc>
        <w:tc>
          <w:tcPr>
            <w:tcW w:w="2582" w:type="dxa"/>
            <w:vMerge w:val="continue"/>
            <w:noWrap w:val="0"/>
            <w:vAlign w:val="center"/>
          </w:tcPr>
          <w:p w14:paraId="72E5C4E7">
            <w:pPr>
              <w:pageBreakBefore w:val="0"/>
              <w:kinsoku/>
              <w:wordWrap w:val="0"/>
              <w:bidi w:val="0"/>
              <w:spacing w:line="440" w:lineRule="exact"/>
              <w:jc w:val="center"/>
              <w:rPr>
                <w:rFonts w:hint="default" w:ascii="Times New Roman" w:hAnsi="Times New Roman" w:cs="Times New Roman"/>
                <w:szCs w:val="21"/>
                <w:highlight w:val="none"/>
              </w:rPr>
            </w:pPr>
          </w:p>
        </w:tc>
      </w:tr>
      <w:tr w14:paraId="00EAB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noWrap w:val="0"/>
            <w:vAlign w:val="center"/>
          </w:tcPr>
          <w:p w14:paraId="2666EFEF">
            <w:pPr>
              <w:pageBreakBefore w:val="0"/>
              <w:kinsoku/>
              <w:wordWrap w:val="0"/>
              <w:bidi w:val="0"/>
              <w:spacing w:line="440" w:lineRule="exact"/>
              <w:jc w:val="center"/>
              <w:rPr>
                <w:rFonts w:hint="default" w:ascii="Times New Roman" w:hAnsi="Times New Roman" w:cs="Times New Roman"/>
                <w:szCs w:val="21"/>
                <w:highlight w:val="none"/>
              </w:rPr>
            </w:pPr>
          </w:p>
        </w:tc>
        <w:tc>
          <w:tcPr>
            <w:tcW w:w="2456" w:type="dxa"/>
            <w:noWrap w:val="0"/>
            <w:vAlign w:val="center"/>
          </w:tcPr>
          <w:p w14:paraId="16D80756">
            <w:pPr>
              <w:pageBreakBefore w:val="0"/>
              <w:kinsoku/>
              <w:wordWrap w:val="0"/>
              <w:bidi w:val="0"/>
              <w:spacing w:line="440" w:lineRule="exact"/>
              <w:jc w:val="center"/>
              <w:rPr>
                <w:rFonts w:hint="default" w:ascii="Times New Roman" w:hAnsi="Times New Roman" w:cs="Times New Roman"/>
                <w:szCs w:val="21"/>
                <w:highlight w:val="none"/>
              </w:rPr>
            </w:pPr>
          </w:p>
        </w:tc>
        <w:tc>
          <w:tcPr>
            <w:tcW w:w="1864" w:type="dxa"/>
            <w:noWrap w:val="0"/>
            <w:vAlign w:val="center"/>
          </w:tcPr>
          <w:p w14:paraId="1F77EA30">
            <w:pPr>
              <w:pageBreakBefore w:val="0"/>
              <w:kinsoku/>
              <w:wordWrap w:val="0"/>
              <w:bidi w:val="0"/>
              <w:spacing w:line="440" w:lineRule="exact"/>
              <w:jc w:val="center"/>
              <w:rPr>
                <w:rFonts w:hint="default" w:ascii="Times New Roman" w:hAnsi="Times New Roman" w:cs="Times New Roman"/>
                <w:szCs w:val="21"/>
                <w:highlight w:val="none"/>
              </w:rPr>
            </w:pPr>
          </w:p>
        </w:tc>
        <w:tc>
          <w:tcPr>
            <w:tcW w:w="2582" w:type="dxa"/>
            <w:vMerge w:val="continue"/>
            <w:noWrap w:val="0"/>
            <w:vAlign w:val="center"/>
          </w:tcPr>
          <w:p w14:paraId="50B54806">
            <w:pPr>
              <w:pageBreakBefore w:val="0"/>
              <w:kinsoku/>
              <w:wordWrap w:val="0"/>
              <w:bidi w:val="0"/>
              <w:spacing w:line="440" w:lineRule="exact"/>
              <w:jc w:val="center"/>
              <w:rPr>
                <w:rFonts w:hint="default" w:ascii="Times New Roman" w:hAnsi="Times New Roman" w:cs="Times New Roman"/>
                <w:szCs w:val="21"/>
                <w:highlight w:val="none"/>
              </w:rPr>
            </w:pPr>
          </w:p>
        </w:tc>
      </w:tr>
      <w:tr w14:paraId="31CCD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noWrap w:val="0"/>
            <w:vAlign w:val="center"/>
          </w:tcPr>
          <w:p w14:paraId="0D984D94">
            <w:pPr>
              <w:pageBreakBefore w:val="0"/>
              <w:kinsoku/>
              <w:wordWrap w:val="0"/>
              <w:bidi w:val="0"/>
              <w:spacing w:line="440" w:lineRule="exact"/>
              <w:jc w:val="center"/>
              <w:rPr>
                <w:rFonts w:hint="default" w:ascii="Times New Roman" w:hAnsi="Times New Roman" w:cs="Times New Roman"/>
                <w:szCs w:val="21"/>
                <w:highlight w:val="none"/>
              </w:rPr>
            </w:pPr>
          </w:p>
        </w:tc>
        <w:tc>
          <w:tcPr>
            <w:tcW w:w="2456" w:type="dxa"/>
            <w:noWrap w:val="0"/>
            <w:vAlign w:val="center"/>
          </w:tcPr>
          <w:p w14:paraId="7F21795C">
            <w:pPr>
              <w:pageBreakBefore w:val="0"/>
              <w:kinsoku/>
              <w:wordWrap w:val="0"/>
              <w:bidi w:val="0"/>
              <w:spacing w:line="440" w:lineRule="exact"/>
              <w:jc w:val="center"/>
              <w:rPr>
                <w:rFonts w:hint="default" w:ascii="Times New Roman" w:hAnsi="Times New Roman" w:cs="Times New Roman"/>
                <w:szCs w:val="21"/>
                <w:highlight w:val="none"/>
              </w:rPr>
            </w:pPr>
          </w:p>
        </w:tc>
        <w:tc>
          <w:tcPr>
            <w:tcW w:w="1864" w:type="dxa"/>
            <w:noWrap w:val="0"/>
            <w:vAlign w:val="center"/>
          </w:tcPr>
          <w:p w14:paraId="0ABBC494">
            <w:pPr>
              <w:pageBreakBefore w:val="0"/>
              <w:kinsoku/>
              <w:wordWrap w:val="0"/>
              <w:bidi w:val="0"/>
              <w:spacing w:line="440" w:lineRule="exact"/>
              <w:jc w:val="center"/>
              <w:rPr>
                <w:rFonts w:hint="default" w:ascii="Times New Roman" w:hAnsi="Times New Roman" w:cs="Times New Roman"/>
                <w:szCs w:val="21"/>
                <w:highlight w:val="none"/>
              </w:rPr>
            </w:pPr>
          </w:p>
        </w:tc>
        <w:tc>
          <w:tcPr>
            <w:tcW w:w="2582" w:type="dxa"/>
            <w:vMerge w:val="continue"/>
            <w:noWrap w:val="0"/>
            <w:vAlign w:val="center"/>
          </w:tcPr>
          <w:p w14:paraId="7F2BB9ED">
            <w:pPr>
              <w:pageBreakBefore w:val="0"/>
              <w:kinsoku/>
              <w:wordWrap w:val="0"/>
              <w:bidi w:val="0"/>
              <w:spacing w:line="440" w:lineRule="exact"/>
              <w:jc w:val="center"/>
              <w:rPr>
                <w:rFonts w:hint="default" w:ascii="Times New Roman" w:hAnsi="Times New Roman" w:cs="Times New Roman"/>
                <w:szCs w:val="21"/>
                <w:highlight w:val="none"/>
              </w:rPr>
            </w:pPr>
          </w:p>
        </w:tc>
      </w:tr>
      <w:tr w14:paraId="7946A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noWrap w:val="0"/>
            <w:vAlign w:val="center"/>
          </w:tcPr>
          <w:p w14:paraId="1446E26F">
            <w:pPr>
              <w:pageBreakBefore w:val="0"/>
              <w:kinsoku/>
              <w:wordWrap w:val="0"/>
              <w:bidi w:val="0"/>
              <w:spacing w:line="440" w:lineRule="exact"/>
              <w:jc w:val="center"/>
              <w:rPr>
                <w:rFonts w:hint="default" w:ascii="Times New Roman" w:hAnsi="Times New Roman" w:cs="Times New Roman"/>
                <w:szCs w:val="21"/>
                <w:highlight w:val="none"/>
              </w:rPr>
            </w:pPr>
          </w:p>
        </w:tc>
        <w:tc>
          <w:tcPr>
            <w:tcW w:w="2456" w:type="dxa"/>
            <w:noWrap w:val="0"/>
            <w:vAlign w:val="center"/>
          </w:tcPr>
          <w:p w14:paraId="3C1C4564">
            <w:pPr>
              <w:pageBreakBefore w:val="0"/>
              <w:kinsoku/>
              <w:wordWrap w:val="0"/>
              <w:bidi w:val="0"/>
              <w:spacing w:line="440" w:lineRule="exact"/>
              <w:jc w:val="center"/>
              <w:rPr>
                <w:rFonts w:hint="default" w:ascii="Times New Roman" w:hAnsi="Times New Roman" w:cs="Times New Roman"/>
                <w:szCs w:val="21"/>
                <w:highlight w:val="none"/>
              </w:rPr>
            </w:pPr>
          </w:p>
        </w:tc>
        <w:tc>
          <w:tcPr>
            <w:tcW w:w="1864" w:type="dxa"/>
            <w:noWrap w:val="0"/>
            <w:vAlign w:val="center"/>
          </w:tcPr>
          <w:p w14:paraId="46368CED">
            <w:pPr>
              <w:pageBreakBefore w:val="0"/>
              <w:kinsoku/>
              <w:wordWrap w:val="0"/>
              <w:bidi w:val="0"/>
              <w:spacing w:line="440" w:lineRule="exact"/>
              <w:jc w:val="center"/>
              <w:rPr>
                <w:rFonts w:hint="default" w:ascii="Times New Roman" w:hAnsi="Times New Roman" w:cs="Times New Roman"/>
                <w:szCs w:val="21"/>
                <w:highlight w:val="none"/>
              </w:rPr>
            </w:pPr>
          </w:p>
        </w:tc>
        <w:tc>
          <w:tcPr>
            <w:tcW w:w="2582" w:type="dxa"/>
            <w:vMerge w:val="continue"/>
            <w:noWrap w:val="0"/>
            <w:vAlign w:val="center"/>
          </w:tcPr>
          <w:p w14:paraId="6AFEDF44">
            <w:pPr>
              <w:pageBreakBefore w:val="0"/>
              <w:kinsoku/>
              <w:wordWrap w:val="0"/>
              <w:bidi w:val="0"/>
              <w:spacing w:line="440" w:lineRule="exact"/>
              <w:jc w:val="center"/>
              <w:rPr>
                <w:rFonts w:hint="default" w:ascii="Times New Roman" w:hAnsi="Times New Roman" w:cs="Times New Roman"/>
                <w:szCs w:val="21"/>
                <w:highlight w:val="none"/>
              </w:rPr>
            </w:pPr>
          </w:p>
        </w:tc>
      </w:tr>
      <w:tr w14:paraId="6E08C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4445" w:type="dxa"/>
            <w:gridSpan w:val="2"/>
            <w:noWrap w:val="0"/>
            <w:vAlign w:val="center"/>
          </w:tcPr>
          <w:p w14:paraId="4A0D4B61">
            <w:pPr>
              <w:pageBreakBefore w:val="0"/>
              <w:kinsoku/>
              <w:wordWrap w:val="0"/>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拟分包工程造价合计（万元）</w:t>
            </w:r>
          </w:p>
        </w:tc>
        <w:tc>
          <w:tcPr>
            <w:tcW w:w="1864" w:type="dxa"/>
            <w:noWrap w:val="0"/>
            <w:vAlign w:val="center"/>
          </w:tcPr>
          <w:p w14:paraId="6EA965B9">
            <w:pPr>
              <w:pageBreakBefore w:val="0"/>
              <w:kinsoku/>
              <w:wordWrap w:val="0"/>
              <w:bidi w:val="0"/>
              <w:spacing w:line="440" w:lineRule="exact"/>
              <w:jc w:val="center"/>
              <w:rPr>
                <w:rFonts w:hint="default" w:ascii="Times New Roman" w:hAnsi="Times New Roman" w:cs="Times New Roman"/>
                <w:szCs w:val="21"/>
                <w:highlight w:val="none"/>
              </w:rPr>
            </w:pPr>
          </w:p>
        </w:tc>
        <w:tc>
          <w:tcPr>
            <w:tcW w:w="2582" w:type="dxa"/>
            <w:vMerge w:val="continue"/>
            <w:noWrap w:val="0"/>
            <w:vAlign w:val="center"/>
          </w:tcPr>
          <w:p w14:paraId="2E024CBC">
            <w:pPr>
              <w:pageBreakBefore w:val="0"/>
              <w:kinsoku/>
              <w:wordWrap w:val="0"/>
              <w:bidi w:val="0"/>
              <w:spacing w:line="440" w:lineRule="exact"/>
              <w:jc w:val="center"/>
              <w:rPr>
                <w:rFonts w:hint="default" w:ascii="Times New Roman" w:hAnsi="Times New Roman" w:cs="Times New Roman"/>
                <w:szCs w:val="21"/>
                <w:highlight w:val="none"/>
              </w:rPr>
            </w:pPr>
          </w:p>
        </w:tc>
      </w:tr>
    </w:tbl>
    <w:p w14:paraId="308D231F">
      <w:pPr>
        <w:keepNext w:val="0"/>
        <w:keepLines w:val="0"/>
        <w:pageBreakBefore w:val="0"/>
        <w:widowControl w:val="0"/>
        <w:kinsoku/>
        <w:wordWrap/>
        <w:overflowPunct/>
        <w:topLinePunct w:val="0"/>
        <w:autoSpaceDE/>
        <w:autoSpaceDN/>
        <w:bidi w:val="0"/>
        <w:adjustRightInd/>
        <w:snapToGrid/>
        <w:spacing w:before="0" w:after="0" w:line="440" w:lineRule="exact"/>
        <w:ind w:firstLine="0" w:firstLineChars="0"/>
        <w:jc w:val="center"/>
        <w:textAlignment w:val="auto"/>
        <w:outlineLvl w:val="0"/>
        <w:rPr>
          <w:rFonts w:hint="default" w:ascii="Times New Roman" w:hAnsi="Times New Roman" w:eastAsia="黑体" w:cs="Times New Roman"/>
          <w:b w:val="0"/>
          <w:bCs/>
          <w:kern w:val="44"/>
          <w:sz w:val="28"/>
          <w:szCs w:val="28"/>
          <w:highlight w:val="none"/>
        </w:rPr>
      </w:pPr>
      <w:r>
        <w:rPr>
          <w:rFonts w:hint="default" w:ascii="Times New Roman" w:hAnsi="Times New Roman" w:eastAsia="黑体" w:cs="Times New Roman"/>
          <w:sz w:val="27"/>
          <w:szCs w:val="27"/>
          <w:highlight w:val="none"/>
        </w:rPr>
        <w:br w:type="page"/>
      </w:r>
      <w:bookmarkStart w:id="1529" w:name="_Toc234833278"/>
      <w:bookmarkStart w:id="1530" w:name="_Toc6646"/>
      <w:r>
        <w:rPr>
          <w:rFonts w:hint="default" w:ascii="Times New Roman" w:hAnsi="Times New Roman" w:eastAsia="黑体" w:cs="Times New Roman"/>
          <w:b w:val="0"/>
          <w:bCs/>
          <w:kern w:val="44"/>
          <w:sz w:val="28"/>
          <w:szCs w:val="28"/>
          <w:highlight w:val="none"/>
        </w:rPr>
        <w:t>八、资格审查资料</w:t>
      </w:r>
      <w:bookmarkEnd w:id="1529"/>
      <w:bookmarkEnd w:id="1530"/>
    </w:p>
    <w:p w14:paraId="75338AFE">
      <w:pPr>
        <w:pageBreakBefore w:val="0"/>
        <w:kinsoku/>
        <w:wordWrap w:val="0"/>
        <w:bidi w:val="0"/>
        <w:spacing w:before="0" w:after="0" w:line="380" w:lineRule="atLeast"/>
        <w:jc w:val="center"/>
        <w:outlineLvl w:val="9"/>
        <w:rPr>
          <w:rFonts w:hint="default" w:ascii="Times New Roman" w:hAnsi="Times New Roman" w:eastAsia="黑体" w:cs="Times New Roman"/>
          <w:b w:val="0"/>
          <w:sz w:val="28"/>
          <w:szCs w:val="28"/>
          <w:highlight w:val="none"/>
        </w:rPr>
      </w:pPr>
    </w:p>
    <w:p w14:paraId="16E1065E">
      <w:pPr>
        <w:pStyle w:val="2"/>
        <w:pageBreakBefore w:val="0"/>
        <w:kinsoku/>
        <w:wordWrap w:val="0"/>
        <w:bidi w:val="0"/>
        <w:spacing w:before="0" w:after="0" w:line="380" w:lineRule="atLeast"/>
        <w:jc w:val="center"/>
        <w:rPr>
          <w:rFonts w:hint="default" w:ascii="Times New Roman" w:hAnsi="Times New Roman" w:eastAsia="黑体" w:cs="Times New Roman"/>
          <w:sz w:val="23"/>
          <w:szCs w:val="23"/>
          <w:highlight w:val="none"/>
        </w:rPr>
      </w:pPr>
      <w:bookmarkStart w:id="1531" w:name="_Toc234833279"/>
      <w:bookmarkStart w:id="1532" w:name="_Toc1523"/>
      <w:bookmarkStart w:id="1533" w:name="_Toc15892"/>
      <w:r>
        <w:rPr>
          <w:rFonts w:hint="default" w:ascii="Times New Roman" w:hAnsi="Times New Roman" w:eastAsia="黑体" w:cs="Times New Roman"/>
          <w:b w:val="0"/>
          <w:sz w:val="24"/>
          <w:szCs w:val="24"/>
          <w:highlight w:val="none"/>
        </w:rPr>
        <w:t>（一）投标人基本情况表</w:t>
      </w:r>
      <w:bookmarkEnd w:id="1531"/>
      <w:bookmarkEnd w:id="1532"/>
      <w:bookmarkEnd w:id="1533"/>
    </w:p>
    <w:tbl>
      <w:tblPr>
        <w:tblStyle w:val="40"/>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907"/>
        <w:gridCol w:w="900"/>
        <w:gridCol w:w="1080"/>
        <w:gridCol w:w="529"/>
        <w:gridCol w:w="731"/>
        <w:gridCol w:w="1078"/>
        <w:gridCol w:w="182"/>
        <w:gridCol w:w="901"/>
        <w:gridCol w:w="1620"/>
      </w:tblGrid>
      <w:tr w14:paraId="7928DB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bottom w:val="single" w:color="auto" w:sz="4" w:space="0"/>
              <w:right w:val="single" w:color="auto" w:sz="4" w:space="0"/>
            </w:tcBorders>
            <w:noWrap w:val="0"/>
            <w:vAlign w:val="center"/>
          </w:tcPr>
          <w:p w14:paraId="1ADA8B75">
            <w:pPr>
              <w:pageBreakBefore w:val="0"/>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投标人名称</w:t>
            </w:r>
          </w:p>
        </w:tc>
        <w:tc>
          <w:tcPr>
            <w:tcW w:w="7021" w:type="dxa"/>
            <w:gridSpan w:val="8"/>
            <w:tcBorders>
              <w:top w:val="single" w:color="auto" w:sz="4" w:space="0"/>
              <w:left w:val="single" w:color="auto" w:sz="4" w:space="0"/>
              <w:bottom w:val="single" w:color="auto" w:sz="4" w:space="0"/>
              <w:right w:val="single" w:color="auto" w:sz="4" w:space="0"/>
            </w:tcBorders>
            <w:noWrap w:val="0"/>
            <w:vAlign w:val="center"/>
          </w:tcPr>
          <w:p w14:paraId="198F4DE4">
            <w:pPr>
              <w:pageBreakBefore w:val="0"/>
              <w:kinsoku/>
              <w:wordWrap w:val="0"/>
              <w:topLinePunct/>
              <w:bidi w:val="0"/>
              <w:spacing w:line="440" w:lineRule="exact"/>
              <w:jc w:val="center"/>
              <w:rPr>
                <w:rFonts w:hint="default" w:ascii="Times New Roman" w:hAnsi="Times New Roman" w:cs="Times New Roman"/>
                <w:szCs w:val="21"/>
                <w:highlight w:val="none"/>
              </w:rPr>
            </w:pPr>
          </w:p>
        </w:tc>
      </w:tr>
      <w:tr w14:paraId="6F3E53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bottom w:val="single" w:color="auto" w:sz="4" w:space="0"/>
              <w:right w:val="single" w:color="auto" w:sz="4" w:space="0"/>
            </w:tcBorders>
            <w:noWrap w:val="0"/>
            <w:vAlign w:val="center"/>
          </w:tcPr>
          <w:p w14:paraId="082F646C">
            <w:pPr>
              <w:pageBreakBefore w:val="0"/>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注册地址</w:t>
            </w:r>
          </w:p>
        </w:tc>
        <w:tc>
          <w:tcPr>
            <w:tcW w:w="3240" w:type="dxa"/>
            <w:gridSpan w:val="4"/>
            <w:tcBorders>
              <w:top w:val="single" w:color="auto" w:sz="4" w:space="0"/>
              <w:left w:val="single" w:color="auto" w:sz="4" w:space="0"/>
              <w:bottom w:val="single" w:color="auto" w:sz="4" w:space="0"/>
              <w:right w:val="single" w:color="auto" w:sz="4" w:space="0"/>
            </w:tcBorders>
            <w:noWrap w:val="0"/>
            <w:vAlign w:val="center"/>
          </w:tcPr>
          <w:p w14:paraId="789B3507">
            <w:pPr>
              <w:pageBreakBefore w:val="0"/>
              <w:kinsoku/>
              <w:wordWrap w:val="0"/>
              <w:topLinePunct/>
              <w:bidi w:val="0"/>
              <w:spacing w:line="440" w:lineRule="exact"/>
              <w:jc w:val="center"/>
              <w:rPr>
                <w:rFonts w:hint="default" w:ascii="Times New Roman" w:hAnsi="Times New Roman" w:cs="Times New Roman"/>
                <w:szCs w:val="21"/>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14:paraId="4F989B44">
            <w:pPr>
              <w:pageBreakBefore w:val="0"/>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邮政编码</w:t>
            </w:r>
          </w:p>
        </w:tc>
        <w:tc>
          <w:tcPr>
            <w:tcW w:w="2703" w:type="dxa"/>
            <w:gridSpan w:val="3"/>
            <w:tcBorders>
              <w:top w:val="single" w:color="auto" w:sz="4" w:space="0"/>
              <w:left w:val="single" w:color="auto" w:sz="4" w:space="0"/>
              <w:bottom w:val="single" w:color="auto" w:sz="4" w:space="0"/>
              <w:right w:val="single" w:color="auto" w:sz="4" w:space="0"/>
            </w:tcBorders>
            <w:noWrap w:val="0"/>
            <w:vAlign w:val="center"/>
          </w:tcPr>
          <w:p w14:paraId="0848A10D">
            <w:pPr>
              <w:pageBreakBefore w:val="0"/>
              <w:kinsoku/>
              <w:wordWrap w:val="0"/>
              <w:topLinePunct/>
              <w:bidi w:val="0"/>
              <w:spacing w:line="440" w:lineRule="exact"/>
              <w:jc w:val="center"/>
              <w:rPr>
                <w:rFonts w:hint="default" w:ascii="Times New Roman" w:hAnsi="Times New Roman" w:cs="Times New Roman"/>
                <w:szCs w:val="21"/>
                <w:highlight w:val="none"/>
              </w:rPr>
            </w:pPr>
          </w:p>
        </w:tc>
      </w:tr>
      <w:tr w14:paraId="31A8F9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vMerge w:val="restart"/>
            <w:tcBorders>
              <w:top w:val="single" w:color="auto" w:sz="4" w:space="0"/>
              <w:left w:val="single" w:color="auto" w:sz="4" w:space="0"/>
              <w:bottom w:val="single" w:color="auto" w:sz="4" w:space="0"/>
              <w:right w:val="single" w:color="auto" w:sz="4" w:space="0"/>
            </w:tcBorders>
            <w:noWrap w:val="0"/>
            <w:vAlign w:val="center"/>
          </w:tcPr>
          <w:p w14:paraId="3AA4866D">
            <w:pPr>
              <w:pageBreakBefore w:val="0"/>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联系方式</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7CC7766A">
            <w:pPr>
              <w:pageBreakBefore w:val="0"/>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联系人</w:t>
            </w:r>
          </w:p>
        </w:tc>
        <w:tc>
          <w:tcPr>
            <w:tcW w:w="2340" w:type="dxa"/>
            <w:gridSpan w:val="3"/>
            <w:tcBorders>
              <w:top w:val="single" w:color="auto" w:sz="4" w:space="0"/>
              <w:left w:val="single" w:color="auto" w:sz="4" w:space="0"/>
              <w:bottom w:val="single" w:color="auto" w:sz="4" w:space="0"/>
              <w:right w:val="single" w:color="auto" w:sz="4" w:space="0"/>
            </w:tcBorders>
            <w:noWrap w:val="0"/>
            <w:vAlign w:val="center"/>
          </w:tcPr>
          <w:p w14:paraId="2B6B8077">
            <w:pPr>
              <w:pageBreakBefore w:val="0"/>
              <w:kinsoku/>
              <w:wordWrap w:val="0"/>
              <w:topLinePunct/>
              <w:bidi w:val="0"/>
              <w:spacing w:line="440" w:lineRule="exact"/>
              <w:jc w:val="center"/>
              <w:rPr>
                <w:rFonts w:hint="default" w:ascii="Times New Roman" w:hAnsi="Times New Roman" w:cs="Times New Roman"/>
                <w:szCs w:val="21"/>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14:paraId="2EE30823">
            <w:pPr>
              <w:pageBreakBefore w:val="0"/>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电 话</w:t>
            </w:r>
          </w:p>
        </w:tc>
        <w:tc>
          <w:tcPr>
            <w:tcW w:w="2703" w:type="dxa"/>
            <w:gridSpan w:val="3"/>
            <w:tcBorders>
              <w:top w:val="single" w:color="auto" w:sz="4" w:space="0"/>
              <w:left w:val="single" w:color="auto" w:sz="4" w:space="0"/>
              <w:bottom w:val="single" w:color="auto" w:sz="4" w:space="0"/>
              <w:right w:val="single" w:color="auto" w:sz="4" w:space="0"/>
            </w:tcBorders>
            <w:noWrap w:val="0"/>
            <w:vAlign w:val="center"/>
          </w:tcPr>
          <w:p w14:paraId="34E2467F">
            <w:pPr>
              <w:pageBreakBefore w:val="0"/>
              <w:kinsoku/>
              <w:wordWrap w:val="0"/>
              <w:topLinePunct/>
              <w:bidi w:val="0"/>
              <w:spacing w:line="440" w:lineRule="exact"/>
              <w:jc w:val="center"/>
              <w:rPr>
                <w:rFonts w:hint="default" w:ascii="Times New Roman" w:hAnsi="Times New Roman" w:cs="Times New Roman"/>
                <w:szCs w:val="21"/>
                <w:highlight w:val="none"/>
              </w:rPr>
            </w:pPr>
          </w:p>
        </w:tc>
      </w:tr>
      <w:tr w14:paraId="3971AF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vMerge w:val="continue"/>
            <w:tcBorders>
              <w:top w:val="single" w:color="auto" w:sz="4" w:space="0"/>
              <w:left w:val="single" w:color="auto" w:sz="4" w:space="0"/>
              <w:bottom w:val="single" w:color="auto" w:sz="4" w:space="0"/>
              <w:right w:val="single" w:color="auto" w:sz="4" w:space="0"/>
            </w:tcBorders>
            <w:noWrap w:val="0"/>
            <w:vAlign w:val="center"/>
          </w:tcPr>
          <w:p w14:paraId="22645F70">
            <w:pPr>
              <w:pageBreakBefore w:val="0"/>
              <w:kinsoku/>
              <w:wordWrap w:val="0"/>
              <w:topLinePunct/>
              <w:bidi w:val="0"/>
              <w:spacing w:line="440" w:lineRule="exact"/>
              <w:jc w:val="center"/>
              <w:rPr>
                <w:rFonts w:hint="default" w:ascii="Times New Roman" w:hAnsi="Times New Roman" w:cs="Times New Roman"/>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center"/>
          </w:tcPr>
          <w:p w14:paraId="049CEBA1">
            <w:pPr>
              <w:pageBreakBefore w:val="0"/>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传  真</w:t>
            </w:r>
          </w:p>
        </w:tc>
        <w:tc>
          <w:tcPr>
            <w:tcW w:w="2340" w:type="dxa"/>
            <w:gridSpan w:val="3"/>
            <w:tcBorders>
              <w:top w:val="single" w:color="auto" w:sz="4" w:space="0"/>
              <w:left w:val="single" w:color="auto" w:sz="4" w:space="0"/>
              <w:bottom w:val="single" w:color="auto" w:sz="4" w:space="0"/>
              <w:right w:val="single" w:color="auto" w:sz="4" w:space="0"/>
            </w:tcBorders>
            <w:noWrap w:val="0"/>
            <w:vAlign w:val="center"/>
          </w:tcPr>
          <w:p w14:paraId="7D63AD2F">
            <w:pPr>
              <w:pageBreakBefore w:val="0"/>
              <w:kinsoku/>
              <w:wordWrap w:val="0"/>
              <w:topLinePunct/>
              <w:bidi w:val="0"/>
              <w:spacing w:line="440" w:lineRule="exact"/>
              <w:jc w:val="center"/>
              <w:rPr>
                <w:rFonts w:hint="default" w:ascii="Times New Roman" w:hAnsi="Times New Roman" w:cs="Times New Roman"/>
                <w:szCs w:val="21"/>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14:paraId="726AD10E">
            <w:pPr>
              <w:pageBreakBefore w:val="0"/>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电子邮件</w:t>
            </w:r>
          </w:p>
        </w:tc>
        <w:tc>
          <w:tcPr>
            <w:tcW w:w="2703" w:type="dxa"/>
            <w:gridSpan w:val="3"/>
            <w:tcBorders>
              <w:top w:val="single" w:color="auto" w:sz="4" w:space="0"/>
              <w:left w:val="single" w:color="auto" w:sz="4" w:space="0"/>
              <w:bottom w:val="single" w:color="auto" w:sz="4" w:space="0"/>
              <w:right w:val="single" w:color="auto" w:sz="4" w:space="0"/>
            </w:tcBorders>
            <w:noWrap w:val="0"/>
            <w:vAlign w:val="center"/>
          </w:tcPr>
          <w:p w14:paraId="007391BD">
            <w:pPr>
              <w:pageBreakBefore w:val="0"/>
              <w:kinsoku/>
              <w:wordWrap w:val="0"/>
              <w:topLinePunct/>
              <w:bidi w:val="0"/>
              <w:spacing w:line="440" w:lineRule="exact"/>
              <w:jc w:val="center"/>
              <w:rPr>
                <w:rFonts w:hint="default" w:ascii="Times New Roman" w:hAnsi="Times New Roman" w:cs="Times New Roman"/>
                <w:szCs w:val="21"/>
                <w:highlight w:val="none"/>
              </w:rPr>
            </w:pPr>
          </w:p>
        </w:tc>
      </w:tr>
      <w:tr w14:paraId="4F969A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bottom w:val="single" w:color="auto" w:sz="4" w:space="0"/>
              <w:right w:val="single" w:color="auto" w:sz="4" w:space="0"/>
            </w:tcBorders>
            <w:noWrap w:val="0"/>
            <w:vAlign w:val="center"/>
          </w:tcPr>
          <w:p w14:paraId="5354D20B">
            <w:pPr>
              <w:pageBreakBefore w:val="0"/>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法定代表人</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61FBA898">
            <w:pPr>
              <w:pageBreakBefore w:val="0"/>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姓名</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3ED35560">
            <w:pPr>
              <w:pageBreakBefore w:val="0"/>
              <w:kinsoku/>
              <w:wordWrap w:val="0"/>
              <w:topLinePunct/>
              <w:bidi w:val="0"/>
              <w:spacing w:line="440" w:lineRule="exact"/>
              <w:jc w:val="center"/>
              <w:rPr>
                <w:rFonts w:hint="default" w:ascii="Times New Roman" w:hAnsi="Times New Roman" w:cs="Times New Roman"/>
                <w:szCs w:val="21"/>
                <w:highlight w:val="none"/>
              </w:rPr>
            </w:pPr>
          </w:p>
        </w:tc>
        <w:tc>
          <w:tcPr>
            <w:tcW w:w="1260" w:type="dxa"/>
            <w:gridSpan w:val="2"/>
            <w:tcBorders>
              <w:top w:val="single" w:color="auto" w:sz="4" w:space="0"/>
              <w:left w:val="single" w:color="auto" w:sz="4" w:space="0"/>
              <w:bottom w:val="single" w:color="auto" w:sz="4" w:space="0"/>
              <w:right w:val="single" w:color="auto" w:sz="4" w:space="0"/>
            </w:tcBorders>
            <w:noWrap w:val="0"/>
            <w:vAlign w:val="center"/>
          </w:tcPr>
          <w:p w14:paraId="0B852305">
            <w:pPr>
              <w:pageBreakBefore w:val="0"/>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技术职称</w:t>
            </w:r>
          </w:p>
        </w:tc>
        <w:tc>
          <w:tcPr>
            <w:tcW w:w="1078" w:type="dxa"/>
            <w:tcBorders>
              <w:top w:val="single" w:color="auto" w:sz="4" w:space="0"/>
              <w:left w:val="single" w:color="auto" w:sz="4" w:space="0"/>
              <w:bottom w:val="single" w:color="auto" w:sz="4" w:space="0"/>
              <w:right w:val="single" w:color="auto" w:sz="4" w:space="0"/>
            </w:tcBorders>
            <w:noWrap w:val="0"/>
            <w:vAlign w:val="center"/>
          </w:tcPr>
          <w:p w14:paraId="4AE53958">
            <w:pPr>
              <w:pageBreakBefore w:val="0"/>
              <w:kinsoku/>
              <w:wordWrap w:val="0"/>
              <w:topLinePunct/>
              <w:bidi w:val="0"/>
              <w:spacing w:line="440" w:lineRule="exact"/>
              <w:jc w:val="center"/>
              <w:rPr>
                <w:rFonts w:hint="default" w:ascii="Times New Roman" w:hAnsi="Times New Roman" w:cs="Times New Roman"/>
                <w:szCs w:val="21"/>
                <w:highlight w:val="none"/>
              </w:rPr>
            </w:pPr>
          </w:p>
        </w:tc>
        <w:tc>
          <w:tcPr>
            <w:tcW w:w="1083" w:type="dxa"/>
            <w:gridSpan w:val="2"/>
            <w:tcBorders>
              <w:top w:val="single" w:color="auto" w:sz="4" w:space="0"/>
              <w:left w:val="single" w:color="auto" w:sz="4" w:space="0"/>
              <w:bottom w:val="single" w:color="auto" w:sz="4" w:space="0"/>
              <w:right w:val="single" w:color="auto" w:sz="4" w:space="0"/>
            </w:tcBorders>
            <w:noWrap w:val="0"/>
            <w:vAlign w:val="center"/>
          </w:tcPr>
          <w:p w14:paraId="527FBBE8">
            <w:pPr>
              <w:pageBreakBefore w:val="0"/>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电话</w:t>
            </w:r>
          </w:p>
        </w:tc>
        <w:tc>
          <w:tcPr>
            <w:tcW w:w="1620" w:type="dxa"/>
            <w:tcBorders>
              <w:top w:val="single" w:color="auto" w:sz="4" w:space="0"/>
              <w:left w:val="single" w:color="auto" w:sz="4" w:space="0"/>
              <w:bottom w:val="single" w:color="auto" w:sz="4" w:space="0"/>
              <w:right w:val="single" w:color="auto" w:sz="4" w:space="0"/>
            </w:tcBorders>
            <w:noWrap w:val="0"/>
            <w:vAlign w:val="center"/>
          </w:tcPr>
          <w:p w14:paraId="5A9D13F4">
            <w:pPr>
              <w:pageBreakBefore w:val="0"/>
              <w:kinsoku/>
              <w:wordWrap w:val="0"/>
              <w:topLinePunct/>
              <w:bidi w:val="0"/>
              <w:spacing w:line="440" w:lineRule="exact"/>
              <w:jc w:val="center"/>
              <w:rPr>
                <w:rFonts w:hint="default" w:ascii="Times New Roman" w:hAnsi="Times New Roman" w:cs="Times New Roman"/>
                <w:szCs w:val="21"/>
                <w:highlight w:val="none"/>
              </w:rPr>
            </w:pPr>
          </w:p>
        </w:tc>
      </w:tr>
      <w:tr w14:paraId="5FF120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bottom w:val="single" w:color="auto" w:sz="4" w:space="0"/>
              <w:right w:val="single" w:color="auto" w:sz="4" w:space="0"/>
            </w:tcBorders>
            <w:noWrap w:val="0"/>
            <w:vAlign w:val="center"/>
          </w:tcPr>
          <w:p w14:paraId="57EF095A">
            <w:pPr>
              <w:pageBreakBefore w:val="0"/>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技术负责人</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232D4C99">
            <w:pPr>
              <w:pageBreakBefore w:val="0"/>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姓名</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0BA6501B">
            <w:pPr>
              <w:pageBreakBefore w:val="0"/>
              <w:kinsoku/>
              <w:wordWrap w:val="0"/>
              <w:topLinePunct/>
              <w:bidi w:val="0"/>
              <w:spacing w:line="440" w:lineRule="exact"/>
              <w:jc w:val="center"/>
              <w:rPr>
                <w:rFonts w:hint="default" w:ascii="Times New Roman" w:hAnsi="Times New Roman" w:cs="Times New Roman"/>
                <w:szCs w:val="21"/>
                <w:highlight w:val="none"/>
              </w:rPr>
            </w:pPr>
          </w:p>
        </w:tc>
        <w:tc>
          <w:tcPr>
            <w:tcW w:w="1260" w:type="dxa"/>
            <w:gridSpan w:val="2"/>
            <w:tcBorders>
              <w:top w:val="single" w:color="auto" w:sz="4" w:space="0"/>
              <w:left w:val="single" w:color="auto" w:sz="4" w:space="0"/>
              <w:bottom w:val="single" w:color="auto" w:sz="4" w:space="0"/>
              <w:right w:val="single" w:color="auto" w:sz="4" w:space="0"/>
            </w:tcBorders>
            <w:noWrap w:val="0"/>
            <w:vAlign w:val="center"/>
          </w:tcPr>
          <w:p w14:paraId="5F80C838">
            <w:pPr>
              <w:pageBreakBefore w:val="0"/>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技术职称</w:t>
            </w:r>
          </w:p>
        </w:tc>
        <w:tc>
          <w:tcPr>
            <w:tcW w:w="1078" w:type="dxa"/>
            <w:tcBorders>
              <w:top w:val="single" w:color="auto" w:sz="4" w:space="0"/>
              <w:left w:val="single" w:color="auto" w:sz="4" w:space="0"/>
              <w:bottom w:val="single" w:color="auto" w:sz="4" w:space="0"/>
              <w:right w:val="single" w:color="auto" w:sz="4" w:space="0"/>
            </w:tcBorders>
            <w:noWrap w:val="0"/>
            <w:vAlign w:val="center"/>
          </w:tcPr>
          <w:p w14:paraId="345221EA">
            <w:pPr>
              <w:pageBreakBefore w:val="0"/>
              <w:kinsoku/>
              <w:wordWrap w:val="0"/>
              <w:topLinePunct/>
              <w:bidi w:val="0"/>
              <w:spacing w:line="440" w:lineRule="exact"/>
              <w:jc w:val="center"/>
              <w:rPr>
                <w:rFonts w:hint="default" w:ascii="Times New Roman" w:hAnsi="Times New Roman" w:cs="Times New Roman"/>
                <w:szCs w:val="21"/>
                <w:highlight w:val="none"/>
              </w:rPr>
            </w:pPr>
          </w:p>
        </w:tc>
        <w:tc>
          <w:tcPr>
            <w:tcW w:w="1083" w:type="dxa"/>
            <w:gridSpan w:val="2"/>
            <w:tcBorders>
              <w:top w:val="single" w:color="auto" w:sz="4" w:space="0"/>
              <w:left w:val="single" w:color="auto" w:sz="4" w:space="0"/>
              <w:bottom w:val="single" w:color="auto" w:sz="4" w:space="0"/>
              <w:right w:val="single" w:color="auto" w:sz="4" w:space="0"/>
            </w:tcBorders>
            <w:noWrap w:val="0"/>
            <w:vAlign w:val="center"/>
          </w:tcPr>
          <w:p w14:paraId="7F766691">
            <w:pPr>
              <w:pageBreakBefore w:val="0"/>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电话</w:t>
            </w:r>
          </w:p>
        </w:tc>
        <w:tc>
          <w:tcPr>
            <w:tcW w:w="1620" w:type="dxa"/>
            <w:tcBorders>
              <w:top w:val="single" w:color="auto" w:sz="4" w:space="0"/>
              <w:left w:val="single" w:color="auto" w:sz="4" w:space="0"/>
              <w:bottom w:val="single" w:color="auto" w:sz="4" w:space="0"/>
              <w:right w:val="single" w:color="auto" w:sz="4" w:space="0"/>
            </w:tcBorders>
            <w:noWrap w:val="0"/>
            <w:vAlign w:val="center"/>
          </w:tcPr>
          <w:p w14:paraId="06C41D7D">
            <w:pPr>
              <w:pageBreakBefore w:val="0"/>
              <w:kinsoku/>
              <w:wordWrap w:val="0"/>
              <w:topLinePunct/>
              <w:bidi w:val="0"/>
              <w:spacing w:line="440" w:lineRule="exact"/>
              <w:jc w:val="center"/>
              <w:rPr>
                <w:rFonts w:hint="default" w:ascii="Times New Roman" w:hAnsi="Times New Roman" w:cs="Times New Roman"/>
                <w:szCs w:val="21"/>
                <w:highlight w:val="none"/>
              </w:rPr>
            </w:pPr>
          </w:p>
        </w:tc>
      </w:tr>
      <w:tr w14:paraId="75E894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bottom w:val="single" w:color="auto" w:sz="4" w:space="0"/>
              <w:right w:val="single" w:color="auto" w:sz="4" w:space="0"/>
            </w:tcBorders>
            <w:noWrap w:val="0"/>
            <w:vAlign w:val="center"/>
          </w:tcPr>
          <w:p w14:paraId="3D454CCF">
            <w:pPr>
              <w:pageBreakBefore w:val="0"/>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营业执照号</w:t>
            </w:r>
          </w:p>
        </w:tc>
        <w:tc>
          <w:tcPr>
            <w:tcW w:w="1980" w:type="dxa"/>
            <w:gridSpan w:val="2"/>
            <w:tcBorders>
              <w:top w:val="single" w:color="auto" w:sz="4" w:space="0"/>
              <w:left w:val="single" w:color="auto" w:sz="4" w:space="0"/>
              <w:bottom w:val="single" w:color="auto" w:sz="4" w:space="0"/>
              <w:right w:val="single" w:color="auto" w:sz="4" w:space="0"/>
            </w:tcBorders>
            <w:noWrap w:val="0"/>
            <w:vAlign w:val="center"/>
          </w:tcPr>
          <w:p w14:paraId="7A398AE1">
            <w:pPr>
              <w:pageBreakBefore w:val="0"/>
              <w:kinsoku/>
              <w:wordWrap w:val="0"/>
              <w:topLinePunct/>
              <w:bidi w:val="0"/>
              <w:spacing w:line="440" w:lineRule="exact"/>
              <w:jc w:val="center"/>
              <w:rPr>
                <w:rFonts w:hint="default" w:ascii="Times New Roman" w:hAnsi="Times New Roman" w:cs="Times New Roman"/>
                <w:szCs w:val="21"/>
                <w:highlight w:val="none"/>
              </w:rPr>
            </w:pPr>
          </w:p>
        </w:tc>
        <w:tc>
          <w:tcPr>
            <w:tcW w:w="5041" w:type="dxa"/>
            <w:gridSpan w:val="6"/>
            <w:tcBorders>
              <w:top w:val="single" w:color="auto" w:sz="4" w:space="0"/>
              <w:left w:val="single" w:color="auto" w:sz="4" w:space="0"/>
              <w:bottom w:val="single" w:color="auto" w:sz="4" w:space="0"/>
              <w:right w:val="single" w:color="auto" w:sz="4" w:space="0"/>
            </w:tcBorders>
            <w:noWrap w:val="0"/>
            <w:vAlign w:val="center"/>
          </w:tcPr>
          <w:p w14:paraId="478CB75B">
            <w:pPr>
              <w:pageBreakBefore w:val="0"/>
              <w:kinsoku/>
              <w:wordWrap w:val="0"/>
              <w:topLinePunct/>
              <w:bidi w:val="0"/>
              <w:spacing w:line="440" w:lineRule="exact"/>
              <w:ind w:firstLine="105" w:firstLineChars="5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员工总人数：</w:t>
            </w:r>
          </w:p>
        </w:tc>
      </w:tr>
      <w:tr w14:paraId="41F742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bottom w:val="single" w:color="auto" w:sz="4" w:space="0"/>
              <w:right w:val="single" w:color="auto" w:sz="4" w:space="0"/>
            </w:tcBorders>
            <w:noWrap w:val="0"/>
            <w:vAlign w:val="center"/>
          </w:tcPr>
          <w:p w14:paraId="7D8C3556">
            <w:pPr>
              <w:pageBreakBefore w:val="0"/>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企业资质等级</w:t>
            </w:r>
          </w:p>
        </w:tc>
        <w:tc>
          <w:tcPr>
            <w:tcW w:w="1980" w:type="dxa"/>
            <w:gridSpan w:val="2"/>
            <w:tcBorders>
              <w:top w:val="single" w:color="auto" w:sz="4" w:space="0"/>
              <w:left w:val="single" w:color="auto" w:sz="4" w:space="0"/>
              <w:bottom w:val="single" w:color="auto" w:sz="4" w:space="0"/>
              <w:right w:val="single" w:color="auto" w:sz="4" w:space="0"/>
            </w:tcBorders>
            <w:noWrap w:val="0"/>
            <w:vAlign w:val="center"/>
          </w:tcPr>
          <w:p w14:paraId="7F4254F1">
            <w:pPr>
              <w:pageBreakBefore w:val="0"/>
              <w:kinsoku/>
              <w:wordWrap w:val="0"/>
              <w:topLinePunct/>
              <w:bidi w:val="0"/>
              <w:spacing w:line="440" w:lineRule="exact"/>
              <w:jc w:val="center"/>
              <w:rPr>
                <w:rFonts w:hint="default" w:ascii="Times New Roman" w:hAnsi="Times New Roman" w:cs="Times New Roman"/>
                <w:szCs w:val="21"/>
                <w:highlight w:val="none"/>
              </w:rPr>
            </w:pPr>
          </w:p>
        </w:tc>
        <w:tc>
          <w:tcPr>
            <w:tcW w:w="529" w:type="dxa"/>
            <w:vMerge w:val="restart"/>
            <w:tcBorders>
              <w:top w:val="single" w:color="auto" w:sz="4" w:space="0"/>
              <w:left w:val="single" w:color="auto" w:sz="4" w:space="0"/>
              <w:bottom w:val="single" w:color="auto" w:sz="4" w:space="0"/>
              <w:right w:val="single" w:color="auto" w:sz="4" w:space="0"/>
            </w:tcBorders>
            <w:noWrap w:val="0"/>
            <w:vAlign w:val="center"/>
          </w:tcPr>
          <w:p w14:paraId="55E7F762">
            <w:pPr>
              <w:pageBreakBefore w:val="0"/>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其中</w:t>
            </w:r>
          </w:p>
        </w:tc>
        <w:tc>
          <w:tcPr>
            <w:tcW w:w="1991" w:type="dxa"/>
            <w:gridSpan w:val="3"/>
            <w:tcBorders>
              <w:top w:val="single" w:color="auto" w:sz="4" w:space="0"/>
              <w:left w:val="single" w:color="auto" w:sz="4" w:space="0"/>
              <w:bottom w:val="single" w:color="auto" w:sz="4" w:space="0"/>
              <w:right w:val="single" w:color="auto" w:sz="4" w:space="0"/>
            </w:tcBorders>
            <w:noWrap w:val="0"/>
            <w:vAlign w:val="center"/>
          </w:tcPr>
          <w:p w14:paraId="04FE7195">
            <w:pPr>
              <w:pageBreakBefore w:val="0"/>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项目经理</w:t>
            </w:r>
          </w:p>
        </w:tc>
        <w:tc>
          <w:tcPr>
            <w:tcW w:w="2521" w:type="dxa"/>
            <w:gridSpan w:val="2"/>
            <w:tcBorders>
              <w:top w:val="single" w:color="auto" w:sz="4" w:space="0"/>
              <w:left w:val="single" w:color="auto" w:sz="4" w:space="0"/>
              <w:bottom w:val="single" w:color="auto" w:sz="4" w:space="0"/>
              <w:right w:val="single" w:color="auto" w:sz="4" w:space="0"/>
            </w:tcBorders>
            <w:noWrap w:val="0"/>
            <w:vAlign w:val="center"/>
          </w:tcPr>
          <w:p w14:paraId="37FF94DA">
            <w:pPr>
              <w:pageBreakBefore w:val="0"/>
              <w:kinsoku/>
              <w:wordWrap w:val="0"/>
              <w:topLinePunct/>
              <w:bidi w:val="0"/>
              <w:spacing w:line="440" w:lineRule="exact"/>
              <w:jc w:val="center"/>
              <w:rPr>
                <w:rFonts w:hint="default" w:ascii="Times New Roman" w:hAnsi="Times New Roman" w:cs="Times New Roman"/>
                <w:szCs w:val="21"/>
                <w:highlight w:val="none"/>
              </w:rPr>
            </w:pPr>
          </w:p>
        </w:tc>
      </w:tr>
      <w:tr w14:paraId="6152ED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bottom w:val="single" w:color="auto" w:sz="4" w:space="0"/>
              <w:right w:val="single" w:color="auto" w:sz="4" w:space="0"/>
            </w:tcBorders>
            <w:noWrap w:val="0"/>
            <w:vAlign w:val="center"/>
          </w:tcPr>
          <w:p w14:paraId="702FDF44">
            <w:pPr>
              <w:pageBreakBefore w:val="0"/>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注册资本</w:t>
            </w:r>
          </w:p>
        </w:tc>
        <w:tc>
          <w:tcPr>
            <w:tcW w:w="1980" w:type="dxa"/>
            <w:gridSpan w:val="2"/>
            <w:tcBorders>
              <w:top w:val="single" w:color="auto" w:sz="4" w:space="0"/>
              <w:left w:val="single" w:color="auto" w:sz="4" w:space="0"/>
              <w:bottom w:val="single" w:color="auto" w:sz="4" w:space="0"/>
              <w:right w:val="single" w:color="auto" w:sz="4" w:space="0"/>
            </w:tcBorders>
            <w:noWrap w:val="0"/>
            <w:vAlign w:val="center"/>
          </w:tcPr>
          <w:p w14:paraId="42DDC76C">
            <w:pPr>
              <w:pageBreakBefore w:val="0"/>
              <w:kinsoku/>
              <w:wordWrap w:val="0"/>
              <w:topLinePunct/>
              <w:bidi w:val="0"/>
              <w:spacing w:line="440" w:lineRule="exact"/>
              <w:jc w:val="center"/>
              <w:rPr>
                <w:rFonts w:hint="default" w:ascii="Times New Roman" w:hAnsi="Times New Roman" w:cs="Times New Roman"/>
                <w:szCs w:val="21"/>
                <w:highlight w:val="none"/>
              </w:rPr>
            </w:pPr>
          </w:p>
        </w:tc>
        <w:tc>
          <w:tcPr>
            <w:tcW w:w="529" w:type="dxa"/>
            <w:vMerge w:val="continue"/>
            <w:tcBorders>
              <w:top w:val="single" w:color="auto" w:sz="4" w:space="0"/>
              <w:left w:val="single" w:color="auto" w:sz="4" w:space="0"/>
              <w:bottom w:val="single" w:color="auto" w:sz="4" w:space="0"/>
              <w:right w:val="single" w:color="auto" w:sz="4" w:space="0"/>
            </w:tcBorders>
            <w:noWrap w:val="0"/>
            <w:vAlign w:val="center"/>
          </w:tcPr>
          <w:p w14:paraId="0729E080">
            <w:pPr>
              <w:pageBreakBefore w:val="0"/>
              <w:kinsoku/>
              <w:wordWrap w:val="0"/>
              <w:topLinePunct/>
              <w:bidi w:val="0"/>
              <w:spacing w:line="440" w:lineRule="exact"/>
              <w:jc w:val="center"/>
              <w:rPr>
                <w:rFonts w:hint="default" w:ascii="Times New Roman" w:hAnsi="Times New Roman" w:cs="Times New Roman"/>
                <w:szCs w:val="21"/>
                <w:highlight w:val="none"/>
              </w:rPr>
            </w:pPr>
          </w:p>
        </w:tc>
        <w:tc>
          <w:tcPr>
            <w:tcW w:w="1991" w:type="dxa"/>
            <w:gridSpan w:val="3"/>
            <w:tcBorders>
              <w:top w:val="single" w:color="auto" w:sz="4" w:space="0"/>
              <w:left w:val="single" w:color="auto" w:sz="4" w:space="0"/>
              <w:bottom w:val="single" w:color="auto" w:sz="4" w:space="0"/>
              <w:right w:val="single" w:color="auto" w:sz="4" w:space="0"/>
            </w:tcBorders>
            <w:noWrap w:val="0"/>
            <w:vAlign w:val="center"/>
          </w:tcPr>
          <w:p w14:paraId="5F8EE226">
            <w:pPr>
              <w:pageBreakBefore w:val="0"/>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高级职称人员</w:t>
            </w:r>
          </w:p>
        </w:tc>
        <w:tc>
          <w:tcPr>
            <w:tcW w:w="2521" w:type="dxa"/>
            <w:gridSpan w:val="2"/>
            <w:tcBorders>
              <w:top w:val="single" w:color="auto" w:sz="4" w:space="0"/>
              <w:left w:val="single" w:color="auto" w:sz="4" w:space="0"/>
              <w:bottom w:val="single" w:color="auto" w:sz="4" w:space="0"/>
              <w:right w:val="single" w:color="auto" w:sz="4" w:space="0"/>
            </w:tcBorders>
            <w:noWrap w:val="0"/>
            <w:vAlign w:val="center"/>
          </w:tcPr>
          <w:p w14:paraId="59B8AFF0">
            <w:pPr>
              <w:pageBreakBefore w:val="0"/>
              <w:kinsoku/>
              <w:wordWrap w:val="0"/>
              <w:topLinePunct/>
              <w:bidi w:val="0"/>
              <w:spacing w:line="440" w:lineRule="exact"/>
              <w:jc w:val="center"/>
              <w:rPr>
                <w:rFonts w:hint="default" w:ascii="Times New Roman" w:hAnsi="Times New Roman" w:cs="Times New Roman"/>
                <w:szCs w:val="21"/>
                <w:highlight w:val="none"/>
              </w:rPr>
            </w:pPr>
          </w:p>
        </w:tc>
      </w:tr>
      <w:tr w14:paraId="3E54FB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bottom w:val="single" w:color="auto" w:sz="4" w:space="0"/>
              <w:right w:val="single" w:color="auto" w:sz="4" w:space="0"/>
            </w:tcBorders>
            <w:noWrap w:val="0"/>
            <w:vAlign w:val="center"/>
          </w:tcPr>
          <w:p w14:paraId="5C85DF0F">
            <w:pPr>
              <w:pageBreakBefore w:val="0"/>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成立日期</w:t>
            </w:r>
          </w:p>
        </w:tc>
        <w:tc>
          <w:tcPr>
            <w:tcW w:w="1980" w:type="dxa"/>
            <w:gridSpan w:val="2"/>
            <w:tcBorders>
              <w:top w:val="single" w:color="auto" w:sz="4" w:space="0"/>
              <w:left w:val="single" w:color="auto" w:sz="4" w:space="0"/>
              <w:bottom w:val="single" w:color="auto" w:sz="4" w:space="0"/>
              <w:right w:val="single" w:color="auto" w:sz="4" w:space="0"/>
            </w:tcBorders>
            <w:noWrap w:val="0"/>
            <w:vAlign w:val="center"/>
          </w:tcPr>
          <w:p w14:paraId="0BD2C346">
            <w:pPr>
              <w:pageBreakBefore w:val="0"/>
              <w:kinsoku/>
              <w:wordWrap w:val="0"/>
              <w:topLinePunct/>
              <w:bidi w:val="0"/>
              <w:spacing w:line="440" w:lineRule="exact"/>
              <w:jc w:val="center"/>
              <w:rPr>
                <w:rFonts w:hint="default" w:ascii="Times New Roman" w:hAnsi="Times New Roman" w:cs="Times New Roman"/>
                <w:szCs w:val="21"/>
                <w:highlight w:val="none"/>
              </w:rPr>
            </w:pPr>
          </w:p>
        </w:tc>
        <w:tc>
          <w:tcPr>
            <w:tcW w:w="529" w:type="dxa"/>
            <w:vMerge w:val="continue"/>
            <w:tcBorders>
              <w:top w:val="single" w:color="auto" w:sz="4" w:space="0"/>
              <w:left w:val="single" w:color="auto" w:sz="4" w:space="0"/>
              <w:bottom w:val="single" w:color="auto" w:sz="4" w:space="0"/>
              <w:right w:val="single" w:color="auto" w:sz="4" w:space="0"/>
            </w:tcBorders>
            <w:noWrap w:val="0"/>
            <w:vAlign w:val="center"/>
          </w:tcPr>
          <w:p w14:paraId="6DBF71A9">
            <w:pPr>
              <w:pageBreakBefore w:val="0"/>
              <w:kinsoku/>
              <w:wordWrap w:val="0"/>
              <w:topLinePunct/>
              <w:bidi w:val="0"/>
              <w:spacing w:line="440" w:lineRule="exact"/>
              <w:jc w:val="center"/>
              <w:rPr>
                <w:rFonts w:hint="default" w:ascii="Times New Roman" w:hAnsi="Times New Roman" w:cs="Times New Roman"/>
                <w:szCs w:val="21"/>
                <w:highlight w:val="none"/>
              </w:rPr>
            </w:pPr>
          </w:p>
        </w:tc>
        <w:tc>
          <w:tcPr>
            <w:tcW w:w="1991" w:type="dxa"/>
            <w:gridSpan w:val="3"/>
            <w:tcBorders>
              <w:top w:val="single" w:color="auto" w:sz="4" w:space="0"/>
              <w:left w:val="single" w:color="auto" w:sz="4" w:space="0"/>
              <w:bottom w:val="single" w:color="auto" w:sz="4" w:space="0"/>
              <w:right w:val="single" w:color="auto" w:sz="4" w:space="0"/>
            </w:tcBorders>
            <w:noWrap w:val="0"/>
            <w:vAlign w:val="center"/>
          </w:tcPr>
          <w:p w14:paraId="52CAE0CD">
            <w:pPr>
              <w:pageBreakBefore w:val="0"/>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中级职称人员</w:t>
            </w:r>
          </w:p>
        </w:tc>
        <w:tc>
          <w:tcPr>
            <w:tcW w:w="2521" w:type="dxa"/>
            <w:gridSpan w:val="2"/>
            <w:tcBorders>
              <w:top w:val="single" w:color="auto" w:sz="4" w:space="0"/>
              <w:left w:val="single" w:color="auto" w:sz="4" w:space="0"/>
              <w:bottom w:val="single" w:color="auto" w:sz="4" w:space="0"/>
              <w:right w:val="single" w:color="auto" w:sz="4" w:space="0"/>
            </w:tcBorders>
            <w:noWrap w:val="0"/>
            <w:vAlign w:val="center"/>
          </w:tcPr>
          <w:p w14:paraId="6705F42C">
            <w:pPr>
              <w:pageBreakBefore w:val="0"/>
              <w:kinsoku/>
              <w:wordWrap w:val="0"/>
              <w:topLinePunct/>
              <w:bidi w:val="0"/>
              <w:spacing w:line="440" w:lineRule="exact"/>
              <w:jc w:val="center"/>
              <w:rPr>
                <w:rFonts w:hint="default" w:ascii="Times New Roman" w:hAnsi="Times New Roman" w:cs="Times New Roman"/>
                <w:szCs w:val="21"/>
                <w:highlight w:val="none"/>
              </w:rPr>
            </w:pPr>
          </w:p>
        </w:tc>
      </w:tr>
      <w:tr w14:paraId="5DE492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bottom w:val="single" w:color="auto" w:sz="4" w:space="0"/>
              <w:right w:val="single" w:color="auto" w:sz="4" w:space="0"/>
            </w:tcBorders>
            <w:noWrap w:val="0"/>
            <w:vAlign w:val="center"/>
          </w:tcPr>
          <w:p w14:paraId="0891E4DF">
            <w:pPr>
              <w:pageBreakBefore w:val="0"/>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基本账户开户银行</w:t>
            </w:r>
          </w:p>
        </w:tc>
        <w:tc>
          <w:tcPr>
            <w:tcW w:w="1980" w:type="dxa"/>
            <w:gridSpan w:val="2"/>
            <w:tcBorders>
              <w:top w:val="single" w:color="auto" w:sz="4" w:space="0"/>
              <w:left w:val="single" w:color="auto" w:sz="4" w:space="0"/>
              <w:bottom w:val="single" w:color="auto" w:sz="4" w:space="0"/>
              <w:right w:val="single" w:color="auto" w:sz="4" w:space="0"/>
            </w:tcBorders>
            <w:noWrap w:val="0"/>
            <w:vAlign w:val="center"/>
          </w:tcPr>
          <w:p w14:paraId="16E185AF">
            <w:pPr>
              <w:pageBreakBefore w:val="0"/>
              <w:kinsoku/>
              <w:wordWrap w:val="0"/>
              <w:topLinePunct/>
              <w:bidi w:val="0"/>
              <w:spacing w:line="440" w:lineRule="exact"/>
              <w:jc w:val="center"/>
              <w:rPr>
                <w:rFonts w:hint="default" w:ascii="Times New Roman" w:hAnsi="Times New Roman" w:cs="Times New Roman"/>
                <w:szCs w:val="21"/>
                <w:highlight w:val="none"/>
              </w:rPr>
            </w:pPr>
          </w:p>
        </w:tc>
        <w:tc>
          <w:tcPr>
            <w:tcW w:w="529" w:type="dxa"/>
            <w:vMerge w:val="continue"/>
            <w:tcBorders>
              <w:top w:val="single" w:color="auto" w:sz="4" w:space="0"/>
              <w:left w:val="single" w:color="auto" w:sz="4" w:space="0"/>
              <w:bottom w:val="single" w:color="auto" w:sz="4" w:space="0"/>
              <w:right w:val="single" w:color="auto" w:sz="4" w:space="0"/>
            </w:tcBorders>
            <w:noWrap w:val="0"/>
            <w:vAlign w:val="center"/>
          </w:tcPr>
          <w:p w14:paraId="3FA3F14B">
            <w:pPr>
              <w:pageBreakBefore w:val="0"/>
              <w:kinsoku/>
              <w:wordWrap w:val="0"/>
              <w:topLinePunct/>
              <w:bidi w:val="0"/>
              <w:spacing w:line="440" w:lineRule="exact"/>
              <w:jc w:val="center"/>
              <w:rPr>
                <w:rFonts w:hint="default" w:ascii="Times New Roman" w:hAnsi="Times New Roman" w:cs="Times New Roman"/>
                <w:szCs w:val="21"/>
                <w:highlight w:val="none"/>
              </w:rPr>
            </w:pPr>
          </w:p>
        </w:tc>
        <w:tc>
          <w:tcPr>
            <w:tcW w:w="1991" w:type="dxa"/>
            <w:gridSpan w:val="3"/>
            <w:tcBorders>
              <w:top w:val="single" w:color="auto" w:sz="4" w:space="0"/>
              <w:left w:val="single" w:color="auto" w:sz="4" w:space="0"/>
              <w:bottom w:val="single" w:color="auto" w:sz="4" w:space="0"/>
              <w:right w:val="single" w:color="auto" w:sz="4" w:space="0"/>
            </w:tcBorders>
            <w:noWrap w:val="0"/>
            <w:vAlign w:val="center"/>
          </w:tcPr>
          <w:p w14:paraId="06329727">
            <w:pPr>
              <w:pageBreakBefore w:val="0"/>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初级职称人员</w:t>
            </w:r>
          </w:p>
        </w:tc>
        <w:tc>
          <w:tcPr>
            <w:tcW w:w="2521" w:type="dxa"/>
            <w:gridSpan w:val="2"/>
            <w:tcBorders>
              <w:top w:val="single" w:color="auto" w:sz="4" w:space="0"/>
              <w:left w:val="single" w:color="auto" w:sz="4" w:space="0"/>
              <w:bottom w:val="single" w:color="auto" w:sz="4" w:space="0"/>
              <w:right w:val="single" w:color="auto" w:sz="4" w:space="0"/>
            </w:tcBorders>
            <w:noWrap w:val="0"/>
            <w:vAlign w:val="center"/>
          </w:tcPr>
          <w:p w14:paraId="4179967E">
            <w:pPr>
              <w:pageBreakBefore w:val="0"/>
              <w:kinsoku/>
              <w:wordWrap w:val="0"/>
              <w:topLinePunct/>
              <w:bidi w:val="0"/>
              <w:spacing w:line="440" w:lineRule="exact"/>
              <w:jc w:val="center"/>
              <w:rPr>
                <w:rFonts w:hint="default" w:ascii="Times New Roman" w:hAnsi="Times New Roman" w:cs="Times New Roman"/>
                <w:szCs w:val="21"/>
                <w:highlight w:val="none"/>
              </w:rPr>
            </w:pPr>
          </w:p>
        </w:tc>
      </w:tr>
      <w:tr w14:paraId="44F41F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bottom w:val="single" w:color="auto" w:sz="4" w:space="0"/>
              <w:right w:val="single" w:color="auto" w:sz="4" w:space="0"/>
            </w:tcBorders>
            <w:noWrap w:val="0"/>
            <w:vAlign w:val="center"/>
          </w:tcPr>
          <w:p w14:paraId="10FA07CD">
            <w:pPr>
              <w:pageBreakBefore w:val="0"/>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基本账户银行账号</w:t>
            </w:r>
          </w:p>
        </w:tc>
        <w:tc>
          <w:tcPr>
            <w:tcW w:w="1980" w:type="dxa"/>
            <w:gridSpan w:val="2"/>
            <w:tcBorders>
              <w:top w:val="single" w:color="auto" w:sz="4" w:space="0"/>
              <w:left w:val="single" w:color="auto" w:sz="4" w:space="0"/>
              <w:bottom w:val="single" w:color="auto" w:sz="4" w:space="0"/>
              <w:right w:val="single" w:color="auto" w:sz="4" w:space="0"/>
            </w:tcBorders>
            <w:noWrap w:val="0"/>
            <w:vAlign w:val="center"/>
          </w:tcPr>
          <w:p w14:paraId="4409B79C">
            <w:pPr>
              <w:pageBreakBefore w:val="0"/>
              <w:kinsoku/>
              <w:wordWrap w:val="0"/>
              <w:topLinePunct/>
              <w:bidi w:val="0"/>
              <w:spacing w:line="440" w:lineRule="exact"/>
              <w:jc w:val="center"/>
              <w:rPr>
                <w:rFonts w:hint="default" w:ascii="Times New Roman" w:hAnsi="Times New Roman" w:cs="Times New Roman"/>
                <w:szCs w:val="21"/>
                <w:highlight w:val="none"/>
              </w:rPr>
            </w:pPr>
          </w:p>
        </w:tc>
        <w:tc>
          <w:tcPr>
            <w:tcW w:w="529" w:type="dxa"/>
            <w:vMerge w:val="continue"/>
            <w:tcBorders>
              <w:top w:val="single" w:color="auto" w:sz="4" w:space="0"/>
              <w:left w:val="single" w:color="auto" w:sz="4" w:space="0"/>
              <w:bottom w:val="single" w:color="auto" w:sz="4" w:space="0"/>
              <w:right w:val="single" w:color="auto" w:sz="4" w:space="0"/>
            </w:tcBorders>
            <w:noWrap w:val="0"/>
            <w:vAlign w:val="center"/>
          </w:tcPr>
          <w:p w14:paraId="6408927D">
            <w:pPr>
              <w:pageBreakBefore w:val="0"/>
              <w:kinsoku/>
              <w:wordWrap w:val="0"/>
              <w:topLinePunct/>
              <w:bidi w:val="0"/>
              <w:spacing w:line="440" w:lineRule="exact"/>
              <w:jc w:val="center"/>
              <w:rPr>
                <w:rFonts w:hint="default" w:ascii="Times New Roman" w:hAnsi="Times New Roman" w:cs="Times New Roman"/>
                <w:szCs w:val="21"/>
                <w:highlight w:val="none"/>
              </w:rPr>
            </w:pPr>
          </w:p>
        </w:tc>
        <w:tc>
          <w:tcPr>
            <w:tcW w:w="1991" w:type="dxa"/>
            <w:gridSpan w:val="3"/>
            <w:tcBorders>
              <w:top w:val="single" w:color="auto" w:sz="4" w:space="0"/>
              <w:left w:val="single" w:color="auto" w:sz="4" w:space="0"/>
              <w:bottom w:val="single" w:color="auto" w:sz="4" w:space="0"/>
              <w:right w:val="single" w:color="auto" w:sz="4" w:space="0"/>
            </w:tcBorders>
            <w:noWrap w:val="0"/>
            <w:vAlign w:val="center"/>
          </w:tcPr>
          <w:p w14:paraId="392926DC">
            <w:pPr>
              <w:pStyle w:val="28"/>
              <w:pageBreakBefore w:val="0"/>
              <w:kinsoku/>
              <w:wordWrap w:val="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技工</w:t>
            </w:r>
          </w:p>
        </w:tc>
        <w:tc>
          <w:tcPr>
            <w:tcW w:w="2521" w:type="dxa"/>
            <w:gridSpan w:val="2"/>
            <w:tcBorders>
              <w:top w:val="single" w:color="auto" w:sz="4" w:space="0"/>
              <w:left w:val="single" w:color="auto" w:sz="4" w:space="0"/>
              <w:bottom w:val="single" w:color="auto" w:sz="4" w:space="0"/>
              <w:right w:val="single" w:color="auto" w:sz="4" w:space="0"/>
            </w:tcBorders>
            <w:noWrap w:val="0"/>
            <w:vAlign w:val="center"/>
          </w:tcPr>
          <w:p w14:paraId="13D6D9CD">
            <w:pPr>
              <w:pageBreakBefore w:val="0"/>
              <w:kinsoku/>
              <w:wordWrap w:val="0"/>
              <w:topLinePunct/>
              <w:bidi w:val="0"/>
              <w:spacing w:line="440" w:lineRule="exact"/>
              <w:jc w:val="center"/>
              <w:rPr>
                <w:rFonts w:hint="default" w:ascii="Times New Roman" w:hAnsi="Times New Roman" w:cs="Times New Roman"/>
                <w:szCs w:val="21"/>
                <w:highlight w:val="none"/>
              </w:rPr>
            </w:pPr>
          </w:p>
        </w:tc>
      </w:tr>
      <w:tr w14:paraId="7B72B4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right w:val="single" w:color="auto" w:sz="4" w:space="0"/>
            </w:tcBorders>
            <w:noWrap w:val="0"/>
            <w:vAlign w:val="center"/>
          </w:tcPr>
          <w:p w14:paraId="54EDD2CC">
            <w:pPr>
              <w:pageBreakBefore w:val="0"/>
              <w:kinsoku/>
              <w:wordWrap w:val="0"/>
              <w:topLinePunct/>
              <w:bidi w:val="0"/>
              <w:spacing w:line="440" w:lineRule="exact"/>
              <w:ind w:firstLine="210" w:firstLineChars="10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经营范围</w:t>
            </w:r>
          </w:p>
        </w:tc>
        <w:tc>
          <w:tcPr>
            <w:tcW w:w="7021" w:type="dxa"/>
            <w:gridSpan w:val="8"/>
            <w:tcBorders>
              <w:top w:val="single" w:color="auto" w:sz="4" w:space="0"/>
              <w:left w:val="single" w:color="auto" w:sz="4" w:space="0"/>
              <w:right w:val="single" w:color="auto" w:sz="4" w:space="0"/>
            </w:tcBorders>
            <w:noWrap w:val="0"/>
            <w:vAlign w:val="center"/>
          </w:tcPr>
          <w:p w14:paraId="0717A6F7">
            <w:pPr>
              <w:pageBreakBefore w:val="0"/>
              <w:kinsoku/>
              <w:wordWrap w:val="0"/>
              <w:topLinePunct/>
              <w:bidi w:val="0"/>
              <w:spacing w:line="440" w:lineRule="exact"/>
              <w:jc w:val="center"/>
              <w:rPr>
                <w:rFonts w:hint="default" w:ascii="Times New Roman" w:hAnsi="Times New Roman" w:cs="Times New Roman"/>
                <w:szCs w:val="21"/>
                <w:highlight w:val="none"/>
              </w:rPr>
            </w:pPr>
          </w:p>
          <w:p w14:paraId="444D942F">
            <w:pPr>
              <w:pageBreakBefore w:val="0"/>
              <w:kinsoku/>
              <w:wordWrap w:val="0"/>
              <w:topLinePunct/>
              <w:bidi w:val="0"/>
              <w:spacing w:line="440" w:lineRule="exact"/>
              <w:jc w:val="center"/>
              <w:rPr>
                <w:rFonts w:hint="default" w:ascii="Times New Roman" w:hAnsi="Times New Roman" w:cs="Times New Roman"/>
                <w:szCs w:val="21"/>
                <w:highlight w:val="none"/>
              </w:rPr>
            </w:pPr>
          </w:p>
          <w:p w14:paraId="5E635236">
            <w:pPr>
              <w:pageBreakBefore w:val="0"/>
              <w:kinsoku/>
              <w:wordWrap w:val="0"/>
              <w:topLinePunct/>
              <w:bidi w:val="0"/>
              <w:spacing w:line="440" w:lineRule="exact"/>
              <w:jc w:val="center"/>
              <w:rPr>
                <w:rFonts w:hint="default" w:ascii="Times New Roman" w:hAnsi="Times New Roman" w:cs="Times New Roman"/>
                <w:szCs w:val="21"/>
                <w:highlight w:val="none"/>
              </w:rPr>
            </w:pPr>
          </w:p>
          <w:p w14:paraId="3574CD2F">
            <w:pPr>
              <w:pageBreakBefore w:val="0"/>
              <w:kinsoku/>
              <w:wordWrap w:val="0"/>
              <w:topLinePunct/>
              <w:bidi w:val="0"/>
              <w:spacing w:line="440" w:lineRule="exact"/>
              <w:rPr>
                <w:rFonts w:hint="default" w:ascii="Times New Roman" w:hAnsi="Times New Roman" w:cs="Times New Roman"/>
                <w:szCs w:val="21"/>
                <w:highlight w:val="none"/>
              </w:rPr>
            </w:pPr>
          </w:p>
        </w:tc>
      </w:tr>
      <w:tr w14:paraId="2FC1C3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bottom w:val="single" w:color="auto" w:sz="4" w:space="0"/>
              <w:right w:val="single" w:color="auto" w:sz="4" w:space="0"/>
            </w:tcBorders>
            <w:noWrap w:val="0"/>
            <w:vAlign w:val="center"/>
          </w:tcPr>
          <w:p w14:paraId="7FE7C220">
            <w:pPr>
              <w:pageBreakBefore w:val="0"/>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投标人关联企业情况</w:t>
            </w:r>
          </w:p>
        </w:tc>
        <w:tc>
          <w:tcPr>
            <w:tcW w:w="7021" w:type="dxa"/>
            <w:gridSpan w:val="8"/>
            <w:tcBorders>
              <w:top w:val="single" w:color="auto" w:sz="4" w:space="0"/>
              <w:left w:val="single" w:color="auto" w:sz="4" w:space="0"/>
              <w:bottom w:val="single" w:color="auto" w:sz="4" w:space="0"/>
              <w:right w:val="single" w:color="auto" w:sz="4" w:space="0"/>
            </w:tcBorders>
            <w:noWrap w:val="0"/>
            <w:vAlign w:val="center"/>
          </w:tcPr>
          <w:p w14:paraId="52D3CE77">
            <w:pPr>
              <w:pageBreakBefore w:val="0"/>
              <w:kinsoku/>
              <w:wordWrap w:val="0"/>
              <w:topLinePunct/>
              <w:bidi w:val="0"/>
              <w:spacing w:line="400" w:lineRule="atLeast"/>
              <w:rPr>
                <w:rFonts w:hint="default" w:ascii="Times New Roman" w:hAnsi="Times New Roman" w:cs="Times New Roman"/>
                <w:szCs w:val="21"/>
                <w:highlight w:val="none"/>
              </w:rPr>
            </w:pPr>
            <w:r>
              <w:rPr>
                <w:rFonts w:hint="default" w:ascii="Times New Roman" w:hAnsi="Times New Roman" w:cs="Times New Roman"/>
                <w:szCs w:val="21"/>
                <w:highlight w:val="none"/>
              </w:rPr>
              <w:t>投标人应提供关联企业情况，包括：</w:t>
            </w:r>
          </w:p>
          <w:p w14:paraId="303035E0">
            <w:pPr>
              <w:pageBreakBefore w:val="0"/>
              <w:kinsoku/>
              <w:wordWrap w:val="0"/>
              <w:topLinePunct/>
              <w:bidi w:val="0"/>
              <w:spacing w:line="400" w:lineRule="atLeast"/>
              <w:rPr>
                <w:rFonts w:hint="default" w:ascii="Times New Roman" w:hAnsi="Times New Roman" w:cs="Times New Roman"/>
                <w:szCs w:val="21"/>
                <w:highlight w:val="none"/>
              </w:rPr>
            </w:pPr>
            <w:r>
              <w:rPr>
                <w:rFonts w:hint="default" w:ascii="Times New Roman" w:hAnsi="Times New Roman" w:cs="Times New Roman"/>
                <w:szCs w:val="21"/>
                <w:highlight w:val="none"/>
              </w:rPr>
              <w:t>（1）投标人的所有股东名称及相应股权（出资额）比例；如投标人为上市公司，投标人应提供股权占公司股份总数</w:t>
            </w: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%以上的所有股东名称及相应股权比例；</w:t>
            </w:r>
          </w:p>
          <w:p w14:paraId="505C6BBD">
            <w:pPr>
              <w:pageBreakBefore w:val="0"/>
              <w:kinsoku/>
              <w:wordWrap w:val="0"/>
              <w:topLinePunct/>
              <w:bidi w:val="0"/>
              <w:spacing w:line="400" w:lineRule="atLeast"/>
              <w:rPr>
                <w:rFonts w:hint="default" w:ascii="Times New Roman" w:hAnsi="Times New Roman" w:cs="Times New Roman"/>
                <w:szCs w:val="21"/>
                <w:highlight w:val="none"/>
              </w:rPr>
            </w:pPr>
            <w:r>
              <w:rPr>
                <w:rFonts w:hint="default" w:ascii="Times New Roman" w:hAnsi="Times New Roman" w:cs="Times New Roman"/>
                <w:szCs w:val="21"/>
                <w:highlight w:val="none"/>
              </w:rPr>
              <w:t>（2）投标人投资（控股）或管理的下属企业名称、持有股权（出资额）比例；</w:t>
            </w:r>
          </w:p>
          <w:p w14:paraId="0661B7FF">
            <w:pPr>
              <w:pageBreakBefore w:val="0"/>
              <w:kinsoku/>
              <w:wordWrap w:val="0"/>
              <w:topLinePunct/>
              <w:bidi w:val="0"/>
              <w:spacing w:line="400" w:lineRule="atLeast"/>
              <w:rPr>
                <w:rFonts w:hint="default" w:ascii="Times New Roman" w:hAnsi="Times New Roman" w:cs="Times New Roman"/>
                <w:szCs w:val="21"/>
                <w:highlight w:val="none"/>
              </w:rPr>
            </w:pPr>
            <w:r>
              <w:rPr>
                <w:rFonts w:hint="default" w:ascii="Times New Roman" w:hAnsi="Times New Roman" w:cs="Times New Roman"/>
                <w:szCs w:val="21"/>
                <w:highlight w:val="none"/>
              </w:rPr>
              <w:t>（3）与投标人单位负责人（即法定代表人）为同一人的其他单位名称</w:t>
            </w:r>
          </w:p>
          <w:p w14:paraId="291F5326">
            <w:pPr>
              <w:pageBreakBefore w:val="0"/>
              <w:kinsoku/>
              <w:wordWrap w:val="0"/>
              <w:topLinePunct/>
              <w:bidi w:val="0"/>
              <w:spacing w:line="440" w:lineRule="exact"/>
              <w:jc w:val="center"/>
              <w:rPr>
                <w:rFonts w:hint="default" w:ascii="Times New Roman" w:hAnsi="Times New Roman" w:cs="Times New Roman"/>
                <w:szCs w:val="21"/>
                <w:highlight w:val="none"/>
              </w:rPr>
            </w:pPr>
          </w:p>
        </w:tc>
      </w:tr>
      <w:tr w14:paraId="68B911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bottom w:val="single" w:color="auto" w:sz="4" w:space="0"/>
              <w:right w:val="single" w:color="auto" w:sz="4" w:space="0"/>
            </w:tcBorders>
            <w:noWrap w:val="0"/>
            <w:vAlign w:val="center"/>
          </w:tcPr>
          <w:p w14:paraId="32EC3740">
            <w:pPr>
              <w:pageBreakBefore w:val="0"/>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备注</w:t>
            </w:r>
          </w:p>
        </w:tc>
        <w:tc>
          <w:tcPr>
            <w:tcW w:w="7021" w:type="dxa"/>
            <w:gridSpan w:val="8"/>
            <w:tcBorders>
              <w:top w:val="single" w:color="auto" w:sz="4" w:space="0"/>
              <w:left w:val="single" w:color="auto" w:sz="4" w:space="0"/>
              <w:bottom w:val="single" w:color="auto" w:sz="4" w:space="0"/>
              <w:right w:val="single" w:color="auto" w:sz="4" w:space="0"/>
            </w:tcBorders>
            <w:noWrap w:val="0"/>
            <w:vAlign w:val="center"/>
          </w:tcPr>
          <w:p w14:paraId="579B5144">
            <w:pPr>
              <w:pageBreakBefore w:val="0"/>
              <w:kinsoku/>
              <w:wordWrap w:val="0"/>
              <w:topLinePunct/>
              <w:bidi w:val="0"/>
              <w:spacing w:line="440" w:lineRule="exact"/>
              <w:jc w:val="center"/>
              <w:rPr>
                <w:rFonts w:hint="default" w:ascii="Times New Roman" w:hAnsi="Times New Roman" w:cs="Times New Roman"/>
                <w:szCs w:val="21"/>
                <w:highlight w:val="none"/>
              </w:rPr>
            </w:pPr>
          </w:p>
        </w:tc>
      </w:tr>
    </w:tbl>
    <w:p w14:paraId="1A81565F">
      <w:pPr>
        <w:pageBreakBefore w:val="0"/>
        <w:widowControl/>
        <w:kinsoku/>
        <w:wordWrap w:val="0"/>
        <w:autoSpaceDE w:val="0"/>
        <w:autoSpaceDN w:val="0"/>
        <w:bidi w:val="0"/>
        <w:spacing w:line="400" w:lineRule="atLeast"/>
        <w:ind w:left="630" w:hanging="630" w:hangingChars="300"/>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注：1.</w:t>
      </w:r>
      <w:r>
        <w:rPr>
          <w:rFonts w:hint="default" w:ascii="Times New Roman" w:hAnsi="Times New Roman" w:cs="Times New Roman"/>
          <w:highlight w:val="none"/>
        </w:rPr>
        <w:t>投标人应根据招标文件第二章</w:t>
      </w:r>
      <w:r>
        <w:rPr>
          <w:rFonts w:hint="eastAsia" w:ascii="宋体" w:hAnsi="宋体" w:eastAsia="宋体" w:cs="宋体"/>
          <w:highlight w:val="none"/>
        </w:rPr>
        <w:t>“</w:t>
      </w:r>
      <w:r>
        <w:rPr>
          <w:rFonts w:hint="default" w:ascii="Times New Roman" w:hAnsi="Times New Roman" w:cs="Times New Roman"/>
          <w:highlight w:val="none"/>
        </w:rPr>
        <w:t>投标人须知</w:t>
      </w:r>
      <w:r>
        <w:rPr>
          <w:rFonts w:hint="eastAsia" w:ascii="宋体" w:hAnsi="宋体" w:eastAsia="宋体" w:cs="宋体"/>
          <w:highlight w:val="none"/>
        </w:rPr>
        <w:t>”</w:t>
      </w:r>
      <w:r>
        <w:rPr>
          <w:rFonts w:hint="default" w:ascii="Times New Roman" w:hAnsi="Times New Roman" w:cs="Times New Roman"/>
          <w:highlight w:val="none"/>
        </w:rPr>
        <w:t>第3.5.1项的要求在本表后附相关证明材料。</w:t>
      </w:r>
    </w:p>
    <w:p w14:paraId="4CB5E1CE">
      <w:pPr>
        <w:pageBreakBefore w:val="0"/>
        <w:kinsoku/>
        <w:wordWrap w:val="0"/>
        <w:bidi w:val="0"/>
        <w:spacing w:line="400" w:lineRule="atLeas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2.以联合体形式参与投标的，联合体各成员应分别填写。</w:t>
      </w:r>
    </w:p>
    <w:p w14:paraId="765DA66E">
      <w:pPr>
        <w:pageBreakBefore w:val="0"/>
        <w:kinsoku/>
        <w:wordWrap w:val="0"/>
        <w:bidi w:val="0"/>
        <w:spacing w:line="440" w:lineRule="exact"/>
        <w:jc w:val="center"/>
        <w:rPr>
          <w:rFonts w:hint="default" w:ascii="Times New Roman" w:hAnsi="Times New Roman" w:cs="Times New Roman"/>
          <w:szCs w:val="21"/>
          <w:highlight w:val="none"/>
        </w:rPr>
      </w:pPr>
    </w:p>
    <w:p w14:paraId="4C18B839">
      <w:pPr>
        <w:pStyle w:val="2"/>
        <w:pageBreakBefore w:val="0"/>
        <w:kinsoku/>
        <w:wordWrap w:val="0"/>
        <w:bidi w:val="0"/>
        <w:spacing w:before="0" w:after="0" w:line="380" w:lineRule="atLeast"/>
        <w:jc w:val="center"/>
        <w:rPr>
          <w:rFonts w:hint="default" w:ascii="Times New Roman" w:hAnsi="Times New Roman" w:eastAsia="黑体" w:cs="Times New Roman"/>
          <w:b w:val="0"/>
          <w:sz w:val="24"/>
          <w:szCs w:val="24"/>
          <w:highlight w:val="none"/>
        </w:rPr>
      </w:pPr>
      <w:bookmarkStart w:id="1534" w:name="_Toc12209"/>
      <w:bookmarkStart w:id="1535" w:name="_Toc234833280"/>
      <w:bookmarkStart w:id="1536" w:name="_Toc18039"/>
      <w:r>
        <w:rPr>
          <w:rFonts w:hint="default" w:ascii="Times New Roman" w:hAnsi="Times New Roman" w:eastAsia="黑体" w:cs="Times New Roman"/>
          <w:b w:val="0"/>
          <w:sz w:val="24"/>
          <w:szCs w:val="24"/>
          <w:highlight w:val="none"/>
        </w:rPr>
        <w:t>（二）投标人企业组织机构框图</w:t>
      </w:r>
      <w:bookmarkEnd w:id="1534"/>
      <w:bookmarkEnd w:id="1535"/>
      <w:bookmarkEnd w:id="1536"/>
    </w:p>
    <w:p w14:paraId="6D007063">
      <w:pPr>
        <w:pageBreakBefore w:val="0"/>
        <w:widowControl/>
        <w:kinsoku/>
        <w:wordWrap w:val="0"/>
        <w:autoSpaceDE w:val="0"/>
        <w:autoSpaceDN w:val="0"/>
        <w:bidi w:val="0"/>
        <w:spacing w:line="400" w:lineRule="atLeast"/>
        <w:ind w:left="180"/>
        <w:jc w:val="center"/>
        <w:textAlignment w:val="bottom"/>
        <w:rPr>
          <w:rFonts w:hint="default" w:ascii="Times New Roman" w:hAnsi="Times New Roman" w:cs="Times New Roman"/>
          <w:sz w:val="20"/>
          <w:szCs w:val="20"/>
          <w:highlight w:val="none"/>
        </w:rPr>
      </w:pPr>
    </w:p>
    <w:p w14:paraId="48FB9C21">
      <w:pPr>
        <w:pageBreakBefore w:val="0"/>
        <w:widowControl/>
        <w:kinsoku/>
        <w:wordWrap w:val="0"/>
        <w:autoSpaceDE w:val="0"/>
        <w:autoSpaceDN w:val="0"/>
        <w:bidi w:val="0"/>
        <w:spacing w:line="400" w:lineRule="atLeast"/>
        <w:ind w:left="180"/>
        <w:textAlignment w:val="bottom"/>
        <w:rPr>
          <w:rFonts w:hint="default" w:ascii="Times New Roman" w:hAnsi="Times New Roman" w:cs="Times New Roman"/>
          <w:sz w:val="20"/>
          <w:szCs w:val="20"/>
          <w:highlight w:val="none"/>
        </w:rPr>
      </w:pPr>
    </w:p>
    <w:tbl>
      <w:tblPr>
        <w:tblStyle w:val="40"/>
        <w:tblW w:w="0" w:type="auto"/>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891"/>
      </w:tblGrid>
      <w:tr w14:paraId="05B02E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524" w:hRule="atLeast"/>
        </w:trPr>
        <w:tc>
          <w:tcPr>
            <w:tcW w:w="8891" w:type="dxa"/>
            <w:tcBorders>
              <w:bottom w:val="single" w:color="auto" w:sz="6" w:space="0"/>
            </w:tcBorders>
            <w:noWrap w:val="0"/>
            <w:vAlign w:val="top"/>
          </w:tcPr>
          <w:p w14:paraId="22B0E83F">
            <w:pPr>
              <w:pageBreakBefore w:val="0"/>
              <w:kinsoku/>
              <w:wordWrap w:val="0"/>
              <w:bidi w:val="0"/>
              <w:spacing w:line="400" w:lineRule="atLeast"/>
              <w:ind w:left="266" w:right="174" w:rightChars="83" w:firstLine="4"/>
              <w:rPr>
                <w:rFonts w:hint="default" w:ascii="Times New Roman" w:hAnsi="Times New Roman" w:cs="Times New Roman"/>
                <w:szCs w:val="21"/>
                <w:highlight w:val="none"/>
              </w:rPr>
            </w:pPr>
          </w:p>
          <w:p w14:paraId="3076FE74">
            <w:pPr>
              <w:pageBreakBefore w:val="0"/>
              <w:kinsoku/>
              <w:wordWrap w:val="0"/>
              <w:bidi w:val="0"/>
              <w:spacing w:line="520" w:lineRule="atLeast"/>
              <w:ind w:left="266" w:right="174" w:rightChars="83" w:firstLine="4"/>
              <w:rPr>
                <w:rFonts w:hint="default" w:ascii="Times New Roman" w:hAnsi="Times New Roman" w:cs="Times New Roman"/>
                <w:szCs w:val="21"/>
                <w:highlight w:val="none"/>
              </w:rPr>
            </w:pPr>
            <w:r>
              <w:rPr>
                <w:rFonts w:hint="default" w:ascii="Times New Roman" w:hAnsi="Times New Roman" w:cs="Times New Roman"/>
                <w:szCs w:val="21"/>
                <w:highlight w:val="none"/>
              </w:rPr>
              <w:t>以框图方式表示。</w:t>
            </w:r>
          </w:p>
          <w:p w14:paraId="5F8BE9A6">
            <w:pPr>
              <w:pageBreakBefore w:val="0"/>
              <w:kinsoku/>
              <w:wordWrap w:val="0"/>
              <w:bidi w:val="0"/>
              <w:spacing w:line="400" w:lineRule="atLeast"/>
              <w:ind w:left="266" w:right="174" w:rightChars="83" w:firstLine="4"/>
              <w:rPr>
                <w:rFonts w:hint="default" w:ascii="Times New Roman" w:hAnsi="Times New Roman" w:cs="Times New Roman"/>
                <w:szCs w:val="21"/>
                <w:highlight w:val="none"/>
              </w:rPr>
            </w:pPr>
          </w:p>
          <w:p w14:paraId="6E4D02B6">
            <w:pPr>
              <w:pageBreakBefore w:val="0"/>
              <w:kinsoku/>
              <w:wordWrap w:val="0"/>
              <w:bidi w:val="0"/>
              <w:spacing w:line="400" w:lineRule="atLeast"/>
              <w:ind w:right="174" w:rightChars="83" w:firstLine="4"/>
              <w:rPr>
                <w:rFonts w:hint="default" w:ascii="Times New Roman" w:hAnsi="Times New Roman" w:cs="Times New Roman"/>
                <w:szCs w:val="21"/>
                <w:highlight w:val="none"/>
              </w:rPr>
            </w:pPr>
          </w:p>
          <w:p w14:paraId="7CD4F9F9">
            <w:pPr>
              <w:pageBreakBefore w:val="0"/>
              <w:kinsoku/>
              <w:wordWrap w:val="0"/>
              <w:bidi w:val="0"/>
              <w:spacing w:line="400" w:lineRule="atLeast"/>
              <w:ind w:right="174" w:rightChars="83" w:firstLine="4"/>
              <w:rPr>
                <w:rFonts w:hint="default" w:ascii="Times New Roman" w:hAnsi="Times New Roman" w:cs="Times New Roman"/>
                <w:szCs w:val="21"/>
                <w:highlight w:val="none"/>
              </w:rPr>
            </w:pPr>
          </w:p>
          <w:p w14:paraId="2B119415">
            <w:pPr>
              <w:pageBreakBefore w:val="0"/>
              <w:kinsoku/>
              <w:wordWrap w:val="0"/>
              <w:bidi w:val="0"/>
              <w:spacing w:line="400" w:lineRule="atLeast"/>
              <w:ind w:right="174" w:rightChars="83" w:firstLine="4"/>
              <w:rPr>
                <w:rFonts w:hint="default" w:ascii="Times New Roman" w:hAnsi="Times New Roman" w:cs="Times New Roman"/>
                <w:szCs w:val="21"/>
                <w:highlight w:val="none"/>
              </w:rPr>
            </w:pPr>
          </w:p>
          <w:p w14:paraId="2C8704AC">
            <w:pPr>
              <w:pageBreakBefore w:val="0"/>
              <w:kinsoku/>
              <w:wordWrap w:val="0"/>
              <w:bidi w:val="0"/>
              <w:spacing w:line="400" w:lineRule="atLeast"/>
              <w:ind w:right="174" w:rightChars="83" w:firstLine="4"/>
              <w:rPr>
                <w:rFonts w:hint="default" w:ascii="Times New Roman" w:hAnsi="Times New Roman" w:cs="Times New Roman"/>
                <w:szCs w:val="21"/>
                <w:highlight w:val="none"/>
              </w:rPr>
            </w:pPr>
          </w:p>
          <w:p w14:paraId="3CD9D556">
            <w:pPr>
              <w:pageBreakBefore w:val="0"/>
              <w:kinsoku/>
              <w:wordWrap w:val="0"/>
              <w:bidi w:val="0"/>
              <w:spacing w:line="400" w:lineRule="atLeast"/>
              <w:ind w:right="174" w:rightChars="83" w:firstLine="4"/>
              <w:rPr>
                <w:rFonts w:hint="default" w:ascii="Times New Roman" w:hAnsi="Times New Roman" w:cs="Times New Roman"/>
                <w:szCs w:val="21"/>
                <w:highlight w:val="none"/>
              </w:rPr>
            </w:pPr>
          </w:p>
          <w:p w14:paraId="1D6009E8">
            <w:pPr>
              <w:pageBreakBefore w:val="0"/>
              <w:kinsoku/>
              <w:wordWrap w:val="0"/>
              <w:bidi w:val="0"/>
              <w:spacing w:line="400" w:lineRule="atLeast"/>
              <w:ind w:right="174" w:rightChars="83" w:firstLine="4"/>
              <w:rPr>
                <w:rFonts w:hint="default" w:ascii="Times New Roman" w:hAnsi="Times New Roman" w:cs="Times New Roman"/>
                <w:szCs w:val="21"/>
                <w:highlight w:val="none"/>
              </w:rPr>
            </w:pPr>
          </w:p>
          <w:p w14:paraId="78690F91">
            <w:pPr>
              <w:pageBreakBefore w:val="0"/>
              <w:kinsoku/>
              <w:wordWrap w:val="0"/>
              <w:bidi w:val="0"/>
              <w:spacing w:line="400" w:lineRule="atLeast"/>
              <w:ind w:right="174" w:rightChars="83" w:firstLine="4"/>
              <w:rPr>
                <w:rFonts w:hint="default" w:ascii="Times New Roman" w:hAnsi="Times New Roman" w:cs="Times New Roman"/>
                <w:szCs w:val="21"/>
                <w:highlight w:val="none"/>
              </w:rPr>
            </w:pPr>
          </w:p>
          <w:p w14:paraId="05FCE84B">
            <w:pPr>
              <w:pageBreakBefore w:val="0"/>
              <w:kinsoku/>
              <w:wordWrap w:val="0"/>
              <w:bidi w:val="0"/>
              <w:spacing w:line="400" w:lineRule="atLeast"/>
              <w:ind w:right="174" w:rightChars="83" w:firstLine="4"/>
              <w:rPr>
                <w:rFonts w:hint="default" w:ascii="Times New Roman" w:hAnsi="Times New Roman" w:cs="Times New Roman"/>
                <w:szCs w:val="21"/>
                <w:highlight w:val="none"/>
              </w:rPr>
            </w:pPr>
          </w:p>
        </w:tc>
      </w:tr>
      <w:tr w14:paraId="14AE83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2" w:hRule="atLeast"/>
        </w:trPr>
        <w:tc>
          <w:tcPr>
            <w:tcW w:w="8891" w:type="dxa"/>
            <w:tcBorders>
              <w:bottom w:val="single" w:color="auto" w:sz="6" w:space="0"/>
            </w:tcBorders>
            <w:noWrap w:val="0"/>
            <w:vAlign w:val="top"/>
          </w:tcPr>
          <w:p w14:paraId="0A39E824">
            <w:pPr>
              <w:pageBreakBefore w:val="0"/>
              <w:kinsoku/>
              <w:wordWrap w:val="0"/>
              <w:bidi w:val="0"/>
              <w:spacing w:line="400" w:lineRule="atLeast"/>
              <w:ind w:left="266" w:right="174" w:rightChars="83" w:firstLine="4"/>
              <w:rPr>
                <w:rFonts w:hint="default" w:ascii="Times New Roman" w:hAnsi="Times New Roman" w:cs="Times New Roman"/>
                <w:szCs w:val="21"/>
                <w:highlight w:val="none"/>
              </w:rPr>
            </w:pPr>
            <w:r>
              <w:rPr>
                <w:rFonts w:hint="default" w:ascii="Times New Roman" w:hAnsi="Times New Roman" w:cs="Times New Roman"/>
                <w:szCs w:val="21"/>
                <w:highlight w:val="none"/>
              </w:rPr>
              <w:t>说明</w:t>
            </w:r>
          </w:p>
          <w:p w14:paraId="2928C406">
            <w:pPr>
              <w:pageBreakBefore w:val="0"/>
              <w:kinsoku/>
              <w:wordWrap w:val="0"/>
              <w:bidi w:val="0"/>
              <w:spacing w:line="400" w:lineRule="atLeast"/>
              <w:ind w:left="266" w:right="174" w:rightChars="83" w:firstLine="4"/>
              <w:rPr>
                <w:rFonts w:hint="default" w:ascii="Times New Roman" w:hAnsi="Times New Roman" w:cs="Times New Roman"/>
                <w:szCs w:val="21"/>
                <w:highlight w:val="none"/>
              </w:rPr>
            </w:pPr>
          </w:p>
          <w:p w14:paraId="1A078E5A">
            <w:pPr>
              <w:pageBreakBefore w:val="0"/>
              <w:kinsoku/>
              <w:wordWrap w:val="0"/>
              <w:bidi w:val="0"/>
              <w:spacing w:line="400" w:lineRule="atLeast"/>
              <w:ind w:left="266" w:right="174" w:rightChars="83" w:firstLine="4"/>
              <w:rPr>
                <w:rFonts w:hint="default" w:ascii="Times New Roman" w:hAnsi="Times New Roman" w:cs="Times New Roman"/>
                <w:szCs w:val="21"/>
                <w:highlight w:val="none"/>
              </w:rPr>
            </w:pPr>
          </w:p>
          <w:p w14:paraId="44D240B7">
            <w:pPr>
              <w:pageBreakBefore w:val="0"/>
              <w:kinsoku/>
              <w:wordWrap w:val="0"/>
              <w:bidi w:val="0"/>
              <w:spacing w:line="400" w:lineRule="atLeast"/>
              <w:ind w:left="266" w:right="174" w:rightChars="83" w:firstLine="4"/>
              <w:rPr>
                <w:rFonts w:hint="default" w:ascii="Times New Roman" w:hAnsi="Times New Roman" w:cs="Times New Roman"/>
                <w:szCs w:val="21"/>
                <w:highlight w:val="none"/>
              </w:rPr>
            </w:pPr>
          </w:p>
          <w:p w14:paraId="3E6C8F76">
            <w:pPr>
              <w:pageBreakBefore w:val="0"/>
              <w:kinsoku/>
              <w:wordWrap w:val="0"/>
              <w:bidi w:val="0"/>
              <w:spacing w:line="400" w:lineRule="atLeast"/>
              <w:ind w:left="266" w:right="174" w:rightChars="83" w:firstLine="4"/>
              <w:rPr>
                <w:rFonts w:hint="default" w:ascii="Times New Roman" w:hAnsi="Times New Roman" w:cs="Times New Roman"/>
                <w:szCs w:val="21"/>
                <w:highlight w:val="none"/>
              </w:rPr>
            </w:pPr>
          </w:p>
        </w:tc>
      </w:tr>
    </w:tbl>
    <w:p w14:paraId="59FAB169">
      <w:pPr>
        <w:pageBreakBefore w:val="0"/>
        <w:widowControl/>
        <w:kinsoku/>
        <w:wordWrap w:val="0"/>
        <w:autoSpaceDE w:val="0"/>
        <w:autoSpaceDN w:val="0"/>
        <w:bidi w:val="0"/>
        <w:spacing w:line="400" w:lineRule="atLeast"/>
        <w:ind w:left="180"/>
        <w:textAlignment w:val="bottom"/>
        <w:rPr>
          <w:rFonts w:hint="default" w:ascii="Times New Roman" w:hAnsi="Times New Roman" w:cs="Times New Roman"/>
          <w:sz w:val="20"/>
          <w:szCs w:val="20"/>
          <w:highlight w:val="none"/>
        </w:rPr>
      </w:pPr>
    </w:p>
    <w:p w14:paraId="5E12FBE1">
      <w:pPr>
        <w:pageBreakBefore w:val="0"/>
        <w:kinsoku/>
        <w:wordWrap w:val="0"/>
        <w:topLinePunct/>
        <w:bidi w:val="0"/>
        <w:spacing w:line="340" w:lineRule="atLeast"/>
        <w:jc w:val="center"/>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 xml:space="preserve"> </w:t>
      </w:r>
    </w:p>
    <w:p w14:paraId="47C75C99">
      <w:pPr>
        <w:pStyle w:val="2"/>
        <w:pageBreakBefore w:val="0"/>
        <w:kinsoku/>
        <w:wordWrap w:val="0"/>
        <w:bidi w:val="0"/>
        <w:spacing w:before="0" w:after="0" w:line="380" w:lineRule="atLeast"/>
        <w:jc w:val="center"/>
        <w:rPr>
          <w:rFonts w:hint="default" w:ascii="Times New Roman" w:hAnsi="Times New Roman" w:eastAsia="黑体" w:cs="Times New Roman"/>
          <w:b w:val="0"/>
          <w:sz w:val="24"/>
          <w:szCs w:val="24"/>
          <w:highlight w:val="none"/>
        </w:rPr>
      </w:pPr>
      <w:r>
        <w:rPr>
          <w:rFonts w:hint="default" w:ascii="Times New Roman" w:hAnsi="Times New Roman" w:eastAsia="黑体" w:cs="Times New Roman"/>
          <w:sz w:val="24"/>
          <w:highlight w:val="none"/>
        </w:rPr>
        <w:br w:type="page"/>
      </w:r>
      <w:bookmarkStart w:id="1537" w:name="_Toc234833282"/>
      <w:bookmarkStart w:id="1538" w:name="_Toc23426"/>
      <w:bookmarkStart w:id="1539" w:name="_Toc9070"/>
      <w:bookmarkStart w:id="1540" w:name="_Toc234833281"/>
      <w:r>
        <w:rPr>
          <w:rFonts w:hint="default" w:ascii="Times New Roman" w:hAnsi="Times New Roman" w:eastAsia="黑体" w:cs="Times New Roman"/>
          <w:b w:val="0"/>
          <w:sz w:val="24"/>
          <w:szCs w:val="24"/>
          <w:highlight w:val="none"/>
        </w:rPr>
        <w:t>（</w:t>
      </w:r>
      <w:r>
        <w:rPr>
          <w:rFonts w:hint="default" w:ascii="Times New Roman" w:hAnsi="Times New Roman" w:eastAsia="黑体" w:cs="Times New Roman"/>
          <w:b w:val="0"/>
          <w:sz w:val="24"/>
          <w:szCs w:val="24"/>
          <w:highlight w:val="none"/>
          <w:lang w:eastAsia="zh-CN"/>
        </w:rPr>
        <w:t>三</w:t>
      </w:r>
      <w:r>
        <w:rPr>
          <w:rFonts w:hint="default" w:ascii="Times New Roman" w:hAnsi="Times New Roman" w:eastAsia="黑体" w:cs="Times New Roman"/>
          <w:b w:val="0"/>
          <w:sz w:val="24"/>
          <w:szCs w:val="24"/>
          <w:highlight w:val="none"/>
        </w:rPr>
        <w:t>）近年财务状况</w:t>
      </w:r>
      <w:bookmarkEnd w:id="1537"/>
      <w:bookmarkEnd w:id="1538"/>
      <w:bookmarkEnd w:id="1539"/>
    </w:p>
    <w:p w14:paraId="7DDDB337">
      <w:pPr>
        <w:pageBreakBefore w:val="0"/>
        <w:kinsoku/>
        <w:wordWrap w:val="0"/>
        <w:bidi w:val="0"/>
        <w:spacing w:line="440" w:lineRule="exact"/>
        <w:rPr>
          <w:rFonts w:hint="default" w:ascii="Times New Roman" w:hAnsi="Times New Roman" w:eastAsia="黑体" w:cs="Times New Roman"/>
          <w:sz w:val="20"/>
          <w:szCs w:val="20"/>
          <w:highlight w:val="none"/>
        </w:rPr>
      </w:pPr>
    </w:p>
    <w:p w14:paraId="16A4F972">
      <w:pPr>
        <w:pageBreakBefore w:val="0"/>
        <w:widowControl/>
        <w:kinsoku/>
        <w:wordWrap w:val="0"/>
        <w:autoSpaceDE w:val="0"/>
        <w:autoSpaceDN w:val="0"/>
        <w:bidi w:val="0"/>
        <w:spacing w:line="360" w:lineRule="atLeast"/>
        <w:ind w:left="180"/>
        <w:jc w:val="center"/>
        <w:textAlignment w:val="bottom"/>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财务状况表</w:t>
      </w:r>
    </w:p>
    <w:p w14:paraId="474D0E4C">
      <w:pPr>
        <w:pageBreakBefore w:val="0"/>
        <w:kinsoku/>
        <w:wordWrap w:val="0"/>
        <w:bidi w:val="0"/>
        <w:spacing w:line="320" w:lineRule="atLeast"/>
        <w:jc w:val="center"/>
        <w:rPr>
          <w:rFonts w:hint="default" w:ascii="Times New Roman" w:hAnsi="Times New Roman" w:eastAsia="黑体" w:cs="Times New Roman"/>
          <w:b/>
          <w:sz w:val="28"/>
          <w:highlight w:val="none"/>
        </w:rPr>
      </w:pPr>
    </w:p>
    <w:tbl>
      <w:tblPr>
        <w:tblStyle w:val="40"/>
        <w:tblW w:w="0" w:type="auto"/>
        <w:tblInd w:w="-77" w:type="dxa"/>
        <w:tblLayout w:type="fixed"/>
        <w:tblCellMar>
          <w:top w:w="0" w:type="dxa"/>
          <w:left w:w="28" w:type="dxa"/>
          <w:bottom w:w="0" w:type="dxa"/>
          <w:right w:w="28" w:type="dxa"/>
        </w:tblCellMar>
      </w:tblPr>
      <w:tblGrid>
        <w:gridCol w:w="4065"/>
        <w:gridCol w:w="900"/>
        <w:gridCol w:w="1320"/>
        <w:gridCol w:w="1320"/>
        <w:gridCol w:w="1320"/>
      </w:tblGrid>
      <w:tr w14:paraId="3FD9BDAE">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2FC6CAD4">
            <w:pPr>
              <w:pageBreakBefore w:val="0"/>
              <w:widowControl/>
              <w:kinsoku/>
              <w:wordWrap w:val="0"/>
              <w:autoSpaceDE w:val="0"/>
              <w:autoSpaceDN w:val="0"/>
              <w:bidi w:val="0"/>
              <w:spacing w:before="120" w:beforeLines="50" w:after="120" w:afterLines="50" w:line="320" w:lineRule="atLeast"/>
              <w:ind w:left="113" w:firstLine="13"/>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项目或指标</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48852F0E">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单位</w:t>
            </w:r>
          </w:p>
        </w:tc>
        <w:tc>
          <w:tcPr>
            <w:tcW w:w="1320" w:type="dxa"/>
            <w:tcBorders>
              <w:top w:val="single" w:color="auto" w:sz="6" w:space="0"/>
              <w:left w:val="single" w:color="auto" w:sz="4" w:space="0"/>
              <w:bottom w:val="single" w:color="auto" w:sz="6" w:space="0"/>
              <w:right w:val="single" w:color="auto" w:sz="6" w:space="0"/>
            </w:tcBorders>
            <w:noWrap w:val="0"/>
            <w:vAlign w:val="top"/>
          </w:tcPr>
          <w:p w14:paraId="0493F6E0">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年</w:t>
            </w:r>
          </w:p>
        </w:tc>
        <w:tc>
          <w:tcPr>
            <w:tcW w:w="1320" w:type="dxa"/>
            <w:tcBorders>
              <w:top w:val="single" w:color="auto" w:sz="6" w:space="0"/>
              <w:left w:val="single" w:color="auto" w:sz="6" w:space="0"/>
              <w:bottom w:val="single" w:color="auto" w:sz="6" w:space="0"/>
              <w:right w:val="single" w:color="auto" w:sz="6" w:space="0"/>
            </w:tcBorders>
            <w:noWrap w:val="0"/>
            <w:vAlign w:val="top"/>
          </w:tcPr>
          <w:p w14:paraId="255CD8C8">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年</w:t>
            </w:r>
          </w:p>
        </w:tc>
        <w:tc>
          <w:tcPr>
            <w:tcW w:w="1320" w:type="dxa"/>
            <w:tcBorders>
              <w:top w:val="single" w:color="auto" w:sz="6" w:space="0"/>
              <w:left w:val="single" w:color="auto" w:sz="6" w:space="0"/>
              <w:bottom w:val="single" w:color="auto" w:sz="6" w:space="0"/>
              <w:right w:val="single" w:color="auto" w:sz="6" w:space="0"/>
            </w:tcBorders>
            <w:noWrap w:val="0"/>
            <w:vAlign w:val="top"/>
          </w:tcPr>
          <w:p w14:paraId="7BA9C12E">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年</w:t>
            </w:r>
          </w:p>
        </w:tc>
      </w:tr>
      <w:tr w14:paraId="4B5D1B3D">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144A1BDD">
            <w:pPr>
              <w:pageBreakBefore w:val="0"/>
              <w:widowControl/>
              <w:kinsoku/>
              <w:wordWrap w:val="0"/>
              <w:autoSpaceDE w:val="0"/>
              <w:autoSpaceDN w:val="0"/>
              <w:bidi w:val="0"/>
              <w:spacing w:before="120" w:beforeLines="50" w:after="120" w:afterLines="50" w:line="320" w:lineRule="atLeast"/>
              <w:ind w:left="113" w:firstLine="13"/>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一、 注册资本</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00823719">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万元</w:t>
            </w:r>
          </w:p>
        </w:tc>
        <w:tc>
          <w:tcPr>
            <w:tcW w:w="1320" w:type="dxa"/>
            <w:tcBorders>
              <w:top w:val="single" w:color="auto" w:sz="6" w:space="0"/>
              <w:left w:val="single" w:color="auto" w:sz="4" w:space="0"/>
              <w:bottom w:val="single" w:color="auto" w:sz="6" w:space="0"/>
              <w:right w:val="single" w:color="auto" w:sz="6" w:space="0"/>
            </w:tcBorders>
            <w:noWrap w:val="0"/>
            <w:vAlign w:val="top"/>
          </w:tcPr>
          <w:p w14:paraId="76CFF349">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32986745">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0AF2D0EF">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r>
      <w:tr w14:paraId="343F6765">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2BB61310">
            <w:pPr>
              <w:pageBreakBefore w:val="0"/>
              <w:widowControl/>
              <w:kinsoku/>
              <w:wordWrap w:val="0"/>
              <w:autoSpaceDE w:val="0"/>
              <w:autoSpaceDN w:val="0"/>
              <w:bidi w:val="0"/>
              <w:spacing w:before="120" w:beforeLines="50" w:after="120" w:afterLines="50" w:line="320" w:lineRule="atLeast"/>
              <w:ind w:left="113" w:firstLine="13"/>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二、 净资产</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71984639">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万元</w:t>
            </w:r>
          </w:p>
        </w:tc>
        <w:tc>
          <w:tcPr>
            <w:tcW w:w="1320" w:type="dxa"/>
            <w:tcBorders>
              <w:top w:val="single" w:color="auto" w:sz="6" w:space="0"/>
              <w:left w:val="single" w:color="auto" w:sz="4" w:space="0"/>
              <w:bottom w:val="single" w:color="auto" w:sz="6" w:space="0"/>
              <w:right w:val="single" w:color="auto" w:sz="6" w:space="0"/>
            </w:tcBorders>
            <w:noWrap w:val="0"/>
            <w:vAlign w:val="top"/>
          </w:tcPr>
          <w:p w14:paraId="56D7E843">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5C898DF0">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34B87805">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r>
      <w:tr w14:paraId="7083D273">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597E611C">
            <w:pPr>
              <w:pageBreakBefore w:val="0"/>
              <w:widowControl/>
              <w:kinsoku/>
              <w:wordWrap w:val="0"/>
              <w:autoSpaceDE w:val="0"/>
              <w:autoSpaceDN w:val="0"/>
              <w:bidi w:val="0"/>
              <w:spacing w:before="120" w:beforeLines="50" w:after="120" w:afterLines="50" w:line="320" w:lineRule="atLeast"/>
              <w:ind w:left="113" w:firstLine="13"/>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三、 总资产</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7ECF9E77">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万元</w:t>
            </w:r>
          </w:p>
        </w:tc>
        <w:tc>
          <w:tcPr>
            <w:tcW w:w="1320" w:type="dxa"/>
            <w:tcBorders>
              <w:top w:val="single" w:color="auto" w:sz="6" w:space="0"/>
              <w:left w:val="single" w:color="auto" w:sz="4" w:space="0"/>
              <w:bottom w:val="single" w:color="auto" w:sz="6" w:space="0"/>
              <w:right w:val="single" w:color="auto" w:sz="6" w:space="0"/>
            </w:tcBorders>
            <w:noWrap w:val="0"/>
            <w:vAlign w:val="top"/>
          </w:tcPr>
          <w:p w14:paraId="164D48A7">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22E2D3FA">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388316ED">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r>
      <w:tr w14:paraId="36351858">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47CC528B">
            <w:pPr>
              <w:pageBreakBefore w:val="0"/>
              <w:widowControl/>
              <w:kinsoku/>
              <w:wordWrap w:val="0"/>
              <w:autoSpaceDE w:val="0"/>
              <w:autoSpaceDN w:val="0"/>
              <w:bidi w:val="0"/>
              <w:spacing w:before="120" w:beforeLines="50" w:after="120" w:afterLines="50" w:line="320" w:lineRule="atLeast"/>
              <w:ind w:left="113" w:firstLine="13"/>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四、 固定资产</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2DB12AC6">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万元</w:t>
            </w:r>
          </w:p>
        </w:tc>
        <w:tc>
          <w:tcPr>
            <w:tcW w:w="1320" w:type="dxa"/>
            <w:tcBorders>
              <w:top w:val="single" w:color="auto" w:sz="6" w:space="0"/>
              <w:left w:val="single" w:color="auto" w:sz="4" w:space="0"/>
              <w:bottom w:val="single" w:color="auto" w:sz="6" w:space="0"/>
              <w:right w:val="single" w:color="auto" w:sz="6" w:space="0"/>
            </w:tcBorders>
            <w:noWrap w:val="0"/>
            <w:vAlign w:val="top"/>
          </w:tcPr>
          <w:p w14:paraId="76916B55">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3E8A1A3F">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2D75D12A">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r>
      <w:tr w14:paraId="53ED448C">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17D1AABE">
            <w:pPr>
              <w:pageBreakBefore w:val="0"/>
              <w:widowControl/>
              <w:kinsoku/>
              <w:wordWrap w:val="0"/>
              <w:autoSpaceDE w:val="0"/>
              <w:autoSpaceDN w:val="0"/>
              <w:bidi w:val="0"/>
              <w:spacing w:before="120" w:beforeLines="50" w:after="120" w:afterLines="50" w:line="320" w:lineRule="atLeast"/>
              <w:ind w:left="113" w:firstLine="13"/>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五、 流动资产</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075D77E4">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万元</w:t>
            </w:r>
          </w:p>
        </w:tc>
        <w:tc>
          <w:tcPr>
            <w:tcW w:w="1320" w:type="dxa"/>
            <w:tcBorders>
              <w:top w:val="single" w:color="auto" w:sz="6" w:space="0"/>
              <w:left w:val="single" w:color="auto" w:sz="4" w:space="0"/>
              <w:bottom w:val="single" w:color="auto" w:sz="6" w:space="0"/>
              <w:right w:val="single" w:color="auto" w:sz="6" w:space="0"/>
            </w:tcBorders>
            <w:noWrap w:val="0"/>
            <w:vAlign w:val="top"/>
          </w:tcPr>
          <w:p w14:paraId="1ACBEF9C">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6E97CF14">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2941F913">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r>
      <w:tr w14:paraId="7D9A0BC6">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355F49C5">
            <w:pPr>
              <w:pageBreakBefore w:val="0"/>
              <w:widowControl/>
              <w:kinsoku/>
              <w:wordWrap w:val="0"/>
              <w:autoSpaceDE w:val="0"/>
              <w:autoSpaceDN w:val="0"/>
              <w:bidi w:val="0"/>
              <w:spacing w:before="120" w:beforeLines="50" w:after="120" w:afterLines="50" w:line="320" w:lineRule="atLeast"/>
              <w:ind w:left="113" w:firstLine="13"/>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六、 流动负债</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4277484D">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万元</w:t>
            </w:r>
          </w:p>
        </w:tc>
        <w:tc>
          <w:tcPr>
            <w:tcW w:w="1320" w:type="dxa"/>
            <w:tcBorders>
              <w:top w:val="single" w:color="auto" w:sz="6" w:space="0"/>
              <w:left w:val="single" w:color="auto" w:sz="4" w:space="0"/>
              <w:bottom w:val="single" w:color="auto" w:sz="6" w:space="0"/>
              <w:right w:val="single" w:color="auto" w:sz="6" w:space="0"/>
            </w:tcBorders>
            <w:noWrap w:val="0"/>
            <w:vAlign w:val="top"/>
          </w:tcPr>
          <w:p w14:paraId="56ECEABC">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623DE2F6">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0953F700">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r>
      <w:tr w14:paraId="6BC84EBE">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2345A12D">
            <w:pPr>
              <w:pageBreakBefore w:val="0"/>
              <w:widowControl/>
              <w:kinsoku/>
              <w:wordWrap w:val="0"/>
              <w:autoSpaceDE w:val="0"/>
              <w:autoSpaceDN w:val="0"/>
              <w:bidi w:val="0"/>
              <w:spacing w:before="120" w:beforeLines="50" w:after="120" w:afterLines="50" w:line="320" w:lineRule="atLeast"/>
              <w:ind w:left="113" w:firstLine="13"/>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七、 负债合计</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6FE79683">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万元</w:t>
            </w:r>
          </w:p>
        </w:tc>
        <w:tc>
          <w:tcPr>
            <w:tcW w:w="1320" w:type="dxa"/>
            <w:tcBorders>
              <w:top w:val="single" w:color="auto" w:sz="6" w:space="0"/>
              <w:left w:val="single" w:color="auto" w:sz="4" w:space="0"/>
              <w:bottom w:val="single" w:color="auto" w:sz="6" w:space="0"/>
              <w:right w:val="single" w:color="auto" w:sz="6" w:space="0"/>
            </w:tcBorders>
            <w:noWrap w:val="0"/>
            <w:vAlign w:val="top"/>
          </w:tcPr>
          <w:p w14:paraId="1C45DCBC">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7621DC1E">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46F94176">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r>
      <w:tr w14:paraId="105F18CC">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6EC01BEA">
            <w:pPr>
              <w:pageBreakBefore w:val="0"/>
              <w:widowControl/>
              <w:kinsoku/>
              <w:wordWrap w:val="0"/>
              <w:autoSpaceDE w:val="0"/>
              <w:autoSpaceDN w:val="0"/>
              <w:bidi w:val="0"/>
              <w:spacing w:before="120" w:beforeLines="50" w:after="120" w:afterLines="50" w:line="320" w:lineRule="atLeast"/>
              <w:ind w:left="113" w:firstLine="13"/>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八、 营业收入</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231D6825">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万元</w:t>
            </w:r>
          </w:p>
        </w:tc>
        <w:tc>
          <w:tcPr>
            <w:tcW w:w="1320" w:type="dxa"/>
            <w:tcBorders>
              <w:top w:val="single" w:color="auto" w:sz="6" w:space="0"/>
              <w:left w:val="single" w:color="auto" w:sz="4" w:space="0"/>
              <w:bottom w:val="single" w:color="auto" w:sz="6" w:space="0"/>
              <w:right w:val="single" w:color="auto" w:sz="6" w:space="0"/>
            </w:tcBorders>
            <w:noWrap w:val="0"/>
            <w:vAlign w:val="top"/>
          </w:tcPr>
          <w:p w14:paraId="1DA93BD1">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56C95E45">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707684CE">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r>
      <w:tr w14:paraId="7E663E02">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4AB67CAE">
            <w:pPr>
              <w:pageBreakBefore w:val="0"/>
              <w:widowControl/>
              <w:kinsoku/>
              <w:wordWrap w:val="0"/>
              <w:autoSpaceDE w:val="0"/>
              <w:autoSpaceDN w:val="0"/>
              <w:bidi w:val="0"/>
              <w:spacing w:before="120" w:beforeLines="50" w:after="120" w:afterLines="50" w:line="320" w:lineRule="atLeast"/>
              <w:ind w:left="113" w:firstLine="13"/>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九、 净利润</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71FCC411">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万元</w:t>
            </w:r>
          </w:p>
        </w:tc>
        <w:tc>
          <w:tcPr>
            <w:tcW w:w="1320" w:type="dxa"/>
            <w:tcBorders>
              <w:top w:val="single" w:color="auto" w:sz="6" w:space="0"/>
              <w:left w:val="single" w:color="auto" w:sz="4" w:space="0"/>
              <w:bottom w:val="single" w:color="auto" w:sz="6" w:space="0"/>
              <w:right w:val="single" w:color="auto" w:sz="6" w:space="0"/>
            </w:tcBorders>
            <w:noWrap w:val="0"/>
            <w:vAlign w:val="top"/>
          </w:tcPr>
          <w:p w14:paraId="5FA461EC">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4E8ABE4B">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20DCF2A7">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r>
      <w:tr w14:paraId="061A9907">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77C6C594">
            <w:pPr>
              <w:pageBreakBefore w:val="0"/>
              <w:widowControl/>
              <w:kinsoku/>
              <w:wordWrap w:val="0"/>
              <w:autoSpaceDE w:val="0"/>
              <w:autoSpaceDN w:val="0"/>
              <w:bidi w:val="0"/>
              <w:spacing w:before="120" w:beforeLines="50" w:after="120" w:afterLines="50" w:line="320" w:lineRule="atLeast"/>
              <w:ind w:left="113" w:firstLine="13"/>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十、 现金流量净额</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19888A6A">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万元</w:t>
            </w:r>
          </w:p>
        </w:tc>
        <w:tc>
          <w:tcPr>
            <w:tcW w:w="1320" w:type="dxa"/>
            <w:tcBorders>
              <w:top w:val="single" w:color="auto" w:sz="6" w:space="0"/>
              <w:left w:val="single" w:color="auto" w:sz="4" w:space="0"/>
              <w:bottom w:val="single" w:color="auto" w:sz="6" w:space="0"/>
              <w:right w:val="single" w:color="auto" w:sz="6" w:space="0"/>
            </w:tcBorders>
            <w:noWrap w:val="0"/>
            <w:vAlign w:val="top"/>
          </w:tcPr>
          <w:p w14:paraId="6DFAFF92">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5E34D97D">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408EB4D1">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r>
      <w:tr w14:paraId="6673EB03">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437F8221">
            <w:pPr>
              <w:pageBreakBefore w:val="0"/>
              <w:widowControl/>
              <w:kinsoku/>
              <w:wordWrap w:val="0"/>
              <w:autoSpaceDE w:val="0"/>
              <w:autoSpaceDN w:val="0"/>
              <w:bidi w:val="0"/>
              <w:spacing w:before="120" w:beforeLines="50" w:after="120" w:afterLines="50" w:line="320" w:lineRule="atLeast"/>
              <w:ind w:left="840" w:hanging="714"/>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十一、 主要财务指标</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1B1B5018">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szCs w:val="21"/>
                <w:highlight w:val="none"/>
              </w:rPr>
            </w:pPr>
          </w:p>
        </w:tc>
        <w:tc>
          <w:tcPr>
            <w:tcW w:w="1320" w:type="dxa"/>
            <w:tcBorders>
              <w:top w:val="single" w:color="auto" w:sz="6" w:space="0"/>
              <w:left w:val="single" w:color="auto" w:sz="4" w:space="0"/>
              <w:bottom w:val="single" w:color="auto" w:sz="6" w:space="0"/>
              <w:right w:val="single" w:color="auto" w:sz="6" w:space="0"/>
            </w:tcBorders>
            <w:noWrap w:val="0"/>
            <w:vAlign w:val="top"/>
          </w:tcPr>
          <w:p w14:paraId="2FA29B36">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356C333E">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34A62C34">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r>
      <w:tr w14:paraId="0D22FE63">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0AF8EB2E">
            <w:pPr>
              <w:pageBreakBefore w:val="0"/>
              <w:widowControl/>
              <w:kinsoku/>
              <w:wordWrap w:val="0"/>
              <w:autoSpaceDE w:val="0"/>
              <w:autoSpaceDN w:val="0"/>
              <w:bidi w:val="0"/>
              <w:spacing w:before="120" w:beforeLines="50" w:after="120" w:afterLines="50" w:line="320" w:lineRule="atLeast"/>
              <w:ind w:left="73" w:leftChars="35" w:firstLine="850" w:firstLineChars="405"/>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1. 净资产收益率</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5CE4E6E0">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w:t>
            </w:r>
          </w:p>
        </w:tc>
        <w:tc>
          <w:tcPr>
            <w:tcW w:w="1320" w:type="dxa"/>
            <w:tcBorders>
              <w:top w:val="single" w:color="auto" w:sz="6" w:space="0"/>
              <w:left w:val="single" w:color="auto" w:sz="4" w:space="0"/>
              <w:bottom w:val="single" w:color="auto" w:sz="6" w:space="0"/>
              <w:right w:val="single" w:color="auto" w:sz="6" w:space="0"/>
            </w:tcBorders>
            <w:noWrap w:val="0"/>
            <w:vAlign w:val="top"/>
          </w:tcPr>
          <w:p w14:paraId="757E3872">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7DE9075B">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6A03303A">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r>
      <w:tr w14:paraId="0DB80607">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63EB341A">
            <w:pPr>
              <w:pageBreakBefore w:val="0"/>
              <w:widowControl/>
              <w:kinsoku/>
              <w:wordWrap w:val="0"/>
              <w:autoSpaceDE w:val="0"/>
              <w:autoSpaceDN w:val="0"/>
              <w:bidi w:val="0"/>
              <w:spacing w:before="120" w:beforeLines="50" w:after="120" w:afterLines="50" w:line="320" w:lineRule="atLeast"/>
              <w:ind w:left="73" w:leftChars="35" w:firstLine="850" w:firstLineChars="405"/>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2. 总资产报酬率</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4D89AEF4">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w:t>
            </w:r>
          </w:p>
        </w:tc>
        <w:tc>
          <w:tcPr>
            <w:tcW w:w="1320" w:type="dxa"/>
            <w:tcBorders>
              <w:top w:val="single" w:color="auto" w:sz="6" w:space="0"/>
              <w:left w:val="single" w:color="auto" w:sz="4" w:space="0"/>
              <w:bottom w:val="single" w:color="auto" w:sz="6" w:space="0"/>
              <w:right w:val="single" w:color="auto" w:sz="6" w:space="0"/>
            </w:tcBorders>
            <w:noWrap w:val="0"/>
            <w:vAlign w:val="top"/>
          </w:tcPr>
          <w:p w14:paraId="3080DEB0">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0E81FEA5">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75B48CD1">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r>
      <w:tr w14:paraId="77FA3770">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1A26DF58">
            <w:pPr>
              <w:pageBreakBefore w:val="0"/>
              <w:widowControl/>
              <w:kinsoku/>
              <w:wordWrap w:val="0"/>
              <w:autoSpaceDE w:val="0"/>
              <w:autoSpaceDN w:val="0"/>
              <w:bidi w:val="0"/>
              <w:spacing w:before="120" w:beforeLines="50" w:after="120" w:afterLines="50" w:line="320" w:lineRule="atLeast"/>
              <w:ind w:left="73" w:leftChars="35" w:firstLine="850" w:firstLineChars="405"/>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3. 主营业务利润率</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4526C323">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w:t>
            </w:r>
          </w:p>
        </w:tc>
        <w:tc>
          <w:tcPr>
            <w:tcW w:w="1320" w:type="dxa"/>
            <w:tcBorders>
              <w:top w:val="single" w:color="auto" w:sz="6" w:space="0"/>
              <w:left w:val="single" w:color="auto" w:sz="4" w:space="0"/>
              <w:bottom w:val="single" w:color="auto" w:sz="6" w:space="0"/>
              <w:right w:val="single" w:color="auto" w:sz="6" w:space="0"/>
            </w:tcBorders>
            <w:noWrap w:val="0"/>
            <w:vAlign w:val="top"/>
          </w:tcPr>
          <w:p w14:paraId="5C53B724">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2120D559">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7A4522F8">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r>
      <w:tr w14:paraId="488E8941">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0E802BC3">
            <w:pPr>
              <w:pageBreakBefore w:val="0"/>
              <w:widowControl/>
              <w:kinsoku/>
              <w:wordWrap w:val="0"/>
              <w:autoSpaceDE w:val="0"/>
              <w:autoSpaceDN w:val="0"/>
              <w:bidi w:val="0"/>
              <w:spacing w:before="120" w:beforeLines="50" w:after="120" w:afterLines="50" w:line="320" w:lineRule="atLeast"/>
              <w:ind w:left="73" w:leftChars="35" w:firstLine="850" w:firstLineChars="405"/>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4. 资产负债率</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4A5927D7">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w:t>
            </w:r>
          </w:p>
        </w:tc>
        <w:tc>
          <w:tcPr>
            <w:tcW w:w="1320" w:type="dxa"/>
            <w:tcBorders>
              <w:top w:val="single" w:color="auto" w:sz="6" w:space="0"/>
              <w:left w:val="single" w:color="auto" w:sz="4" w:space="0"/>
              <w:bottom w:val="single" w:color="auto" w:sz="6" w:space="0"/>
              <w:right w:val="single" w:color="auto" w:sz="6" w:space="0"/>
            </w:tcBorders>
            <w:noWrap w:val="0"/>
            <w:vAlign w:val="top"/>
          </w:tcPr>
          <w:p w14:paraId="16DE0D52">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0E8877CB">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50569E62">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r>
      <w:tr w14:paraId="4ADC8159">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33558975">
            <w:pPr>
              <w:pageBreakBefore w:val="0"/>
              <w:widowControl/>
              <w:kinsoku/>
              <w:wordWrap w:val="0"/>
              <w:autoSpaceDE w:val="0"/>
              <w:autoSpaceDN w:val="0"/>
              <w:bidi w:val="0"/>
              <w:spacing w:before="120" w:beforeLines="50" w:after="120" w:afterLines="50" w:line="320" w:lineRule="atLeast"/>
              <w:ind w:left="73" w:leftChars="35" w:firstLine="850" w:firstLineChars="405"/>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5. 流动比率</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4A2B8883">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w:t>
            </w:r>
          </w:p>
        </w:tc>
        <w:tc>
          <w:tcPr>
            <w:tcW w:w="1320" w:type="dxa"/>
            <w:tcBorders>
              <w:top w:val="single" w:color="auto" w:sz="6" w:space="0"/>
              <w:left w:val="single" w:color="auto" w:sz="4" w:space="0"/>
              <w:bottom w:val="single" w:color="auto" w:sz="6" w:space="0"/>
              <w:right w:val="single" w:color="auto" w:sz="6" w:space="0"/>
            </w:tcBorders>
            <w:noWrap w:val="0"/>
            <w:vAlign w:val="top"/>
          </w:tcPr>
          <w:p w14:paraId="1D4D098E">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66056AC6">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206CDEEE">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r>
      <w:tr w14:paraId="148C707F">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3DC6C173">
            <w:pPr>
              <w:pageBreakBefore w:val="0"/>
              <w:widowControl/>
              <w:kinsoku/>
              <w:wordWrap w:val="0"/>
              <w:autoSpaceDE w:val="0"/>
              <w:autoSpaceDN w:val="0"/>
              <w:bidi w:val="0"/>
              <w:spacing w:before="120" w:beforeLines="50" w:after="120" w:afterLines="50" w:line="320" w:lineRule="atLeast"/>
              <w:ind w:left="73" w:leftChars="35" w:firstLine="850" w:firstLineChars="405"/>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6. 速动比率</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1E1CD474">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w:t>
            </w:r>
          </w:p>
        </w:tc>
        <w:tc>
          <w:tcPr>
            <w:tcW w:w="1320" w:type="dxa"/>
            <w:tcBorders>
              <w:top w:val="single" w:color="auto" w:sz="6" w:space="0"/>
              <w:left w:val="single" w:color="auto" w:sz="4" w:space="0"/>
              <w:bottom w:val="single" w:color="auto" w:sz="6" w:space="0"/>
              <w:right w:val="single" w:color="auto" w:sz="6" w:space="0"/>
            </w:tcBorders>
            <w:noWrap w:val="0"/>
            <w:vAlign w:val="top"/>
          </w:tcPr>
          <w:p w14:paraId="2F055D21">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1DD2AAAB">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3145B719">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r>
    </w:tbl>
    <w:p w14:paraId="1FAFCEE1">
      <w:pPr>
        <w:pageBreakBefore w:val="0"/>
        <w:kinsoku/>
        <w:wordWrap w:val="0"/>
        <w:bidi w:val="0"/>
        <w:spacing w:line="400" w:lineRule="atLeast"/>
        <w:ind w:left="735" w:hanging="735" w:hangingChars="350"/>
        <w:jc w:val="left"/>
        <w:rPr>
          <w:rFonts w:hint="default" w:ascii="Times New Roman" w:hAnsi="Times New Roman" w:cs="Times New Roman"/>
          <w:szCs w:val="21"/>
          <w:highlight w:val="none"/>
        </w:rPr>
      </w:pPr>
      <w:r>
        <w:rPr>
          <w:rFonts w:hint="default" w:ascii="Times New Roman" w:hAnsi="Times New Roman" w:cs="Times New Roman"/>
          <w:szCs w:val="21"/>
          <w:highlight w:val="none"/>
        </w:rPr>
        <w:t>注：1.</w:t>
      </w:r>
      <w:r>
        <w:rPr>
          <w:rFonts w:hint="default" w:ascii="Times New Roman" w:hAnsi="Times New Roman" w:cs="Times New Roman"/>
          <w:highlight w:val="none"/>
        </w:rPr>
        <w:t>投标人应根据招标文件第二章</w:t>
      </w:r>
      <w:r>
        <w:rPr>
          <w:rFonts w:hint="eastAsia" w:ascii="宋体" w:hAnsi="宋体" w:eastAsia="宋体" w:cs="宋体"/>
          <w:highlight w:val="none"/>
        </w:rPr>
        <w:t>“</w:t>
      </w:r>
      <w:r>
        <w:rPr>
          <w:rFonts w:hint="default" w:ascii="Times New Roman" w:hAnsi="Times New Roman" w:cs="Times New Roman"/>
          <w:highlight w:val="none"/>
        </w:rPr>
        <w:t>投标人须知</w:t>
      </w:r>
      <w:r>
        <w:rPr>
          <w:rFonts w:hint="eastAsia" w:ascii="宋体" w:hAnsi="宋体" w:eastAsia="宋体" w:cs="宋体"/>
          <w:highlight w:val="none"/>
        </w:rPr>
        <w:t>”</w:t>
      </w:r>
      <w:r>
        <w:rPr>
          <w:rFonts w:hint="default" w:ascii="Times New Roman" w:hAnsi="Times New Roman" w:cs="Times New Roman"/>
          <w:highlight w:val="none"/>
        </w:rPr>
        <w:t>第3.5.2项的要求在本表后附相关证明材料。</w:t>
      </w:r>
    </w:p>
    <w:p w14:paraId="167F6D8C">
      <w:pPr>
        <w:pageBreakBefore w:val="0"/>
        <w:kinsoku/>
        <w:wordWrap w:val="0"/>
        <w:bidi w:val="0"/>
        <w:spacing w:line="400" w:lineRule="atLeas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2.本表所列数据必须与本表各附件中的数据相一致。</w:t>
      </w:r>
    </w:p>
    <w:p w14:paraId="3909820E">
      <w:pPr>
        <w:pageBreakBefore w:val="0"/>
        <w:kinsoku/>
        <w:wordWrap w:val="0"/>
        <w:bidi w:val="0"/>
        <w:spacing w:line="400" w:lineRule="atLeas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3.以联合体形式参与投标的，联合体各成员</w:t>
      </w:r>
      <w:r>
        <w:rPr>
          <w:rFonts w:hint="default" w:ascii="Times New Roman" w:hAnsi="Times New Roman" w:cs="Times New Roman"/>
          <w:szCs w:val="21"/>
          <w:highlight w:val="none"/>
          <w:lang w:val="en-US" w:eastAsia="zh-CN"/>
        </w:rPr>
        <w:t>根据招标文件第二章</w:t>
      </w:r>
      <w:r>
        <w:rPr>
          <w:rFonts w:hint="eastAsia" w:ascii="宋体" w:hAnsi="宋体" w:eastAsia="宋体" w:cs="宋体"/>
          <w:highlight w:val="none"/>
        </w:rPr>
        <w:t>“</w:t>
      </w:r>
      <w:r>
        <w:rPr>
          <w:rFonts w:hint="default" w:ascii="Times New Roman" w:hAnsi="Times New Roman" w:cs="Times New Roman"/>
          <w:highlight w:val="none"/>
        </w:rPr>
        <w:t>投标人须知</w:t>
      </w:r>
      <w:r>
        <w:rPr>
          <w:rFonts w:hint="eastAsia" w:ascii="宋体" w:hAnsi="宋体" w:eastAsia="宋体" w:cs="宋体"/>
          <w:highlight w:val="none"/>
        </w:rPr>
        <w:t>”</w:t>
      </w:r>
      <w:r>
        <w:rPr>
          <w:rFonts w:hint="default" w:ascii="Times New Roman" w:hAnsi="Times New Roman" w:cs="Times New Roman"/>
          <w:highlight w:val="none"/>
          <w:lang w:val="en-US" w:eastAsia="zh-CN"/>
        </w:rPr>
        <w:t>前附表附录2要求及第三章</w:t>
      </w:r>
      <w:r>
        <w:rPr>
          <w:rFonts w:hint="eastAsia" w:ascii="宋体" w:hAnsi="宋体" w:eastAsia="宋体" w:cs="宋体"/>
          <w:highlight w:val="none"/>
          <w:lang w:val="en-US" w:eastAsia="zh-CN"/>
        </w:rPr>
        <w:t>“</w:t>
      </w:r>
      <w:r>
        <w:rPr>
          <w:rFonts w:hint="default" w:ascii="Times New Roman" w:hAnsi="Times New Roman" w:cs="Times New Roman"/>
          <w:highlight w:val="none"/>
          <w:lang w:val="en-US" w:eastAsia="zh-CN"/>
        </w:rPr>
        <w:t>评标办法</w:t>
      </w:r>
      <w:r>
        <w:rPr>
          <w:rFonts w:hint="eastAsia" w:ascii="宋体" w:hAnsi="宋体" w:eastAsia="宋体" w:cs="宋体"/>
          <w:highlight w:val="none"/>
          <w:lang w:val="en-US" w:eastAsia="zh-CN"/>
        </w:rPr>
        <w:t>”</w:t>
      </w:r>
      <w:r>
        <w:rPr>
          <w:rFonts w:hint="default" w:ascii="Times New Roman" w:hAnsi="Times New Roman" w:cs="Times New Roman"/>
          <w:highlight w:val="none"/>
          <w:lang w:val="en-US" w:eastAsia="zh-CN"/>
        </w:rPr>
        <w:t>详细评审要求（如有）</w:t>
      </w:r>
      <w:r>
        <w:rPr>
          <w:rFonts w:hint="default" w:ascii="Times New Roman" w:hAnsi="Times New Roman" w:cs="Times New Roman"/>
          <w:szCs w:val="21"/>
          <w:highlight w:val="none"/>
        </w:rPr>
        <w:t>分别填写。</w:t>
      </w:r>
    </w:p>
    <w:p w14:paraId="15C90C60">
      <w:pPr>
        <w:pageBreakBefore w:val="0"/>
        <w:widowControl/>
        <w:kinsoku/>
        <w:wordWrap w:val="0"/>
        <w:autoSpaceDE w:val="0"/>
        <w:autoSpaceDN w:val="0"/>
        <w:bidi w:val="0"/>
        <w:spacing w:line="360" w:lineRule="atLeast"/>
        <w:ind w:left="180"/>
        <w:jc w:val="center"/>
        <w:textAlignment w:val="bottom"/>
        <w:rPr>
          <w:rFonts w:hint="default" w:ascii="Times New Roman" w:hAnsi="Times New Roman" w:eastAsia="黑体" w:cs="Times New Roman"/>
          <w:sz w:val="24"/>
          <w:highlight w:val="none"/>
        </w:rPr>
      </w:pPr>
      <w:r>
        <w:rPr>
          <w:rFonts w:hint="default" w:ascii="Times New Roman" w:hAnsi="Times New Roman" w:cs="Times New Roman"/>
          <w:highlight w:val="none"/>
        </w:rPr>
        <w:br w:type="page"/>
      </w:r>
      <w:r>
        <w:rPr>
          <w:rFonts w:hint="default" w:ascii="Times New Roman" w:hAnsi="Times New Roman" w:eastAsia="黑体" w:cs="Times New Roman"/>
          <w:sz w:val="24"/>
          <w:highlight w:val="none"/>
        </w:rPr>
        <w:t>银行信贷证明</w:t>
      </w:r>
      <w:r>
        <w:rPr>
          <w:rStyle w:val="56"/>
          <w:rFonts w:hint="default" w:ascii="Times New Roman" w:hAnsi="Times New Roman" w:eastAsia="黑体" w:cs="Times New Roman"/>
          <w:sz w:val="24"/>
          <w:highlight w:val="none"/>
        </w:rPr>
        <w:footnoteReference w:id="37"/>
      </w:r>
    </w:p>
    <w:p w14:paraId="11520361">
      <w:pPr>
        <w:pageBreakBefore w:val="0"/>
        <w:kinsoku/>
        <w:wordWrap w:val="0"/>
        <w:bidi w:val="0"/>
        <w:spacing w:line="360" w:lineRule="atLeast"/>
        <w:jc w:val="center"/>
        <w:rPr>
          <w:rFonts w:hint="default" w:ascii="Times New Roman" w:hAnsi="Times New Roman" w:cs="Times New Roman"/>
          <w:sz w:val="24"/>
          <w:highlight w:val="none"/>
        </w:rPr>
      </w:pPr>
    </w:p>
    <w:p w14:paraId="3AFC359E">
      <w:pPr>
        <w:pageBreakBefore w:val="0"/>
        <w:kinsoku/>
        <w:wordWrap w:val="0"/>
        <w:autoSpaceDE w:val="0"/>
        <w:autoSpaceDN w:val="0"/>
        <w:bidi w:val="0"/>
        <w:adjustRightInd w:val="0"/>
        <w:spacing w:line="520" w:lineRule="atLeast"/>
        <w:rPr>
          <w:rFonts w:hint="default" w:ascii="Times New Roman" w:hAnsi="Times New Roman" w:cs="Times New Roman"/>
          <w:sz w:val="24"/>
          <w:highlight w:val="none"/>
        </w:rPr>
      </w:pPr>
      <w:r>
        <w:rPr>
          <w:rFonts w:hint="default" w:ascii="Times New Roman" w:hAnsi="Times New Roman" w:cs="Times New Roman"/>
          <w:sz w:val="24"/>
          <w:highlight w:val="none"/>
        </w:rPr>
        <w:t>银行名称：________________________________</w:t>
      </w:r>
    </w:p>
    <w:p w14:paraId="0F030EC2">
      <w:pPr>
        <w:pageBreakBefore w:val="0"/>
        <w:kinsoku/>
        <w:wordWrap w:val="0"/>
        <w:autoSpaceDE w:val="0"/>
        <w:autoSpaceDN w:val="0"/>
        <w:bidi w:val="0"/>
        <w:adjustRightInd w:val="0"/>
        <w:spacing w:line="520" w:lineRule="atLeast"/>
        <w:rPr>
          <w:rFonts w:hint="default" w:ascii="Times New Roman" w:hAnsi="Times New Roman" w:cs="Times New Roman"/>
          <w:sz w:val="24"/>
          <w:highlight w:val="none"/>
        </w:rPr>
      </w:pPr>
      <w:r>
        <w:rPr>
          <w:rFonts w:hint="default" w:ascii="Times New Roman" w:hAnsi="Times New Roman" w:cs="Times New Roman"/>
          <w:sz w:val="24"/>
          <w:highlight w:val="none"/>
        </w:rPr>
        <w:t>地    址：________________________________</w:t>
      </w:r>
    </w:p>
    <w:p w14:paraId="263243A4">
      <w:pPr>
        <w:pageBreakBefore w:val="0"/>
        <w:kinsoku/>
        <w:wordWrap w:val="0"/>
        <w:autoSpaceDE w:val="0"/>
        <w:autoSpaceDN w:val="0"/>
        <w:bidi w:val="0"/>
        <w:adjustRightInd w:val="0"/>
        <w:spacing w:line="520" w:lineRule="atLeast"/>
        <w:jc w:val="right"/>
        <w:rPr>
          <w:rFonts w:hint="default" w:ascii="Times New Roman" w:hAnsi="Times New Roman" w:cs="Times New Roman"/>
          <w:sz w:val="24"/>
          <w:highlight w:val="none"/>
        </w:rPr>
      </w:pPr>
      <w:r>
        <w:rPr>
          <w:rFonts w:hint="default" w:ascii="Times New Roman" w:hAnsi="Times New Roman" w:cs="Times New Roman"/>
          <w:sz w:val="24"/>
          <w:highlight w:val="none"/>
        </w:rPr>
        <w:t xml:space="preserve">日期：_____________ </w:t>
      </w:r>
    </w:p>
    <w:p w14:paraId="6F50F87C">
      <w:pPr>
        <w:pageBreakBefore w:val="0"/>
        <w:kinsoku/>
        <w:wordWrap w:val="0"/>
        <w:autoSpaceDE w:val="0"/>
        <w:autoSpaceDN w:val="0"/>
        <w:bidi w:val="0"/>
        <w:adjustRightInd w:val="0"/>
        <w:spacing w:line="520" w:lineRule="atLeast"/>
        <w:rPr>
          <w:rFonts w:hint="default" w:ascii="Times New Roman" w:hAnsi="Times New Roman" w:cs="Times New Roman"/>
          <w:sz w:val="24"/>
          <w:highlight w:val="none"/>
        </w:rPr>
      </w:pPr>
    </w:p>
    <w:p w14:paraId="44E55803">
      <w:pPr>
        <w:pageBreakBefore w:val="0"/>
        <w:kinsoku/>
        <w:wordWrap w:val="0"/>
        <w:autoSpaceDE w:val="0"/>
        <w:autoSpaceDN w:val="0"/>
        <w:bidi w:val="0"/>
        <w:adjustRightInd w:val="0"/>
        <w:spacing w:line="520" w:lineRule="atLeast"/>
        <w:rPr>
          <w:rFonts w:hint="default" w:ascii="Times New Roman" w:hAnsi="Times New Roman" w:cs="Times New Roman"/>
          <w:sz w:val="24"/>
          <w:highlight w:val="none"/>
        </w:rPr>
      </w:pPr>
      <w:r>
        <w:rPr>
          <w:rFonts w:hint="default" w:ascii="Times New Roman" w:hAnsi="Times New Roman" w:cs="Times New Roman"/>
          <w:sz w:val="24"/>
          <w:highlight w:val="none"/>
        </w:rPr>
        <w:t>致：</w:t>
      </w:r>
      <w:r>
        <w:rPr>
          <w:rFonts w:hint="default" w:ascii="Times New Roman" w:hAnsi="Times New Roman" w:cs="Times New Roman"/>
          <w:sz w:val="24"/>
          <w:highlight w:val="none"/>
          <w:u w:val="single"/>
        </w:rPr>
        <w:t xml:space="preserve">    （招标人全称）    </w:t>
      </w:r>
    </w:p>
    <w:p w14:paraId="64DBBDB9">
      <w:pPr>
        <w:pageBreakBefore w:val="0"/>
        <w:kinsoku/>
        <w:wordWrap w:val="0"/>
        <w:autoSpaceDE w:val="0"/>
        <w:autoSpaceDN w:val="0"/>
        <w:bidi w:val="0"/>
        <w:adjustRightInd w:val="0"/>
        <w:spacing w:line="520" w:lineRule="atLeast"/>
        <w:rPr>
          <w:rFonts w:hint="default" w:ascii="Times New Roman" w:hAnsi="Times New Roman" w:cs="Times New Roman"/>
          <w:sz w:val="24"/>
          <w:highlight w:val="none"/>
        </w:rPr>
      </w:pPr>
    </w:p>
    <w:p w14:paraId="00383B40">
      <w:pPr>
        <w:pageBreakBefore w:val="0"/>
        <w:kinsoku/>
        <w:wordWrap w:val="0"/>
        <w:autoSpaceDE w:val="0"/>
        <w:autoSpaceDN w:val="0"/>
        <w:bidi w:val="0"/>
        <w:adjustRightInd w:val="0"/>
        <w:spacing w:line="400" w:lineRule="atLeast"/>
        <w:ind w:firstLine="525"/>
        <w:rPr>
          <w:rFonts w:hint="default" w:ascii="Times New Roman" w:hAnsi="Times New Roman" w:cs="Times New Roman"/>
          <w:sz w:val="24"/>
          <w:highlight w:val="none"/>
        </w:rPr>
      </w:pPr>
      <w:r>
        <w:rPr>
          <w:rFonts w:hint="default" w:ascii="Times New Roman" w:hAnsi="Times New Roman" w:cs="Times New Roman"/>
          <w:sz w:val="24"/>
          <w:highlight w:val="none"/>
        </w:rPr>
        <w:t>兹开具最高限额为人民币</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万元的银行信贷，供</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（投标人注册地点）</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（投标人名称）于</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月</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日之前，在</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（项目名称）需要时使用。我行保证由____________（投标人名称）提供的财务报表中所开列的作为流动资产的各项中无一项包含在上述提到的银行信贷中。</w:t>
      </w:r>
    </w:p>
    <w:p w14:paraId="2A6F0197">
      <w:pPr>
        <w:pageBreakBefore w:val="0"/>
        <w:kinsoku/>
        <w:wordWrap w:val="0"/>
        <w:autoSpaceDE w:val="0"/>
        <w:autoSpaceDN w:val="0"/>
        <w:bidi w:val="0"/>
        <w:adjustRightInd w:val="0"/>
        <w:spacing w:line="520" w:lineRule="atLeast"/>
        <w:ind w:firstLine="525"/>
        <w:rPr>
          <w:rFonts w:hint="default" w:ascii="Times New Roman" w:hAnsi="Times New Roman" w:cs="Times New Roman"/>
          <w:sz w:val="24"/>
          <w:highlight w:val="none"/>
        </w:rPr>
      </w:pPr>
      <w:r>
        <w:rPr>
          <w:rFonts w:hint="default" w:ascii="Times New Roman" w:hAnsi="Times New Roman" w:cs="Times New Roman"/>
          <w:sz w:val="24"/>
          <w:highlight w:val="none"/>
        </w:rPr>
        <w:t>此项目若未中标，该信贷证明自动失效，无须退回我行。</w:t>
      </w:r>
    </w:p>
    <w:p w14:paraId="4605E769">
      <w:pPr>
        <w:pageBreakBefore w:val="0"/>
        <w:kinsoku/>
        <w:wordWrap w:val="0"/>
        <w:autoSpaceDE w:val="0"/>
        <w:autoSpaceDN w:val="0"/>
        <w:bidi w:val="0"/>
        <w:adjustRightInd w:val="0"/>
        <w:spacing w:line="520" w:lineRule="atLeast"/>
        <w:rPr>
          <w:rFonts w:hint="default" w:ascii="Times New Roman" w:hAnsi="Times New Roman" w:cs="Times New Roman"/>
          <w:sz w:val="24"/>
          <w:highlight w:val="none"/>
        </w:rPr>
      </w:pPr>
    </w:p>
    <w:p w14:paraId="754086F9">
      <w:pPr>
        <w:pageBreakBefore w:val="0"/>
        <w:kinsoku/>
        <w:wordWrap w:val="0"/>
        <w:autoSpaceDE w:val="0"/>
        <w:autoSpaceDN w:val="0"/>
        <w:bidi w:val="0"/>
        <w:adjustRightInd w:val="0"/>
        <w:spacing w:line="400" w:lineRule="atLeast"/>
        <w:ind w:firstLine="2640" w:firstLineChars="1100"/>
        <w:rPr>
          <w:rFonts w:hint="default" w:ascii="Times New Roman" w:hAnsi="Times New Roman" w:cs="Times New Roman"/>
          <w:sz w:val="24"/>
          <w:highlight w:val="none"/>
        </w:rPr>
      </w:pPr>
      <w:r>
        <w:rPr>
          <w:rFonts w:hint="default" w:ascii="Times New Roman" w:hAnsi="Times New Roman" w:cs="Times New Roman"/>
          <w:sz w:val="24"/>
          <w:highlight w:val="none"/>
        </w:rPr>
        <w:t>银          行（盖单位章）：</w:t>
      </w:r>
      <w:r>
        <w:rPr>
          <w:rFonts w:hint="default" w:ascii="Times New Roman" w:hAnsi="Times New Roman" w:cs="Times New Roman"/>
          <w:sz w:val="24"/>
          <w:highlight w:val="none"/>
          <w:u w:val="single"/>
        </w:rPr>
        <w:t xml:space="preserve">                 </w:t>
      </w:r>
    </w:p>
    <w:p w14:paraId="2D97507D">
      <w:pPr>
        <w:pageBreakBefore w:val="0"/>
        <w:kinsoku/>
        <w:wordWrap w:val="0"/>
        <w:autoSpaceDE w:val="0"/>
        <w:autoSpaceDN w:val="0"/>
        <w:bidi w:val="0"/>
        <w:adjustRightInd w:val="0"/>
        <w:spacing w:line="400" w:lineRule="atLeast"/>
        <w:ind w:firstLine="2640" w:firstLineChars="1100"/>
        <w:rPr>
          <w:rFonts w:hint="default" w:ascii="Times New Roman" w:hAnsi="Times New Roman" w:cs="Times New Roman"/>
          <w:sz w:val="24"/>
          <w:highlight w:val="none"/>
          <w:u w:val="single"/>
        </w:rPr>
      </w:pPr>
      <w:r>
        <w:rPr>
          <w:rFonts w:hint="default" w:ascii="Times New Roman" w:hAnsi="Times New Roman" w:cs="Times New Roman"/>
          <w:sz w:val="24"/>
          <w:highlight w:val="none"/>
        </w:rPr>
        <w:t>银行主要负责人（签字）：</w:t>
      </w:r>
      <w:r>
        <w:rPr>
          <w:rFonts w:hint="default" w:ascii="Times New Roman" w:hAnsi="Times New Roman" w:cs="Times New Roman"/>
          <w:sz w:val="24"/>
          <w:highlight w:val="none"/>
          <w:u w:val="single"/>
        </w:rPr>
        <w:t xml:space="preserve">                     </w:t>
      </w:r>
    </w:p>
    <w:p w14:paraId="022D0117">
      <w:pPr>
        <w:pageBreakBefore w:val="0"/>
        <w:kinsoku/>
        <w:wordWrap w:val="0"/>
        <w:autoSpaceDE w:val="0"/>
        <w:autoSpaceDN w:val="0"/>
        <w:bidi w:val="0"/>
        <w:adjustRightInd w:val="0"/>
        <w:spacing w:line="400" w:lineRule="atLeast"/>
        <w:ind w:firstLine="2640" w:firstLineChars="1100"/>
        <w:rPr>
          <w:rFonts w:hint="default" w:ascii="Times New Roman" w:hAnsi="Times New Roman" w:cs="Times New Roman"/>
          <w:sz w:val="24"/>
          <w:highlight w:val="none"/>
          <w:u w:val="single"/>
        </w:rPr>
      </w:pPr>
      <w:r>
        <w:rPr>
          <w:rFonts w:hint="default" w:ascii="Times New Roman" w:hAnsi="Times New Roman" w:cs="Times New Roman"/>
          <w:sz w:val="24"/>
          <w:highlight w:val="none"/>
        </w:rPr>
        <w:t>银行主要负责人姓名、职务：</w:t>
      </w:r>
      <w:r>
        <w:rPr>
          <w:rFonts w:hint="default" w:ascii="Times New Roman" w:hAnsi="Times New Roman" w:cs="Times New Roman"/>
          <w:sz w:val="24"/>
          <w:highlight w:val="none"/>
          <w:u w:val="single"/>
        </w:rPr>
        <w:t xml:space="preserve">     （打印）    </w:t>
      </w:r>
    </w:p>
    <w:p w14:paraId="6FC42598">
      <w:pPr>
        <w:pageBreakBefore w:val="0"/>
        <w:kinsoku/>
        <w:wordWrap w:val="0"/>
        <w:autoSpaceDE w:val="0"/>
        <w:autoSpaceDN w:val="0"/>
        <w:bidi w:val="0"/>
        <w:adjustRightInd w:val="0"/>
        <w:spacing w:line="400" w:lineRule="atLeast"/>
        <w:ind w:firstLine="2640" w:firstLineChars="1100"/>
        <w:rPr>
          <w:rFonts w:hint="default" w:ascii="Times New Roman" w:hAnsi="Times New Roman" w:cs="Times New Roman"/>
          <w:sz w:val="24"/>
          <w:highlight w:val="none"/>
          <w:u w:val="single"/>
        </w:rPr>
      </w:pPr>
      <w:r>
        <w:rPr>
          <w:rFonts w:hint="default" w:ascii="Times New Roman" w:hAnsi="Times New Roman" w:cs="Times New Roman"/>
          <w:sz w:val="24"/>
          <w:highlight w:val="none"/>
        </w:rPr>
        <w:t>银    行    电    话：</w:t>
      </w:r>
      <w:r>
        <w:rPr>
          <w:rFonts w:hint="default" w:ascii="Times New Roman" w:hAnsi="Times New Roman" w:cs="Times New Roman"/>
          <w:sz w:val="24"/>
          <w:highlight w:val="none"/>
          <w:u w:val="single"/>
        </w:rPr>
        <w:t xml:space="preserve">                    </w:t>
      </w:r>
    </w:p>
    <w:p w14:paraId="6DE9884C">
      <w:pPr>
        <w:pageBreakBefore w:val="0"/>
        <w:kinsoku/>
        <w:wordWrap w:val="0"/>
        <w:autoSpaceDE w:val="0"/>
        <w:autoSpaceDN w:val="0"/>
        <w:bidi w:val="0"/>
        <w:adjustRightInd w:val="0"/>
        <w:spacing w:line="400" w:lineRule="atLeast"/>
        <w:ind w:firstLine="2640" w:firstLineChars="1100"/>
        <w:rPr>
          <w:rFonts w:hint="default" w:ascii="Times New Roman" w:hAnsi="Times New Roman" w:cs="Times New Roman"/>
          <w:sz w:val="24"/>
          <w:highlight w:val="none"/>
          <w:u w:val="single"/>
        </w:rPr>
      </w:pPr>
      <w:r>
        <w:rPr>
          <w:rFonts w:hint="default" w:ascii="Times New Roman" w:hAnsi="Times New Roman" w:cs="Times New Roman"/>
          <w:sz w:val="24"/>
          <w:highlight w:val="none"/>
        </w:rPr>
        <w:t>银    行    传    真：</w:t>
      </w:r>
      <w:r>
        <w:rPr>
          <w:rFonts w:hint="default" w:ascii="Times New Roman" w:hAnsi="Times New Roman" w:cs="Times New Roman"/>
          <w:sz w:val="24"/>
          <w:highlight w:val="none"/>
          <w:u w:val="single"/>
        </w:rPr>
        <w:t xml:space="preserve">                    </w:t>
      </w:r>
    </w:p>
    <w:p w14:paraId="7430B3A0">
      <w:pPr>
        <w:pageBreakBefore w:val="0"/>
        <w:kinsoku/>
        <w:wordWrap w:val="0"/>
        <w:bidi w:val="0"/>
        <w:spacing w:line="320" w:lineRule="atLeast"/>
        <w:jc w:val="center"/>
        <w:rPr>
          <w:rFonts w:hint="default" w:ascii="Times New Roman" w:hAnsi="Times New Roman" w:cs="Times New Roman"/>
          <w:sz w:val="24"/>
          <w:highlight w:val="none"/>
        </w:rPr>
      </w:pPr>
    </w:p>
    <w:p w14:paraId="4F20CB86">
      <w:pPr>
        <w:pageBreakBefore w:val="0"/>
        <w:kinsoku/>
        <w:wordWrap w:val="0"/>
        <w:bidi w:val="0"/>
        <w:spacing w:line="320" w:lineRule="atLeast"/>
        <w:jc w:val="center"/>
        <w:rPr>
          <w:rFonts w:hint="default" w:ascii="Times New Roman" w:hAnsi="Times New Roman" w:cs="Times New Roman"/>
          <w:sz w:val="24"/>
          <w:highlight w:val="none"/>
        </w:rPr>
      </w:pPr>
    </w:p>
    <w:p w14:paraId="014AA595">
      <w:pPr>
        <w:pStyle w:val="30"/>
        <w:pageBreakBefore w:val="0"/>
        <w:kinsoku/>
        <w:wordWrap w:val="0"/>
        <w:bidi w:val="0"/>
        <w:spacing w:line="320" w:lineRule="atLeast"/>
        <w:ind w:left="1084" w:leftChars="216" w:hanging="630" w:hangingChars="300"/>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注：允许投标人实际开具的银行信贷证明的格式与《</w:t>
      </w:r>
      <w:r>
        <w:rPr>
          <w:rFonts w:hint="default" w:ascii="Times New Roman" w:hAnsi="Times New Roman" w:cs="Times New Roman"/>
          <w:sz w:val="21"/>
          <w:szCs w:val="21"/>
          <w:highlight w:val="none"/>
          <w:lang w:val="en-US" w:eastAsia="zh-CN"/>
        </w:rPr>
        <w:t>标准文件</w:t>
      </w:r>
      <w:r>
        <w:rPr>
          <w:rFonts w:hint="default" w:ascii="Times New Roman" w:hAnsi="Times New Roman" w:cs="Times New Roman"/>
          <w:sz w:val="21"/>
          <w:szCs w:val="21"/>
          <w:highlight w:val="none"/>
        </w:rPr>
        <w:t>》提供的格式有所不同，但不得更改《</w:t>
      </w:r>
      <w:r>
        <w:rPr>
          <w:rFonts w:hint="default" w:ascii="Times New Roman" w:hAnsi="Times New Roman" w:cs="Times New Roman"/>
          <w:sz w:val="21"/>
          <w:szCs w:val="21"/>
          <w:highlight w:val="none"/>
          <w:lang w:val="en-US" w:eastAsia="zh-CN"/>
        </w:rPr>
        <w:t>标准文件</w:t>
      </w:r>
      <w:r>
        <w:rPr>
          <w:rFonts w:hint="default" w:ascii="Times New Roman" w:hAnsi="Times New Roman" w:cs="Times New Roman"/>
          <w:sz w:val="21"/>
          <w:szCs w:val="21"/>
          <w:highlight w:val="none"/>
        </w:rPr>
        <w:t>》提供的银行信贷证明格式中的实质性内容。</w:t>
      </w:r>
    </w:p>
    <w:p w14:paraId="3E374671">
      <w:pPr>
        <w:pageBreakBefore w:val="0"/>
        <w:kinsoku/>
        <w:wordWrap w:val="0"/>
        <w:bidi w:val="0"/>
        <w:spacing w:line="320" w:lineRule="atLeast"/>
        <w:ind w:left="1155" w:leftChars="400" w:hanging="315" w:hangingChars="150"/>
        <w:rPr>
          <w:rFonts w:hint="default" w:ascii="Times New Roman" w:hAnsi="Times New Roman" w:cs="Times New Roman"/>
          <w:szCs w:val="21"/>
          <w:highlight w:val="none"/>
        </w:rPr>
      </w:pPr>
    </w:p>
    <w:p w14:paraId="32D3DCAD">
      <w:pPr>
        <w:pStyle w:val="2"/>
        <w:pageBreakBefore w:val="0"/>
        <w:kinsoku/>
        <w:wordWrap w:val="0"/>
        <w:bidi w:val="0"/>
        <w:spacing w:before="0" w:after="0" w:line="380" w:lineRule="atLeast"/>
        <w:jc w:val="center"/>
        <w:rPr>
          <w:rFonts w:hint="default" w:ascii="Times New Roman" w:hAnsi="Times New Roman" w:eastAsia="黑体" w:cs="Times New Roman"/>
          <w:b w:val="0"/>
          <w:sz w:val="24"/>
          <w:szCs w:val="24"/>
          <w:highlight w:val="none"/>
        </w:rPr>
      </w:pPr>
      <w:r>
        <w:rPr>
          <w:rFonts w:hint="default" w:ascii="Times New Roman" w:hAnsi="Times New Roman" w:cs="Times New Roman"/>
          <w:sz w:val="24"/>
          <w:highlight w:val="none"/>
        </w:rPr>
        <w:br w:type="page"/>
      </w:r>
      <w:bookmarkStart w:id="1541" w:name="_Toc18013"/>
      <w:bookmarkStart w:id="1542" w:name="_Toc234833283"/>
      <w:bookmarkStart w:id="1543" w:name="_Toc11478"/>
      <w:r>
        <w:rPr>
          <w:rFonts w:hint="default" w:ascii="Times New Roman" w:hAnsi="Times New Roman" w:eastAsia="黑体" w:cs="Times New Roman"/>
          <w:b w:val="0"/>
          <w:sz w:val="24"/>
          <w:szCs w:val="24"/>
          <w:highlight w:val="none"/>
        </w:rPr>
        <w:t>（</w:t>
      </w:r>
      <w:r>
        <w:rPr>
          <w:rFonts w:hint="default" w:ascii="Times New Roman" w:hAnsi="Times New Roman" w:eastAsia="黑体" w:cs="Times New Roman"/>
          <w:b w:val="0"/>
          <w:sz w:val="24"/>
          <w:szCs w:val="24"/>
          <w:highlight w:val="none"/>
          <w:lang w:eastAsia="zh-CN"/>
        </w:rPr>
        <w:t>四</w:t>
      </w:r>
      <w:r>
        <w:rPr>
          <w:rFonts w:hint="default" w:ascii="Times New Roman" w:hAnsi="Times New Roman" w:eastAsia="黑体" w:cs="Times New Roman"/>
          <w:b w:val="0"/>
          <w:sz w:val="24"/>
          <w:szCs w:val="24"/>
          <w:highlight w:val="none"/>
        </w:rPr>
        <w:t>）近年完成的类似项目情况表</w:t>
      </w:r>
      <w:bookmarkEnd w:id="1541"/>
      <w:bookmarkEnd w:id="1542"/>
      <w:bookmarkEnd w:id="1543"/>
    </w:p>
    <w:p w14:paraId="0841DD18">
      <w:pPr>
        <w:pageBreakBefore w:val="0"/>
        <w:kinsoku/>
        <w:wordWrap w:val="0"/>
        <w:bidi w:val="0"/>
        <w:spacing w:line="440" w:lineRule="exact"/>
        <w:jc w:val="center"/>
        <w:rPr>
          <w:rFonts w:hint="default" w:ascii="Times New Roman" w:hAnsi="Times New Roman" w:eastAsia="黑体" w:cs="Times New Roman"/>
          <w:sz w:val="23"/>
          <w:szCs w:val="23"/>
          <w:highlight w:val="none"/>
        </w:rPr>
      </w:pP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67"/>
        <w:gridCol w:w="6524"/>
      </w:tblGrid>
      <w:tr w14:paraId="16358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2367" w:type="dxa"/>
            <w:noWrap w:val="0"/>
            <w:vAlign w:val="center"/>
          </w:tcPr>
          <w:p w14:paraId="61E9701B">
            <w:pPr>
              <w:pageBreakBefore w:val="0"/>
              <w:kinsoku/>
              <w:wordWrap w:val="0"/>
              <w:topLinePunct/>
              <w:bidi w:val="0"/>
              <w:spacing w:line="440" w:lineRule="exact"/>
              <w:jc w:val="center"/>
              <w:rPr>
                <w:rFonts w:hint="default" w:ascii="Times New Roman" w:hAnsi="Times New Roman" w:cs="Times New Roman"/>
                <w:sz w:val="20"/>
                <w:szCs w:val="20"/>
                <w:highlight w:val="none"/>
              </w:rPr>
            </w:pPr>
            <w:r>
              <w:rPr>
                <w:rFonts w:hint="default" w:ascii="Times New Roman" w:hAnsi="Times New Roman" w:cs="Times New Roman"/>
                <w:szCs w:val="21"/>
                <w:highlight w:val="none"/>
              </w:rPr>
              <w:t>序    号</w:t>
            </w:r>
          </w:p>
        </w:tc>
        <w:tc>
          <w:tcPr>
            <w:tcW w:w="6524" w:type="dxa"/>
            <w:noWrap w:val="0"/>
            <w:vAlign w:val="top"/>
          </w:tcPr>
          <w:p w14:paraId="66A78CD4">
            <w:pPr>
              <w:pageBreakBefore w:val="0"/>
              <w:kinsoku/>
              <w:wordWrap w:val="0"/>
              <w:topLinePunct/>
              <w:bidi w:val="0"/>
              <w:spacing w:line="440" w:lineRule="exact"/>
              <w:rPr>
                <w:rFonts w:hint="default" w:ascii="Times New Roman" w:hAnsi="Times New Roman" w:cs="Times New Roman"/>
                <w:sz w:val="20"/>
                <w:szCs w:val="20"/>
                <w:highlight w:val="none"/>
              </w:rPr>
            </w:pPr>
          </w:p>
        </w:tc>
      </w:tr>
      <w:tr w14:paraId="42452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2367" w:type="dxa"/>
            <w:noWrap w:val="0"/>
            <w:vAlign w:val="center"/>
          </w:tcPr>
          <w:p w14:paraId="4415EE58">
            <w:pPr>
              <w:pageBreakBefore w:val="0"/>
              <w:kinsoku/>
              <w:wordWrap w:val="0"/>
              <w:topLinePunct/>
              <w:bidi w:val="0"/>
              <w:spacing w:line="440" w:lineRule="exact"/>
              <w:jc w:val="center"/>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项目名称</w:t>
            </w:r>
          </w:p>
        </w:tc>
        <w:tc>
          <w:tcPr>
            <w:tcW w:w="6524" w:type="dxa"/>
            <w:noWrap w:val="0"/>
            <w:vAlign w:val="top"/>
          </w:tcPr>
          <w:p w14:paraId="4D6AE765">
            <w:pPr>
              <w:pageBreakBefore w:val="0"/>
              <w:kinsoku/>
              <w:wordWrap w:val="0"/>
              <w:topLinePunct/>
              <w:bidi w:val="0"/>
              <w:spacing w:line="440" w:lineRule="exact"/>
              <w:rPr>
                <w:rFonts w:hint="default" w:ascii="Times New Roman" w:hAnsi="Times New Roman" w:cs="Times New Roman"/>
                <w:sz w:val="20"/>
                <w:szCs w:val="20"/>
                <w:highlight w:val="none"/>
              </w:rPr>
            </w:pPr>
          </w:p>
        </w:tc>
      </w:tr>
      <w:tr w14:paraId="16863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2367" w:type="dxa"/>
            <w:noWrap w:val="0"/>
            <w:vAlign w:val="center"/>
          </w:tcPr>
          <w:p w14:paraId="12DF5276">
            <w:pPr>
              <w:pageBreakBefore w:val="0"/>
              <w:kinsoku/>
              <w:wordWrap w:val="0"/>
              <w:topLinePunct/>
              <w:bidi w:val="0"/>
              <w:spacing w:line="440" w:lineRule="exact"/>
              <w:jc w:val="center"/>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项目所在地</w:t>
            </w:r>
          </w:p>
        </w:tc>
        <w:tc>
          <w:tcPr>
            <w:tcW w:w="6524" w:type="dxa"/>
            <w:noWrap w:val="0"/>
            <w:vAlign w:val="top"/>
          </w:tcPr>
          <w:p w14:paraId="218B3325">
            <w:pPr>
              <w:pageBreakBefore w:val="0"/>
              <w:kinsoku/>
              <w:wordWrap w:val="0"/>
              <w:topLinePunct/>
              <w:bidi w:val="0"/>
              <w:spacing w:line="440" w:lineRule="exact"/>
              <w:rPr>
                <w:rFonts w:hint="default" w:ascii="Times New Roman" w:hAnsi="Times New Roman" w:cs="Times New Roman"/>
                <w:sz w:val="20"/>
                <w:szCs w:val="20"/>
                <w:highlight w:val="none"/>
              </w:rPr>
            </w:pPr>
          </w:p>
        </w:tc>
      </w:tr>
      <w:tr w14:paraId="589ED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2367" w:type="dxa"/>
            <w:noWrap w:val="0"/>
            <w:vAlign w:val="center"/>
          </w:tcPr>
          <w:p w14:paraId="5ECA0231">
            <w:pPr>
              <w:pageBreakBefore w:val="0"/>
              <w:kinsoku/>
              <w:wordWrap w:val="0"/>
              <w:topLinePunct/>
              <w:bidi w:val="0"/>
              <w:spacing w:line="440" w:lineRule="exact"/>
              <w:jc w:val="center"/>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发包人名称</w:t>
            </w:r>
          </w:p>
        </w:tc>
        <w:tc>
          <w:tcPr>
            <w:tcW w:w="6524" w:type="dxa"/>
            <w:noWrap w:val="0"/>
            <w:vAlign w:val="top"/>
          </w:tcPr>
          <w:p w14:paraId="26E842FB">
            <w:pPr>
              <w:pageBreakBefore w:val="0"/>
              <w:kinsoku/>
              <w:wordWrap w:val="0"/>
              <w:topLinePunct/>
              <w:bidi w:val="0"/>
              <w:spacing w:line="440" w:lineRule="exact"/>
              <w:rPr>
                <w:rFonts w:hint="default" w:ascii="Times New Roman" w:hAnsi="Times New Roman" w:cs="Times New Roman"/>
                <w:sz w:val="20"/>
                <w:szCs w:val="20"/>
                <w:highlight w:val="none"/>
              </w:rPr>
            </w:pPr>
          </w:p>
        </w:tc>
      </w:tr>
      <w:tr w14:paraId="33682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2367" w:type="dxa"/>
            <w:noWrap w:val="0"/>
            <w:vAlign w:val="center"/>
          </w:tcPr>
          <w:p w14:paraId="371BA50E">
            <w:pPr>
              <w:pageBreakBefore w:val="0"/>
              <w:kinsoku/>
              <w:wordWrap w:val="0"/>
              <w:topLinePunct/>
              <w:bidi w:val="0"/>
              <w:spacing w:line="440" w:lineRule="exact"/>
              <w:jc w:val="center"/>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发包人地址</w:t>
            </w:r>
          </w:p>
        </w:tc>
        <w:tc>
          <w:tcPr>
            <w:tcW w:w="6524" w:type="dxa"/>
            <w:noWrap w:val="0"/>
            <w:vAlign w:val="top"/>
          </w:tcPr>
          <w:p w14:paraId="3DC9856C">
            <w:pPr>
              <w:pageBreakBefore w:val="0"/>
              <w:kinsoku/>
              <w:wordWrap w:val="0"/>
              <w:topLinePunct/>
              <w:bidi w:val="0"/>
              <w:spacing w:line="440" w:lineRule="exact"/>
              <w:rPr>
                <w:rFonts w:hint="default" w:ascii="Times New Roman" w:hAnsi="Times New Roman" w:cs="Times New Roman"/>
                <w:sz w:val="20"/>
                <w:szCs w:val="20"/>
                <w:highlight w:val="none"/>
              </w:rPr>
            </w:pPr>
          </w:p>
        </w:tc>
      </w:tr>
      <w:tr w14:paraId="17555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2367" w:type="dxa"/>
            <w:noWrap w:val="0"/>
            <w:vAlign w:val="center"/>
          </w:tcPr>
          <w:p w14:paraId="7AD38D5B">
            <w:pPr>
              <w:pageBreakBefore w:val="0"/>
              <w:kinsoku/>
              <w:wordWrap w:val="0"/>
              <w:topLinePunct/>
              <w:bidi w:val="0"/>
              <w:spacing w:line="440" w:lineRule="exact"/>
              <w:jc w:val="center"/>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发包人电话</w:t>
            </w:r>
          </w:p>
        </w:tc>
        <w:tc>
          <w:tcPr>
            <w:tcW w:w="6524" w:type="dxa"/>
            <w:noWrap w:val="0"/>
            <w:vAlign w:val="top"/>
          </w:tcPr>
          <w:p w14:paraId="5CB8C32D">
            <w:pPr>
              <w:pageBreakBefore w:val="0"/>
              <w:kinsoku/>
              <w:wordWrap w:val="0"/>
              <w:topLinePunct/>
              <w:bidi w:val="0"/>
              <w:spacing w:line="440" w:lineRule="exact"/>
              <w:rPr>
                <w:rFonts w:hint="default" w:ascii="Times New Roman" w:hAnsi="Times New Roman" w:cs="Times New Roman"/>
                <w:sz w:val="20"/>
                <w:szCs w:val="20"/>
                <w:highlight w:val="none"/>
              </w:rPr>
            </w:pPr>
          </w:p>
        </w:tc>
      </w:tr>
      <w:tr w14:paraId="5ABEA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2367" w:type="dxa"/>
            <w:noWrap w:val="0"/>
            <w:vAlign w:val="center"/>
          </w:tcPr>
          <w:p w14:paraId="1AD863E5">
            <w:pPr>
              <w:pageBreakBefore w:val="0"/>
              <w:kinsoku/>
              <w:wordWrap w:val="0"/>
              <w:topLinePunct/>
              <w:bidi w:val="0"/>
              <w:spacing w:line="440" w:lineRule="exact"/>
              <w:jc w:val="center"/>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合同价格</w:t>
            </w:r>
          </w:p>
        </w:tc>
        <w:tc>
          <w:tcPr>
            <w:tcW w:w="6524" w:type="dxa"/>
            <w:noWrap w:val="0"/>
            <w:vAlign w:val="top"/>
          </w:tcPr>
          <w:p w14:paraId="1FFA93BC">
            <w:pPr>
              <w:pageBreakBefore w:val="0"/>
              <w:kinsoku/>
              <w:wordWrap w:val="0"/>
              <w:topLinePunct/>
              <w:bidi w:val="0"/>
              <w:spacing w:line="440" w:lineRule="exact"/>
              <w:rPr>
                <w:rFonts w:hint="default" w:ascii="Times New Roman" w:hAnsi="Times New Roman" w:cs="Times New Roman"/>
                <w:sz w:val="20"/>
                <w:szCs w:val="20"/>
                <w:highlight w:val="none"/>
              </w:rPr>
            </w:pPr>
          </w:p>
        </w:tc>
      </w:tr>
      <w:tr w14:paraId="68C83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2367" w:type="dxa"/>
            <w:noWrap w:val="0"/>
            <w:vAlign w:val="center"/>
          </w:tcPr>
          <w:p w14:paraId="1B465A3F">
            <w:pPr>
              <w:pageBreakBefore w:val="0"/>
              <w:kinsoku/>
              <w:wordWrap w:val="0"/>
              <w:topLinePunct/>
              <w:bidi w:val="0"/>
              <w:spacing w:line="440" w:lineRule="exact"/>
              <w:jc w:val="center"/>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开工日期</w:t>
            </w:r>
          </w:p>
        </w:tc>
        <w:tc>
          <w:tcPr>
            <w:tcW w:w="6524" w:type="dxa"/>
            <w:noWrap w:val="0"/>
            <w:vAlign w:val="top"/>
          </w:tcPr>
          <w:p w14:paraId="21058F93">
            <w:pPr>
              <w:pageBreakBefore w:val="0"/>
              <w:kinsoku/>
              <w:wordWrap w:val="0"/>
              <w:topLinePunct/>
              <w:bidi w:val="0"/>
              <w:spacing w:line="440" w:lineRule="exact"/>
              <w:rPr>
                <w:rFonts w:hint="default" w:ascii="Times New Roman" w:hAnsi="Times New Roman" w:cs="Times New Roman"/>
                <w:sz w:val="20"/>
                <w:szCs w:val="20"/>
                <w:highlight w:val="none"/>
              </w:rPr>
            </w:pPr>
          </w:p>
        </w:tc>
      </w:tr>
      <w:tr w14:paraId="44082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2367" w:type="dxa"/>
            <w:noWrap w:val="0"/>
            <w:vAlign w:val="center"/>
          </w:tcPr>
          <w:p w14:paraId="7B8B4C11">
            <w:pPr>
              <w:pageBreakBefore w:val="0"/>
              <w:kinsoku/>
              <w:wordWrap w:val="0"/>
              <w:topLinePunct/>
              <w:bidi w:val="0"/>
              <w:spacing w:line="440" w:lineRule="exact"/>
              <w:jc w:val="center"/>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交工日期</w:t>
            </w:r>
          </w:p>
        </w:tc>
        <w:tc>
          <w:tcPr>
            <w:tcW w:w="6524" w:type="dxa"/>
            <w:noWrap w:val="0"/>
            <w:vAlign w:val="top"/>
          </w:tcPr>
          <w:p w14:paraId="2BB7E77D">
            <w:pPr>
              <w:pageBreakBefore w:val="0"/>
              <w:kinsoku/>
              <w:wordWrap w:val="0"/>
              <w:topLinePunct/>
              <w:bidi w:val="0"/>
              <w:spacing w:line="440" w:lineRule="exact"/>
              <w:rPr>
                <w:rFonts w:hint="default" w:ascii="Times New Roman" w:hAnsi="Times New Roman" w:cs="Times New Roman"/>
                <w:sz w:val="20"/>
                <w:szCs w:val="20"/>
                <w:highlight w:val="none"/>
              </w:rPr>
            </w:pPr>
          </w:p>
        </w:tc>
      </w:tr>
      <w:tr w14:paraId="6D71D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2367" w:type="dxa"/>
            <w:noWrap w:val="0"/>
            <w:vAlign w:val="center"/>
          </w:tcPr>
          <w:p w14:paraId="0E7862CC">
            <w:pPr>
              <w:pageBreakBefore w:val="0"/>
              <w:kinsoku/>
              <w:wordWrap w:val="0"/>
              <w:topLinePunct/>
              <w:bidi w:val="0"/>
              <w:spacing w:line="440" w:lineRule="exact"/>
              <w:jc w:val="center"/>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承担的工作</w:t>
            </w:r>
          </w:p>
        </w:tc>
        <w:tc>
          <w:tcPr>
            <w:tcW w:w="6524" w:type="dxa"/>
            <w:noWrap w:val="0"/>
            <w:vAlign w:val="top"/>
          </w:tcPr>
          <w:p w14:paraId="670B4100">
            <w:pPr>
              <w:pageBreakBefore w:val="0"/>
              <w:kinsoku/>
              <w:wordWrap w:val="0"/>
              <w:topLinePunct/>
              <w:bidi w:val="0"/>
              <w:spacing w:line="440" w:lineRule="exact"/>
              <w:rPr>
                <w:rFonts w:hint="default" w:ascii="Times New Roman" w:hAnsi="Times New Roman" w:cs="Times New Roman"/>
                <w:sz w:val="20"/>
                <w:szCs w:val="20"/>
                <w:highlight w:val="none"/>
              </w:rPr>
            </w:pPr>
          </w:p>
        </w:tc>
      </w:tr>
      <w:tr w14:paraId="1AAC9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2367" w:type="dxa"/>
            <w:noWrap w:val="0"/>
            <w:vAlign w:val="center"/>
          </w:tcPr>
          <w:p w14:paraId="473972F1">
            <w:pPr>
              <w:pageBreakBefore w:val="0"/>
              <w:kinsoku/>
              <w:wordWrap w:val="0"/>
              <w:topLinePunct/>
              <w:bidi w:val="0"/>
              <w:spacing w:line="440" w:lineRule="exact"/>
              <w:jc w:val="center"/>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工程质量</w:t>
            </w:r>
          </w:p>
        </w:tc>
        <w:tc>
          <w:tcPr>
            <w:tcW w:w="6524" w:type="dxa"/>
            <w:noWrap w:val="0"/>
            <w:vAlign w:val="top"/>
          </w:tcPr>
          <w:p w14:paraId="2E707922">
            <w:pPr>
              <w:pageBreakBefore w:val="0"/>
              <w:kinsoku/>
              <w:wordWrap w:val="0"/>
              <w:topLinePunct/>
              <w:bidi w:val="0"/>
              <w:spacing w:line="440" w:lineRule="exact"/>
              <w:rPr>
                <w:rFonts w:hint="default" w:ascii="Times New Roman" w:hAnsi="Times New Roman" w:cs="Times New Roman"/>
                <w:sz w:val="20"/>
                <w:szCs w:val="20"/>
                <w:highlight w:val="none"/>
              </w:rPr>
            </w:pPr>
          </w:p>
        </w:tc>
      </w:tr>
      <w:tr w14:paraId="03CA2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2367" w:type="dxa"/>
            <w:noWrap w:val="0"/>
            <w:vAlign w:val="center"/>
          </w:tcPr>
          <w:p w14:paraId="7BFA3283">
            <w:pPr>
              <w:pageBreakBefore w:val="0"/>
              <w:kinsoku/>
              <w:wordWrap w:val="0"/>
              <w:topLinePunct/>
              <w:bidi w:val="0"/>
              <w:spacing w:line="440" w:lineRule="exact"/>
              <w:jc w:val="center"/>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项目经理</w:t>
            </w:r>
          </w:p>
        </w:tc>
        <w:tc>
          <w:tcPr>
            <w:tcW w:w="6524" w:type="dxa"/>
            <w:noWrap w:val="0"/>
            <w:vAlign w:val="top"/>
          </w:tcPr>
          <w:p w14:paraId="35CFAB30">
            <w:pPr>
              <w:pageBreakBefore w:val="0"/>
              <w:kinsoku/>
              <w:wordWrap w:val="0"/>
              <w:topLinePunct/>
              <w:bidi w:val="0"/>
              <w:spacing w:line="440" w:lineRule="exact"/>
              <w:rPr>
                <w:rFonts w:hint="default" w:ascii="Times New Roman" w:hAnsi="Times New Roman" w:cs="Times New Roman"/>
                <w:sz w:val="20"/>
                <w:szCs w:val="20"/>
                <w:highlight w:val="none"/>
              </w:rPr>
            </w:pPr>
          </w:p>
        </w:tc>
      </w:tr>
      <w:tr w14:paraId="0477F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2367" w:type="dxa"/>
            <w:noWrap w:val="0"/>
            <w:vAlign w:val="center"/>
          </w:tcPr>
          <w:p w14:paraId="230A47C9">
            <w:pPr>
              <w:pageBreakBefore w:val="0"/>
              <w:kinsoku/>
              <w:wordWrap w:val="0"/>
              <w:topLinePunct/>
              <w:bidi w:val="0"/>
              <w:spacing w:line="440" w:lineRule="exact"/>
              <w:jc w:val="center"/>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项目总工</w:t>
            </w:r>
          </w:p>
        </w:tc>
        <w:tc>
          <w:tcPr>
            <w:tcW w:w="6524" w:type="dxa"/>
            <w:noWrap w:val="0"/>
            <w:vAlign w:val="top"/>
          </w:tcPr>
          <w:p w14:paraId="44F95577">
            <w:pPr>
              <w:pageBreakBefore w:val="0"/>
              <w:kinsoku/>
              <w:wordWrap w:val="0"/>
              <w:topLinePunct/>
              <w:bidi w:val="0"/>
              <w:spacing w:line="440" w:lineRule="exact"/>
              <w:rPr>
                <w:rFonts w:hint="default" w:ascii="Times New Roman" w:hAnsi="Times New Roman" w:cs="Times New Roman"/>
                <w:sz w:val="20"/>
                <w:szCs w:val="20"/>
                <w:highlight w:val="none"/>
              </w:rPr>
            </w:pPr>
          </w:p>
        </w:tc>
      </w:tr>
      <w:tr w14:paraId="6302F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2367" w:type="dxa"/>
            <w:noWrap w:val="0"/>
            <w:vAlign w:val="center"/>
          </w:tcPr>
          <w:p w14:paraId="7CC4695E">
            <w:pPr>
              <w:pageBreakBefore w:val="0"/>
              <w:kinsoku/>
              <w:wordWrap w:val="0"/>
              <w:topLinePunct/>
              <w:bidi w:val="0"/>
              <w:spacing w:line="440" w:lineRule="exact"/>
              <w:jc w:val="center"/>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总监理工程师及电话</w:t>
            </w:r>
          </w:p>
        </w:tc>
        <w:tc>
          <w:tcPr>
            <w:tcW w:w="6524" w:type="dxa"/>
            <w:noWrap w:val="0"/>
            <w:vAlign w:val="top"/>
          </w:tcPr>
          <w:p w14:paraId="1D0C250B">
            <w:pPr>
              <w:pageBreakBefore w:val="0"/>
              <w:kinsoku/>
              <w:wordWrap w:val="0"/>
              <w:topLinePunct/>
              <w:bidi w:val="0"/>
              <w:spacing w:line="440" w:lineRule="exact"/>
              <w:rPr>
                <w:rFonts w:hint="default" w:ascii="Times New Roman" w:hAnsi="Times New Roman" w:cs="Times New Roman"/>
                <w:sz w:val="20"/>
                <w:szCs w:val="20"/>
                <w:highlight w:val="none"/>
              </w:rPr>
            </w:pPr>
          </w:p>
        </w:tc>
      </w:tr>
      <w:tr w14:paraId="658D7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2367" w:type="dxa"/>
            <w:noWrap w:val="0"/>
            <w:vAlign w:val="center"/>
          </w:tcPr>
          <w:p w14:paraId="1BED3BA6">
            <w:pPr>
              <w:pageBreakBefore w:val="0"/>
              <w:kinsoku/>
              <w:wordWrap w:val="0"/>
              <w:topLinePunct/>
              <w:bidi w:val="0"/>
              <w:spacing w:line="440" w:lineRule="exact"/>
              <w:jc w:val="center"/>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项目描述</w:t>
            </w:r>
          </w:p>
        </w:tc>
        <w:tc>
          <w:tcPr>
            <w:tcW w:w="6524" w:type="dxa"/>
            <w:noWrap w:val="0"/>
            <w:vAlign w:val="top"/>
          </w:tcPr>
          <w:p w14:paraId="0A7056CB">
            <w:pPr>
              <w:pageBreakBefore w:val="0"/>
              <w:kinsoku/>
              <w:wordWrap w:val="0"/>
              <w:topLinePunct/>
              <w:bidi w:val="0"/>
              <w:spacing w:line="440" w:lineRule="exact"/>
              <w:rPr>
                <w:rFonts w:hint="default" w:ascii="Times New Roman" w:hAnsi="Times New Roman" w:cs="Times New Roman"/>
                <w:sz w:val="20"/>
                <w:szCs w:val="20"/>
                <w:highlight w:val="none"/>
              </w:rPr>
            </w:pPr>
          </w:p>
          <w:p w14:paraId="2287078C">
            <w:pPr>
              <w:pageBreakBefore w:val="0"/>
              <w:kinsoku/>
              <w:wordWrap w:val="0"/>
              <w:topLinePunct/>
              <w:bidi w:val="0"/>
              <w:spacing w:line="440" w:lineRule="exact"/>
              <w:rPr>
                <w:rFonts w:hint="default" w:ascii="Times New Roman" w:hAnsi="Times New Roman" w:cs="Times New Roman"/>
                <w:sz w:val="20"/>
                <w:szCs w:val="20"/>
                <w:highlight w:val="none"/>
              </w:rPr>
            </w:pPr>
          </w:p>
        </w:tc>
      </w:tr>
      <w:tr w14:paraId="22EDD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2367" w:type="dxa"/>
            <w:noWrap w:val="0"/>
            <w:vAlign w:val="center"/>
          </w:tcPr>
          <w:p w14:paraId="3FF24535">
            <w:pPr>
              <w:pageBreakBefore w:val="0"/>
              <w:kinsoku/>
              <w:wordWrap w:val="0"/>
              <w:topLinePunct/>
              <w:bidi w:val="0"/>
              <w:spacing w:line="440" w:lineRule="exact"/>
              <w:jc w:val="center"/>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备注</w:t>
            </w:r>
          </w:p>
        </w:tc>
        <w:tc>
          <w:tcPr>
            <w:tcW w:w="6524" w:type="dxa"/>
            <w:noWrap w:val="0"/>
            <w:vAlign w:val="top"/>
          </w:tcPr>
          <w:p w14:paraId="41D8EFF5">
            <w:pPr>
              <w:pageBreakBefore w:val="0"/>
              <w:kinsoku/>
              <w:wordWrap w:val="0"/>
              <w:topLinePunct/>
              <w:bidi w:val="0"/>
              <w:spacing w:line="440" w:lineRule="exact"/>
              <w:rPr>
                <w:rFonts w:hint="default" w:ascii="Times New Roman" w:hAnsi="Times New Roman" w:cs="Times New Roman"/>
                <w:sz w:val="20"/>
                <w:szCs w:val="20"/>
                <w:highlight w:val="none"/>
              </w:rPr>
            </w:pPr>
          </w:p>
        </w:tc>
      </w:tr>
    </w:tbl>
    <w:p w14:paraId="253F0DE9">
      <w:pPr>
        <w:pageBreakBefore w:val="0"/>
        <w:kinsoku/>
        <w:wordWrap w:val="0"/>
        <w:bidi w:val="0"/>
        <w:spacing w:line="400" w:lineRule="atLeast"/>
        <w:ind w:left="735" w:hanging="735" w:hangingChars="350"/>
        <w:rPr>
          <w:rFonts w:hint="default" w:ascii="Times New Roman" w:hAnsi="Times New Roman" w:cs="Times New Roman"/>
          <w:szCs w:val="21"/>
          <w:highlight w:val="none"/>
        </w:rPr>
      </w:pPr>
      <w:r>
        <w:rPr>
          <w:rFonts w:hint="default" w:ascii="Times New Roman" w:hAnsi="Times New Roman" w:cs="Times New Roman"/>
          <w:szCs w:val="21"/>
          <w:highlight w:val="none"/>
        </w:rPr>
        <w:t>注：1.每张表格只填写一个项目，并标明序号。</w:t>
      </w:r>
    </w:p>
    <w:p w14:paraId="2E5052F7">
      <w:pPr>
        <w:pageBreakBefore w:val="0"/>
        <w:kinsoku/>
        <w:wordWrap w:val="0"/>
        <w:bidi w:val="0"/>
        <w:spacing w:line="400" w:lineRule="atLeast"/>
        <w:ind w:left="588" w:leftChars="200" w:hanging="168" w:hangingChars="80"/>
        <w:rPr>
          <w:rFonts w:hint="default" w:ascii="Times New Roman" w:hAnsi="Times New Roman" w:cs="Times New Roman"/>
          <w:szCs w:val="21"/>
          <w:highlight w:val="none"/>
        </w:rPr>
      </w:pPr>
      <w:r>
        <w:rPr>
          <w:rFonts w:hint="default" w:ascii="Times New Roman" w:hAnsi="Times New Roman" w:cs="Times New Roman"/>
          <w:szCs w:val="21"/>
          <w:highlight w:val="none"/>
        </w:rPr>
        <w:t>2.</w:t>
      </w:r>
      <w:r>
        <w:rPr>
          <w:rFonts w:hint="default" w:ascii="Times New Roman" w:hAnsi="Times New Roman" w:cs="Times New Roman"/>
          <w:highlight w:val="none"/>
        </w:rPr>
        <w:t>投标人应根据招标文件第二章</w:t>
      </w:r>
      <w:r>
        <w:rPr>
          <w:rFonts w:hint="eastAsia" w:ascii="宋体" w:hAnsi="宋体" w:eastAsia="宋体" w:cs="宋体"/>
          <w:highlight w:val="none"/>
        </w:rPr>
        <w:t>“</w:t>
      </w:r>
      <w:r>
        <w:rPr>
          <w:rFonts w:hint="default" w:ascii="Times New Roman" w:hAnsi="Times New Roman" w:cs="Times New Roman"/>
          <w:highlight w:val="none"/>
        </w:rPr>
        <w:t>投标人须知</w:t>
      </w:r>
      <w:r>
        <w:rPr>
          <w:rFonts w:hint="eastAsia" w:ascii="宋体" w:hAnsi="宋体" w:eastAsia="宋体" w:cs="宋体"/>
          <w:highlight w:val="none"/>
        </w:rPr>
        <w:t>”</w:t>
      </w:r>
      <w:r>
        <w:rPr>
          <w:rFonts w:hint="default" w:ascii="Times New Roman" w:hAnsi="Times New Roman" w:cs="Times New Roman"/>
          <w:highlight w:val="none"/>
        </w:rPr>
        <w:t>第3.5.3项的要求在本表后附相关证明材料。</w:t>
      </w:r>
    </w:p>
    <w:p w14:paraId="5FB86221">
      <w:pPr>
        <w:pageBreakBefore w:val="0"/>
        <w:kinsoku/>
        <w:wordWrap w:val="0"/>
        <w:bidi w:val="0"/>
        <w:spacing w:line="400" w:lineRule="atLeast"/>
        <w:ind w:left="588" w:leftChars="200" w:hanging="168" w:hangingChars="80"/>
        <w:rPr>
          <w:rFonts w:hint="default" w:ascii="Times New Roman" w:hAnsi="Times New Roman" w:cs="Times New Roman"/>
          <w:szCs w:val="21"/>
          <w:highlight w:val="none"/>
        </w:rPr>
      </w:pPr>
      <w:r>
        <w:rPr>
          <w:rFonts w:hint="default" w:ascii="Times New Roman" w:hAnsi="Times New Roman" w:cs="Times New Roman"/>
          <w:szCs w:val="21"/>
          <w:highlight w:val="none"/>
        </w:rPr>
        <w:t>3.如近年来，投标人法人机构发生合法变更或重组或法人名称变更时，应提供相关部门的合法批件或其他相关证明材料来证明其所附业绩的继承性。</w:t>
      </w:r>
    </w:p>
    <w:p w14:paraId="23EC503E">
      <w:pPr>
        <w:pageBreakBefore w:val="0"/>
        <w:kinsoku/>
        <w:wordWrap w:val="0"/>
        <w:bidi w:val="0"/>
        <w:spacing w:line="400" w:lineRule="atLeast"/>
        <w:ind w:left="588" w:leftChars="200" w:hanging="168" w:hangingChars="80"/>
        <w:rPr>
          <w:rFonts w:hint="default" w:ascii="Times New Roman" w:hAnsi="Times New Roman" w:eastAsia="黑体" w:cs="Times New Roman"/>
          <w:sz w:val="23"/>
          <w:szCs w:val="23"/>
          <w:highlight w:val="none"/>
        </w:rPr>
      </w:pPr>
      <w:r>
        <w:rPr>
          <w:rFonts w:hint="default" w:ascii="Times New Roman" w:hAnsi="Times New Roman" w:cs="Times New Roman"/>
          <w:szCs w:val="21"/>
          <w:highlight w:val="none"/>
        </w:rPr>
        <w:t>4.以联合体形式参与投标的，联合体各成员</w:t>
      </w:r>
      <w:r>
        <w:rPr>
          <w:rFonts w:hint="default" w:ascii="Times New Roman" w:hAnsi="Times New Roman" w:cs="Times New Roman"/>
          <w:szCs w:val="21"/>
          <w:highlight w:val="none"/>
          <w:lang w:val="en-US" w:eastAsia="zh-CN"/>
        </w:rPr>
        <w:t>根据招标文件第二章</w:t>
      </w:r>
      <w:r>
        <w:rPr>
          <w:rFonts w:hint="eastAsia" w:ascii="宋体" w:hAnsi="宋体" w:eastAsia="宋体" w:cs="宋体"/>
          <w:highlight w:val="none"/>
        </w:rPr>
        <w:t>“</w:t>
      </w:r>
      <w:r>
        <w:rPr>
          <w:rFonts w:hint="default" w:ascii="Times New Roman" w:hAnsi="Times New Roman" w:cs="Times New Roman"/>
          <w:highlight w:val="none"/>
        </w:rPr>
        <w:t>投标人须知</w:t>
      </w:r>
      <w:r>
        <w:rPr>
          <w:rFonts w:hint="eastAsia" w:ascii="宋体" w:hAnsi="宋体" w:eastAsia="宋体" w:cs="宋体"/>
          <w:highlight w:val="none"/>
        </w:rPr>
        <w:t>”</w:t>
      </w:r>
      <w:r>
        <w:rPr>
          <w:rFonts w:hint="default" w:ascii="Times New Roman" w:hAnsi="Times New Roman" w:cs="Times New Roman"/>
          <w:highlight w:val="none"/>
          <w:lang w:val="en-US" w:eastAsia="zh-CN"/>
        </w:rPr>
        <w:t>前附表附录3要求及第三章</w:t>
      </w:r>
      <w:r>
        <w:rPr>
          <w:rFonts w:hint="eastAsia" w:ascii="宋体" w:hAnsi="宋体" w:eastAsia="宋体" w:cs="宋体"/>
          <w:highlight w:val="none"/>
          <w:lang w:val="en-US" w:eastAsia="zh-CN"/>
        </w:rPr>
        <w:t>“</w:t>
      </w:r>
      <w:r>
        <w:rPr>
          <w:rFonts w:hint="default" w:ascii="Times New Roman" w:hAnsi="Times New Roman" w:cs="Times New Roman"/>
          <w:highlight w:val="none"/>
          <w:lang w:val="en-US" w:eastAsia="zh-CN"/>
        </w:rPr>
        <w:t>评标办法</w:t>
      </w:r>
      <w:r>
        <w:rPr>
          <w:rFonts w:hint="eastAsia" w:ascii="宋体" w:hAnsi="宋体" w:eastAsia="宋体" w:cs="宋体"/>
          <w:highlight w:val="none"/>
          <w:lang w:val="en-US" w:eastAsia="zh-CN"/>
        </w:rPr>
        <w:t>”</w:t>
      </w:r>
      <w:r>
        <w:rPr>
          <w:rFonts w:hint="default" w:ascii="Times New Roman" w:hAnsi="Times New Roman" w:cs="Times New Roman"/>
          <w:highlight w:val="none"/>
          <w:lang w:val="en-US" w:eastAsia="zh-CN"/>
        </w:rPr>
        <w:t>详细评审要求（如有）</w:t>
      </w:r>
      <w:r>
        <w:rPr>
          <w:rFonts w:hint="default" w:ascii="Times New Roman" w:hAnsi="Times New Roman" w:cs="Times New Roman"/>
          <w:szCs w:val="21"/>
          <w:highlight w:val="none"/>
        </w:rPr>
        <w:t>分别填写。</w:t>
      </w:r>
      <w:r>
        <w:rPr>
          <w:rFonts w:hint="default" w:ascii="Times New Roman" w:hAnsi="Times New Roman" w:eastAsia="黑体" w:cs="Times New Roman"/>
          <w:sz w:val="23"/>
          <w:szCs w:val="23"/>
          <w:highlight w:val="none"/>
        </w:rPr>
        <w:br w:type="page"/>
      </w:r>
    </w:p>
    <w:p w14:paraId="793E50AA">
      <w:pPr>
        <w:pStyle w:val="2"/>
        <w:pageBreakBefore w:val="0"/>
        <w:kinsoku/>
        <w:wordWrap w:val="0"/>
        <w:bidi w:val="0"/>
        <w:spacing w:before="0" w:after="0" w:line="380" w:lineRule="atLeast"/>
        <w:jc w:val="center"/>
        <w:rPr>
          <w:rFonts w:hint="default" w:ascii="Times New Roman" w:hAnsi="Times New Roman" w:eastAsia="黑体" w:cs="Times New Roman"/>
          <w:b w:val="0"/>
          <w:sz w:val="24"/>
          <w:szCs w:val="24"/>
          <w:highlight w:val="none"/>
        </w:rPr>
      </w:pPr>
      <w:bookmarkStart w:id="1544" w:name="_Toc26533"/>
      <w:bookmarkStart w:id="1545" w:name="_Toc16022"/>
      <w:bookmarkStart w:id="1546" w:name="_Toc234833285"/>
      <w:r>
        <w:rPr>
          <w:rFonts w:hint="default" w:ascii="Times New Roman" w:hAnsi="Times New Roman" w:eastAsia="黑体" w:cs="Times New Roman"/>
          <w:b w:val="0"/>
          <w:sz w:val="24"/>
          <w:szCs w:val="24"/>
          <w:highlight w:val="none"/>
        </w:rPr>
        <w:t>（</w:t>
      </w:r>
      <w:r>
        <w:rPr>
          <w:rFonts w:hint="default" w:ascii="Times New Roman" w:hAnsi="Times New Roman" w:eastAsia="黑体" w:cs="Times New Roman"/>
          <w:b w:val="0"/>
          <w:sz w:val="24"/>
          <w:szCs w:val="24"/>
          <w:highlight w:val="none"/>
          <w:lang w:eastAsia="zh-CN"/>
        </w:rPr>
        <w:t>五</w:t>
      </w:r>
      <w:r>
        <w:rPr>
          <w:rFonts w:hint="default" w:ascii="Times New Roman" w:hAnsi="Times New Roman" w:eastAsia="黑体" w:cs="Times New Roman"/>
          <w:b w:val="0"/>
          <w:sz w:val="24"/>
          <w:szCs w:val="24"/>
          <w:highlight w:val="none"/>
        </w:rPr>
        <w:t>）投标人的信誉情况表</w:t>
      </w:r>
      <w:bookmarkEnd w:id="1544"/>
      <w:bookmarkEnd w:id="1545"/>
    </w:p>
    <w:p w14:paraId="2856F74F">
      <w:pPr>
        <w:pageBreakBefore w:val="0"/>
        <w:kinsoku/>
        <w:wordWrap w:val="0"/>
        <w:topLinePunct/>
        <w:bidi w:val="0"/>
        <w:spacing w:line="400" w:lineRule="atLeast"/>
        <w:rPr>
          <w:rFonts w:hint="default" w:ascii="Times New Roman" w:hAnsi="Times New Roman" w:cs="Times New Roman"/>
          <w:bCs/>
          <w:sz w:val="23"/>
          <w:szCs w:val="23"/>
          <w:highlight w:val="none"/>
        </w:rPr>
      </w:pP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4261"/>
      </w:tblGrid>
      <w:tr w14:paraId="4AB32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trPr>
        <w:tc>
          <w:tcPr>
            <w:tcW w:w="4261" w:type="dxa"/>
            <w:noWrap w:val="0"/>
            <w:vAlign w:val="center"/>
          </w:tcPr>
          <w:p w14:paraId="429E8924">
            <w:pPr>
              <w:pageBreakBefore w:val="0"/>
              <w:kinsoku/>
              <w:wordWrap w:val="0"/>
              <w:topLinePunct/>
              <w:bidi w:val="0"/>
              <w:spacing w:line="400" w:lineRule="atLeast"/>
              <w:jc w:val="center"/>
              <w:rPr>
                <w:rFonts w:hint="default" w:ascii="Times New Roman" w:hAnsi="Times New Roman" w:cs="Times New Roman"/>
                <w:bCs/>
                <w:szCs w:val="21"/>
                <w:highlight w:val="none"/>
              </w:rPr>
            </w:pPr>
            <w:r>
              <w:rPr>
                <w:rFonts w:hint="default" w:ascii="Times New Roman" w:hAnsi="Times New Roman" w:cs="Times New Roman"/>
                <w:bCs/>
                <w:szCs w:val="21"/>
                <w:highlight w:val="none"/>
              </w:rPr>
              <w:t>项 目</w:t>
            </w:r>
          </w:p>
        </w:tc>
        <w:tc>
          <w:tcPr>
            <w:tcW w:w="4261" w:type="dxa"/>
            <w:noWrap w:val="0"/>
            <w:vAlign w:val="center"/>
          </w:tcPr>
          <w:p w14:paraId="440EDBAB">
            <w:pPr>
              <w:pageBreakBefore w:val="0"/>
              <w:kinsoku/>
              <w:wordWrap w:val="0"/>
              <w:topLinePunct/>
              <w:bidi w:val="0"/>
              <w:spacing w:line="400" w:lineRule="atLeast"/>
              <w:jc w:val="center"/>
              <w:rPr>
                <w:rFonts w:hint="default" w:ascii="Times New Roman" w:hAnsi="Times New Roman" w:cs="Times New Roman"/>
                <w:bCs/>
                <w:szCs w:val="21"/>
                <w:highlight w:val="none"/>
              </w:rPr>
            </w:pPr>
            <w:r>
              <w:rPr>
                <w:rFonts w:hint="default" w:ascii="Times New Roman" w:hAnsi="Times New Roman" w:cs="Times New Roman"/>
                <w:bCs/>
                <w:szCs w:val="21"/>
                <w:highlight w:val="none"/>
              </w:rPr>
              <w:t>投标人情况说明</w:t>
            </w:r>
          </w:p>
        </w:tc>
      </w:tr>
      <w:tr w14:paraId="487AD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4261" w:type="dxa"/>
            <w:noWrap w:val="0"/>
            <w:vAlign w:val="top"/>
          </w:tcPr>
          <w:p w14:paraId="41E0B28A">
            <w:pPr>
              <w:pageBreakBefore w:val="0"/>
              <w:kinsoku/>
              <w:wordWrap w:val="0"/>
              <w:topLinePunct/>
              <w:bidi w:val="0"/>
              <w:spacing w:line="400" w:lineRule="atLeast"/>
              <w:rPr>
                <w:rFonts w:hint="default" w:ascii="Times New Roman" w:hAnsi="Times New Roman" w:cs="Times New Roman"/>
                <w:bCs/>
                <w:sz w:val="20"/>
                <w:szCs w:val="20"/>
                <w:highlight w:val="none"/>
              </w:rPr>
            </w:pPr>
          </w:p>
        </w:tc>
        <w:tc>
          <w:tcPr>
            <w:tcW w:w="4261" w:type="dxa"/>
            <w:noWrap w:val="0"/>
            <w:vAlign w:val="top"/>
          </w:tcPr>
          <w:p w14:paraId="56EC4DD7">
            <w:pPr>
              <w:pageBreakBefore w:val="0"/>
              <w:kinsoku/>
              <w:wordWrap w:val="0"/>
              <w:topLinePunct/>
              <w:bidi w:val="0"/>
              <w:spacing w:line="400" w:lineRule="atLeast"/>
              <w:rPr>
                <w:rFonts w:hint="default" w:ascii="Times New Roman" w:hAnsi="Times New Roman" w:cs="Times New Roman"/>
                <w:bCs/>
                <w:sz w:val="20"/>
                <w:szCs w:val="20"/>
                <w:highlight w:val="none"/>
              </w:rPr>
            </w:pPr>
          </w:p>
        </w:tc>
      </w:tr>
      <w:tr w14:paraId="4C987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4261" w:type="dxa"/>
            <w:noWrap w:val="0"/>
            <w:vAlign w:val="top"/>
          </w:tcPr>
          <w:p w14:paraId="5E1FB15F">
            <w:pPr>
              <w:pageBreakBefore w:val="0"/>
              <w:kinsoku/>
              <w:wordWrap w:val="0"/>
              <w:topLinePunct/>
              <w:bidi w:val="0"/>
              <w:spacing w:line="400" w:lineRule="atLeast"/>
              <w:rPr>
                <w:rFonts w:hint="default" w:ascii="Times New Roman" w:hAnsi="Times New Roman" w:cs="Times New Roman"/>
                <w:bCs/>
                <w:sz w:val="20"/>
                <w:szCs w:val="20"/>
                <w:highlight w:val="none"/>
              </w:rPr>
            </w:pPr>
          </w:p>
        </w:tc>
        <w:tc>
          <w:tcPr>
            <w:tcW w:w="4261" w:type="dxa"/>
            <w:noWrap w:val="0"/>
            <w:vAlign w:val="top"/>
          </w:tcPr>
          <w:p w14:paraId="09D5F225">
            <w:pPr>
              <w:pageBreakBefore w:val="0"/>
              <w:kinsoku/>
              <w:wordWrap w:val="0"/>
              <w:topLinePunct/>
              <w:bidi w:val="0"/>
              <w:spacing w:line="400" w:lineRule="atLeast"/>
              <w:rPr>
                <w:rFonts w:hint="default" w:ascii="Times New Roman" w:hAnsi="Times New Roman" w:cs="Times New Roman"/>
                <w:bCs/>
                <w:sz w:val="20"/>
                <w:szCs w:val="20"/>
                <w:highlight w:val="none"/>
              </w:rPr>
            </w:pPr>
          </w:p>
        </w:tc>
      </w:tr>
      <w:tr w14:paraId="125E7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4261" w:type="dxa"/>
            <w:noWrap w:val="0"/>
            <w:vAlign w:val="top"/>
          </w:tcPr>
          <w:p w14:paraId="778CC3E6">
            <w:pPr>
              <w:pageBreakBefore w:val="0"/>
              <w:kinsoku/>
              <w:wordWrap w:val="0"/>
              <w:topLinePunct/>
              <w:bidi w:val="0"/>
              <w:spacing w:line="400" w:lineRule="atLeast"/>
              <w:rPr>
                <w:rFonts w:hint="default" w:ascii="Times New Roman" w:hAnsi="Times New Roman" w:cs="Times New Roman"/>
                <w:bCs/>
                <w:sz w:val="20"/>
                <w:szCs w:val="20"/>
                <w:highlight w:val="none"/>
              </w:rPr>
            </w:pPr>
          </w:p>
        </w:tc>
        <w:tc>
          <w:tcPr>
            <w:tcW w:w="4261" w:type="dxa"/>
            <w:noWrap w:val="0"/>
            <w:vAlign w:val="top"/>
          </w:tcPr>
          <w:p w14:paraId="0247C67A">
            <w:pPr>
              <w:pageBreakBefore w:val="0"/>
              <w:kinsoku/>
              <w:wordWrap w:val="0"/>
              <w:topLinePunct/>
              <w:bidi w:val="0"/>
              <w:spacing w:line="400" w:lineRule="atLeast"/>
              <w:rPr>
                <w:rFonts w:hint="default" w:ascii="Times New Roman" w:hAnsi="Times New Roman" w:cs="Times New Roman"/>
                <w:bCs/>
                <w:sz w:val="20"/>
                <w:szCs w:val="20"/>
                <w:highlight w:val="none"/>
              </w:rPr>
            </w:pPr>
          </w:p>
        </w:tc>
      </w:tr>
      <w:tr w14:paraId="5A8ED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4261" w:type="dxa"/>
            <w:noWrap w:val="0"/>
            <w:vAlign w:val="top"/>
          </w:tcPr>
          <w:p w14:paraId="07BE4F63">
            <w:pPr>
              <w:pageBreakBefore w:val="0"/>
              <w:kinsoku/>
              <w:wordWrap w:val="0"/>
              <w:topLinePunct/>
              <w:bidi w:val="0"/>
              <w:spacing w:line="400" w:lineRule="atLeast"/>
              <w:rPr>
                <w:rFonts w:hint="default" w:ascii="Times New Roman" w:hAnsi="Times New Roman" w:cs="Times New Roman"/>
                <w:bCs/>
                <w:sz w:val="20"/>
                <w:szCs w:val="20"/>
                <w:highlight w:val="none"/>
              </w:rPr>
            </w:pPr>
          </w:p>
        </w:tc>
        <w:tc>
          <w:tcPr>
            <w:tcW w:w="4261" w:type="dxa"/>
            <w:noWrap w:val="0"/>
            <w:vAlign w:val="top"/>
          </w:tcPr>
          <w:p w14:paraId="1D2359C4">
            <w:pPr>
              <w:pageBreakBefore w:val="0"/>
              <w:kinsoku/>
              <w:wordWrap w:val="0"/>
              <w:topLinePunct/>
              <w:bidi w:val="0"/>
              <w:spacing w:line="400" w:lineRule="atLeast"/>
              <w:rPr>
                <w:rFonts w:hint="default" w:ascii="Times New Roman" w:hAnsi="Times New Roman" w:cs="Times New Roman"/>
                <w:bCs/>
                <w:sz w:val="20"/>
                <w:szCs w:val="20"/>
                <w:highlight w:val="none"/>
              </w:rPr>
            </w:pPr>
          </w:p>
        </w:tc>
      </w:tr>
      <w:tr w14:paraId="1BF03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4261" w:type="dxa"/>
            <w:noWrap w:val="0"/>
            <w:vAlign w:val="top"/>
          </w:tcPr>
          <w:p w14:paraId="2CF20ED1">
            <w:pPr>
              <w:pageBreakBefore w:val="0"/>
              <w:kinsoku/>
              <w:wordWrap w:val="0"/>
              <w:topLinePunct/>
              <w:bidi w:val="0"/>
              <w:spacing w:line="400" w:lineRule="atLeast"/>
              <w:rPr>
                <w:rFonts w:hint="default" w:ascii="Times New Roman" w:hAnsi="Times New Roman" w:cs="Times New Roman"/>
                <w:bCs/>
                <w:sz w:val="20"/>
                <w:szCs w:val="20"/>
                <w:highlight w:val="none"/>
              </w:rPr>
            </w:pPr>
          </w:p>
        </w:tc>
        <w:tc>
          <w:tcPr>
            <w:tcW w:w="4261" w:type="dxa"/>
            <w:noWrap w:val="0"/>
            <w:vAlign w:val="top"/>
          </w:tcPr>
          <w:p w14:paraId="489F2746">
            <w:pPr>
              <w:pageBreakBefore w:val="0"/>
              <w:kinsoku/>
              <w:wordWrap w:val="0"/>
              <w:topLinePunct/>
              <w:bidi w:val="0"/>
              <w:spacing w:line="400" w:lineRule="atLeast"/>
              <w:rPr>
                <w:rFonts w:hint="default" w:ascii="Times New Roman" w:hAnsi="Times New Roman" w:cs="Times New Roman"/>
                <w:bCs/>
                <w:sz w:val="20"/>
                <w:szCs w:val="20"/>
                <w:highlight w:val="none"/>
              </w:rPr>
            </w:pPr>
          </w:p>
        </w:tc>
      </w:tr>
      <w:tr w14:paraId="49FA6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4261" w:type="dxa"/>
            <w:noWrap w:val="0"/>
            <w:vAlign w:val="top"/>
          </w:tcPr>
          <w:p w14:paraId="1E25C4BA">
            <w:pPr>
              <w:pageBreakBefore w:val="0"/>
              <w:kinsoku/>
              <w:wordWrap w:val="0"/>
              <w:topLinePunct/>
              <w:bidi w:val="0"/>
              <w:spacing w:line="400" w:lineRule="atLeast"/>
              <w:rPr>
                <w:rFonts w:hint="default" w:ascii="Times New Roman" w:hAnsi="Times New Roman" w:cs="Times New Roman"/>
                <w:bCs/>
                <w:sz w:val="20"/>
                <w:szCs w:val="20"/>
                <w:highlight w:val="none"/>
              </w:rPr>
            </w:pPr>
          </w:p>
        </w:tc>
        <w:tc>
          <w:tcPr>
            <w:tcW w:w="4261" w:type="dxa"/>
            <w:noWrap w:val="0"/>
            <w:vAlign w:val="top"/>
          </w:tcPr>
          <w:p w14:paraId="4580599F">
            <w:pPr>
              <w:pageBreakBefore w:val="0"/>
              <w:kinsoku/>
              <w:wordWrap w:val="0"/>
              <w:topLinePunct/>
              <w:bidi w:val="0"/>
              <w:spacing w:line="400" w:lineRule="atLeast"/>
              <w:rPr>
                <w:rFonts w:hint="default" w:ascii="Times New Roman" w:hAnsi="Times New Roman" w:cs="Times New Roman"/>
                <w:bCs/>
                <w:sz w:val="20"/>
                <w:szCs w:val="20"/>
                <w:highlight w:val="none"/>
              </w:rPr>
            </w:pPr>
          </w:p>
        </w:tc>
      </w:tr>
      <w:tr w14:paraId="3DDF0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4261" w:type="dxa"/>
            <w:noWrap w:val="0"/>
            <w:vAlign w:val="top"/>
          </w:tcPr>
          <w:p w14:paraId="0B418E4B">
            <w:pPr>
              <w:pageBreakBefore w:val="0"/>
              <w:kinsoku/>
              <w:wordWrap w:val="0"/>
              <w:topLinePunct/>
              <w:bidi w:val="0"/>
              <w:spacing w:line="400" w:lineRule="atLeast"/>
              <w:rPr>
                <w:rFonts w:hint="default" w:ascii="Times New Roman" w:hAnsi="Times New Roman" w:cs="Times New Roman"/>
                <w:bCs/>
                <w:sz w:val="20"/>
                <w:szCs w:val="20"/>
                <w:highlight w:val="none"/>
              </w:rPr>
            </w:pPr>
          </w:p>
        </w:tc>
        <w:tc>
          <w:tcPr>
            <w:tcW w:w="4261" w:type="dxa"/>
            <w:noWrap w:val="0"/>
            <w:vAlign w:val="top"/>
          </w:tcPr>
          <w:p w14:paraId="1779874E">
            <w:pPr>
              <w:pageBreakBefore w:val="0"/>
              <w:kinsoku/>
              <w:wordWrap w:val="0"/>
              <w:topLinePunct/>
              <w:bidi w:val="0"/>
              <w:spacing w:line="400" w:lineRule="atLeast"/>
              <w:rPr>
                <w:rFonts w:hint="default" w:ascii="Times New Roman" w:hAnsi="Times New Roman" w:cs="Times New Roman"/>
                <w:bCs/>
                <w:sz w:val="20"/>
                <w:szCs w:val="20"/>
                <w:highlight w:val="none"/>
              </w:rPr>
            </w:pPr>
          </w:p>
        </w:tc>
      </w:tr>
      <w:tr w14:paraId="16AA8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4261" w:type="dxa"/>
            <w:noWrap w:val="0"/>
            <w:vAlign w:val="top"/>
          </w:tcPr>
          <w:p w14:paraId="57F3E49E">
            <w:pPr>
              <w:pageBreakBefore w:val="0"/>
              <w:kinsoku/>
              <w:wordWrap w:val="0"/>
              <w:topLinePunct/>
              <w:bidi w:val="0"/>
              <w:spacing w:line="400" w:lineRule="atLeast"/>
              <w:rPr>
                <w:rFonts w:hint="default" w:ascii="Times New Roman" w:hAnsi="Times New Roman" w:cs="Times New Roman"/>
                <w:bCs/>
                <w:sz w:val="20"/>
                <w:szCs w:val="20"/>
                <w:highlight w:val="none"/>
              </w:rPr>
            </w:pPr>
          </w:p>
        </w:tc>
        <w:tc>
          <w:tcPr>
            <w:tcW w:w="4261" w:type="dxa"/>
            <w:noWrap w:val="0"/>
            <w:vAlign w:val="top"/>
          </w:tcPr>
          <w:p w14:paraId="73D0CE9C">
            <w:pPr>
              <w:pageBreakBefore w:val="0"/>
              <w:kinsoku/>
              <w:wordWrap w:val="0"/>
              <w:topLinePunct/>
              <w:bidi w:val="0"/>
              <w:spacing w:line="400" w:lineRule="atLeast"/>
              <w:rPr>
                <w:rFonts w:hint="default" w:ascii="Times New Roman" w:hAnsi="Times New Roman" w:cs="Times New Roman"/>
                <w:bCs/>
                <w:sz w:val="20"/>
                <w:szCs w:val="20"/>
                <w:highlight w:val="none"/>
              </w:rPr>
            </w:pPr>
          </w:p>
        </w:tc>
      </w:tr>
    </w:tbl>
    <w:p w14:paraId="73B4FD3C">
      <w:pPr>
        <w:pageBreakBefore w:val="0"/>
        <w:kinsoku/>
        <w:wordWrap w:val="0"/>
        <w:bidi w:val="0"/>
        <w:spacing w:line="400" w:lineRule="atLeast"/>
        <w:ind w:left="420" w:hanging="420" w:hangingChars="200"/>
        <w:rPr>
          <w:rFonts w:hint="default" w:ascii="Times New Roman" w:hAnsi="Times New Roman" w:cs="Times New Roman"/>
          <w:szCs w:val="21"/>
          <w:highlight w:val="none"/>
        </w:rPr>
      </w:pPr>
      <w:r>
        <w:rPr>
          <w:rFonts w:hint="default" w:ascii="Times New Roman" w:hAnsi="Times New Roman" w:cs="Times New Roman"/>
          <w:szCs w:val="21"/>
          <w:highlight w:val="none"/>
        </w:rPr>
        <w:t>注：1.投标人应按照招标文件第二章</w:t>
      </w:r>
      <w:r>
        <w:rPr>
          <w:rFonts w:hint="eastAsia" w:ascii="宋体" w:hAnsi="宋体" w:eastAsia="宋体" w:cs="宋体"/>
          <w:szCs w:val="21"/>
          <w:highlight w:val="none"/>
        </w:rPr>
        <w:t>“</w:t>
      </w:r>
      <w:r>
        <w:rPr>
          <w:rFonts w:hint="default" w:ascii="Times New Roman" w:hAnsi="Times New Roman" w:cs="Times New Roman"/>
          <w:szCs w:val="21"/>
          <w:highlight w:val="none"/>
        </w:rPr>
        <w:t>投标人须知</w:t>
      </w:r>
      <w:r>
        <w:rPr>
          <w:rFonts w:hint="eastAsia" w:ascii="宋体" w:hAnsi="宋体" w:eastAsia="宋体" w:cs="宋体"/>
          <w:szCs w:val="21"/>
          <w:highlight w:val="none"/>
        </w:rPr>
        <w:t>”</w:t>
      </w:r>
      <w:r>
        <w:rPr>
          <w:rFonts w:hint="default" w:ascii="Times New Roman" w:hAnsi="Times New Roman" w:cs="Times New Roman"/>
          <w:szCs w:val="21"/>
          <w:highlight w:val="none"/>
        </w:rPr>
        <w:t>前附表附录4和</w:t>
      </w:r>
      <w:r>
        <w:rPr>
          <w:rFonts w:hint="eastAsia" w:ascii="宋体" w:hAnsi="宋体" w:eastAsia="宋体" w:cs="宋体"/>
          <w:szCs w:val="21"/>
          <w:highlight w:val="none"/>
        </w:rPr>
        <w:t>“</w:t>
      </w:r>
      <w:r>
        <w:rPr>
          <w:rFonts w:hint="default" w:ascii="Times New Roman" w:hAnsi="Times New Roman" w:cs="Times New Roman"/>
          <w:szCs w:val="21"/>
          <w:highlight w:val="none"/>
        </w:rPr>
        <w:t>投标人须知</w:t>
      </w:r>
      <w:r>
        <w:rPr>
          <w:rFonts w:hint="eastAsia" w:ascii="宋体" w:hAnsi="宋体" w:eastAsia="宋体" w:cs="宋体"/>
          <w:szCs w:val="21"/>
          <w:highlight w:val="none"/>
        </w:rPr>
        <w:t>”</w:t>
      </w:r>
      <w:r>
        <w:rPr>
          <w:rFonts w:hint="default" w:ascii="Times New Roman" w:hAnsi="Times New Roman" w:cs="Times New Roman"/>
          <w:szCs w:val="21"/>
          <w:highlight w:val="none"/>
        </w:rPr>
        <w:t>正文第1.4.4项规定，逐条说明其信誉情况。</w:t>
      </w:r>
      <w:bookmarkEnd w:id="1546"/>
    </w:p>
    <w:p w14:paraId="2672C84B">
      <w:pPr>
        <w:pageBreakBefore w:val="0"/>
        <w:kinsoku/>
        <w:wordWrap w:val="0"/>
        <w:bidi w:val="0"/>
        <w:spacing w:line="400" w:lineRule="atLeast"/>
        <w:ind w:firstLine="420" w:firstLineChars="200"/>
        <w:rPr>
          <w:rFonts w:hint="default" w:ascii="Times New Roman" w:hAnsi="Times New Roman" w:cs="Times New Roman"/>
          <w:szCs w:val="21"/>
          <w:highlight w:val="none"/>
        </w:rPr>
      </w:pPr>
      <w:bookmarkStart w:id="1547" w:name="_Hlk493477915"/>
      <w:r>
        <w:rPr>
          <w:rFonts w:hint="default" w:ascii="Times New Roman" w:hAnsi="Times New Roman" w:cs="Times New Roman"/>
          <w:szCs w:val="21"/>
          <w:highlight w:val="none"/>
        </w:rPr>
        <w:t>2.</w:t>
      </w:r>
      <w:r>
        <w:rPr>
          <w:rFonts w:hint="default" w:ascii="Times New Roman" w:hAnsi="Times New Roman" w:cs="Times New Roman"/>
          <w:highlight w:val="none"/>
        </w:rPr>
        <w:t>投标人应根据招标文件第二章</w:t>
      </w:r>
      <w:r>
        <w:rPr>
          <w:rFonts w:hint="eastAsia" w:ascii="宋体" w:hAnsi="宋体" w:eastAsia="宋体" w:cs="宋体"/>
          <w:highlight w:val="none"/>
        </w:rPr>
        <w:t>“</w:t>
      </w:r>
      <w:r>
        <w:rPr>
          <w:rFonts w:hint="default" w:ascii="Times New Roman" w:hAnsi="Times New Roman" w:cs="Times New Roman"/>
          <w:highlight w:val="none"/>
        </w:rPr>
        <w:t>投标人须知</w:t>
      </w:r>
      <w:r>
        <w:rPr>
          <w:rFonts w:hint="eastAsia" w:ascii="宋体" w:hAnsi="宋体" w:eastAsia="宋体" w:cs="宋体"/>
          <w:highlight w:val="none"/>
        </w:rPr>
        <w:t>”</w:t>
      </w:r>
      <w:r>
        <w:rPr>
          <w:rFonts w:hint="default" w:ascii="Times New Roman" w:hAnsi="Times New Roman" w:cs="Times New Roman"/>
          <w:highlight w:val="none"/>
        </w:rPr>
        <w:t>第3.5.4项的要求在本表后附相关证明材料。</w:t>
      </w:r>
      <w:bookmarkEnd w:id="1547"/>
    </w:p>
    <w:p w14:paraId="0AA48446">
      <w:pPr>
        <w:pageBreakBefore w:val="0"/>
        <w:kinsoku/>
        <w:wordWrap w:val="0"/>
        <w:bidi w:val="0"/>
        <w:spacing w:line="400" w:lineRule="atLeas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3.以联合体形式参与投标的，联合体各成员应分别填写。</w:t>
      </w:r>
    </w:p>
    <w:p w14:paraId="6D96C75E">
      <w:pPr>
        <w:pStyle w:val="2"/>
        <w:pageBreakBefore w:val="0"/>
        <w:kinsoku/>
        <w:wordWrap w:val="0"/>
        <w:bidi w:val="0"/>
        <w:spacing w:before="0" w:after="0" w:line="380" w:lineRule="atLeast"/>
        <w:jc w:val="center"/>
        <w:rPr>
          <w:rFonts w:hint="default" w:ascii="Times New Roman" w:hAnsi="Times New Roman" w:cs="Times New Roman"/>
          <w:b w:val="0"/>
          <w:bCs w:val="0"/>
          <w:kern w:val="2"/>
          <w:sz w:val="21"/>
          <w:szCs w:val="21"/>
          <w:highlight w:val="none"/>
          <w:lang w:val="en-US" w:eastAsia="zh-CN"/>
        </w:rPr>
        <w:sectPr>
          <w:headerReference r:id="rId43" w:type="default"/>
          <w:footerReference r:id="rId44" w:type="default"/>
          <w:footnotePr>
            <w:numFmt w:val="decimalEnclosedCircleChinese"/>
            <w:numRestart w:val="eachPage"/>
          </w:footnotePr>
          <w:type w:val="continuous"/>
          <w:pgSz w:w="11907" w:h="16840"/>
          <w:pgMar w:top="1588" w:right="1588" w:bottom="1474" w:left="1644" w:header="851" w:footer="851" w:gutter="0"/>
          <w:pgNumType w:fmt="decimal"/>
          <w:cols w:space="720" w:num="1"/>
          <w:docGrid w:linePitch="312" w:charSpace="0"/>
        </w:sectPr>
      </w:pPr>
    </w:p>
    <w:p w14:paraId="294B8B7E">
      <w:pPr>
        <w:keepNext/>
        <w:keepLines/>
        <w:spacing w:before="80" w:after="64"/>
        <w:ind w:firstLine="566"/>
        <w:jc w:val="center"/>
        <w:rPr>
          <w:rFonts w:hint="default" w:ascii="Times New Roman" w:hAnsi="Times New Roman" w:eastAsia="黑体" w:cs="Times New Roman"/>
          <w:bCs/>
          <w:kern w:val="0"/>
          <w:sz w:val="28"/>
          <w:szCs w:val="28"/>
          <w:highlight w:val="none"/>
          <w:lang w:val="zh-CN" w:bidi="zh-CN"/>
        </w:rPr>
      </w:pPr>
      <w:r>
        <w:rPr>
          <w:rFonts w:hint="default" w:ascii="Times New Roman" w:hAnsi="Times New Roman" w:eastAsia="黑体" w:cs="Times New Roman"/>
          <w:bCs/>
          <w:kern w:val="0"/>
          <w:sz w:val="28"/>
          <w:szCs w:val="28"/>
          <w:highlight w:val="none"/>
          <w:lang w:val="zh-CN" w:bidi="zh-CN"/>
        </w:rPr>
        <w:t>无行贿犯罪行为承诺函（格式）</w:t>
      </w:r>
    </w:p>
    <w:p w14:paraId="08FD9F76">
      <w:pPr>
        <w:spacing w:line="360" w:lineRule="auto"/>
        <w:ind w:firstLine="480" w:firstLineChars="200"/>
        <w:rPr>
          <w:rFonts w:hint="default" w:ascii="Times New Roman" w:hAnsi="Times New Roman" w:cs="Times New Roman"/>
          <w:sz w:val="24"/>
          <w:szCs w:val="22"/>
          <w:highlight w:val="none"/>
        </w:rPr>
      </w:pPr>
    </w:p>
    <w:p w14:paraId="230B9A25">
      <w:pPr>
        <w:spacing w:line="360" w:lineRule="auto"/>
        <w:rPr>
          <w:rFonts w:hint="default" w:ascii="Times New Roman" w:hAnsi="Times New Roman" w:cs="Times New Roman"/>
          <w:sz w:val="24"/>
          <w:szCs w:val="22"/>
          <w:highlight w:val="none"/>
        </w:rPr>
      </w:pPr>
      <w:r>
        <w:rPr>
          <w:rFonts w:hint="default" w:ascii="Times New Roman" w:hAnsi="Times New Roman" w:cs="Times New Roman"/>
          <w:sz w:val="24"/>
          <w:szCs w:val="22"/>
          <w:highlight w:val="none"/>
        </w:rPr>
        <w:t>致：</w:t>
      </w:r>
      <w:r>
        <w:rPr>
          <w:rFonts w:hint="default" w:ascii="Times New Roman" w:hAnsi="Times New Roman" w:cs="Times New Roman"/>
          <w:sz w:val="24"/>
          <w:szCs w:val="22"/>
          <w:highlight w:val="none"/>
          <w:u w:val="single"/>
        </w:rPr>
        <w:t xml:space="preserve">  （招标人全称）  </w:t>
      </w:r>
      <w:r>
        <w:rPr>
          <w:rFonts w:hint="default" w:ascii="Times New Roman" w:hAnsi="Times New Roman" w:cs="Times New Roman"/>
          <w:sz w:val="24"/>
          <w:szCs w:val="22"/>
          <w:highlight w:val="none"/>
        </w:rPr>
        <w:t>：</w:t>
      </w:r>
    </w:p>
    <w:p w14:paraId="4B5F18ED">
      <w:pPr>
        <w:spacing w:line="360" w:lineRule="auto"/>
        <w:ind w:firstLine="480" w:firstLineChars="200"/>
        <w:rPr>
          <w:rFonts w:hint="default" w:ascii="Times New Roman" w:hAnsi="Times New Roman" w:cs="Times New Roman"/>
          <w:sz w:val="24"/>
          <w:szCs w:val="22"/>
          <w:highlight w:val="none"/>
        </w:rPr>
      </w:pPr>
      <w:r>
        <w:rPr>
          <w:rFonts w:hint="default" w:ascii="Times New Roman" w:hAnsi="Times New Roman" w:cs="Times New Roman"/>
          <w:sz w:val="24"/>
          <w:szCs w:val="22"/>
          <w:highlight w:val="none"/>
        </w:rPr>
        <w:t>我单位承诺：在近三年内（</w:t>
      </w:r>
      <w:r>
        <w:rPr>
          <w:rFonts w:hint="default" w:ascii="Times New Roman" w:hAnsi="Times New Roman" w:cs="Times New Roman"/>
          <w:sz w:val="24"/>
          <w:szCs w:val="22"/>
          <w:highlight w:val="none"/>
          <w:u w:val="single"/>
        </w:rPr>
        <w:t xml:space="preserve">   </w:t>
      </w:r>
      <w:r>
        <w:rPr>
          <w:rFonts w:hint="default" w:ascii="Times New Roman" w:hAnsi="Times New Roman" w:cs="Times New Roman"/>
          <w:sz w:val="24"/>
          <w:szCs w:val="22"/>
          <w:highlight w:val="none"/>
        </w:rPr>
        <w:t>年</w:t>
      </w:r>
      <w:r>
        <w:rPr>
          <w:rFonts w:hint="default" w:ascii="Times New Roman" w:hAnsi="Times New Roman" w:cs="Times New Roman"/>
          <w:sz w:val="24"/>
          <w:szCs w:val="22"/>
          <w:highlight w:val="none"/>
          <w:u w:val="single"/>
        </w:rPr>
        <w:t xml:space="preserve">   </w:t>
      </w:r>
      <w:r>
        <w:rPr>
          <w:rFonts w:hint="default" w:ascii="Times New Roman" w:hAnsi="Times New Roman" w:cs="Times New Roman"/>
          <w:sz w:val="24"/>
          <w:szCs w:val="22"/>
          <w:highlight w:val="none"/>
        </w:rPr>
        <w:t>月</w:t>
      </w:r>
      <w:r>
        <w:rPr>
          <w:rFonts w:hint="default" w:ascii="Times New Roman" w:hAnsi="Times New Roman" w:cs="Times New Roman"/>
          <w:sz w:val="24"/>
          <w:szCs w:val="22"/>
          <w:highlight w:val="none"/>
          <w:u w:val="single"/>
        </w:rPr>
        <w:t xml:space="preserve">   </w:t>
      </w:r>
      <w:r>
        <w:rPr>
          <w:rFonts w:hint="default" w:ascii="Times New Roman" w:hAnsi="Times New Roman" w:cs="Times New Roman"/>
          <w:sz w:val="24"/>
          <w:szCs w:val="22"/>
          <w:highlight w:val="none"/>
        </w:rPr>
        <w:t>日至投标文件递交截止日），</w:t>
      </w:r>
      <w:r>
        <w:rPr>
          <w:rFonts w:hint="default" w:ascii="Times New Roman" w:hAnsi="Times New Roman" w:cs="Times New Roman"/>
          <w:sz w:val="24"/>
          <w:szCs w:val="22"/>
          <w:highlight w:val="none"/>
          <w:u w:val="single"/>
        </w:rPr>
        <w:t xml:space="preserve">  （投标人单位名称及统一社会信用代码）  </w:t>
      </w:r>
      <w:r>
        <w:rPr>
          <w:rFonts w:hint="default" w:ascii="Times New Roman" w:hAnsi="Times New Roman" w:cs="Times New Roman"/>
          <w:sz w:val="24"/>
          <w:szCs w:val="22"/>
          <w:highlight w:val="none"/>
        </w:rPr>
        <w:t>及法定代表人</w:t>
      </w:r>
      <w:r>
        <w:rPr>
          <w:rFonts w:hint="default" w:ascii="Times New Roman" w:hAnsi="Times New Roman" w:cs="Times New Roman"/>
          <w:sz w:val="24"/>
          <w:szCs w:val="22"/>
          <w:highlight w:val="none"/>
          <w:u w:val="single"/>
        </w:rPr>
        <w:t xml:space="preserve">  （法定代表人姓名及身份证号码）  </w:t>
      </w:r>
      <w:r>
        <w:rPr>
          <w:rFonts w:hint="default" w:ascii="Times New Roman" w:hAnsi="Times New Roman" w:cs="Times New Roman"/>
          <w:sz w:val="24"/>
          <w:szCs w:val="22"/>
          <w:highlight w:val="none"/>
        </w:rPr>
        <w:t>、拟委任的项目</w:t>
      </w:r>
      <w:r>
        <w:rPr>
          <w:rFonts w:hint="default" w:ascii="Times New Roman" w:hAnsi="Times New Roman" w:cs="Times New Roman"/>
          <w:sz w:val="24"/>
          <w:szCs w:val="22"/>
          <w:highlight w:val="none"/>
          <w:lang w:val="en-US" w:eastAsia="zh-CN"/>
        </w:rPr>
        <w:t>经理</w:t>
      </w:r>
      <w:r>
        <w:rPr>
          <w:rFonts w:hint="default" w:ascii="Times New Roman" w:hAnsi="Times New Roman" w:cs="Times New Roman"/>
          <w:sz w:val="24"/>
          <w:szCs w:val="22"/>
          <w:highlight w:val="none"/>
          <w:u w:val="single"/>
        </w:rPr>
        <w:t xml:space="preserve">   （项目</w:t>
      </w:r>
      <w:r>
        <w:rPr>
          <w:rFonts w:hint="default" w:ascii="Times New Roman" w:hAnsi="Times New Roman" w:cs="Times New Roman"/>
          <w:sz w:val="24"/>
          <w:szCs w:val="22"/>
          <w:highlight w:val="none"/>
          <w:u w:val="single"/>
          <w:lang w:val="en-US" w:eastAsia="zh-CN"/>
        </w:rPr>
        <w:t>经理</w:t>
      </w:r>
      <w:r>
        <w:rPr>
          <w:rFonts w:hint="default" w:ascii="Times New Roman" w:hAnsi="Times New Roman" w:cs="Times New Roman"/>
          <w:sz w:val="24"/>
          <w:szCs w:val="22"/>
          <w:highlight w:val="none"/>
          <w:u w:val="single"/>
        </w:rPr>
        <w:t xml:space="preserve">姓名及身份证号码）   </w:t>
      </w:r>
      <w:r>
        <w:rPr>
          <w:rFonts w:hint="default" w:ascii="Times New Roman" w:hAnsi="Times New Roman" w:cs="Times New Roman"/>
          <w:sz w:val="24"/>
          <w:szCs w:val="22"/>
          <w:highlight w:val="none"/>
        </w:rPr>
        <w:t>均无行贿犯罪行为。</w:t>
      </w:r>
    </w:p>
    <w:p w14:paraId="2CB03A0C">
      <w:pPr>
        <w:spacing w:line="360" w:lineRule="auto"/>
        <w:ind w:firstLine="480" w:firstLineChars="200"/>
        <w:rPr>
          <w:rFonts w:hint="default" w:ascii="Times New Roman" w:hAnsi="Times New Roman" w:cs="Times New Roman"/>
          <w:sz w:val="24"/>
          <w:szCs w:val="22"/>
          <w:highlight w:val="none"/>
        </w:rPr>
      </w:pPr>
      <w:r>
        <w:rPr>
          <w:rFonts w:hint="default" w:ascii="Times New Roman" w:hAnsi="Times New Roman" w:cs="Times New Roman"/>
          <w:sz w:val="24"/>
          <w:szCs w:val="22"/>
          <w:highlight w:val="none"/>
        </w:rPr>
        <w:t>如经招标人或评标委员会核实我单位出具的该承诺存在弄虚作假，承诺不实的情形，评标小组有权否决我单位投标资格或招标人取消我单位中标资格，并由招标人上报上级行政主管部门，作为不良记录纳入信用信息管理系统。</w:t>
      </w:r>
    </w:p>
    <w:p w14:paraId="39A913B4">
      <w:pPr>
        <w:spacing w:line="360" w:lineRule="auto"/>
        <w:ind w:firstLine="480" w:firstLineChars="200"/>
        <w:rPr>
          <w:rFonts w:hint="default" w:ascii="Times New Roman" w:hAnsi="Times New Roman" w:cs="Times New Roman"/>
          <w:sz w:val="24"/>
          <w:szCs w:val="22"/>
          <w:highlight w:val="none"/>
        </w:rPr>
      </w:pPr>
      <w:r>
        <w:rPr>
          <w:rFonts w:hint="default" w:ascii="Times New Roman" w:hAnsi="Times New Roman" w:cs="Times New Roman"/>
          <w:sz w:val="24"/>
          <w:szCs w:val="22"/>
          <w:highlight w:val="none"/>
        </w:rPr>
        <w:t>特此承诺！</w:t>
      </w:r>
    </w:p>
    <w:p w14:paraId="01427C85">
      <w:pPr>
        <w:spacing w:line="360" w:lineRule="auto"/>
        <w:ind w:firstLine="480" w:firstLineChars="200"/>
        <w:rPr>
          <w:rFonts w:hint="default" w:ascii="Times New Roman" w:hAnsi="Times New Roman" w:cs="Times New Roman"/>
          <w:sz w:val="24"/>
          <w:szCs w:val="22"/>
          <w:highlight w:val="none"/>
        </w:rPr>
      </w:pPr>
    </w:p>
    <w:p w14:paraId="74CFB62C">
      <w:pPr>
        <w:spacing w:line="360" w:lineRule="auto"/>
        <w:ind w:firstLine="480" w:firstLineChars="200"/>
        <w:rPr>
          <w:rFonts w:hint="default" w:ascii="Times New Roman" w:hAnsi="Times New Roman" w:cs="Times New Roman"/>
          <w:sz w:val="24"/>
          <w:szCs w:val="22"/>
          <w:highlight w:val="none"/>
        </w:rPr>
      </w:pPr>
    </w:p>
    <w:p w14:paraId="40F5A114">
      <w:pPr>
        <w:spacing w:line="360" w:lineRule="auto"/>
        <w:ind w:left="2520" w:leftChars="1200" w:firstLine="1920" w:firstLineChars="800"/>
        <w:rPr>
          <w:rFonts w:hint="default" w:ascii="Times New Roman" w:hAnsi="Times New Roman" w:cs="Times New Roman"/>
          <w:sz w:val="24"/>
          <w:szCs w:val="22"/>
          <w:highlight w:val="none"/>
        </w:rPr>
      </w:pPr>
    </w:p>
    <w:p w14:paraId="1B029408">
      <w:pPr>
        <w:wordWrap w:val="0"/>
        <w:topLinePunct/>
        <w:spacing w:line="440" w:lineRule="exact"/>
        <w:rPr>
          <w:rFonts w:hint="default" w:ascii="Times New Roman" w:hAnsi="Times New Roman" w:cs="Times New Roman"/>
          <w:sz w:val="24"/>
          <w:szCs w:val="24"/>
          <w:highlight w:val="none"/>
        </w:rPr>
      </w:pPr>
      <w:r>
        <w:rPr>
          <w:rFonts w:hint="default" w:ascii="Times New Roman" w:hAnsi="Times New Roman" w:cs="Times New Roman"/>
          <w:sz w:val="24"/>
          <w:szCs w:val="22"/>
          <w:highlight w:val="none"/>
        </w:rPr>
        <w:t xml:space="preserve">                       </w:t>
      </w:r>
      <w:r>
        <w:rPr>
          <w:rFonts w:hint="default" w:ascii="Times New Roman" w:hAnsi="Times New Roman" w:cs="Times New Roman"/>
          <w:sz w:val="24"/>
          <w:szCs w:val="24"/>
          <w:highlight w:val="none"/>
        </w:rPr>
        <w:t xml:space="preserve">   投标人：</w:t>
      </w:r>
      <w:r>
        <w:rPr>
          <w:rFonts w:hint="default" w:ascii="Times New Roman" w:hAnsi="Times New Roman" w:cs="Times New Roman"/>
          <w:sz w:val="24"/>
          <w:szCs w:val="24"/>
          <w:highlight w:val="none"/>
          <w:u w:val="single"/>
        </w:rPr>
        <w:t xml:space="preserve">              </w:t>
      </w:r>
      <w:r>
        <w:rPr>
          <w:rFonts w:hint="default" w:ascii="Times New Roman" w:hAnsi="Times New Roman" w:cs="Times New Roman"/>
          <w:sz w:val="24"/>
          <w:szCs w:val="24"/>
          <w:highlight w:val="none"/>
        </w:rPr>
        <w:t>（全称）</w:t>
      </w:r>
      <w:r>
        <w:rPr>
          <w:rFonts w:hint="default" w:ascii="Times New Roman" w:hAnsi="Times New Roman" w:cs="Times New Roman"/>
          <w:sz w:val="24"/>
          <w:szCs w:val="24"/>
          <w:highlight w:val="none"/>
          <w:u w:val="none"/>
        </w:rPr>
        <w:t>（</w:t>
      </w:r>
      <w:r>
        <w:rPr>
          <w:rFonts w:hint="default" w:ascii="Times New Roman" w:hAnsi="Times New Roman" w:cs="Times New Roman"/>
          <w:sz w:val="24"/>
          <w:szCs w:val="24"/>
          <w:highlight w:val="none"/>
          <w:u w:val="none"/>
          <w:lang w:val="en-US" w:eastAsia="zh-CN"/>
        </w:rPr>
        <w:t>盖单位电子印章</w:t>
      </w:r>
      <w:r>
        <w:rPr>
          <w:rFonts w:hint="default" w:ascii="Times New Roman" w:hAnsi="Times New Roman" w:cs="Times New Roman"/>
          <w:sz w:val="24"/>
          <w:szCs w:val="24"/>
          <w:highlight w:val="none"/>
          <w:u w:val="none"/>
        </w:rPr>
        <w:t>）</w:t>
      </w:r>
    </w:p>
    <w:p w14:paraId="4DFBD478">
      <w:pPr>
        <w:spacing w:line="360" w:lineRule="auto"/>
        <w:ind w:left="2520" w:leftChars="1200" w:firstLine="1920" w:firstLineChars="800"/>
        <w:rPr>
          <w:rFonts w:hint="default" w:ascii="Times New Roman" w:hAnsi="Times New Roman" w:cs="Times New Roman"/>
          <w:sz w:val="24"/>
          <w:szCs w:val="24"/>
          <w:highlight w:val="none"/>
        </w:rPr>
      </w:pPr>
    </w:p>
    <w:p w14:paraId="0DA887AF">
      <w:pPr>
        <w:spacing w:line="360" w:lineRule="auto"/>
        <w:ind w:left="2520" w:leftChars="1200" w:firstLine="1920" w:firstLineChars="800"/>
        <w:rPr>
          <w:rFonts w:hint="default" w:ascii="Times New Roman" w:hAnsi="Times New Roman" w:cs="Times New Roman"/>
          <w:sz w:val="24"/>
          <w:szCs w:val="22"/>
          <w:highlight w:val="none"/>
        </w:rPr>
      </w:pPr>
      <w:r>
        <w:rPr>
          <w:rFonts w:hint="default" w:ascii="Times New Roman" w:hAnsi="Times New Roman" w:cs="Times New Roman"/>
          <w:sz w:val="24"/>
          <w:szCs w:val="24"/>
          <w:highlight w:val="none"/>
        </w:rPr>
        <w:t>日期：</w:t>
      </w:r>
      <w:r>
        <w:rPr>
          <w:rFonts w:hint="default" w:ascii="Times New Roman" w:hAnsi="Times New Roman" w:cs="Times New Roman"/>
          <w:sz w:val="24"/>
          <w:szCs w:val="24"/>
          <w:highlight w:val="none"/>
          <w:u w:val="single"/>
        </w:rPr>
        <w:t xml:space="preserve">    </w:t>
      </w:r>
      <w:r>
        <w:rPr>
          <w:rFonts w:hint="default" w:ascii="Times New Roman" w:hAnsi="Times New Roman" w:cs="Times New Roman"/>
          <w:sz w:val="24"/>
          <w:szCs w:val="24"/>
          <w:highlight w:val="none"/>
        </w:rPr>
        <w:t>年</w:t>
      </w:r>
      <w:r>
        <w:rPr>
          <w:rFonts w:hint="default" w:ascii="Times New Roman" w:hAnsi="Times New Roman" w:cs="Times New Roman"/>
          <w:sz w:val="24"/>
          <w:szCs w:val="24"/>
          <w:highlight w:val="none"/>
          <w:u w:val="single"/>
        </w:rPr>
        <w:t xml:space="preserve">    </w:t>
      </w:r>
      <w:r>
        <w:rPr>
          <w:rFonts w:hint="default" w:ascii="Times New Roman" w:hAnsi="Times New Roman" w:cs="Times New Roman"/>
          <w:sz w:val="24"/>
          <w:szCs w:val="24"/>
          <w:highlight w:val="none"/>
        </w:rPr>
        <w:t>月</w:t>
      </w:r>
      <w:r>
        <w:rPr>
          <w:rFonts w:hint="default" w:ascii="Times New Roman" w:hAnsi="Times New Roman" w:cs="Times New Roman"/>
          <w:sz w:val="24"/>
          <w:szCs w:val="24"/>
          <w:highlight w:val="none"/>
          <w:u w:val="single"/>
        </w:rPr>
        <w:t xml:space="preserve">    </w:t>
      </w:r>
      <w:r>
        <w:rPr>
          <w:rFonts w:hint="default" w:ascii="Times New Roman" w:hAnsi="Times New Roman" w:cs="Times New Roman"/>
          <w:sz w:val="24"/>
          <w:szCs w:val="24"/>
          <w:highlight w:val="none"/>
        </w:rPr>
        <w:t>日</w:t>
      </w:r>
    </w:p>
    <w:p w14:paraId="706734AF">
      <w:pPr>
        <w:pStyle w:val="16"/>
        <w:rPr>
          <w:rFonts w:hint="default" w:ascii="Times New Roman" w:hAnsi="Times New Roman" w:cs="Times New Roman"/>
          <w:highlight w:val="none"/>
        </w:rPr>
        <w:sectPr>
          <w:footnotePr>
            <w:numFmt w:val="decimalEnclosedCircleChinese"/>
            <w:numRestart w:val="eachPage"/>
          </w:footnotePr>
          <w:pgSz w:w="11906" w:h="16838"/>
          <w:pgMar w:top="1588" w:right="1644" w:bottom="1474" w:left="1701" w:header="851" w:footer="851" w:gutter="0"/>
          <w:pgNumType w:fmt="decimal"/>
          <w:cols w:space="425" w:num="1"/>
          <w:docGrid w:linePitch="312" w:charSpace="0"/>
        </w:sectPr>
      </w:pPr>
    </w:p>
    <w:p w14:paraId="3AE742F0">
      <w:pPr>
        <w:pStyle w:val="2"/>
        <w:pageBreakBefore w:val="0"/>
        <w:kinsoku/>
        <w:wordWrap w:val="0"/>
        <w:bidi w:val="0"/>
        <w:spacing w:before="0" w:after="0" w:line="380" w:lineRule="atLeast"/>
        <w:jc w:val="center"/>
        <w:rPr>
          <w:rFonts w:hint="default" w:ascii="Times New Roman" w:hAnsi="Times New Roman" w:eastAsia="黑体" w:cs="Times New Roman"/>
          <w:b w:val="0"/>
          <w:sz w:val="24"/>
          <w:szCs w:val="24"/>
          <w:highlight w:val="none"/>
        </w:rPr>
      </w:pPr>
      <w:bookmarkStart w:id="1548" w:name="_Toc24704"/>
      <w:bookmarkStart w:id="1549" w:name="_Toc24695"/>
      <w:r>
        <w:rPr>
          <w:rFonts w:hint="default" w:ascii="Times New Roman" w:hAnsi="Times New Roman" w:eastAsia="黑体" w:cs="Times New Roman"/>
          <w:b w:val="0"/>
          <w:sz w:val="24"/>
          <w:szCs w:val="24"/>
          <w:highlight w:val="none"/>
        </w:rPr>
        <w:t>（六）拟委任的项目经理和项目总工资历表</w:t>
      </w:r>
      <w:bookmarkEnd w:id="1540"/>
      <w:bookmarkEnd w:id="1548"/>
      <w:bookmarkEnd w:id="1549"/>
    </w:p>
    <w:p w14:paraId="51970144">
      <w:pPr>
        <w:pageBreakBefore w:val="0"/>
        <w:widowControl/>
        <w:kinsoku/>
        <w:wordWrap w:val="0"/>
        <w:autoSpaceDE w:val="0"/>
        <w:autoSpaceDN w:val="0"/>
        <w:bidi w:val="0"/>
        <w:spacing w:line="400" w:lineRule="atLeast"/>
        <w:jc w:val="center"/>
        <w:textAlignment w:val="bottom"/>
        <w:rPr>
          <w:rFonts w:hint="default" w:ascii="Times New Roman" w:hAnsi="Times New Roman" w:cs="Times New Roman"/>
          <w:highlight w:val="none"/>
        </w:rPr>
      </w:pP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234"/>
        <w:gridCol w:w="51"/>
        <w:gridCol w:w="1352"/>
        <w:gridCol w:w="103"/>
        <w:gridCol w:w="1060"/>
        <w:gridCol w:w="1381"/>
        <w:gridCol w:w="337"/>
        <w:gridCol w:w="1544"/>
        <w:gridCol w:w="386"/>
        <w:gridCol w:w="1283"/>
      </w:tblGrid>
      <w:tr w14:paraId="4A9AD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60" w:hRule="atLeast"/>
        </w:trPr>
        <w:tc>
          <w:tcPr>
            <w:tcW w:w="1234" w:type="dxa"/>
            <w:noWrap w:val="0"/>
            <w:vAlign w:val="center"/>
          </w:tcPr>
          <w:p w14:paraId="383C8C2F">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姓    名</w:t>
            </w:r>
          </w:p>
        </w:tc>
        <w:tc>
          <w:tcPr>
            <w:tcW w:w="1506" w:type="dxa"/>
            <w:gridSpan w:val="3"/>
            <w:noWrap w:val="0"/>
            <w:vAlign w:val="center"/>
          </w:tcPr>
          <w:p w14:paraId="3F9E99FE">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060" w:type="dxa"/>
            <w:noWrap w:val="0"/>
            <w:vAlign w:val="center"/>
          </w:tcPr>
          <w:p w14:paraId="3E03316E">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年    龄</w:t>
            </w:r>
          </w:p>
        </w:tc>
        <w:tc>
          <w:tcPr>
            <w:tcW w:w="1381" w:type="dxa"/>
            <w:noWrap w:val="0"/>
            <w:vAlign w:val="top"/>
          </w:tcPr>
          <w:p w14:paraId="6AAFC501">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881" w:type="dxa"/>
            <w:gridSpan w:val="2"/>
            <w:noWrap w:val="0"/>
            <w:vAlign w:val="top"/>
          </w:tcPr>
          <w:p w14:paraId="794AF220">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专    业</w:t>
            </w:r>
          </w:p>
        </w:tc>
        <w:tc>
          <w:tcPr>
            <w:tcW w:w="1669" w:type="dxa"/>
            <w:gridSpan w:val="2"/>
            <w:noWrap w:val="0"/>
            <w:vAlign w:val="top"/>
          </w:tcPr>
          <w:p w14:paraId="078765CB">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55C80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34" w:type="dxa"/>
            <w:noWrap w:val="0"/>
            <w:vAlign w:val="center"/>
          </w:tcPr>
          <w:p w14:paraId="0A433B69">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技术职称</w:t>
            </w:r>
          </w:p>
        </w:tc>
        <w:tc>
          <w:tcPr>
            <w:tcW w:w="1506" w:type="dxa"/>
            <w:gridSpan w:val="3"/>
            <w:noWrap w:val="0"/>
            <w:vAlign w:val="center"/>
          </w:tcPr>
          <w:p w14:paraId="0D00C091">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060" w:type="dxa"/>
            <w:noWrap w:val="0"/>
            <w:vAlign w:val="center"/>
          </w:tcPr>
          <w:p w14:paraId="000605E8">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学    历</w:t>
            </w:r>
          </w:p>
        </w:tc>
        <w:tc>
          <w:tcPr>
            <w:tcW w:w="1381" w:type="dxa"/>
            <w:noWrap w:val="0"/>
            <w:vAlign w:val="top"/>
          </w:tcPr>
          <w:p w14:paraId="14BB6C55">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881" w:type="dxa"/>
            <w:gridSpan w:val="2"/>
            <w:noWrap w:val="0"/>
            <w:vAlign w:val="top"/>
          </w:tcPr>
          <w:p w14:paraId="08FDBFAE">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拟在本标段</w:t>
            </w:r>
          </w:p>
          <w:p w14:paraId="5D3B6A5E">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工程任职</w:t>
            </w:r>
          </w:p>
        </w:tc>
        <w:tc>
          <w:tcPr>
            <w:tcW w:w="1669" w:type="dxa"/>
            <w:gridSpan w:val="2"/>
            <w:noWrap w:val="0"/>
            <w:vAlign w:val="top"/>
          </w:tcPr>
          <w:p w14:paraId="348EA0A3">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64424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34" w:type="dxa"/>
            <w:noWrap w:val="0"/>
            <w:vAlign w:val="center"/>
          </w:tcPr>
          <w:p w14:paraId="66A7D23F">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工作年限</w:t>
            </w:r>
          </w:p>
        </w:tc>
        <w:tc>
          <w:tcPr>
            <w:tcW w:w="3947" w:type="dxa"/>
            <w:gridSpan w:val="5"/>
            <w:noWrap w:val="0"/>
            <w:vAlign w:val="center"/>
          </w:tcPr>
          <w:p w14:paraId="1024C698">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881" w:type="dxa"/>
            <w:gridSpan w:val="2"/>
            <w:noWrap w:val="0"/>
            <w:vAlign w:val="center"/>
          </w:tcPr>
          <w:p w14:paraId="2DAFEFA3">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类似施工经验年限</w:t>
            </w:r>
          </w:p>
        </w:tc>
        <w:tc>
          <w:tcPr>
            <w:tcW w:w="1669" w:type="dxa"/>
            <w:gridSpan w:val="2"/>
            <w:noWrap w:val="0"/>
            <w:vAlign w:val="top"/>
          </w:tcPr>
          <w:p w14:paraId="69973FBE">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30E2B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03" w:hRule="atLeast"/>
        </w:trPr>
        <w:tc>
          <w:tcPr>
            <w:tcW w:w="1234" w:type="dxa"/>
            <w:noWrap w:val="0"/>
            <w:vAlign w:val="center"/>
          </w:tcPr>
          <w:p w14:paraId="0576C9D4">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毕业学校</w:t>
            </w:r>
          </w:p>
        </w:tc>
        <w:tc>
          <w:tcPr>
            <w:tcW w:w="7497" w:type="dxa"/>
            <w:gridSpan w:val="9"/>
            <w:noWrap w:val="0"/>
            <w:vAlign w:val="center"/>
          </w:tcPr>
          <w:p w14:paraId="19E7815E">
            <w:pPr>
              <w:pageBreakBefore w:val="0"/>
              <w:widowControl/>
              <w:kinsoku/>
              <w:wordWrap w:val="0"/>
              <w:autoSpaceDE w:val="0"/>
              <w:autoSpaceDN w:val="0"/>
              <w:bidi w:val="0"/>
              <w:spacing w:before="60" w:beforeLines="25" w:after="60" w:afterLines="25" w:line="400" w:lineRule="atLeast"/>
              <w:ind w:left="-187" w:leftChars="-89"/>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______年___月毕业于___________________学校___________专业，学制______年</w:t>
            </w:r>
          </w:p>
        </w:tc>
      </w:tr>
      <w:tr w14:paraId="40C64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8731" w:type="dxa"/>
            <w:gridSpan w:val="10"/>
            <w:noWrap w:val="0"/>
            <w:vAlign w:val="center"/>
          </w:tcPr>
          <w:p w14:paraId="3614F84E">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经         历</w:t>
            </w:r>
          </w:p>
        </w:tc>
      </w:tr>
      <w:tr w14:paraId="2CB44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065931ED">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highlight w:val="none"/>
              </w:rPr>
              <w:t>时  间</w:t>
            </w:r>
          </w:p>
        </w:tc>
        <w:tc>
          <w:tcPr>
            <w:tcW w:w="4233" w:type="dxa"/>
            <w:gridSpan w:val="5"/>
            <w:noWrap w:val="0"/>
            <w:vAlign w:val="center"/>
          </w:tcPr>
          <w:p w14:paraId="2365EDA4">
            <w:pPr>
              <w:pStyle w:val="86"/>
              <w:pageBreakBefore w:val="0"/>
              <w:widowControl/>
              <w:kinsoku/>
              <w:wordWrap w:val="0"/>
              <w:bidi w:val="0"/>
              <w:adjustRightInd/>
              <w:snapToGrid/>
              <w:spacing w:before="60" w:beforeLines="25" w:after="60" w:afterLines="25" w:line="400" w:lineRule="atLeast"/>
              <w:textAlignment w:val="bottom"/>
              <w:rPr>
                <w:rFonts w:hint="default" w:ascii="Times New Roman" w:hAnsi="Times New Roman" w:cs="Times New Roman"/>
                <w:spacing w:val="0"/>
                <w:kern w:val="2"/>
                <w:szCs w:val="21"/>
                <w:highlight w:val="none"/>
              </w:rPr>
            </w:pPr>
            <w:r>
              <w:rPr>
                <w:rFonts w:hint="default" w:ascii="Times New Roman" w:hAnsi="Times New Roman" w:cs="Times New Roman"/>
                <w:spacing w:val="0"/>
                <w:kern w:val="2"/>
                <w:szCs w:val="21"/>
                <w:highlight w:val="none"/>
              </w:rPr>
              <w:t>参加过的类似工程项目名称</w:t>
            </w:r>
          </w:p>
        </w:tc>
        <w:tc>
          <w:tcPr>
            <w:tcW w:w="1930" w:type="dxa"/>
            <w:gridSpan w:val="2"/>
            <w:noWrap w:val="0"/>
            <w:vAlign w:val="center"/>
          </w:tcPr>
          <w:p w14:paraId="300C056F">
            <w:pPr>
              <w:pStyle w:val="86"/>
              <w:pageBreakBefore w:val="0"/>
              <w:widowControl/>
              <w:kinsoku/>
              <w:wordWrap w:val="0"/>
              <w:bidi w:val="0"/>
              <w:adjustRightInd/>
              <w:snapToGrid/>
              <w:spacing w:before="60" w:beforeLines="25" w:after="60" w:afterLines="25" w:line="400" w:lineRule="atLeast"/>
              <w:textAlignment w:val="bottom"/>
              <w:rPr>
                <w:rFonts w:hint="default" w:ascii="Times New Roman" w:hAnsi="Times New Roman" w:cs="Times New Roman"/>
                <w:spacing w:val="0"/>
                <w:kern w:val="2"/>
                <w:szCs w:val="21"/>
                <w:highlight w:val="none"/>
              </w:rPr>
            </w:pPr>
            <w:r>
              <w:rPr>
                <w:rFonts w:hint="default" w:ascii="Times New Roman" w:hAnsi="Times New Roman" w:cs="Times New Roman"/>
                <w:spacing w:val="0"/>
                <w:kern w:val="2"/>
                <w:szCs w:val="21"/>
                <w:highlight w:val="none"/>
              </w:rPr>
              <w:t>担任职务</w:t>
            </w:r>
          </w:p>
        </w:tc>
        <w:tc>
          <w:tcPr>
            <w:tcW w:w="1283" w:type="dxa"/>
            <w:noWrap w:val="0"/>
            <w:vAlign w:val="center"/>
          </w:tcPr>
          <w:p w14:paraId="182D4B24">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发包人及联系电话</w:t>
            </w:r>
          </w:p>
        </w:tc>
      </w:tr>
      <w:tr w14:paraId="7361F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2D682F5D">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4233" w:type="dxa"/>
            <w:gridSpan w:val="5"/>
            <w:noWrap w:val="0"/>
            <w:vAlign w:val="center"/>
          </w:tcPr>
          <w:p w14:paraId="1EB52BD5">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930" w:type="dxa"/>
            <w:gridSpan w:val="2"/>
            <w:noWrap w:val="0"/>
            <w:vAlign w:val="top"/>
          </w:tcPr>
          <w:p w14:paraId="0EADF08E">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c>
          <w:tcPr>
            <w:tcW w:w="1283" w:type="dxa"/>
            <w:noWrap w:val="0"/>
            <w:vAlign w:val="top"/>
          </w:tcPr>
          <w:p w14:paraId="5E6EE874">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24892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51A7DDF3">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4233" w:type="dxa"/>
            <w:gridSpan w:val="5"/>
            <w:noWrap w:val="0"/>
            <w:vAlign w:val="center"/>
          </w:tcPr>
          <w:p w14:paraId="5A8161B5">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930" w:type="dxa"/>
            <w:gridSpan w:val="2"/>
            <w:noWrap w:val="0"/>
            <w:vAlign w:val="top"/>
          </w:tcPr>
          <w:p w14:paraId="06C8774A">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c>
          <w:tcPr>
            <w:tcW w:w="1283" w:type="dxa"/>
            <w:noWrap w:val="0"/>
            <w:vAlign w:val="top"/>
          </w:tcPr>
          <w:p w14:paraId="16267CEB">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2DD2E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7BFA06A6">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4233" w:type="dxa"/>
            <w:gridSpan w:val="5"/>
            <w:noWrap w:val="0"/>
            <w:vAlign w:val="center"/>
          </w:tcPr>
          <w:p w14:paraId="259C8F21">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930" w:type="dxa"/>
            <w:gridSpan w:val="2"/>
            <w:noWrap w:val="0"/>
            <w:vAlign w:val="top"/>
          </w:tcPr>
          <w:p w14:paraId="5F11C1E7">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c>
          <w:tcPr>
            <w:tcW w:w="1283" w:type="dxa"/>
            <w:noWrap w:val="0"/>
            <w:vAlign w:val="top"/>
          </w:tcPr>
          <w:p w14:paraId="179268AB">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517BE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74B5A429">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4233" w:type="dxa"/>
            <w:gridSpan w:val="5"/>
            <w:noWrap w:val="0"/>
            <w:vAlign w:val="center"/>
          </w:tcPr>
          <w:p w14:paraId="7E5DCCCB">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930" w:type="dxa"/>
            <w:gridSpan w:val="2"/>
            <w:noWrap w:val="0"/>
            <w:vAlign w:val="top"/>
          </w:tcPr>
          <w:p w14:paraId="0FC1AA10">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c>
          <w:tcPr>
            <w:tcW w:w="1283" w:type="dxa"/>
            <w:noWrap w:val="0"/>
            <w:vAlign w:val="top"/>
          </w:tcPr>
          <w:p w14:paraId="09E8D9B4">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220D6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70755067">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4233" w:type="dxa"/>
            <w:gridSpan w:val="5"/>
            <w:noWrap w:val="0"/>
            <w:vAlign w:val="center"/>
          </w:tcPr>
          <w:p w14:paraId="4DB8FC1A">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930" w:type="dxa"/>
            <w:gridSpan w:val="2"/>
            <w:noWrap w:val="0"/>
            <w:vAlign w:val="top"/>
          </w:tcPr>
          <w:p w14:paraId="6DE8EE5F">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c>
          <w:tcPr>
            <w:tcW w:w="1283" w:type="dxa"/>
            <w:noWrap w:val="0"/>
            <w:vAlign w:val="top"/>
          </w:tcPr>
          <w:p w14:paraId="2A36C290">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4D765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23CFFA6E">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4233" w:type="dxa"/>
            <w:gridSpan w:val="5"/>
            <w:noWrap w:val="0"/>
            <w:vAlign w:val="center"/>
          </w:tcPr>
          <w:p w14:paraId="327583F1">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930" w:type="dxa"/>
            <w:gridSpan w:val="2"/>
            <w:noWrap w:val="0"/>
            <w:vAlign w:val="top"/>
          </w:tcPr>
          <w:p w14:paraId="43781756">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c>
          <w:tcPr>
            <w:tcW w:w="1283" w:type="dxa"/>
            <w:noWrap w:val="0"/>
            <w:vAlign w:val="top"/>
          </w:tcPr>
          <w:p w14:paraId="065936A8">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541FA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1C54503F">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4233" w:type="dxa"/>
            <w:gridSpan w:val="5"/>
            <w:noWrap w:val="0"/>
            <w:vAlign w:val="center"/>
          </w:tcPr>
          <w:p w14:paraId="5EDF282D">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930" w:type="dxa"/>
            <w:gridSpan w:val="2"/>
            <w:noWrap w:val="0"/>
            <w:vAlign w:val="top"/>
          </w:tcPr>
          <w:p w14:paraId="0109436B">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c>
          <w:tcPr>
            <w:tcW w:w="1283" w:type="dxa"/>
            <w:noWrap w:val="0"/>
            <w:vAlign w:val="top"/>
          </w:tcPr>
          <w:p w14:paraId="71CF0FC8">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0F55C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48BD5A57">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4233" w:type="dxa"/>
            <w:gridSpan w:val="5"/>
            <w:noWrap w:val="0"/>
            <w:vAlign w:val="center"/>
          </w:tcPr>
          <w:p w14:paraId="2AC8580E">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930" w:type="dxa"/>
            <w:gridSpan w:val="2"/>
            <w:noWrap w:val="0"/>
            <w:vAlign w:val="top"/>
          </w:tcPr>
          <w:p w14:paraId="39745717">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c>
          <w:tcPr>
            <w:tcW w:w="1283" w:type="dxa"/>
            <w:noWrap w:val="0"/>
            <w:vAlign w:val="top"/>
          </w:tcPr>
          <w:p w14:paraId="1C9CE1F2">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6E52D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27849B60">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4233" w:type="dxa"/>
            <w:gridSpan w:val="5"/>
            <w:noWrap w:val="0"/>
            <w:vAlign w:val="center"/>
          </w:tcPr>
          <w:p w14:paraId="13FF78D5">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930" w:type="dxa"/>
            <w:gridSpan w:val="2"/>
            <w:noWrap w:val="0"/>
            <w:vAlign w:val="top"/>
          </w:tcPr>
          <w:p w14:paraId="3A3F1D4F">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c>
          <w:tcPr>
            <w:tcW w:w="1283" w:type="dxa"/>
            <w:noWrap w:val="0"/>
            <w:vAlign w:val="top"/>
          </w:tcPr>
          <w:p w14:paraId="547A5414">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1A193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2637" w:type="dxa"/>
            <w:gridSpan w:val="3"/>
            <w:noWrap w:val="0"/>
            <w:vAlign w:val="center"/>
          </w:tcPr>
          <w:p w14:paraId="74F9502C">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获奖情况</w:t>
            </w:r>
          </w:p>
        </w:tc>
        <w:tc>
          <w:tcPr>
            <w:tcW w:w="6094" w:type="dxa"/>
            <w:gridSpan w:val="7"/>
            <w:noWrap w:val="0"/>
            <w:vAlign w:val="top"/>
          </w:tcPr>
          <w:p w14:paraId="19C79345">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3B036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2637" w:type="dxa"/>
            <w:gridSpan w:val="3"/>
            <w:noWrap w:val="0"/>
            <w:vAlign w:val="center"/>
          </w:tcPr>
          <w:p w14:paraId="61DFA33B">
            <w:pPr>
              <w:pageBreakBefore w:val="0"/>
              <w:widowControl/>
              <w:kinsoku/>
              <w:wordWrap w:val="0"/>
              <w:autoSpaceDE w:val="0"/>
              <w:autoSpaceDN w:val="0"/>
              <w:bidi w:val="0"/>
              <w:spacing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说明在岗情况</w:t>
            </w:r>
          </w:p>
        </w:tc>
        <w:tc>
          <w:tcPr>
            <w:tcW w:w="6094" w:type="dxa"/>
            <w:gridSpan w:val="7"/>
            <w:noWrap w:val="0"/>
            <w:vAlign w:val="top"/>
          </w:tcPr>
          <w:p w14:paraId="32D07863">
            <w:pPr>
              <w:pStyle w:val="15"/>
              <w:pageBreakBefore w:val="0"/>
              <w:kinsoku/>
              <w:wordWrap w:val="0"/>
              <w:topLinePunct/>
              <w:bidi w:val="0"/>
              <w:spacing w:line="360" w:lineRule="atLeast"/>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□目前未在其他项目上任职，现从事工作为：</w:t>
            </w:r>
            <w:r>
              <w:rPr>
                <w:rFonts w:hint="default" w:ascii="Times New Roman" w:hAnsi="Times New Roman" w:cs="Times New Roman"/>
                <w:sz w:val="21"/>
                <w:szCs w:val="21"/>
                <w:highlight w:val="none"/>
                <w:u w:val="single"/>
              </w:rPr>
              <w:t xml:space="preserve">              </w:t>
            </w:r>
            <w:r>
              <w:rPr>
                <w:rFonts w:hint="default" w:ascii="Times New Roman" w:hAnsi="Times New Roman" w:cs="Times New Roman"/>
                <w:sz w:val="21"/>
                <w:szCs w:val="21"/>
                <w:highlight w:val="none"/>
              </w:rPr>
              <w:t>。</w:t>
            </w:r>
          </w:p>
          <w:p w14:paraId="27D13506">
            <w:pPr>
              <w:pageBreakBefore w:val="0"/>
              <w:widowControl/>
              <w:kinsoku/>
              <w:wordWrap w:val="0"/>
              <w:autoSpaceDE w:val="0"/>
              <w:autoSpaceDN w:val="0"/>
              <w:bidi w:val="0"/>
              <w:spacing w:line="400" w:lineRule="atLeast"/>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□目前虽</w:t>
            </w:r>
            <w:r>
              <w:rPr>
                <w:rFonts w:hint="default" w:ascii="Times New Roman" w:hAnsi="Times New Roman" w:cs="Times New Roman"/>
                <w:highlight w:val="none"/>
              </w:rPr>
              <w:t>在其他项目</w:t>
            </w:r>
            <w:r>
              <w:rPr>
                <w:rFonts w:hint="default" w:ascii="Times New Roman" w:hAnsi="Times New Roman" w:cs="Times New Roman"/>
                <w:szCs w:val="21"/>
                <w:highlight w:val="none"/>
              </w:rPr>
              <w:t>上</w:t>
            </w:r>
            <w:r>
              <w:rPr>
                <w:rFonts w:hint="default" w:ascii="Times New Roman" w:hAnsi="Times New Roman" w:cs="Times New Roman"/>
                <w:highlight w:val="none"/>
              </w:rPr>
              <w:t>任职，但本项目中标后能够从该项目撤离，目前任职项目：</w:t>
            </w:r>
            <w:r>
              <w:rPr>
                <w:rFonts w:hint="default" w:ascii="Times New Roman" w:hAnsi="Times New Roman" w:cs="Times New Roman"/>
                <w:highlight w:val="none"/>
                <w:u w:val="single"/>
              </w:rPr>
              <w:t xml:space="preserve">                 </w:t>
            </w:r>
            <w:r>
              <w:rPr>
                <w:rFonts w:hint="default" w:ascii="Times New Roman" w:hAnsi="Times New Roman" w:cs="Times New Roman"/>
                <w:highlight w:val="none"/>
              </w:rPr>
              <w:t>，担任职位：</w:t>
            </w:r>
            <w:r>
              <w:rPr>
                <w:rFonts w:hint="default" w:ascii="Times New Roman" w:hAnsi="Times New Roman" w:cs="Times New Roman"/>
                <w:szCs w:val="21"/>
                <w:highlight w:val="none"/>
                <w:u w:val="single"/>
              </w:rPr>
              <w:t xml:space="preserve">           </w:t>
            </w:r>
            <w:r>
              <w:rPr>
                <w:rFonts w:hint="default" w:ascii="Times New Roman" w:hAnsi="Times New Roman" w:cs="Times New Roman"/>
                <w:highlight w:val="none"/>
              </w:rPr>
              <w:t>。</w:t>
            </w:r>
          </w:p>
        </w:tc>
      </w:tr>
      <w:tr w14:paraId="1BFA8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2637" w:type="dxa"/>
            <w:gridSpan w:val="3"/>
            <w:noWrap w:val="0"/>
            <w:vAlign w:val="center"/>
          </w:tcPr>
          <w:p w14:paraId="6EEF871D">
            <w:pPr>
              <w:pageBreakBefore w:val="0"/>
              <w:widowControl/>
              <w:kinsoku/>
              <w:wordWrap w:val="0"/>
              <w:autoSpaceDE w:val="0"/>
              <w:autoSpaceDN w:val="0"/>
              <w:bidi w:val="0"/>
              <w:spacing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备     注</w:t>
            </w:r>
          </w:p>
        </w:tc>
        <w:tc>
          <w:tcPr>
            <w:tcW w:w="6094" w:type="dxa"/>
            <w:gridSpan w:val="7"/>
            <w:noWrap w:val="0"/>
            <w:vAlign w:val="top"/>
          </w:tcPr>
          <w:p w14:paraId="3A0E02C4">
            <w:pPr>
              <w:pageBreakBefore w:val="0"/>
              <w:widowControl/>
              <w:kinsoku/>
              <w:wordWrap w:val="0"/>
              <w:autoSpaceDE w:val="0"/>
              <w:autoSpaceDN w:val="0"/>
              <w:bidi w:val="0"/>
              <w:spacing w:line="400" w:lineRule="atLeast"/>
              <w:textAlignment w:val="bottom"/>
              <w:rPr>
                <w:rFonts w:hint="default" w:ascii="Times New Roman" w:hAnsi="Times New Roman" w:cs="Times New Roman"/>
                <w:szCs w:val="21"/>
                <w:highlight w:val="none"/>
              </w:rPr>
            </w:pPr>
          </w:p>
        </w:tc>
      </w:tr>
    </w:tbl>
    <w:p w14:paraId="67616468">
      <w:pPr>
        <w:pStyle w:val="17"/>
        <w:pageBreakBefore w:val="0"/>
        <w:kinsoku/>
        <w:wordWrap w:val="0"/>
        <w:bidi w:val="0"/>
        <w:spacing w:after="0" w:line="400" w:lineRule="atLeast"/>
        <w:ind w:left="699" w:leftChars="0" w:hanging="699" w:hangingChars="333"/>
        <w:rPr>
          <w:rFonts w:hint="default" w:ascii="Times New Roman" w:hAnsi="Times New Roman" w:cs="Times New Roman"/>
          <w:highlight w:val="none"/>
        </w:rPr>
      </w:pPr>
      <w:r>
        <w:rPr>
          <w:rFonts w:hint="default" w:ascii="Times New Roman" w:hAnsi="Times New Roman" w:cs="Times New Roman"/>
          <w:highlight w:val="none"/>
        </w:rPr>
        <w:t>注：1.本表应填写项目经理和项目总工相关情况。</w:t>
      </w:r>
    </w:p>
    <w:p w14:paraId="7A3146F1">
      <w:pPr>
        <w:pageBreakBefore w:val="0"/>
        <w:kinsoku/>
        <w:wordWrap w:val="0"/>
        <w:bidi w:val="0"/>
        <w:spacing w:line="400" w:lineRule="atLeas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2.投标人应根据招标文件第二章</w:t>
      </w:r>
      <w:r>
        <w:rPr>
          <w:rFonts w:hint="eastAsia" w:ascii="宋体" w:hAnsi="宋体" w:eastAsia="宋体" w:cs="宋体"/>
          <w:szCs w:val="21"/>
          <w:highlight w:val="none"/>
        </w:rPr>
        <w:t>“</w:t>
      </w:r>
      <w:r>
        <w:rPr>
          <w:rFonts w:hint="default" w:ascii="Times New Roman" w:hAnsi="Times New Roman" w:cs="Times New Roman"/>
          <w:szCs w:val="21"/>
          <w:highlight w:val="none"/>
        </w:rPr>
        <w:t>投标人须知</w:t>
      </w:r>
      <w:r>
        <w:rPr>
          <w:rFonts w:hint="eastAsia" w:ascii="宋体" w:hAnsi="宋体" w:eastAsia="宋体" w:cs="宋体"/>
          <w:szCs w:val="21"/>
          <w:highlight w:val="none"/>
        </w:rPr>
        <w:t>”</w:t>
      </w:r>
      <w:r>
        <w:rPr>
          <w:rFonts w:hint="default" w:ascii="Times New Roman" w:hAnsi="Times New Roman" w:cs="Times New Roman"/>
          <w:szCs w:val="21"/>
          <w:highlight w:val="none"/>
        </w:rPr>
        <w:t>第3.5.5项的要求在本表后附相关证明材料。</w:t>
      </w:r>
    </w:p>
    <w:p w14:paraId="02F9F5F1">
      <w:pPr>
        <w:pStyle w:val="2"/>
        <w:pageBreakBefore w:val="0"/>
        <w:kinsoku/>
        <w:wordWrap w:val="0"/>
        <w:bidi w:val="0"/>
        <w:spacing w:before="0" w:after="0" w:line="380" w:lineRule="atLeast"/>
        <w:jc w:val="center"/>
        <w:rPr>
          <w:rFonts w:hint="default" w:ascii="Times New Roman" w:hAnsi="Times New Roman" w:eastAsia="黑体" w:cs="Times New Roman"/>
          <w:b w:val="0"/>
          <w:sz w:val="24"/>
          <w:szCs w:val="24"/>
          <w:highlight w:val="none"/>
        </w:rPr>
      </w:pPr>
      <w:r>
        <w:rPr>
          <w:rFonts w:hint="default" w:ascii="Times New Roman" w:hAnsi="Times New Roman" w:eastAsia="黑体" w:cs="Times New Roman"/>
          <w:sz w:val="24"/>
          <w:highlight w:val="none"/>
        </w:rPr>
        <w:br w:type="page"/>
      </w:r>
      <w:bookmarkStart w:id="1550" w:name="_Toc234833286"/>
      <w:bookmarkStart w:id="1551" w:name="_Toc31792"/>
      <w:bookmarkStart w:id="1552" w:name="_Toc15670"/>
      <w:r>
        <w:rPr>
          <w:rFonts w:hint="default" w:ascii="Times New Roman" w:hAnsi="Times New Roman" w:eastAsia="黑体" w:cs="Times New Roman"/>
          <w:b w:val="0"/>
          <w:sz w:val="24"/>
          <w:szCs w:val="24"/>
          <w:highlight w:val="none"/>
        </w:rPr>
        <w:t>（</w:t>
      </w:r>
      <w:r>
        <w:rPr>
          <w:rFonts w:hint="default" w:ascii="Times New Roman" w:hAnsi="Times New Roman" w:eastAsia="黑体" w:cs="Times New Roman"/>
          <w:b w:val="0"/>
          <w:sz w:val="24"/>
          <w:szCs w:val="24"/>
          <w:highlight w:val="none"/>
          <w:lang w:eastAsia="zh-CN"/>
        </w:rPr>
        <w:t>七</w:t>
      </w:r>
      <w:r>
        <w:rPr>
          <w:rFonts w:hint="default" w:ascii="Times New Roman" w:hAnsi="Times New Roman" w:eastAsia="黑体" w:cs="Times New Roman"/>
          <w:b w:val="0"/>
          <w:sz w:val="24"/>
          <w:szCs w:val="24"/>
          <w:highlight w:val="none"/>
        </w:rPr>
        <w:t>）拟委任的其他管理和技术人员汇总表</w:t>
      </w:r>
      <w:r>
        <w:rPr>
          <w:rFonts w:hint="default" w:ascii="Times New Roman" w:hAnsi="Times New Roman" w:eastAsia="黑体" w:cs="Times New Roman"/>
          <w:b w:val="0"/>
          <w:sz w:val="24"/>
          <w:szCs w:val="24"/>
          <w:highlight w:val="none"/>
          <w:vertAlign w:val="superscript"/>
        </w:rPr>
        <w:footnoteReference w:id="38"/>
      </w:r>
      <w:bookmarkEnd w:id="1550"/>
      <w:bookmarkEnd w:id="1551"/>
      <w:bookmarkEnd w:id="1552"/>
    </w:p>
    <w:p w14:paraId="2B85659C">
      <w:pPr>
        <w:pageBreakBefore w:val="0"/>
        <w:kinsoku/>
        <w:wordWrap w:val="0"/>
        <w:bidi w:val="0"/>
        <w:spacing w:line="400" w:lineRule="atLeast"/>
        <w:rPr>
          <w:rFonts w:hint="default" w:ascii="Times New Roman" w:hAnsi="Times New Roman" w:cs="Times New Roman"/>
          <w:sz w:val="24"/>
          <w:highlight w:val="none"/>
        </w:rPr>
      </w:pP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3"/>
        <w:gridCol w:w="926"/>
        <w:gridCol w:w="2682"/>
        <w:gridCol w:w="1101"/>
        <w:gridCol w:w="1307"/>
        <w:gridCol w:w="1942"/>
      </w:tblGrid>
      <w:tr w14:paraId="75A43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933" w:type="dxa"/>
            <w:noWrap w:val="0"/>
            <w:vAlign w:val="center"/>
          </w:tcPr>
          <w:p w14:paraId="609A8043">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姓名</w:t>
            </w:r>
          </w:p>
        </w:tc>
        <w:tc>
          <w:tcPr>
            <w:tcW w:w="926" w:type="dxa"/>
            <w:noWrap w:val="0"/>
            <w:vAlign w:val="center"/>
          </w:tcPr>
          <w:p w14:paraId="30F0C3C3">
            <w:pPr>
              <w:pStyle w:val="86"/>
              <w:pageBreakBefore w:val="0"/>
              <w:kinsoku/>
              <w:wordWrap w:val="0"/>
              <w:autoSpaceDE/>
              <w:autoSpaceDN/>
              <w:bidi w:val="0"/>
              <w:adjustRightInd/>
              <w:snapToGrid/>
              <w:spacing w:line="400" w:lineRule="atLeast"/>
              <w:textAlignment w:val="auto"/>
              <w:rPr>
                <w:rFonts w:hint="default" w:ascii="Times New Roman" w:hAnsi="Times New Roman" w:cs="Times New Roman"/>
                <w:spacing w:val="0"/>
                <w:kern w:val="2"/>
                <w:szCs w:val="21"/>
                <w:highlight w:val="none"/>
              </w:rPr>
            </w:pPr>
            <w:r>
              <w:rPr>
                <w:rFonts w:hint="default" w:ascii="Times New Roman" w:hAnsi="Times New Roman" w:cs="Times New Roman"/>
                <w:spacing w:val="0"/>
                <w:kern w:val="2"/>
                <w:szCs w:val="21"/>
                <w:highlight w:val="none"/>
              </w:rPr>
              <w:t>年龄</w:t>
            </w:r>
          </w:p>
        </w:tc>
        <w:tc>
          <w:tcPr>
            <w:tcW w:w="2682" w:type="dxa"/>
            <w:noWrap w:val="0"/>
            <w:vAlign w:val="center"/>
          </w:tcPr>
          <w:p w14:paraId="789699A0">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拟在本标段工程任职</w:t>
            </w:r>
          </w:p>
        </w:tc>
        <w:tc>
          <w:tcPr>
            <w:tcW w:w="1101" w:type="dxa"/>
            <w:noWrap w:val="0"/>
            <w:vAlign w:val="center"/>
          </w:tcPr>
          <w:p w14:paraId="1F954218">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技术职称</w:t>
            </w:r>
          </w:p>
        </w:tc>
        <w:tc>
          <w:tcPr>
            <w:tcW w:w="1307" w:type="dxa"/>
            <w:noWrap w:val="0"/>
            <w:vAlign w:val="center"/>
          </w:tcPr>
          <w:p w14:paraId="42730FFF">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工作年限</w:t>
            </w:r>
          </w:p>
        </w:tc>
        <w:tc>
          <w:tcPr>
            <w:tcW w:w="1942" w:type="dxa"/>
            <w:noWrap w:val="0"/>
            <w:vAlign w:val="center"/>
          </w:tcPr>
          <w:p w14:paraId="7AD6BCA6">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类似施工经验年限</w:t>
            </w:r>
          </w:p>
        </w:tc>
      </w:tr>
      <w:tr w14:paraId="7E5A9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jc w:val="center"/>
        </w:trPr>
        <w:tc>
          <w:tcPr>
            <w:tcW w:w="933" w:type="dxa"/>
            <w:noWrap w:val="0"/>
            <w:vAlign w:val="center"/>
          </w:tcPr>
          <w:p w14:paraId="1320EE0B">
            <w:pPr>
              <w:pageBreakBefore w:val="0"/>
              <w:kinsoku/>
              <w:wordWrap w:val="0"/>
              <w:bidi w:val="0"/>
              <w:spacing w:line="400" w:lineRule="atLeast"/>
              <w:jc w:val="center"/>
              <w:rPr>
                <w:rFonts w:hint="default" w:ascii="Times New Roman" w:hAnsi="Times New Roman" w:cs="Times New Roman"/>
                <w:highlight w:val="none"/>
              </w:rPr>
            </w:pPr>
          </w:p>
        </w:tc>
        <w:tc>
          <w:tcPr>
            <w:tcW w:w="926" w:type="dxa"/>
            <w:noWrap w:val="0"/>
            <w:vAlign w:val="center"/>
          </w:tcPr>
          <w:p w14:paraId="01A4BC45">
            <w:pPr>
              <w:pageBreakBefore w:val="0"/>
              <w:kinsoku/>
              <w:wordWrap w:val="0"/>
              <w:bidi w:val="0"/>
              <w:spacing w:line="400" w:lineRule="atLeast"/>
              <w:jc w:val="center"/>
              <w:rPr>
                <w:rFonts w:hint="default" w:ascii="Times New Roman" w:hAnsi="Times New Roman" w:cs="Times New Roman"/>
                <w:highlight w:val="none"/>
              </w:rPr>
            </w:pPr>
          </w:p>
        </w:tc>
        <w:tc>
          <w:tcPr>
            <w:tcW w:w="2682" w:type="dxa"/>
            <w:noWrap w:val="0"/>
            <w:vAlign w:val="center"/>
          </w:tcPr>
          <w:p w14:paraId="42A0D075">
            <w:pPr>
              <w:pageBreakBefore w:val="0"/>
              <w:kinsoku/>
              <w:wordWrap w:val="0"/>
              <w:bidi w:val="0"/>
              <w:spacing w:line="400" w:lineRule="atLeast"/>
              <w:jc w:val="center"/>
              <w:rPr>
                <w:rFonts w:hint="default" w:ascii="Times New Roman" w:hAnsi="Times New Roman" w:cs="Times New Roman"/>
                <w:highlight w:val="none"/>
              </w:rPr>
            </w:pPr>
          </w:p>
        </w:tc>
        <w:tc>
          <w:tcPr>
            <w:tcW w:w="1101" w:type="dxa"/>
            <w:noWrap w:val="0"/>
            <w:vAlign w:val="center"/>
          </w:tcPr>
          <w:p w14:paraId="1395017A">
            <w:pPr>
              <w:pageBreakBefore w:val="0"/>
              <w:kinsoku/>
              <w:wordWrap w:val="0"/>
              <w:bidi w:val="0"/>
              <w:spacing w:line="400" w:lineRule="atLeast"/>
              <w:jc w:val="center"/>
              <w:rPr>
                <w:rFonts w:hint="default" w:ascii="Times New Roman" w:hAnsi="Times New Roman" w:cs="Times New Roman"/>
                <w:highlight w:val="none"/>
              </w:rPr>
            </w:pPr>
          </w:p>
        </w:tc>
        <w:tc>
          <w:tcPr>
            <w:tcW w:w="1307" w:type="dxa"/>
            <w:noWrap w:val="0"/>
            <w:vAlign w:val="center"/>
          </w:tcPr>
          <w:p w14:paraId="5E6A1078">
            <w:pPr>
              <w:pageBreakBefore w:val="0"/>
              <w:kinsoku/>
              <w:wordWrap w:val="0"/>
              <w:bidi w:val="0"/>
              <w:spacing w:line="400" w:lineRule="atLeast"/>
              <w:jc w:val="center"/>
              <w:rPr>
                <w:rFonts w:hint="default" w:ascii="Times New Roman" w:hAnsi="Times New Roman" w:cs="Times New Roman"/>
                <w:highlight w:val="none"/>
              </w:rPr>
            </w:pPr>
          </w:p>
        </w:tc>
        <w:tc>
          <w:tcPr>
            <w:tcW w:w="1942" w:type="dxa"/>
            <w:noWrap w:val="0"/>
            <w:vAlign w:val="center"/>
          </w:tcPr>
          <w:p w14:paraId="799A4749">
            <w:pPr>
              <w:pageBreakBefore w:val="0"/>
              <w:kinsoku/>
              <w:wordWrap w:val="0"/>
              <w:bidi w:val="0"/>
              <w:spacing w:line="400" w:lineRule="atLeast"/>
              <w:jc w:val="center"/>
              <w:rPr>
                <w:rFonts w:hint="default" w:ascii="Times New Roman" w:hAnsi="Times New Roman" w:cs="Times New Roman"/>
                <w:highlight w:val="none"/>
              </w:rPr>
            </w:pPr>
          </w:p>
        </w:tc>
      </w:tr>
      <w:tr w14:paraId="34938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933" w:type="dxa"/>
            <w:noWrap w:val="0"/>
            <w:vAlign w:val="center"/>
          </w:tcPr>
          <w:p w14:paraId="5F320622">
            <w:pPr>
              <w:pageBreakBefore w:val="0"/>
              <w:kinsoku/>
              <w:wordWrap w:val="0"/>
              <w:bidi w:val="0"/>
              <w:spacing w:line="400" w:lineRule="atLeast"/>
              <w:jc w:val="center"/>
              <w:rPr>
                <w:rFonts w:hint="default" w:ascii="Times New Roman" w:hAnsi="Times New Roman" w:cs="Times New Roman"/>
                <w:highlight w:val="none"/>
              </w:rPr>
            </w:pPr>
          </w:p>
        </w:tc>
        <w:tc>
          <w:tcPr>
            <w:tcW w:w="926" w:type="dxa"/>
            <w:noWrap w:val="0"/>
            <w:vAlign w:val="center"/>
          </w:tcPr>
          <w:p w14:paraId="0E1769AE">
            <w:pPr>
              <w:pageBreakBefore w:val="0"/>
              <w:kinsoku/>
              <w:wordWrap w:val="0"/>
              <w:bidi w:val="0"/>
              <w:spacing w:line="400" w:lineRule="atLeast"/>
              <w:jc w:val="center"/>
              <w:rPr>
                <w:rFonts w:hint="default" w:ascii="Times New Roman" w:hAnsi="Times New Roman" w:cs="Times New Roman"/>
                <w:highlight w:val="none"/>
              </w:rPr>
            </w:pPr>
          </w:p>
        </w:tc>
        <w:tc>
          <w:tcPr>
            <w:tcW w:w="2682" w:type="dxa"/>
            <w:noWrap w:val="0"/>
            <w:vAlign w:val="center"/>
          </w:tcPr>
          <w:p w14:paraId="62B4DDA7">
            <w:pPr>
              <w:pageBreakBefore w:val="0"/>
              <w:kinsoku/>
              <w:wordWrap w:val="0"/>
              <w:bidi w:val="0"/>
              <w:spacing w:line="400" w:lineRule="atLeast"/>
              <w:jc w:val="center"/>
              <w:rPr>
                <w:rFonts w:hint="default" w:ascii="Times New Roman" w:hAnsi="Times New Roman" w:cs="Times New Roman"/>
                <w:highlight w:val="none"/>
              </w:rPr>
            </w:pPr>
          </w:p>
        </w:tc>
        <w:tc>
          <w:tcPr>
            <w:tcW w:w="1101" w:type="dxa"/>
            <w:noWrap w:val="0"/>
            <w:vAlign w:val="center"/>
          </w:tcPr>
          <w:p w14:paraId="75E03B3E">
            <w:pPr>
              <w:pageBreakBefore w:val="0"/>
              <w:kinsoku/>
              <w:wordWrap w:val="0"/>
              <w:bidi w:val="0"/>
              <w:spacing w:line="400" w:lineRule="atLeast"/>
              <w:jc w:val="center"/>
              <w:rPr>
                <w:rFonts w:hint="default" w:ascii="Times New Roman" w:hAnsi="Times New Roman" w:cs="Times New Roman"/>
                <w:highlight w:val="none"/>
              </w:rPr>
            </w:pPr>
          </w:p>
        </w:tc>
        <w:tc>
          <w:tcPr>
            <w:tcW w:w="1307" w:type="dxa"/>
            <w:noWrap w:val="0"/>
            <w:vAlign w:val="center"/>
          </w:tcPr>
          <w:p w14:paraId="35DB6045">
            <w:pPr>
              <w:pageBreakBefore w:val="0"/>
              <w:kinsoku/>
              <w:wordWrap w:val="0"/>
              <w:bidi w:val="0"/>
              <w:spacing w:line="400" w:lineRule="atLeast"/>
              <w:jc w:val="center"/>
              <w:rPr>
                <w:rFonts w:hint="default" w:ascii="Times New Roman" w:hAnsi="Times New Roman" w:cs="Times New Roman"/>
                <w:highlight w:val="none"/>
              </w:rPr>
            </w:pPr>
          </w:p>
        </w:tc>
        <w:tc>
          <w:tcPr>
            <w:tcW w:w="1942" w:type="dxa"/>
            <w:noWrap w:val="0"/>
            <w:vAlign w:val="center"/>
          </w:tcPr>
          <w:p w14:paraId="71A30AB1">
            <w:pPr>
              <w:pageBreakBefore w:val="0"/>
              <w:kinsoku/>
              <w:wordWrap w:val="0"/>
              <w:bidi w:val="0"/>
              <w:spacing w:line="400" w:lineRule="atLeast"/>
              <w:jc w:val="center"/>
              <w:rPr>
                <w:rFonts w:hint="default" w:ascii="Times New Roman" w:hAnsi="Times New Roman" w:cs="Times New Roman"/>
                <w:highlight w:val="none"/>
              </w:rPr>
            </w:pPr>
          </w:p>
        </w:tc>
      </w:tr>
      <w:tr w14:paraId="05263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933" w:type="dxa"/>
            <w:noWrap w:val="0"/>
            <w:vAlign w:val="center"/>
          </w:tcPr>
          <w:p w14:paraId="6F871841">
            <w:pPr>
              <w:pageBreakBefore w:val="0"/>
              <w:kinsoku/>
              <w:wordWrap w:val="0"/>
              <w:bidi w:val="0"/>
              <w:spacing w:line="400" w:lineRule="atLeast"/>
              <w:jc w:val="center"/>
              <w:rPr>
                <w:rFonts w:hint="default" w:ascii="Times New Roman" w:hAnsi="Times New Roman" w:cs="Times New Roman"/>
                <w:highlight w:val="none"/>
              </w:rPr>
            </w:pPr>
          </w:p>
        </w:tc>
        <w:tc>
          <w:tcPr>
            <w:tcW w:w="926" w:type="dxa"/>
            <w:noWrap w:val="0"/>
            <w:vAlign w:val="center"/>
          </w:tcPr>
          <w:p w14:paraId="1EFB6727">
            <w:pPr>
              <w:pageBreakBefore w:val="0"/>
              <w:kinsoku/>
              <w:wordWrap w:val="0"/>
              <w:bidi w:val="0"/>
              <w:spacing w:line="400" w:lineRule="atLeast"/>
              <w:jc w:val="center"/>
              <w:rPr>
                <w:rFonts w:hint="default" w:ascii="Times New Roman" w:hAnsi="Times New Roman" w:cs="Times New Roman"/>
                <w:highlight w:val="none"/>
              </w:rPr>
            </w:pPr>
          </w:p>
        </w:tc>
        <w:tc>
          <w:tcPr>
            <w:tcW w:w="2682" w:type="dxa"/>
            <w:noWrap w:val="0"/>
            <w:vAlign w:val="center"/>
          </w:tcPr>
          <w:p w14:paraId="7C27305F">
            <w:pPr>
              <w:pageBreakBefore w:val="0"/>
              <w:kinsoku/>
              <w:wordWrap w:val="0"/>
              <w:bidi w:val="0"/>
              <w:spacing w:line="400" w:lineRule="atLeast"/>
              <w:jc w:val="center"/>
              <w:rPr>
                <w:rFonts w:hint="default" w:ascii="Times New Roman" w:hAnsi="Times New Roman" w:cs="Times New Roman"/>
                <w:highlight w:val="none"/>
              </w:rPr>
            </w:pPr>
          </w:p>
        </w:tc>
        <w:tc>
          <w:tcPr>
            <w:tcW w:w="1101" w:type="dxa"/>
            <w:noWrap w:val="0"/>
            <w:vAlign w:val="center"/>
          </w:tcPr>
          <w:p w14:paraId="021A7B0C">
            <w:pPr>
              <w:pageBreakBefore w:val="0"/>
              <w:kinsoku/>
              <w:wordWrap w:val="0"/>
              <w:bidi w:val="0"/>
              <w:spacing w:line="400" w:lineRule="atLeast"/>
              <w:jc w:val="center"/>
              <w:rPr>
                <w:rFonts w:hint="default" w:ascii="Times New Roman" w:hAnsi="Times New Roman" w:cs="Times New Roman"/>
                <w:highlight w:val="none"/>
              </w:rPr>
            </w:pPr>
          </w:p>
        </w:tc>
        <w:tc>
          <w:tcPr>
            <w:tcW w:w="1307" w:type="dxa"/>
            <w:noWrap w:val="0"/>
            <w:vAlign w:val="center"/>
          </w:tcPr>
          <w:p w14:paraId="6BEA3A6F">
            <w:pPr>
              <w:pageBreakBefore w:val="0"/>
              <w:kinsoku/>
              <w:wordWrap w:val="0"/>
              <w:bidi w:val="0"/>
              <w:spacing w:line="400" w:lineRule="atLeast"/>
              <w:jc w:val="center"/>
              <w:rPr>
                <w:rFonts w:hint="default" w:ascii="Times New Roman" w:hAnsi="Times New Roman" w:cs="Times New Roman"/>
                <w:highlight w:val="none"/>
              </w:rPr>
            </w:pPr>
          </w:p>
        </w:tc>
        <w:tc>
          <w:tcPr>
            <w:tcW w:w="1942" w:type="dxa"/>
            <w:noWrap w:val="0"/>
            <w:vAlign w:val="center"/>
          </w:tcPr>
          <w:p w14:paraId="1D2FE0E2">
            <w:pPr>
              <w:pageBreakBefore w:val="0"/>
              <w:kinsoku/>
              <w:wordWrap w:val="0"/>
              <w:bidi w:val="0"/>
              <w:spacing w:line="400" w:lineRule="atLeast"/>
              <w:jc w:val="center"/>
              <w:rPr>
                <w:rFonts w:hint="default" w:ascii="Times New Roman" w:hAnsi="Times New Roman" w:cs="Times New Roman"/>
                <w:highlight w:val="none"/>
              </w:rPr>
            </w:pPr>
          </w:p>
        </w:tc>
      </w:tr>
      <w:tr w14:paraId="6CCEE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jc w:val="center"/>
        </w:trPr>
        <w:tc>
          <w:tcPr>
            <w:tcW w:w="933" w:type="dxa"/>
            <w:noWrap w:val="0"/>
            <w:vAlign w:val="center"/>
          </w:tcPr>
          <w:p w14:paraId="0AB69070">
            <w:pPr>
              <w:pageBreakBefore w:val="0"/>
              <w:kinsoku/>
              <w:wordWrap w:val="0"/>
              <w:bidi w:val="0"/>
              <w:spacing w:line="400" w:lineRule="atLeast"/>
              <w:jc w:val="center"/>
              <w:rPr>
                <w:rFonts w:hint="default" w:ascii="Times New Roman" w:hAnsi="Times New Roman" w:cs="Times New Roman"/>
                <w:highlight w:val="none"/>
              </w:rPr>
            </w:pPr>
          </w:p>
        </w:tc>
        <w:tc>
          <w:tcPr>
            <w:tcW w:w="926" w:type="dxa"/>
            <w:noWrap w:val="0"/>
            <w:vAlign w:val="center"/>
          </w:tcPr>
          <w:p w14:paraId="52AAAAB0">
            <w:pPr>
              <w:pageBreakBefore w:val="0"/>
              <w:kinsoku/>
              <w:wordWrap w:val="0"/>
              <w:bidi w:val="0"/>
              <w:spacing w:line="400" w:lineRule="atLeast"/>
              <w:jc w:val="center"/>
              <w:rPr>
                <w:rFonts w:hint="default" w:ascii="Times New Roman" w:hAnsi="Times New Roman" w:cs="Times New Roman"/>
                <w:highlight w:val="none"/>
              </w:rPr>
            </w:pPr>
          </w:p>
        </w:tc>
        <w:tc>
          <w:tcPr>
            <w:tcW w:w="2682" w:type="dxa"/>
            <w:noWrap w:val="0"/>
            <w:vAlign w:val="center"/>
          </w:tcPr>
          <w:p w14:paraId="525E7CE7">
            <w:pPr>
              <w:pageBreakBefore w:val="0"/>
              <w:kinsoku/>
              <w:wordWrap w:val="0"/>
              <w:bidi w:val="0"/>
              <w:spacing w:line="400" w:lineRule="atLeast"/>
              <w:jc w:val="center"/>
              <w:rPr>
                <w:rFonts w:hint="default" w:ascii="Times New Roman" w:hAnsi="Times New Roman" w:cs="Times New Roman"/>
                <w:highlight w:val="none"/>
              </w:rPr>
            </w:pPr>
          </w:p>
        </w:tc>
        <w:tc>
          <w:tcPr>
            <w:tcW w:w="1101" w:type="dxa"/>
            <w:noWrap w:val="0"/>
            <w:vAlign w:val="center"/>
          </w:tcPr>
          <w:p w14:paraId="50564BAD">
            <w:pPr>
              <w:pageBreakBefore w:val="0"/>
              <w:kinsoku/>
              <w:wordWrap w:val="0"/>
              <w:bidi w:val="0"/>
              <w:spacing w:line="400" w:lineRule="atLeast"/>
              <w:jc w:val="center"/>
              <w:rPr>
                <w:rFonts w:hint="default" w:ascii="Times New Roman" w:hAnsi="Times New Roman" w:cs="Times New Roman"/>
                <w:highlight w:val="none"/>
              </w:rPr>
            </w:pPr>
          </w:p>
        </w:tc>
        <w:tc>
          <w:tcPr>
            <w:tcW w:w="1307" w:type="dxa"/>
            <w:noWrap w:val="0"/>
            <w:vAlign w:val="center"/>
          </w:tcPr>
          <w:p w14:paraId="0384C794">
            <w:pPr>
              <w:pageBreakBefore w:val="0"/>
              <w:kinsoku/>
              <w:wordWrap w:val="0"/>
              <w:bidi w:val="0"/>
              <w:spacing w:line="400" w:lineRule="atLeast"/>
              <w:jc w:val="center"/>
              <w:rPr>
                <w:rFonts w:hint="default" w:ascii="Times New Roman" w:hAnsi="Times New Roman" w:cs="Times New Roman"/>
                <w:highlight w:val="none"/>
              </w:rPr>
            </w:pPr>
          </w:p>
        </w:tc>
        <w:tc>
          <w:tcPr>
            <w:tcW w:w="1942" w:type="dxa"/>
            <w:noWrap w:val="0"/>
            <w:vAlign w:val="center"/>
          </w:tcPr>
          <w:p w14:paraId="18232C82">
            <w:pPr>
              <w:pageBreakBefore w:val="0"/>
              <w:kinsoku/>
              <w:wordWrap w:val="0"/>
              <w:bidi w:val="0"/>
              <w:spacing w:line="400" w:lineRule="atLeast"/>
              <w:jc w:val="center"/>
              <w:rPr>
                <w:rFonts w:hint="default" w:ascii="Times New Roman" w:hAnsi="Times New Roman" w:cs="Times New Roman"/>
                <w:highlight w:val="none"/>
              </w:rPr>
            </w:pPr>
          </w:p>
        </w:tc>
      </w:tr>
      <w:tr w14:paraId="0F2AB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 w:hRule="atLeast"/>
          <w:jc w:val="center"/>
        </w:trPr>
        <w:tc>
          <w:tcPr>
            <w:tcW w:w="933" w:type="dxa"/>
            <w:noWrap w:val="0"/>
            <w:vAlign w:val="center"/>
          </w:tcPr>
          <w:p w14:paraId="0F7D8A39">
            <w:pPr>
              <w:pageBreakBefore w:val="0"/>
              <w:kinsoku/>
              <w:wordWrap w:val="0"/>
              <w:bidi w:val="0"/>
              <w:spacing w:line="400" w:lineRule="atLeast"/>
              <w:jc w:val="center"/>
              <w:rPr>
                <w:rFonts w:hint="default" w:ascii="Times New Roman" w:hAnsi="Times New Roman" w:cs="Times New Roman"/>
                <w:highlight w:val="none"/>
              </w:rPr>
            </w:pPr>
          </w:p>
        </w:tc>
        <w:tc>
          <w:tcPr>
            <w:tcW w:w="926" w:type="dxa"/>
            <w:noWrap w:val="0"/>
            <w:vAlign w:val="center"/>
          </w:tcPr>
          <w:p w14:paraId="344F93F5">
            <w:pPr>
              <w:pageBreakBefore w:val="0"/>
              <w:kinsoku/>
              <w:wordWrap w:val="0"/>
              <w:bidi w:val="0"/>
              <w:spacing w:line="400" w:lineRule="atLeast"/>
              <w:jc w:val="center"/>
              <w:rPr>
                <w:rFonts w:hint="default" w:ascii="Times New Roman" w:hAnsi="Times New Roman" w:cs="Times New Roman"/>
                <w:highlight w:val="none"/>
              </w:rPr>
            </w:pPr>
          </w:p>
        </w:tc>
        <w:tc>
          <w:tcPr>
            <w:tcW w:w="2682" w:type="dxa"/>
            <w:noWrap w:val="0"/>
            <w:vAlign w:val="center"/>
          </w:tcPr>
          <w:p w14:paraId="704C2E4F">
            <w:pPr>
              <w:pageBreakBefore w:val="0"/>
              <w:kinsoku/>
              <w:wordWrap w:val="0"/>
              <w:bidi w:val="0"/>
              <w:spacing w:line="400" w:lineRule="atLeast"/>
              <w:jc w:val="center"/>
              <w:rPr>
                <w:rFonts w:hint="default" w:ascii="Times New Roman" w:hAnsi="Times New Roman" w:cs="Times New Roman"/>
                <w:highlight w:val="none"/>
              </w:rPr>
            </w:pPr>
          </w:p>
        </w:tc>
        <w:tc>
          <w:tcPr>
            <w:tcW w:w="1101" w:type="dxa"/>
            <w:noWrap w:val="0"/>
            <w:vAlign w:val="center"/>
          </w:tcPr>
          <w:p w14:paraId="16EB7CBD">
            <w:pPr>
              <w:pageBreakBefore w:val="0"/>
              <w:kinsoku/>
              <w:wordWrap w:val="0"/>
              <w:bidi w:val="0"/>
              <w:spacing w:line="400" w:lineRule="atLeast"/>
              <w:jc w:val="center"/>
              <w:rPr>
                <w:rFonts w:hint="default" w:ascii="Times New Roman" w:hAnsi="Times New Roman" w:cs="Times New Roman"/>
                <w:highlight w:val="none"/>
              </w:rPr>
            </w:pPr>
          </w:p>
        </w:tc>
        <w:tc>
          <w:tcPr>
            <w:tcW w:w="1307" w:type="dxa"/>
            <w:noWrap w:val="0"/>
            <w:vAlign w:val="center"/>
          </w:tcPr>
          <w:p w14:paraId="00008B70">
            <w:pPr>
              <w:pageBreakBefore w:val="0"/>
              <w:kinsoku/>
              <w:wordWrap w:val="0"/>
              <w:bidi w:val="0"/>
              <w:spacing w:line="400" w:lineRule="atLeast"/>
              <w:jc w:val="center"/>
              <w:rPr>
                <w:rFonts w:hint="default" w:ascii="Times New Roman" w:hAnsi="Times New Roman" w:cs="Times New Roman"/>
                <w:highlight w:val="none"/>
              </w:rPr>
            </w:pPr>
          </w:p>
        </w:tc>
        <w:tc>
          <w:tcPr>
            <w:tcW w:w="1942" w:type="dxa"/>
            <w:noWrap w:val="0"/>
            <w:vAlign w:val="center"/>
          </w:tcPr>
          <w:p w14:paraId="16E25276">
            <w:pPr>
              <w:pageBreakBefore w:val="0"/>
              <w:kinsoku/>
              <w:wordWrap w:val="0"/>
              <w:bidi w:val="0"/>
              <w:spacing w:line="400" w:lineRule="atLeast"/>
              <w:jc w:val="center"/>
              <w:rPr>
                <w:rFonts w:hint="default" w:ascii="Times New Roman" w:hAnsi="Times New Roman" w:cs="Times New Roman"/>
                <w:highlight w:val="none"/>
              </w:rPr>
            </w:pPr>
          </w:p>
        </w:tc>
      </w:tr>
      <w:tr w14:paraId="6F730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jc w:val="center"/>
        </w:trPr>
        <w:tc>
          <w:tcPr>
            <w:tcW w:w="933" w:type="dxa"/>
            <w:noWrap w:val="0"/>
            <w:vAlign w:val="center"/>
          </w:tcPr>
          <w:p w14:paraId="18A72A89">
            <w:pPr>
              <w:pageBreakBefore w:val="0"/>
              <w:kinsoku/>
              <w:wordWrap w:val="0"/>
              <w:bidi w:val="0"/>
              <w:spacing w:line="400" w:lineRule="atLeast"/>
              <w:jc w:val="center"/>
              <w:rPr>
                <w:rFonts w:hint="default" w:ascii="Times New Roman" w:hAnsi="Times New Roman" w:cs="Times New Roman"/>
                <w:highlight w:val="none"/>
              </w:rPr>
            </w:pPr>
          </w:p>
        </w:tc>
        <w:tc>
          <w:tcPr>
            <w:tcW w:w="926" w:type="dxa"/>
            <w:noWrap w:val="0"/>
            <w:vAlign w:val="center"/>
          </w:tcPr>
          <w:p w14:paraId="21B6D7B4">
            <w:pPr>
              <w:pageBreakBefore w:val="0"/>
              <w:kinsoku/>
              <w:wordWrap w:val="0"/>
              <w:bidi w:val="0"/>
              <w:spacing w:line="400" w:lineRule="atLeast"/>
              <w:jc w:val="center"/>
              <w:rPr>
                <w:rFonts w:hint="default" w:ascii="Times New Roman" w:hAnsi="Times New Roman" w:cs="Times New Roman"/>
                <w:highlight w:val="none"/>
              </w:rPr>
            </w:pPr>
          </w:p>
        </w:tc>
        <w:tc>
          <w:tcPr>
            <w:tcW w:w="2682" w:type="dxa"/>
            <w:noWrap w:val="0"/>
            <w:vAlign w:val="center"/>
          </w:tcPr>
          <w:p w14:paraId="2DEF6058">
            <w:pPr>
              <w:pageBreakBefore w:val="0"/>
              <w:kinsoku/>
              <w:wordWrap w:val="0"/>
              <w:bidi w:val="0"/>
              <w:spacing w:line="400" w:lineRule="atLeast"/>
              <w:jc w:val="center"/>
              <w:rPr>
                <w:rFonts w:hint="default" w:ascii="Times New Roman" w:hAnsi="Times New Roman" w:cs="Times New Roman"/>
                <w:highlight w:val="none"/>
              </w:rPr>
            </w:pPr>
          </w:p>
        </w:tc>
        <w:tc>
          <w:tcPr>
            <w:tcW w:w="1101" w:type="dxa"/>
            <w:noWrap w:val="0"/>
            <w:vAlign w:val="center"/>
          </w:tcPr>
          <w:p w14:paraId="1AD6829D">
            <w:pPr>
              <w:pageBreakBefore w:val="0"/>
              <w:kinsoku/>
              <w:wordWrap w:val="0"/>
              <w:bidi w:val="0"/>
              <w:spacing w:line="400" w:lineRule="atLeast"/>
              <w:jc w:val="center"/>
              <w:rPr>
                <w:rFonts w:hint="default" w:ascii="Times New Roman" w:hAnsi="Times New Roman" w:cs="Times New Roman"/>
                <w:highlight w:val="none"/>
              </w:rPr>
            </w:pPr>
          </w:p>
        </w:tc>
        <w:tc>
          <w:tcPr>
            <w:tcW w:w="1307" w:type="dxa"/>
            <w:noWrap w:val="0"/>
            <w:vAlign w:val="center"/>
          </w:tcPr>
          <w:p w14:paraId="0AA7B2B9">
            <w:pPr>
              <w:pageBreakBefore w:val="0"/>
              <w:kinsoku/>
              <w:wordWrap w:val="0"/>
              <w:bidi w:val="0"/>
              <w:spacing w:line="400" w:lineRule="atLeast"/>
              <w:jc w:val="center"/>
              <w:rPr>
                <w:rFonts w:hint="default" w:ascii="Times New Roman" w:hAnsi="Times New Roman" w:cs="Times New Roman"/>
                <w:highlight w:val="none"/>
              </w:rPr>
            </w:pPr>
          </w:p>
        </w:tc>
        <w:tc>
          <w:tcPr>
            <w:tcW w:w="1942" w:type="dxa"/>
            <w:noWrap w:val="0"/>
            <w:vAlign w:val="center"/>
          </w:tcPr>
          <w:p w14:paraId="35B791C3">
            <w:pPr>
              <w:pageBreakBefore w:val="0"/>
              <w:kinsoku/>
              <w:wordWrap w:val="0"/>
              <w:bidi w:val="0"/>
              <w:spacing w:line="400" w:lineRule="atLeast"/>
              <w:jc w:val="center"/>
              <w:rPr>
                <w:rFonts w:hint="default" w:ascii="Times New Roman" w:hAnsi="Times New Roman" w:cs="Times New Roman"/>
                <w:highlight w:val="none"/>
              </w:rPr>
            </w:pPr>
          </w:p>
        </w:tc>
      </w:tr>
      <w:tr w14:paraId="744CE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933" w:type="dxa"/>
            <w:noWrap w:val="0"/>
            <w:vAlign w:val="center"/>
          </w:tcPr>
          <w:p w14:paraId="64A200CA">
            <w:pPr>
              <w:pageBreakBefore w:val="0"/>
              <w:kinsoku/>
              <w:wordWrap w:val="0"/>
              <w:bidi w:val="0"/>
              <w:spacing w:line="400" w:lineRule="atLeast"/>
              <w:jc w:val="center"/>
              <w:rPr>
                <w:rFonts w:hint="default" w:ascii="Times New Roman" w:hAnsi="Times New Roman" w:cs="Times New Roman"/>
                <w:highlight w:val="none"/>
              </w:rPr>
            </w:pPr>
          </w:p>
        </w:tc>
        <w:tc>
          <w:tcPr>
            <w:tcW w:w="926" w:type="dxa"/>
            <w:noWrap w:val="0"/>
            <w:vAlign w:val="center"/>
          </w:tcPr>
          <w:p w14:paraId="2ADC3BFF">
            <w:pPr>
              <w:pageBreakBefore w:val="0"/>
              <w:kinsoku/>
              <w:wordWrap w:val="0"/>
              <w:bidi w:val="0"/>
              <w:spacing w:line="400" w:lineRule="atLeast"/>
              <w:jc w:val="center"/>
              <w:rPr>
                <w:rFonts w:hint="default" w:ascii="Times New Roman" w:hAnsi="Times New Roman" w:cs="Times New Roman"/>
                <w:highlight w:val="none"/>
              </w:rPr>
            </w:pPr>
          </w:p>
        </w:tc>
        <w:tc>
          <w:tcPr>
            <w:tcW w:w="2682" w:type="dxa"/>
            <w:noWrap w:val="0"/>
            <w:vAlign w:val="center"/>
          </w:tcPr>
          <w:p w14:paraId="51252D24">
            <w:pPr>
              <w:pageBreakBefore w:val="0"/>
              <w:kinsoku/>
              <w:wordWrap w:val="0"/>
              <w:bidi w:val="0"/>
              <w:spacing w:line="400" w:lineRule="atLeast"/>
              <w:jc w:val="center"/>
              <w:rPr>
                <w:rFonts w:hint="default" w:ascii="Times New Roman" w:hAnsi="Times New Roman" w:cs="Times New Roman"/>
                <w:highlight w:val="none"/>
              </w:rPr>
            </w:pPr>
          </w:p>
        </w:tc>
        <w:tc>
          <w:tcPr>
            <w:tcW w:w="1101" w:type="dxa"/>
            <w:noWrap w:val="0"/>
            <w:vAlign w:val="center"/>
          </w:tcPr>
          <w:p w14:paraId="6B036EFD">
            <w:pPr>
              <w:pageBreakBefore w:val="0"/>
              <w:kinsoku/>
              <w:wordWrap w:val="0"/>
              <w:bidi w:val="0"/>
              <w:spacing w:line="400" w:lineRule="atLeast"/>
              <w:jc w:val="center"/>
              <w:rPr>
                <w:rFonts w:hint="default" w:ascii="Times New Roman" w:hAnsi="Times New Roman" w:cs="Times New Roman"/>
                <w:highlight w:val="none"/>
              </w:rPr>
            </w:pPr>
          </w:p>
        </w:tc>
        <w:tc>
          <w:tcPr>
            <w:tcW w:w="1307" w:type="dxa"/>
            <w:noWrap w:val="0"/>
            <w:vAlign w:val="center"/>
          </w:tcPr>
          <w:p w14:paraId="238A6A8B">
            <w:pPr>
              <w:pageBreakBefore w:val="0"/>
              <w:kinsoku/>
              <w:wordWrap w:val="0"/>
              <w:bidi w:val="0"/>
              <w:spacing w:line="400" w:lineRule="atLeast"/>
              <w:jc w:val="center"/>
              <w:rPr>
                <w:rFonts w:hint="default" w:ascii="Times New Roman" w:hAnsi="Times New Roman" w:cs="Times New Roman"/>
                <w:highlight w:val="none"/>
              </w:rPr>
            </w:pPr>
          </w:p>
        </w:tc>
        <w:tc>
          <w:tcPr>
            <w:tcW w:w="1942" w:type="dxa"/>
            <w:noWrap w:val="0"/>
            <w:vAlign w:val="center"/>
          </w:tcPr>
          <w:p w14:paraId="4D77277C">
            <w:pPr>
              <w:pageBreakBefore w:val="0"/>
              <w:kinsoku/>
              <w:wordWrap w:val="0"/>
              <w:bidi w:val="0"/>
              <w:spacing w:line="400" w:lineRule="atLeast"/>
              <w:jc w:val="center"/>
              <w:rPr>
                <w:rFonts w:hint="default" w:ascii="Times New Roman" w:hAnsi="Times New Roman" w:cs="Times New Roman"/>
                <w:highlight w:val="none"/>
              </w:rPr>
            </w:pPr>
          </w:p>
        </w:tc>
      </w:tr>
      <w:tr w14:paraId="0BA2E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933" w:type="dxa"/>
            <w:noWrap w:val="0"/>
            <w:vAlign w:val="center"/>
          </w:tcPr>
          <w:p w14:paraId="4C428850">
            <w:pPr>
              <w:pageBreakBefore w:val="0"/>
              <w:kinsoku/>
              <w:wordWrap w:val="0"/>
              <w:bidi w:val="0"/>
              <w:spacing w:line="400" w:lineRule="atLeast"/>
              <w:jc w:val="center"/>
              <w:rPr>
                <w:rFonts w:hint="default" w:ascii="Times New Roman" w:hAnsi="Times New Roman" w:cs="Times New Roman"/>
                <w:highlight w:val="none"/>
              </w:rPr>
            </w:pPr>
          </w:p>
        </w:tc>
        <w:tc>
          <w:tcPr>
            <w:tcW w:w="926" w:type="dxa"/>
            <w:noWrap w:val="0"/>
            <w:vAlign w:val="center"/>
          </w:tcPr>
          <w:p w14:paraId="34B97C8F">
            <w:pPr>
              <w:pageBreakBefore w:val="0"/>
              <w:kinsoku/>
              <w:wordWrap w:val="0"/>
              <w:bidi w:val="0"/>
              <w:spacing w:line="400" w:lineRule="atLeast"/>
              <w:jc w:val="center"/>
              <w:rPr>
                <w:rFonts w:hint="default" w:ascii="Times New Roman" w:hAnsi="Times New Roman" w:cs="Times New Roman"/>
                <w:highlight w:val="none"/>
              </w:rPr>
            </w:pPr>
          </w:p>
        </w:tc>
        <w:tc>
          <w:tcPr>
            <w:tcW w:w="2682" w:type="dxa"/>
            <w:noWrap w:val="0"/>
            <w:vAlign w:val="center"/>
          </w:tcPr>
          <w:p w14:paraId="273CC2B4">
            <w:pPr>
              <w:pageBreakBefore w:val="0"/>
              <w:kinsoku/>
              <w:wordWrap w:val="0"/>
              <w:bidi w:val="0"/>
              <w:spacing w:line="400" w:lineRule="atLeast"/>
              <w:jc w:val="center"/>
              <w:rPr>
                <w:rFonts w:hint="default" w:ascii="Times New Roman" w:hAnsi="Times New Roman" w:cs="Times New Roman"/>
                <w:highlight w:val="none"/>
              </w:rPr>
            </w:pPr>
          </w:p>
        </w:tc>
        <w:tc>
          <w:tcPr>
            <w:tcW w:w="1101" w:type="dxa"/>
            <w:noWrap w:val="0"/>
            <w:vAlign w:val="center"/>
          </w:tcPr>
          <w:p w14:paraId="59D08D92">
            <w:pPr>
              <w:pageBreakBefore w:val="0"/>
              <w:kinsoku/>
              <w:wordWrap w:val="0"/>
              <w:bidi w:val="0"/>
              <w:spacing w:line="400" w:lineRule="atLeast"/>
              <w:jc w:val="center"/>
              <w:rPr>
                <w:rFonts w:hint="default" w:ascii="Times New Roman" w:hAnsi="Times New Roman" w:cs="Times New Roman"/>
                <w:highlight w:val="none"/>
              </w:rPr>
            </w:pPr>
          </w:p>
        </w:tc>
        <w:tc>
          <w:tcPr>
            <w:tcW w:w="1307" w:type="dxa"/>
            <w:noWrap w:val="0"/>
            <w:vAlign w:val="center"/>
          </w:tcPr>
          <w:p w14:paraId="625A3F01">
            <w:pPr>
              <w:pageBreakBefore w:val="0"/>
              <w:kinsoku/>
              <w:wordWrap w:val="0"/>
              <w:bidi w:val="0"/>
              <w:spacing w:line="400" w:lineRule="atLeast"/>
              <w:jc w:val="center"/>
              <w:rPr>
                <w:rFonts w:hint="default" w:ascii="Times New Roman" w:hAnsi="Times New Roman" w:cs="Times New Roman"/>
                <w:highlight w:val="none"/>
              </w:rPr>
            </w:pPr>
          </w:p>
        </w:tc>
        <w:tc>
          <w:tcPr>
            <w:tcW w:w="1942" w:type="dxa"/>
            <w:noWrap w:val="0"/>
            <w:vAlign w:val="center"/>
          </w:tcPr>
          <w:p w14:paraId="5804C1FB">
            <w:pPr>
              <w:pageBreakBefore w:val="0"/>
              <w:kinsoku/>
              <w:wordWrap w:val="0"/>
              <w:bidi w:val="0"/>
              <w:spacing w:line="400" w:lineRule="atLeast"/>
              <w:jc w:val="center"/>
              <w:rPr>
                <w:rFonts w:hint="default" w:ascii="Times New Roman" w:hAnsi="Times New Roman" w:cs="Times New Roman"/>
                <w:highlight w:val="none"/>
              </w:rPr>
            </w:pPr>
          </w:p>
        </w:tc>
      </w:tr>
      <w:tr w14:paraId="3CC34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933" w:type="dxa"/>
            <w:noWrap w:val="0"/>
            <w:vAlign w:val="center"/>
          </w:tcPr>
          <w:p w14:paraId="2CCACCAD">
            <w:pPr>
              <w:pageBreakBefore w:val="0"/>
              <w:kinsoku/>
              <w:wordWrap w:val="0"/>
              <w:bidi w:val="0"/>
              <w:spacing w:line="400" w:lineRule="atLeast"/>
              <w:jc w:val="center"/>
              <w:rPr>
                <w:rFonts w:hint="default" w:ascii="Times New Roman" w:hAnsi="Times New Roman" w:cs="Times New Roman"/>
                <w:highlight w:val="none"/>
              </w:rPr>
            </w:pPr>
          </w:p>
        </w:tc>
        <w:tc>
          <w:tcPr>
            <w:tcW w:w="926" w:type="dxa"/>
            <w:noWrap w:val="0"/>
            <w:vAlign w:val="center"/>
          </w:tcPr>
          <w:p w14:paraId="478C76A2">
            <w:pPr>
              <w:pageBreakBefore w:val="0"/>
              <w:kinsoku/>
              <w:wordWrap w:val="0"/>
              <w:bidi w:val="0"/>
              <w:spacing w:line="400" w:lineRule="atLeast"/>
              <w:jc w:val="center"/>
              <w:rPr>
                <w:rFonts w:hint="default" w:ascii="Times New Roman" w:hAnsi="Times New Roman" w:cs="Times New Roman"/>
                <w:highlight w:val="none"/>
              </w:rPr>
            </w:pPr>
          </w:p>
        </w:tc>
        <w:tc>
          <w:tcPr>
            <w:tcW w:w="2682" w:type="dxa"/>
            <w:noWrap w:val="0"/>
            <w:vAlign w:val="center"/>
          </w:tcPr>
          <w:p w14:paraId="59755363">
            <w:pPr>
              <w:pageBreakBefore w:val="0"/>
              <w:kinsoku/>
              <w:wordWrap w:val="0"/>
              <w:bidi w:val="0"/>
              <w:spacing w:line="400" w:lineRule="atLeast"/>
              <w:jc w:val="center"/>
              <w:rPr>
                <w:rFonts w:hint="default" w:ascii="Times New Roman" w:hAnsi="Times New Roman" w:cs="Times New Roman"/>
                <w:highlight w:val="none"/>
              </w:rPr>
            </w:pPr>
          </w:p>
        </w:tc>
        <w:tc>
          <w:tcPr>
            <w:tcW w:w="1101" w:type="dxa"/>
            <w:noWrap w:val="0"/>
            <w:vAlign w:val="center"/>
          </w:tcPr>
          <w:p w14:paraId="39AC3BE0">
            <w:pPr>
              <w:pageBreakBefore w:val="0"/>
              <w:kinsoku/>
              <w:wordWrap w:val="0"/>
              <w:bidi w:val="0"/>
              <w:spacing w:line="400" w:lineRule="atLeast"/>
              <w:jc w:val="center"/>
              <w:rPr>
                <w:rFonts w:hint="default" w:ascii="Times New Roman" w:hAnsi="Times New Roman" w:cs="Times New Roman"/>
                <w:highlight w:val="none"/>
              </w:rPr>
            </w:pPr>
          </w:p>
        </w:tc>
        <w:tc>
          <w:tcPr>
            <w:tcW w:w="1307" w:type="dxa"/>
            <w:noWrap w:val="0"/>
            <w:vAlign w:val="center"/>
          </w:tcPr>
          <w:p w14:paraId="4C587DB7">
            <w:pPr>
              <w:pageBreakBefore w:val="0"/>
              <w:kinsoku/>
              <w:wordWrap w:val="0"/>
              <w:bidi w:val="0"/>
              <w:spacing w:line="400" w:lineRule="atLeast"/>
              <w:jc w:val="center"/>
              <w:rPr>
                <w:rFonts w:hint="default" w:ascii="Times New Roman" w:hAnsi="Times New Roman" w:cs="Times New Roman"/>
                <w:highlight w:val="none"/>
              </w:rPr>
            </w:pPr>
          </w:p>
        </w:tc>
        <w:tc>
          <w:tcPr>
            <w:tcW w:w="1942" w:type="dxa"/>
            <w:noWrap w:val="0"/>
            <w:vAlign w:val="center"/>
          </w:tcPr>
          <w:p w14:paraId="783E8405">
            <w:pPr>
              <w:pageBreakBefore w:val="0"/>
              <w:kinsoku/>
              <w:wordWrap w:val="0"/>
              <w:bidi w:val="0"/>
              <w:spacing w:line="400" w:lineRule="atLeast"/>
              <w:jc w:val="center"/>
              <w:rPr>
                <w:rFonts w:hint="default" w:ascii="Times New Roman" w:hAnsi="Times New Roman" w:cs="Times New Roman"/>
                <w:highlight w:val="none"/>
              </w:rPr>
            </w:pPr>
          </w:p>
        </w:tc>
      </w:tr>
      <w:tr w14:paraId="35C58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933" w:type="dxa"/>
            <w:noWrap w:val="0"/>
            <w:vAlign w:val="center"/>
          </w:tcPr>
          <w:p w14:paraId="09229B6C">
            <w:pPr>
              <w:pageBreakBefore w:val="0"/>
              <w:kinsoku/>
              <w:wordWrap w:val="0"/>
              <w:bidi w:val="0"/>
              <w:spacing w:line="400" w:lineRule="atLeast"/>
              <w:jc w:val="center"/>
              <w:rPr>
                <w:rFonts w:hint="default" w:ascii="Times New Roman" w:hAnsi="Times New Roman" w:cs="Times New Roman"/>
                <w:highlight w:val="none"/>
              </w:rPr>
            </w:pPr>
          </w:p>
        </w:tc>
        <w:tc>
          <w:tcPr>
            <w:tcW w:w="926" w:type="dxa"/>
            <w:noWrap w:val="0"/>
            <w:vAlign w:val="center"/>
          </w:tcPr>
          <w:p w14:paraId="0497DF23">
            <w:pPr>
              <w:pageBreakBefore w:val="0"/>
              <w:kinsoku/>
              <w:wordWrap w:val="0"/>
              <w:bidi w:val="0"/>
              <w:spacing w:line="400" w:lineRule="atLeast"/>
              <w:jc w:val="center"/>
              <w:rPr>
                <w:rFonts w:hint="default" w:ascii="Times New Roman" w:hAnsi="Times New Roman" w:cs="Times New Roman"/>
                <w:highlight w:val="none"/>
              </w:rPr>
            </w:pPr>
          </w:p>
        </w:tc>
        <w:tc>
          <w:tcPr>
            <w:tcW w:w="2682" w:type="dxa"/>
            <w:noWrap w:val="0"/>
            <w:vAlign w:val="center"/>
          </w:tcPr>
          <w:p w14:paraId="3526EBBC">
            <w:pPr>
              <w:pageBreakBefore w:val="0"/>
              <w:kinsoku/>
              <w:wordWrap w:val="0"/>
              <w:bidi w:val="0"/>
              <w:spacing w:line="400" w:lineRule="atLeast"/>
              <w:jc w:val="center"/>
              <w:rPr>
                <w:rFonts w:hint="default" w:ascii="Times New Roman" w:hAnsi="Times New Roman" w:cs="Times New Roman"/>
                <w:highlight w:val="none"/>
              </w:rPr>
            </w:pPr>
          </w:p>
        </w:tc>
        <w:tc>
          <w:tcPr>
            <w:tcW w:w="1101" w:type="dxa"/>
            <w:noWrap w:val="0"/>
            <w:vAlign w:val="center"/>
          </w:tcPr>
          <w:p w14:paraId="67440EB2">
            <w:pPr>
              <w:pageBreakBefore w:val="0"/>
              <w:kinsoku/>
              <w:wordWrap w:val="0"/>
              <w:bidi w:val="0"/>
              <w:spacing w:line="400" w:lineRule="atLeast"/>
              <w:jc w:val="center"/>
              <w:rPr>
                <w:rFonts w:hint="default" w:ascii="Times New Roman" w:hAnsi="Times New Roman" w:cs="Times New Roman"/>
                <w:highlight w:val="none"/>
              </w:rPr>
            </w:pPr>
          </w:p>
        </w:tc>
        <w:tc>
          <w:tcPr>
            <w:tcW w:w="1307" w:type="dxa"/>
            <w:noWrap w:val="0"/>
            <w:vAlign w:val="center"/>
          </w:tcPr>
          <w:p w14:paraId="3AD362DE">
            <w:pPr>
              <w:pageBreakBefore w:val="0"/>
              <w:kinsoku/>
              <w:wordWrap w:val="0"/>
              <w:bidi w:val="0"/>
              <w:spacing w:line="400" w:lineRule="atLeast"/>
              <w:jc w:val="center"/>
              <w:rPr>
                <w:rFonts w:hint="default" w:ascii="Times New Roman" w:hAnsi="Times New Roman" w:cs="Times New Roman"/>
                <w:highlight w:val="none"/>
              </w:rPr>
            </w:pPr>
          </w:p>
        </w:tc>
        <w:tc>
          <w:tcPr>
            <w:tcW w:w="1942" w:type="dxa"/>
            <w:noWrap w:val="0"/>
            <w:vAlign w:val="center"/>
          </w:tcPr>
          <w:p w14:paraId="15925143">
            <w:pPr>
              <w:pageBreakBefore w:val="0"/>
              <w:kinsoku/>
              <w:wordWrap w:val="0"/>
              <w:bidi w:val="0"/>
              <w:spacing w:line="400" w:lineRule="atLeast"/>
              <w:jc w:val="center"/>
              <w:rPr>
                <w:rFonts w:hint="default" w:ascii="Times New Roman" w:hAnsi="Times New Roman" w:cs="Times New Roman"/>
                <w:highlight w:val="none"/>
              </w:rPr>
            </w:pPr>
          </w:p>
        </w:tc>
      </w:tr>
      <w:tr w14:paraId="7A611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933" w:type="dxa"/>
            <w:noWrap w:val="0"/>
            <w:vAlign w:val="center"/>
          </w:tcPr>
          <w:p w14:paraId="7241E401">
            <w:pPr>
              <w:pageBreakBefore w:val="0"/>
              <w:kinsoku/>
              <w:wordWrap w:val="0"/>
              <w:bidi w:val="0"/>
              <w:spacing w:line="400" w:lineRule="atLeast"/>
              <w:jc w:val="center"/>
              <w:rPr>
                <w:rFonts w:hint="default" w:ascii="Times New Roman" w:hAnsi="Times New Roman" w:cs="Times New Roman"/>
                <w:highlight w:val="none"/>
              </w:rPr>
            </w:pPr>
          </w:p>
        </w:tc>
        <w:tc>
          <w:tcPr>
            <w:tcW w:w="926" w:type="dxa"/>
            <w:noWrap w:val="0"/>
            <w:vAlign w:val="center"/>
          </w:tcPr>
          <w:p w14:paraId="699AEFD7">
            <w:pPr>
              <w:pageBreakBefore w:val="0"/>
              <w:kinsoku/>
              <w:wordWrap w:val="0"/>
              <w:bidi w:val="0"/>
              <w:spacing w:line="400" w:lineRule="atLeast"/>
              <w:jc w:val="center"/>
              <w:rPr>
                <w:rFonts w:hint="default" w:ascii="Times New Roman" w:hAnsi="Times New Roman" w:cs="Times New Roman"/>
                <w:highlight w:val="none"/>
              </w:rPr>
            </w:pPr>
          </w:p>
        </w:tc>
        <w:tc>
          <w:tcPr>
            <w:tcW w:w="2682" w:type="dxa"/>
            <w:noWrap w:val="0"/>
            <w:vAlign w:val="center"/>
          </w:tcPr>
          <w:p w14:paraId="33854116">
            <w:pPr>
              <w:pageBreakBefore w:val="0"/>
              <w:kinsoku/>
              <w:wordWrap w:val="0"/>
              <w:bidi w:val="0"/>
              <w:spacing w:line="400" w:lineRule="atLeast"/>
              <w:jc w:val="center"/>
              <w:rPr>
                <w:rFonts w:hint="default" w:ascii="Times New Roman" w:hAnsi="Times New Roman" w:cs="Times New Roman"/>
                <w:highlight w:val="none"/>
              </w:rPr>
            </w:pPr>
          </w:p>
        </w:tc>
        <w:tc>
          <w:tcPr>
            <w:tcW w:w="1101" w:type="dxa"/>
            <w:noWrap w:val="0"/>
            <w:vAlign w:val="center"/>
          </w:tcPr>
          <w:p w14:paraId="0FE198BA">
            <w:pPr>
              <w:pageBreakBefore w:val="0"/>
              <w:kinsoku/>
              <w:wordWrap w:val="0"/>
              <w:bidi w:val="0"/>
              <w:spacing w:line="400" w:lineRule="atLeast"/>
              <w:jc w:val="center"/>
              <w:rPr>
                <w:rFonts w:hint="default" w:ascii="Times New Roman" w:hAnsi="Times New Roman" w:cs="Times New Roman"/>
                <w:highlight w:val="none"/>
              </w:rPr>
            </w:pPr>
          </w:p>
        </w:tc>
        <w:tc>
          <w:tcPr>
            <w:tcW w:w="1307" w:type="dxa"/>
            <w:noWrap w:val="0"/>
            <w:vAlign w:val="center"/>
          </w:tcPr>
          <w:p w14:paraId="0E954F2B">
            <w:pPr>
              <w:pageBreakBefore w:val="0"/>
              <w:kinsoku/>
              <w:wordWrap w:val="0"/>
              <w:bidi w:val="0"/>
              <w:spacing w:line="400" w:lineRule="atLeast"/>
              <w:jc w:val="center"/>
              <w:rPr>
                <w:rFonts w:hint="default" w:ascii="Times New Roman" w:hAnsi="Times New Roman" w:cs="Times New Roman"/>
                <w:highlight w:val="none"/>
              </w:rPr>
            </w:pPr>
          </w:p>
        </w:tc>
        <w:tc>
          <w:tcPr>
            <w:tcW w:w="1942" w:type="dxa"/>
            <w:noWrap w:val="0"/>
            <w:vAlign w:val="center"/>
          </w:tcPr>
          <w:p w14:paraId="66A920AD">
            <w:pPr>
              <w:pageBreakBefore w:val="0"/>
              <w:kinsoku/>
              <w:wordWrap w:val="0"/>
              <w:bidi w:val="0"/>
              <w:spacing w:line="400" w:lineRule="atLeast"/>
              <w:jc w:val="center"/>
              <w:rPr>
                <w:rFonts w:hint="default" w:ascii="Times New Roman" w:hAnsi="Times New Roman" w:cs="Times New Roman"/>
                <w:highlight w:val="none"/>
              </w:rPr>
            </w:pPr>
          </w:p>
        </w:tc>
      </w:tr>
      <w:tr w14:paraId="7A0D5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933" w:type="dxa"/>
            <w:noWrap w:val="0"/>
            <w:vAlign w:val="center"/>
          </w:tcPr>
          <w:p w14:paraId="31F78543">
            <w:pPr>
              <w:pageBreakBefore w:val="0"/>
              <w:kinsoku/>
              <w:wordWrap w:val="0"/>
              <w:bidi w:val="0"/>
              <w:spacing w:line="400" w:lineRule="atLeast"/>
              <w:jc w:val="center"/>
              <w:rPr>
                <w:rFonts w:hint="default" w:ascii="Times New Roman" w:hAnsi="Times New Roman" w:cs="Times New Roman"/>
                <w:highlight w:val="none"/>
              </w:rPr>
            </w:pPr>
          </w:p>
        </w:tc>
        <w:tc>
          <w:tcPr>
            <w:tcW w:w="926" w:type="dxa"/>
            <w:noWrap w:val="0"/>
            <w:vAlign w:val="center"/>
          </w:tcPr>
          <w:p w14:paraId="521D2B1A">
            <w:pPr>
              <w:pageBreakBefore w:val="0"/>
              <w:kinsoku/>
              <w:wordWrap w:val="0"/>
              <w:bidi w:val="0"/>
              <w:spacing w:line="400" w:lineRule="atLeast"/>
              <w:jc w:val="center"/>
              <w:rPr>
                <w:rFonts w:hint="default" w:ascii="Times New Roman" w:hAnsi="Times New Roman" w:cs="Times New Roman"/>
                <w:highlight w:val="none"/>
              </w:rPr>
            </w:pPr>
          </w:p>
        </w:tc>
        <w:tc>
          <w:tcPr>
            <w:tcW w:w="2682" w:type="dxa"/>
            <w:noWrap w:val="0"/>
            <w:vAlign w:val="center"/>
          </w:tcPr>
          <w:p w14:paraId="4CE688B0">
            <w:pPr>
              <w:pageBreakBefore w:val="0"/>
              <w:kinsoku/>
              <w:wordWrap w:val="0"/>
              <w:bidi w:val="0"/>
              <w:spacing w:line="400" w:lineRule="atLeast"/>
              <w:jc w:val="center"/>
              <w:rPr>
                <w:rFonts w:hint="default" w:ascii="Times New Roman" w:hAnsi="Times New Roman" w:cs="Times New Roman"/>
                <w:highlight w:val="none"/>
              </w:rPr>
            </w:pPr>
          </w:p>
        </w:tc>
        <w:tc>
          <w:tcPr>
            <w:tcW w:w="1101" w:type="dxa"/>
            <w:noWrap w:val="0"/>
            <w:vAlign w:val="center"/>
          </w:tcPr>
          <w:p w14:paraId="6E43ADCF">
            <w:pPr>
              <w:pageBreakBefore w:val="0"/>
              <w:kinsoku/>
              <w:wordWrap w:val="0"/>
              <w:bidi w:val="0"/>
              <w:spacing w:line="400" w:lineRule="atLeast"/>
              <w:jc w:val="center"/>
              <w:rPr>
                <w:rFonts w:hint="default" w:ascii="Times New Roman" w:hAnsi="Times New Roman" w:cs="Times New Roman"/>
                <w:highlight w:val="none"/>
              </w:rPr>
            </w:pPr>
          </w:p>
        </w:tc>
        <w:tc>
          <w:tcPr>
            <w:tcW w:w="1307" w:type="dxa"/>
            <w:noWrap w:val="0"/>
            <w:vAlign w:val="center"/>
          </w:tcPr>
          <w:p w14:paraId="3E245701">
            <w:pPr>
              <w:pageBreakBefore w:val="0"/>
              <w:kinsoku/>
              <w:wordWrap w:val="0"/>
              <w:bidi w:val="0"/>
              <w:spacing w:line="400" w:lineRule="atLeast"/>
              <w:jc w:val="center"/>
              <w:rPr>
                <w:rFonts w:hint="default" w:ascii="Times New Roman" w:hAnsi="Times New Roman" w:cs="Times New Roman"/>
                <w:highlight w:val="none"/>
              </w:rPr>
            </w:pPr>
          </w:p>
        </w:tc>
        <w:tc>
          <w:tcPr>
            <w:tcW w:w="1942" w:type="dxa"/>
            <w:noWrap w:val="0"/>
            <w:vAlign w:val="center"/>
          </w:tcPr>
          <w:p w14:paraId="0A6C9FFC">
            <w:pPr>
              <w:pageBreakBefore w:val="0"/>
              <w:kinsoku/>
              <w:wordWrap w:val="0"/>
              <w:bidi w:val="0"/>
              <w:spacing w:line="400" w:lineRule="atLeast"/>
              <w:jc w:val="center"/>
              <w:rPr>
                <w:rFonts w:hint="default" w:ascii="Times New Roman" w:hAnsi="Times New Roman" w:cs="Times New Roman"/>
                <w:highlight w:val="none"/>
              </w:rPr>
            </w:pPr>
          </w:p>
        </w:tc>
      </w:tr>
      <w:tr w14:paraId="3B836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933" w:type="dxa"/>
            <w:noWrap w:val="0"/>
            <w:vAlign w:val="center"/>
          </w:tcPr>
          <w:p w14:paraId="2099567D">
            <w:pPr>
              <w:pageBreakBefore w:val="0"/>
              <w:kinsoku/>
              <w:wordWrap w:val="0"/>
              <w:bidi w:val="0"/>
              <w:spacing w:line="400" w:lineRule="atLeast"/>
              <w:jc w:val="center"/>
              <w:rPr>
                <w:rFonts w:hint="default" w:ascii="Times New Roman" w:hAnsi="Times New Roman" w:cs="Times New Roman"/>
                <w:highlight w:val="none"/>
              </w:rPr>
            </w:pPr>
          </w:p>
        </w:tc>
        <w:tc>
          <w:tcPr>
            <w:tcW w:w="926" w:type="dxa"/>
            <w:noWrap w:val="0"/>
            <w:vAlign w:val="center"/>
          </w:tcPr>
          <w:p w14:paraId="1BD53871">
            <w:pPr>
              <w:pageBreakBefore w:val="0"/>
              <w:kinsoku/>
              <w:wordWrap w:val="0"/>
              <w:bidi w:val="0"/>
              <w:spacing w:line="400" w:lineRule="atLeast"/>
              <w:jc w:val="center"/>
              <w:rPr>
                <w:rFonts w:hint="default" w:ascii="Times New Roman" w:hAnsi="Times New Roman" w:cs="Times New Roman"/>
                <w:highlight w:val="none"/>
              </w:rPr>
            </w:pPr>
          </w:p>
        </w:tc>
        <w:tc>
          <w:tcPr>
            <w:tcW w:w="2682" w:type="dxa"/>
            <w:noWrap w:val="0"/>
            <w:vAlign w:val="center"/>
          </w:tcPr>
          <w:p w14:paraId="501846B9">
            <w:pPr>
              <w:pageBreakBefore w:val="0"/>
              <w:kinsoku/>
              <w:wordWrap w:val="0"/>
              <w:bidi w:val="0"/>
              <w:spacing w:line="400" w:lineRule="atLeast"/>
              <w:jc w:val="center"/>
              <w:rPr>
                <w:rFonts w:hint="default" w:ascii="Times New Roman" w:hAnsi="Times New Roman" w:cs="Times New Roman"/>
                <w:highlight w:val="none"/>
              </w:rPr>
            </w:pPr>
          </w:p>
        </w:tc>
        <w:tc>
          <w:tcPr>
            <w:tcW w:w="1101" w:type="dxa"/>
            <w:noWrap w:val="0"/>
            <w:vAlign w:val="center"/>
          </w:tcPr>
          <w:p w14:paraId="1D5E29D1">
            <w:pPr>
              <w:pageBreakBefore w:val="0"/>
              <w:kinsoku/>
              <w:wordWrap w:val="0"/>
              <w:bidi w:val="0"/>
              <w:spacing w:line="400" w:lineRule="atLeast"/>
              <w:jc w:val="center"/>
              <w:rPr>
                <w:rFonts w:hint="default" w:ascii="Times New Roman" w:hAnsi="Times New Roman" w:cs="Times New Roman"/>
                <w:highlight w:val="none"/>
              </w:rPr>
            </w:pPr>
          </w:p>
        </w:tc>
        <w:tc>
          <w:tcPr>
            <w:tcW w:w="1307" w:type="dxa"/>
            <w:noWrap w:val="0"/>
            <w:vAlign w:val="center"/>
          </w:tcPr>
          <w:p w14:paraId="456FD415">
            <w:pPr>
              <w:pageBreakBefore w:val="0"/>
              <w:kinsoku/>
              <w:wordWrap w:val="0"/>
              <w:bidi w:val="0"/>
              <w:spacing w:line="400" w:lineRule="atLeast"/>
              <w:jc w:val="center"/>
              <w:rPr>
                <w:rFonts w:hint="default" w:ascii="Times New Roman" w:hAnsi="Times New Roman" w:cs="Times New Roman"/>
                <w:highlight w:val="none"/>
              </w:rPr>
            </w:pPr>
          </w:p>
        </w:tc>
        <w:tc>
          <w:tcPr>
            <w:tcW w:w="1942" w:type="dxa"/>
            <w:noWrap w:val="0"/>
            <w:vAlign w:val="center"/>
          </w:tcPr>
          <w:p w14:paraId="386D7F96">
            <w:pPr>
              <w:pageBreakBefore w:val="0"/>
              <w:kinsoku/>
              <w:wordWrap w:val="0"/>
              <w:bidi w:val="0"/>
              <w:spacing w:line="400" w:lineRule="atLeast"/>
              <w:jc w:val="center"/>
              <w:rPr>
                <w:rFonts w:hint="default" w:ascii="Times New Roman" w:hAnsi="Times New Roman" w:cs="Times New Roman"/>
                <w:highlight w:val="none"/>
              </w:rPr>
            </w:pPr>
          </w:p>
        </w:tc>
      </w:tr>
    </w:tbl>
    <w:p w14:paraId="27889DDD">
      <w:pPr>
        <w:pStyle w:val="17"/>
        <w:pageBreakBefore w:val="0"/>
        <w:kinsoku/>
        <w:wordWrap w:val="0"/>
        <w:bidi w:val="0"/>
        <w:spacing w:after="0" w:line="400" w:lineRule="atLeast"/>
        <w:ind w:left="735" w:leftChars="0" w:hanging="735" w:hangingChars="350"/>
        <w:rPr>
          <w:rFonts w:hint="default" w:ascii="Times New Roman" w:hAnsi="Times New Roman" w:cs="Times New Roman"/>
          <w:bCs/>
          <w:kern w:val="0"/>
          <w:szCs w:val="21"/>
          <w:highlight w:val="none"/>
        </w:rPr>
      </w:pPr>
      <w:r>
        <w:rPr>
          <w:rFonts w:hint="default" w:ascii="Times New Roman" w:hAnsi="Times New Roman" w:cs="Times New Roman"/>
          <w:szCs w:val="21"/>
          <w:highlight w:val="none"/>
        </w:rPr>
        <w:t>注：本表填报的人员应满足招标文件第二章</w:t>
      </w:r>
      <w:r>
        <w:rPr>
          <w:rFonts w:hint="eastAsia" w:ascii="宋体" w:hAnsi="宋体" w:eastAsia="宋体" w:cs="宋体"/>
          <w:szCs w:val="21"/>
          <w:highlight w:val="none"/>
        </w:rPr>
        <w:t>“</w:t>
      </w:r>
      <w:r>
        <w:rPr>
          <w:rFonts w:hint="default" w:ascii="Times New Roman" w:hAnsi="Times New Roman" w:cs="Times New Roman"/>
          <w:szCs w:val="21"/>
          <w:highlight w:val="none"/>
        </w:rPr>
        <w:t>投标人须知</w:t>
      </w:r>
      <w:r>
        <w:rPr>
          <w:rFonts w:hint="eastAsia" w:ascii="宋体" w:hAnsi="宋体" w:eastAsia="宋体" w:cs="宋体"/>
          <w:szCs w:val="21"/>
          <w:highlight w:val="none"/>
        </w:rPr>
        <w:t>”</w:t>
      </w:r>
      <w:r>
        <w:rPr>
          <w:rFonts w:hint="default" w:ascii="Times New Roman" w:hAnsi="Times New Roman" w:cs="Times New Roman"/>
          <w:szCs w:val="21"/>
          <w:highlight w:val="none"/>
        </w:rPr>
        <w:t>前附表附录6的要求。</w:t>
      </w:r>
    </w:p>
    <w:p w14:paraId="3A1B086A">
      <w:pPr>
        <w:pageBreakBefore w:val="0"/>
        <w:kinsoku/>
        <w:wordWrap w:val="0"/>
        <w:bidi w:val="0"/>
        <w:spacing w:line="400" w:lineRule="atLeast"/>
        <w:jc w:val="center"/>
        <w:rPr>
          <w:rFonts w:hint="default" w:ascii="Times New Roman" w:hAnsi="Times New Roman" w:eastAsia="黑体" w:cs="Times New Roman"/>
          <w:sz w:val="28"/>
          <w:highlight w:val="none"/>
        </w:rPr>
      </w:pPr>
      <w:r>
        <w:rPr>
          <w:rFonts w:hint="default" w:ascii="Times New Roman" w:hAnsi="Times New Roman" w:eastAsia="黑体" w:cs="Times New Roman"/>
          <w:sz w:val="28"/>
          <w:highlight w:val="none"/>
        </w:rPr>
        <w:br w:type="page"/>
      </w:r>
    </w:p>
    <w:p w14:paraId="770DCDB5">
      <w:pPr>
        <w:pStyle w:val="2"/>
        <w:pageBreakBefore w:val="0"/>
        <w:kinsoku/>
        <w:wordWrap w:val="0"/>
        <w:bidi w:val="0"/>
        <w:spacing w:before="0" w:after="0" w:line="380" w:lineRule="atLeast"/>
        <w:jc w:val="center"/>
        <w:rPr>
          <w:rFonts w:hint="default" w:ascii="Times New Roman" w:hAnsi="Times New Roman" w:eastAsia="黑体" w:cs="Times New Roman"/>
          <w:b w:val="0"/>
          <w:sz w:val="24"/>
          <w:szCs w:val="24"/>
          <w:highlight w:val="none"/>
        </w:rPr>
      </w:pPr>
      <w:bookmarkStart w:id="1553" w:name="_Toc31833"/>
      <w:bookmarkStart w:id="1554" w:name="_Toc234833287"/>
      <w:bookmarkStart w:id="1555" w:name="_Toc330"/>
      <w:r>
        <w:rPr>
          <w:rFonts w:hint="default" w:ascii="Times New Roman" w:hAnsi="Times New Roman" w:eastAsia="黑体" w:cs="Times New Roman"/>
          <w:b w:val="0"/>
          <w:sz w:val="24"/>
          <w:szCs w:val="24"/>
          <w:highlight w:val="none"/>
        </w:rPr>
        <w:t>（</w:t>
      </w:r>
      <w:r>
        <w:rPr>
          <w:rFonts w:hint="default" w:ascii="Times New Roman" w:hAnsi="Times New Roman" w:eastAsia="黑体" w:cs="Times New Roman"/>
          <w:b w:val="0"/>
          <w:sz w:val="24"/>
          <w:szCs w:val="24"/>
          <w:highlight w:val="none"/>
          <w:lang w:eastAsia="zh-CN"/>
        </w:rPr>
        <w:t>八</w:t>
      </w:r>
      <w:r>
        <w:rPr>
          <w:rFonts w:hint="default" w:ascii="Times New Roman" w:hAnsi="Times New Roman" w:eastAsia="黑体" w:cs="Times New Roman"/>
          <w:b w:val="0"/>
          <w:sz w:val="24"/>
          <w:szCs w:val="24"/>
          <w:highlight w:val="none"/>
        </w:rPr>
        <w:t>）拟委任的其他管理和技术人员资历表</w:t>
      </w:r>
      <w:r>
        <w:rPr>
          <w:rFonts w:hint="default" w:ascii="Times New Roman" w:hAnsi="Times New Roman" w:eastAsia="黑体" w:cs="Times New Roman"/>
          <w:b w:val="0"/>
          <w:sz w:val="24"/>
          <w:szCs w:val="24"/>
          <w:highlight w:val="none"/>
          <w:vertAlign w:val="superscript"/>
        </w:rPr>
        <w:footnoteReference w:id="39"/>
      </w:r>
      <w:bookmarkEnd w:id="1553"/>
      <w:bookmarkEnd w:id="1554"/>
      <w:bookmarkEnd w:id="1555"/>
    </w:p>
    <w:p w14:paraId="38C711EB">
      <w:pPr>
        <w:pageBreakBefore w:val="0"/>
        <w:widowControl/>
        <w:kinsoku/>
        <w:wordWrap w:val="0"/>
        <w:autoSpaceDE w:val="0"/>
        <w:autoSpaceDN w:val="0"/>
        <w:bidi w:val="0"/>
        <w:spacing w:line="400" w:lineRule="atLeast"/>
        <w:jc w:val="center"/>
        <w:textAlignment w:val="bottom"/>
        <w:rPr>
          <w:rFonts w:hint="default" w:ascii="Times New Roman" w:hAnsi="Times New Roman" w:cs="Times New Roman"/>
          <w:highlight w:val="none"/>
        </w:rPr>
      </w:pP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234"/>
        <w:gridCol w:w="51"/>
        <w:gridCol w:w="1352"/>
        <w:gridCol w:w="103"/>
        <w:gridCol w:w="1060"/>
        <w:gridCol w:w="1381"/>
        <w:gridCol w:w="337"/>
        <w:gridCol w:w="1544"/>
        <w:gridCol w:w="386"/>
        <w:gridCol w:w="1283"/>
      </w:tblGrid>
      <w:tr w14:paraId="6EC91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60" w:hRule="atLeast"/>
        </w:trPr>
        <w:tc>
          <w:tcPr>
            <w:tcW w:w="1234" w:type="dxa"/>
            <w:tcBorders>
              <w:top w:val="single" w:color="auto" w:sz="4" w:space="0"/>
              <w:left w:val="single" w:color="auto" w:sz="4" w:space="0"/>
              <w:bottom w:val="single" w:color="auto" w:sz="4" w:space="0"/>
              <w:right w:val="single" w:color="auto" w:sz="4" w:space="0"/>
            </w:tcBorders>
            <w:noWrap w:val="0"/>
            <w:vAlign w:val="center"/>
          </w:tcPr>
          <w:p w14:paraId="3C341C72">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姓    名</w:t>
            </w:r>
          </w:p>
        </w:tc>
        <w:tc>
          <w:tcPr>
            <w:tcW w:w="1506" w:type="dxa"/>
            <w:gridSpan w:val="3"/>
            <w:tcBorders>
              <w:top w:val="single" w:color="auto" w:sz="4" w:space="0"/>
              <w:left w:val="single" w:color="auto" w:sz="4" w:space="0"/>
              <w:bottom w:val="single" w:color="auto" w:sz="4" w:space="0"/>
              <w:right w:val="single" w:color="auto" w:sz="4" w:space="0"/>
            </w:tcBorders>
            <w:noWrap w:val="0"/>
            <w:vAlign w:val="center"/>
          </w:tcPr>
          <w:p w14:paraId="3871F719">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060" w:type="dxa"/>
            <w:tcBorders>
              <w:top w:val="single" w:color="auto" w:sz="4" w:space="0"/>
              <w:left w:val="single" w:color="auto" w:sz="4" w:space="0"/>
              <w:bottom w:val="single" w:color="auto" w:sz="4" w:space="0"/>
              <w:right w:val="single" w:color="auto" w:sz="4" w:space="0"/>
            </w:tcBorders>
            <w:noWrap w:val="0"/>
            <w:vAlign w:val="center"/>
          </w:tcPr>
          <w:p w14:paraId="2723F36E">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年    龄</w:t>
            </w:r>
          </w:p>
        </w:tc>
        <w:tc>
          <w:tcPr>
            <w:tcW w:w="1381" w:type="dxa"/>
            <w:tcBorders>
              <w:top w:val="single" w:color="auto" w:sz="4" w:space="0"/>
              <w:left w:val="single" w:color="auto" w:sz="4" w:space="0"/>
              <w:bottom w:val="single" w:color="auto" w:sz="4" w:space="0"/>
              <w:right w:val="single" w:color="auto" w:sz="4" w:space="0"/>
            </w:tcBorders>
            <w:noWrap w:val="0"/>
            <w:vAlign w:val="top"/>
          </w:tcPr>
          <w:p w14:paraId="22920385">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881" w:type="dxa"/>
            <w:gridSpan w:val="2"/>
            <w:tcBorders>
              <w:top w:val="single" w:color="auto" w:sz="4" w:space="0"/>
              <w:left w:val="single" w:color="auto" w:sz="4" w:space="0"/>
              <w:bottom w:val="single" w:color="auto" w:sz="4" w:space="0"/>
              <w:right w:val="single" w:color="auto" w:sz="4" w:space="0"/>
            </w:tcBorders>
            <w:noWrap w:val="0"/>
            <w:vAlign w:val="top"/>
          </w:tcPr>
          <w:p w14:paraId="15214A1F">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专    业</w:t>
            </w:r>
          </w:p>
        </w:tc>
        <w:tc>
          <w:tcPr>
            <w:tcW w:w="1669" w:type="dxa"/>
            <w:gridSpan w:val="2"/>
            <w:tcBorders>
              <w:top w:val="single" w:color="auto" w:sz="4" w:space="0"/>
              <w:left w:val="single" w:color="auto" w:sz="4" w:space="0"/>
              <w:bottom w:val="single" w:color="auto" w:sz="4" w:space="0"/>
              <w:right w:val="single" w:color="auto" w:sz="4" w:space="0"/>
            </w:tcBorders>
            <w:noWrap w:val="0"/>
            <w:vAlign w:val="top"/>
          </w:tcPr>
          <w:p w14:paraId="6334F828">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469CC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60" w:hRule="atLeast"/>
        </w:trPr>
        <w:tc>
          <w:tcPr>
            <w:tcW w:w="1234" w:type="dxa"/>
            <w:tcBorders>
              <w:top w:val="single" w:color="auto" w:sz="4" w:space="0"/>
              <w:left w:val="single" w:color="auto" w:sz="4" w:space="0"/>
              <w:bottom w:val="single" w:color="auto" w:sz="4" w:space="0"/>
              <w:right w:val="single" w:color="auto" w:sz="4" w:space="0"/>
            </w:tcBorders>
            <w:noWrap w:val="0"/>
            <w:vAlign w:val="center"/>
          </w:tcPr>
          <w:p w14:paraId="33BB0925">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技术职称</w:t>
            </w:r>
          </w:p>
        </w:tc>
        <w:tc>
          <w:tcPr>
            <w:tcW w:w="1506" w:type="dxa"/>
            <w:gridSpan w:val="3"/>
            <w:tcBorders>
              <w:top w:val="single" w:color="auto" w:sz="4" w:space="0"/>
              <w:left w:val="single" w:color="auto" w:sz="4" w:space="0"/>
              <w:bottom w:val="single" w:color="auto" w:sz="4" w:space="0"/>
              <w:right w:val="single" w:color="auto" w:sz="4" w:space="0"/>
            </w:tcBorders>
            <w:noWrap w:val="0"/>
            <w:vAlign w:val="center"/>
          </w:tcPr>
          <w:p w14:paraId="4C12C461">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060" w:type="dxa"/>
            <w:tcBorders>
              <w:top w:val="single" w:color="auto" w:sz="4" w:space="0"/>
              <w:left w:val="single" w:color="auto" w:sz="4" w:space="0"/>
              <w:bottom w:val="single" w:color="auto" w:sz="4" w:space="0"/>
              <w:right w:val="single" w:color="auto" w:sz="4" w:space="0"/>
            </w:tcBorders>
            <w:noWrap w:val="0"/>
            <w:vAlign w:val="center"/>
          </w:tcPr>
          <w:p w14:paraId="6C100626">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学    历</w:t>
            </w:r>
          </w:p>
        </w:tc>
        <w:tc>
          <w:tcPr>
            <w:tcW w:w="1381" w:type="dxa"/>
            <w:tcBorders>
              <w:top w:val="single" w:color="auto" w:sz="4" w:space="0"/>
              <w:left w:val="single" w:color="auto" w:sz="4" w:space="0"/>
              <w:bottom w:val="single" w:color="auto" w:sz="4" w:space="0"/>
              <w:right w:val="single" w:color="auto" w:sz="4" w:space="0"/>
            </w:tcBorders>
            <w:noWrap w:val="0"/>
            <w:vAlign w:val="top"/>
          </w:tcPr>
          <w:p w14:paraId="157F2DD7">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881" w:type="dxa"/>
            <w:gridSpan w:val="2"/>
            <w:tcBorders>
              <w:top w:val="single" w:color="auto" w:sz="4" w:space="0"/>
              <w:left w:val="single" w:color="auto" w:sz="4" w:space="0"/>
              <w:bottom w:val="single" w:color="auto" w:sz="4" w:space="0"/>
              <w:right w:val="single" w:color="auto" w:sz="4" w:space="0"/>
            </w:tcBorders>
            <w:noWrap w:val="0"/>
            <w:vAlign w:val="top"/>
          </w:tcPr>
          <w:p w14:paraId="7D23B819">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拟在本标段</w:t>
            </w:r>
          </w:p>
          <w:p w14:paraId="23ED3BDE">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工程任职</w:t>
            </w:r>
          </w:p>
        </w:tc>
        <w:tc>
          <w:tcPr>
            <w:tcW w:w="1669" w:type="dxa"/>
            <w:gridSpan w:val="2"/>
            <w:tcBorders>
              <w:top w:val="single" w:color="auto" w:sz="4" w:space="0"/>
              <w:left w:val="single" w:color="auto" w:sz="4" w:space="0"/>
              <w:bottom w:val="single" w:color="auto" w:sz="4" w:space="0"/>
              <w:right w:val="single" w:color="auto" w:sz="4" w:space="0"/>
            </w:tcBorders>
            <w:noWrap w:val="0"/>
            <w:vAlign w:val="top"/>
          </w:tcPr>
          <w:p w14:paraId="2310DD50">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0125B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34" w:type="dxa"/>
            <w:noWrap w:val="0"/>
            <w:vAlign w:val="center"/>
          </w:tcPr>
          <w:p w14:paraId="654DFE4B">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工作年限</w:t>
            </w:r>
          </w:p>
        </w:tc>
        <w:tc>
          <w:tcPr>
            <w:tcW w:w="3947" w:type="dxa"/>
            <w:gridSpan w:val="5"/>
            <w:noWrap w:val="0"/>
            <w:vAlign w:val="center"/>
          </w:tcPr>
          <w:p w14:paraId="2FF7B24E">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881" w:type="dxa"/>
            <w:gridSpan w:val="2"/>
            <w:noWrap w:val="0"/>
            <w:vAlign w:val="center"/>
          </w:tcPr>
          <w:p w14:paraId="40BDC2BC">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类似施工经验年限</w:t>
            </w:r>
          </w:p>
        </w:tc>
        <w:tc>
          <w:tcPr>
            <w:tcW w:w="1669" w:type="dxa"/>
            <w:gridSpan w:val="2"/>
            <w:noWrap w:val="0"/>
            <w:vAlign w:val="top"/>
          </w:tcPr>
          <w:p w14:paraId="73C19974">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1FB10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03" w:hRule="atLeast"/>
        </w:trPr>
        <w:tc>
          <w:tcPr>
            <w:tcW w:w="1234" w:type="dxa"/>
            <w:noWrap w:val="0"/>
            <w:vAlign w:val="center"/>
          </w:tcPr>
          <w:p w14:paraId="509538DD">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毕业学校</w:t>
            </w:r>
          </w:p>
        </w:tc>
        <w:tc>
          <w:tcPr>
            <w:tcW w:w="7497" w:type="dxa"/>
            <w:gridSpan w:val="9"/>
            <w:noWrap w:val="0"/>
            <w:vAlign w:val="center"/>
          </w:tcPr>
          <w:p w14:paraId="200617C4">
            <w:pPr>
              <w:pageBreakBefore w:val="0"/>
              <w:widowControl/>
              <w:kinsoku/>
              <w:wordWrap w:val="0"/>
              <w:autoSpaceDE w:val="0"/>
              <w:autoSpaceDN w:val="0"/>
              <w:bidi w:val="0"/>
              <w:spacing w:before="60" w:beforeLines="25" w:after="60" w:afterLines="25" w:line="400" w:lineRule="atLeast"/>
              <w:ind w:left="-187" w:leftChars="-89"/>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______年___月毕业于___________________学校___________专业，学制______年</w:t>
            </w:r>
          </w:p>
        </w:tc>
      </w:tr>
      <w:tr w14:paraId="43E21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8731" w:type="dxa"/>
            <w:gridSpan w:val="10"/>
            <w:noWrap w:val="0"/>
            <w:vAlign w:val="center"/>
          </w:tcPr>
          <w:p w14:paraId="35615104">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经         历</w:t>
            </w:r>
          </w:p>
        </w:tc>
      </w:tr>
      <w:tr w14:paraId="27295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34979929">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highlight w:val="none"/>
              </w:rPr>
              <w:t>时  间</w:t>
            </w:r>
          </w:p>
        </w:tc>
        <w:tc>
          <w:tcPr>
            <w:tcW w:w="4233" w:type="dxa"/>
            <w:gridSpan w:val="5"/>
            <w:noWrap w:val="0"/>
            <w:vAlign w:val="center"/>
          </w:tcPr>
          <w:p w14:paraId="2ED24F45">
            <w:pPr>
              <w:pStyle w:val="86"/>
              <w:pageBreakBefore w:val="0"/>
              <w:widowControl/>
              <w:kinsoku/>
              <w:wordWrap w:val="0"/>
              <w:bidi w:val="0"/>
              <w:adjustRightInd/>
              <w:snapToGrid/>
              <w:spacing w:before="60" w:beforeLines="25" w:after="60" w:afterLines="25" w:line="400" w:lineRule="atLeast"/>
              <w:textAlignment w:val="bottom"/>
              <w:rPr>
                <w:rFonts w:hint="default" w:ascii="Times New Roman" w:hAnsi="Times New Roman" w:cs="Times New Roman"/>
                <w:spacing w:val="0"/>
                <w:kern w:val="2"/>
                <w:szCs w:val="21"/>
                <w:highlight w:val="none"/>
              </w:rPr>
            </w:pPr>
            <w:r>
              <w:rPr>
                <w:rFonts w:hint="default" w:ascii="Times New Roman" w:hAnsi="Times New Roman" w:cs="Times New Roman"/>
                <w:spacing w:val="0"/>
                <w:kern w:val="2"/>
                <w:szCs w:val="21"/>
                <w:highlight w:val="none"/>
              </w:rPr>
              <w:t>参加过的类似工程项目名称</w:t>
            </w:r>
          </w:p>
        </w:tc>
        <w:tc>
          <w:tcPr>
            <w:tcW w:w="1930" w:type="dxa"/>
            <w:gridSpan w:val="2"/>
            <w:noWrap w:val="0"/>
            <w:vAlign w:val="center"/>
          </w:tcPr>
          <w:p w14:paraId="2221A334">
            <w:pPr>
              <w:pStyle w:val="86"/>
              <w:pageBreakBefore w:val="0"/>
              <w:widowControl/>
              <w:kinsoku/>
              <w:wordWrap w:val="0"/>
              <w:bidi w:val="0"/>
              <w:adjustRightInd/>
              <w:snapToGrid/>
              <w:spacing w:before="60" w:beforeLines="25" w:after="60" w:afterLines="25" w:line="400" w:lineRule="atLeast"/>
              <w:textAlignment w:val="bottom"/>
              <w:rPr>
                <w:rFonts w:hint="default" w:ascii="Times New Roman" w:hAnsi="Times New Roman" w:cs="Times New Roman"/>
                <w:spacing w:val="0"/>
                <w:kern w:val="2"/>
                <w:szCs w:val="21"/>
                <w:highlight w:val="none"/>
              </w:rPr>
            </w:pPr>
            <w:r>
              <w:rPr>
                <w:rFonts w:hint="default" w:ascii="Times New Roman" w:hAnsi="Times New Roman" w:cs="Times New Roman"/>
                <w:spacing w:val="0"/>
                <w:kern w:val="2"/>
                <w:szCs w:val="21"/>
                <w:highlight w:val="none"/>
              </w:rPr>
              <w:t>担任职务</w:t>
            </w:r>
          </w:p>
        </w:tc>
        <w:tc>
          <w:tcPr>
            <w:tcW w:w="1283" w:type="dxa"/>
            <w:noWrap w:val="0"/>
            <w:vAlign w:val="center"/>
          </w:tcPr>
          <w:p w14:paraId="70541781">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发包人及联系电话</w:t>
            </w:r>
          </w:p>
        </w:tc>
      </w:tr>
      <w:tr w14:paraId="30857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19327B3E">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4233" w:type="dxa"/>
            <w:gridSpan w:val="5"/>
            <w:noWrap w:val="0"/>
            <w:vAlign w:val="center"/>
          </w:tcPr>
          <w:p w14:paraId="4E8A60B5">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930" w:type="dxa"/>
            <w:gridSpan w:val="2"/>
            <w:noWrap w:val="0"/>
            <w:vAlign w:val="top"/>
          </w:tcPr>
          <w:p w14:paraId="5CC8C694">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c>
          <w:tcPr>
            <w:tcW w:w="1283" w:type="dxa"/>
            <w:noWrap w:val="0"/>
            <w:vAlign w:val="top"/>
          </w:tcPr>
          <w:p w14:paraId="6D62C122">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3265D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41A705C8">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4233" w:type="dxa"/>
            <w:gridSpan w:val="5"/>
            <w:noWrap w:val="0"/>
            <w:vAlign w:val="center"/>
          </w:tcPr>
          <w:p w14:paraId="2157A8DE">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930" w:type="dxa"/>
            <w:gridSpan w:val="2"/>
            <w:noWrap w:val="0"/>
            <w:vAlign w:val="top"/>
          </w:tcPr>
          <w:p w14:paraId="78E8D3CF">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c>
          <w:tcPr>
            <w:tcW w:w="1283" w:type="dxa"/>
            <w:noWrap w:val="0"/>
            <w:vAlign w:val="top"/>
          </w:tcPr>
          <w:p w14:paraId="7B360951">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642C4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2AA9D80F">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4233" w:type="dxa"/>
            <w:gridSpan w:val="5"/>
            <w:noWrap w:val="0"/>
            <w:vAlign w:val="center"/>
          </w:tcPr>
          <w:p w14:paraId="2514DB03">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930" w:type="dxa"/>
            <w:gridSpan w:val="2"/>
            <w:noWrap w:val="0"/>
            <w:vAlign w:val="top"/>
          </w:tcPr>
          <w:p w14:paraId="7F8D25DC">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c>
          <w:tcPr>
            <w:tcW w:w="1283" w:type="dxa"/>
            <w:noWrap w:val="0"/>
            <w:vAlign w:val="top"/>
          </w:tcPr>
          <w:p w14:paraId="2DA15F39">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470DE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526FD70C">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4233" w:type="dxa"/>
            <w:gridSpan w:val="5"/>
            <w:noWrap w:val="0"/>
            <w:vAlign w:val="center"/>
          </w:tcPr>
          <w:p w14:paraId="3E185D4B">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930" w:type="dxa"/>
            <w:gridSpan w:val="2"/>
            <w:noWrap w:val="0"/>
            <w:vAlign w:val="top"/>
          </w:tcPr>
          <w:p w14:paraId="1B1048B2">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c>
          <w:tcPr>
            <w:tcW w:w="1283" w:type="dxa"/>
            <w:noWrap w:val="0"/>
            <w:vAlign w:val="top"/>
          </w:tcPr>
          <w:p w14:paraId="4333083F">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7E203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030824A3">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4233" w:type="dxa"/>
            <w:gridSpan w:val="5"/>
            <w:noWrap w:val="0"/>
            <w:vAlign w:val="center"/>
          </w:tcPr>
          <w:p w14:paraId="04D57602">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930" w:type="dxa"/>
            <w:gridSpan w:val="2"/>
            <w:noWrap w:val="0"/>
            <w:vAlign w:val="top"/>
          </w:tcPr>
          <w:p w14:paraId="57B47B6D">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c>
          <w:tcPr>
            <w:tcW w:w="1283" w:type="dxa"/>
            <w:noWrap w:val="0"/>
            <w:vAlign w:val="top"/>
          </w:tcPr>
          <w:p w14:paraId="3A3E3D04">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383EC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10BA6CDF">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4233" w:type="dxa"/>
            <w:gridSpan w:val="5"/>
            <w:noWrap w:val="0"/>
            <w:vAlign w:val="center"/>
          </w:tcPr>
          <w:p w14:paraId="560F23A6">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930" w:type="dxa"/>
            <w:gridSpan w:val="2"/>
            <w:noWrap w:val="0"/>
            <w:vAlign w:val="top"/>
          </w:tcPr>
          <w:p w14:paraId="4F474263">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c>
          <w:tcPr>
            <w:tcW w:w="1283" w:type="dxa"/>
            <w:noWrap w:val="0"/>
            <w:vAlign w:val="top"/>
          </w:tcPr>
          <w:p w14:paraId="65A89489">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69775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02118F8B">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4233" w:type="dxa"/>
            <w:gridSpan w:val="5"/>
            <w:noWrap w:val="0"/>
            <w:vAlign w:val="center"/>
          </w:tcPr>
          <w:p w14:paraId="1FDD159E">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930" w:type="dxa"/>
            <w:gridSpan w:val="2"/>
            <w:noWrap w:val="0"/>
            <w:vAlign w:val="top"/>
          </w:tcPr>
          <w:p w14:paraId="0F5A2314">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c>
          <w:tcPr>
            <w:tcW w:w="1283" w:type="dxa"/>
            <w:noWrap w:val="0"/>
            <w:vAlign w:val="top"/>
          </w:tcPr>
          <w:p w14:paraId="730171F6">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1A8AC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2637" w:type="dxa"/>
            <w:gridSpan w:val="3"/>
            <w:noWrap w:val="0"/>
            <w:vAlign w:val="center"/>
          </w:tcPr>
          <w:p w14:paraId="200D7AF8">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获奖情况</w:t>
            </w:r>
          </w:p>
        </w:tc>
        <w:tc>
          <w:tcPr>
            <w:tcW w:w="6094" w:type="dxa"/>
            <w:gridSpan w:val="7"/>
            <w:noWrap w:val="0"/>
            <w:vAlign w:val="top"/>
          </w:tcPr>
          <w:p w14:paraId="3D4BC79D">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0C6B9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2637" w:type="dxa"/>
            <w:gridSpan w:val="3"/>
            <w:noWrap w:val="0"/>
            <w:vAlign w:val="center"/>
          </w:tcPr>
          <w:p w14:paraId="2BE2C241">
            <w:pPr>
              <w:pageBreakBefore w:val="0"/>
              <w:widowControl/>
              <w:kinsoku/>
              <w:wordWrap w:val="0"/>
              <w:autoSpaceDE w:val="0"/>
              <w:autoSpaceDN w:val="0"/>
              <w:bidi w:val="0"/>
              <w:spacing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说明在岗情况</w:t>
            </w:r>
          </w:p>
        </w:tc>
        <w:tc>
          <w:tcPr>
            <w:tcW w:w="6094" w:type="dxa"/>
            <w:gridSpan w:val="7"/>
            <w:noWrap w:val="0"/>
            <w:vAlign w:val="top"/>
          </w:tcPr>
          <w:p w14:paraId="6A619DF3">
            <w:pPr>
              <w:pStyle w:val="15"/>
              <w:pageBreakBefore w:val="0"/>
              <w:kinsoku/>
              <w:wordWrap w:val="0"/>
              <w:topLinePunct/>
              <w:bidi w:val="0"/>
              <w:spacing w:line="360" w:lineRule="atLeast"/>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□目前未在其他项目上任职，现从事工作为：</w:t>
            </w:r>
            <w:r>
              <w:rPr>
                <w:rFonts w:hint="default" w:ascii="Times New Roman" w:hAnsi="Times New Roman" w:cs="Times New Roman"/>
                <w:sz w:val="21"/>
                <w:szCs w:val="21"/>
                <w:highlight w:val="none"/>
                <w:u w:val="single"/>
              </w:rPr>
              <w:t xml:space="preserve">              </w:t>
            </w:r>
            <w:r>
              <w:rPr>
                <w:rFonts w:hint="default" w:ascii="Times New Roman" w:hAnsi="Times New Roman" w:cs="Times New Roman"/>
                <w:sz w:val="21"/>
                <w:szCs w:val="21"/>
                <w:highlight w:val="none"/>
              </w:rPr>
              <w:t>。</w:t>
            </w:r>
          </w:p>
          <w:p w14:paraId="41DBDAF0">
            <w:pPr>
              <w:pageBreakBefore w:val="0"/>
              <w:widowControl/>
              <w:kinsoku/>
              <w:wordWrap w:val="0"/>
              <w:autoSpaceDE w:val="0"/>
              <w:autoSpaceDN w:val="0"/>
              <w:bidi w:val="0"/>
              <w:spacing w:line="400" w:lineRule="atLeast"/>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□目前虽</w:t>
            </w:r>
            <w:r>
              <w:rPr>
                <w:rFonts w:hint="default" w:ascii="Times New Roman" w:hAnsi="Times New Roman" w:cs="Times New Roman"/>
                <w:highlight w:val="none"/>
              </w:rPr>
              <w:t>在其他项目</w:t>
            </w:r>
            <w:r>
              <w:rPr>
                <w:rFonts w:hint="default" w:ascii="Times New Roman" w:hAnsi="Times New Roman" w:cs="Times New Roman"/>
                <w:szCs w:val="21"/>
                <w:highlight w:val="none"/>
              </w:rPr>
              <w:t>上</w:t>
            </w:r>
            <w:r>
              <w:rPr>
                <w:rFonts w:hint="default" w:ascii="Times New Roman" w:hAnsi="Times New Roman" w:cs="Times New Roman"/>
                <w:highlight w:val="none"/>
              </w:rPr>
              <w:t>任职，但本项目中标后能够从该项目撤离，目前任职项目：</w:t>
            </w:r>
            <w:r>
              <w:rPr>
                <w:rFonts w:hint="default" w:ascii="Times New Roman" w:hAnsi="Times New Roman" w:cs="Times New Roman"/>
                <w:highlight w:val="none"/>
                <w:u w:val="single"/>
              </w:rPr>
              <w:t xml:space="preserve">                 </w:t>
            </w:r>
            <w:r>
              <w:rPr>
                <w:rFonts w:hint="default" w:ascii="Times New Roman" w:hAnsi="Times New Roman" w:cs="Times New Roman"/>
                <w:highlight w:val="none"/>
              </w:rPr>
              <w:t>，担任职位：</w:t>
            </w:r>
            <w:r>
              <w:rPr>
                <w:rFonts w:hint="default" w:ascii="Times New Roman" w:hAnsi="Times New Roman" w:cs="Times New Roman"/>
                <w:szCs w:val="21"/>
                <w:highlight w:val="none"/>
                <w:u w:val="single"/>
              </w:rPr>
              <w:t xml:space="preserve">           </w:t>
            </w:r>
            <w:r>
              <w:rPr>
                <w:rFonts w:hint="default" w:ascii="Times New Roman" w:hAnsi="Times New Roman" w:cs="Times New Roman"/>
                <w:highlight w:val="none"/>
              </w:rPr>
              <w:t>。</w:t>
            </w:r>
          </w:p>
        </w:tc>
      </w:tr>
      <w:tr w14:paraId="24B98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2637" w:type="dxa"/>
            <w:gridSpan w:val="3"/>
            <w:noWrap w:val="0"/>
            <w:vAlign w:val="center"/>
          </w:tcPr>
          <w:p w14:paraId="048E8514">
            <w:pPr>
              <w:pageBreakBefore w:val="0"/>
              <w:widowControl/>
              <w:kinsoku/>
              <w:wordWrap w:val="0"/>
              <w:autoSpaceDE w:val="0"/>
              <w:autoSpaceDN w:val="0"/>
              <w:bidi w:val="0"/>
              <w:spacing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备     注</w:t>
            </w:r>
          </w:p>
        </w:tc>
        <w:tc>
          <w:tcPr>
            <w:tcW w:w="6094" w:type="dxa"/>
            <w:gridSpan w:val="7"/>
            <w:noWrap w:val="0"/>
            <w:vAlign w:val="top"/>
          </w:tcPr>
          <w:p w14:paraId="78695E16">
            <w:pPr>
              <w:pageBreakBefore w:val="0"/>
              <w:widowControl/>
              <w:kinsoku/>
              <w:wordWrap w:val="0"/>
              <w:autoSpaceDE w:val="0"/>
              <w:autoSpaceDN w:val="0"/>
              <w:bidi w:val="0"/>
              <w:spacing w:line="400" w:lineRule="atLeast"/>
              <w:textAlignment w:val="bottom"/>
              <w:rPr>
                <w:rFonts w:hint="default" w:ascii="Times New Roman" w:hAnsi="Times New Roman" w:cs="Times New Roman"/>
                <w:szCs w:val="21"/>
                <w:highlight w:val="none"/>
              </w:rPr>
            </w:pPr>
          </w:p>
        </w:tc>
      </w:tr>
    </w:tbl>
    <w:p w14:paraId="63180134">
      <w:pPr>
        <w:pStyle w:val="17"/>
        <w:pageBreakBefore w:val="0"/>
        <w:kinsoku/>
        <w:wordWrap w:val="0"/>
        <w:bidi w:val="0"/>
        <w:spacing w:after="0" w:line="400" w:lineRule="atLeast"/>
        <w:ind w:left="588" w:leftChars="0" w:right="-61" w:rightChars="-29" w:hanging="588" w:hangingChars="280"/>
        <w:rPr>
          <w:rFonts w:hint="default" w:ascii="Times New Roman" w:hAnsi="Times New Roman" w:cs="Times New Roman"/>
          <w:szCs w:val="21"/>
          <w:highlight w:val="none"/>
        </w:rPr>
      </w:pPr>
      <w:r>
        <w:rPr>
          <w:rFonts w:hint="default" w:ascii="Times New Roman" w:hAnsi="Times New Roman" w:cs="Times New Roman"/>
          <w:szCs w:val="21"/>
          <w:highlight w:val="none"/>
        </w:rPr>
        <w:t>注：1.本表人员应与表（七）中所列人员相一致。</w:t>
      </w:r>
    </w:p>
    <w:p w14:paraId="68E447CF">
      <w:pPr>
        <w:pStyle w:val="17"/>
        <w:pageBreakBefore w:val="0"/>
        <w:kinsoku/>
        <w:wordWrap w:val="0"/>
        <w:bidi w:val="0"/>
        <w:spacing w:after="0" w:line="400" w:lineRule="atLeast"/>
        <w:rPr>
          <w:rFonts w:hint="default" w:ascii="Times New Roman" w:hAnsi="Times New Roman" w:cs="Times New Roman"/>
          <w:bCs/>
          <w:kern w:val="0"/>
          <w:szCs w:val="21"/>
          <w:highlight w:val="none"/>
        </w:rPr>
      </w:pPr>
      <w:r>
        <w:rPr>
          <w:rFonts w:hint="default" w:ascii="Times New Roman" w:hAnsi="Times New Roman" w:cs="Times New Roman"/>
          <w:bCs/>
          <w:kern w:val="0"/>
          <w:szCs w:val="21"/>
          <w:highlight w:val="none"/>
        </w:rPr>
        <w:t>2.</w:t>
      </w:r>
      <w:r>
        <w:rPr>
          <w:rFonts w:hint="default" w:ascii="Times New Roman" w:hAnsi="Times New Roman" w:cs="Times New Roman"/>
          <w:highlight w:val="none"/>
        </w:rPr>
        <w:t>投标人应根据招标文件第二章</w:t>
      </w:r>
      <w:r>
        <w:rPr>
          <w:rFonts w:hint="eastAsia" w:ascii="宋体" w:hAnsi="宋体" w:eastAsia="宋体" w:cs="宋体"/>
          <w:highlight w:val="none"/>
        </w:rPr>
        <w:t>“</w:t>
      </w:r>
      <w:r>
        <w:rPr>
          <w:rFonts w:hint="default" w:ascii="Times New Roman" w:hAnsi="Times New Roman" w:cs="Times New Roman"/>
          <w:highlight w:val="none"/>
        </w:rPr>
        <w:t>投标人须知</w:t>
      </w:r>
      <w:r>
        <w:rPr>
          <w:rFonts w:hint="eastAsia" w:ascii="宋体" w:hAnsi="宋体" w:eastAsia="宋体" w:cs="宋体"/>
          <w:highlight w:val="none"/>
        </w:rPr>
        <w:t>”</w:t>
      </w:r>
      <w:r>
        <w:rPr>
          <w:rFonts w:hint="default" w:ascii="Times New Roman" w:hAnsi="Times New Roman" w:cs="Times New Roman"/>
          <w:highlight w:val="none"/>
        </w:rPr>
        <w:t>第3.5.6项的要求在本表后附相关证明材料。</w:t>
      </w:r>
    </w:p>
    <w:p w14:paraId="0BD26C4A">
      <w:pPr>
        <w:pStyle w:val="2"/>
        <w:pageBreakBefore w:val="0"/>
        <w:kinsoku/>
        <w:wordWrap w:val="0"/>
        <w:bidi w:val="0"/>
        <w:spacing w:before="0" w:after="0" w:line="400" w:lineRule="atLeast"/>
        <w:jc w:val="center"/>
        <w:rPr>
          <w:rFonts w:hint="default" w:ascii="Times New Roman" w:hAnsi="Times New Roman" w:eastAsia="黑体" w:cs="Times New Roman"/>
          <w:b w:val="0"/>
          <w:sz w:val="24"/>
          <w:szCs w:val="24"/>
          <w:highlight w:val="none"/>
        </w:rPr>
      </w:pPr>
      <w:r>
        <w:rPr>
          <w:rFonts w:hint="default" w:ascii="Times New Roman" w:hAnsi="Times New Roman" w:eastAsia="黑体" w:cs="Times New Roman"/>
          <w:sz w:val="24"/>
          <w:highlight w:val="none"/>
        </w:rPr>
        <w:br w:type="page"/>
      </w:r>
      <w:bookmarkStart w:id="1556" w:name="_Toc234833288"/>
      <w:bookmarkStart w:id="1557" w:name="_Toc5163"/>
      <w:bookmarkStart w:id="1558" w:name="_Toc26111"/>
      <w:r>
        <w:rPr>
          <w:rFonts w:hint="default" w:ascii="Times New Roman" w:hAnsi="Times New Roman" w:eastAsia="黑体" w:cs="Times New Roman"/>
          <w:b w:val="0"/>
          <w:sz w:val="24"/>
          <w:szCs w:val="24"/>
          <w:highlight w:val="none"/>
        </w:rPr>
        <w:t>（</w:t>
      </w:r>
      <w:r>
        <w:rPr>
          <w:rFonts w:hint="default" w:ascii="Times New Roman" w:hAnsi="Times New Roman" w:eastAsia="黑体" w:cs="Times New Roman"/>
          <w:b w:val="0"/>
          <w:sz w:val="24"/>
          <w:szCs w:val="24"/>
          <w:highlight w:val="none"/>
          <w:lang w:eastAsia="zh-CN"/>
        </w:rPr>
        <w:t>九</w:t>
      </w:r>
      <w:r>
        <w:rPr>
          <w:rFonts w:hint="default" w:ascii="Times New Roman" w:hAnsi="Times New Roman" w:eastAsia="黑体" w:cs="Times New Roman"/>
          <w:b w:val="0"/>
          <w:sz w:val="24"/>
          <w:szCs w:val="24"/>
          <w:highlight w:val="none"/>
        </w:rPr>
        <w:t>） 拟投入本标段的主要施工机械表</w:t>
      </w:r>
      <w:r>
        <w:rPr>
          <w:rFonts w:hint="default" w:ascii="Times New Roman" w:hAnsi="Times New Roman" w:eastAsia="黑体" w:cs="Times New Roman"/>
          <w:b w:val="0"/>
          <w:sz w:val="24"/>
          <w:szCs w:val="24"/>
          <w:highlight w:val="none"/>
          <w:vertAlign w:val="superscript"/>
        </w:rPr>
        <w:footnoteReference w:id="40"/>
      </w:r>
      <w:bookmarkEnd w:id="1556"/>
      <w:bookmarkEnd w:id="1557"/>
      <w:bookmarkEnd w:id="1558"/>
    </w:p>
    <w:p w14:paraId="2A11D5FA">
      <w:pPr>
        <w:pageBreakBefore w:val="0"/>
        <w:widowControl/>
        <w:kinsoku/>
        <w:wordWrap w:val="0"/>
        <w:autoSpaceDE w:val="0"/>
        <w:autoSpaceDN w:val="0"/>
        <w:bidi w:val="0"/>
        <w:spacing w:line="400" w:lineRule="atLeast"/>
        <w:ind w:left="180"/>
        <w:textAlignment w:val="bottom"/>
        <w:rPr>
          <w:rFonts w:hint="default" w:ascii="Times New Roman" w:hAnsi="Times New Roman" w:eastAsia="黑体" w:cs="Times New Roman"/>
          <w:sz w:val="23"/>
          <w:szCs w:val="23"/>
          <w:highlight w:val="none"/>
        </w:rPr>
      </w:pPr>
    </w:p>
    <w:tbl>
      <w:tblPr>
        <w:tblStyle w:val="4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4"/>
        <w:gridCol w:w="1085"/>
        <w:gridCol w:w="758"/>
        <w:gridCol w:w="670"/>
        <w:gridCol w:w="659"/>
        <w:gridCol w:w="941"/>
        <w:gridCol w:w="646"/>
        <w:gridCol w:w="430"/>
        <w:gridCol w:w="559"/>
        <w:gridCol w:w="559"/>
        <w:gridCol w:w="561"/>
        <w:gridCol w:w="948"/>
      </w:tblGrid>
      <w:tr w14:paraId="66ECC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814" w:type="dxa"/>
            <w:vMerge w:val="restart"/>
            <w:noWrap w:val="0"/>
            <w:vAlign w:val="center"/>
          </w:tcPr>
          <w:p w14:paraId="19051977">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序号</w:t>
            </w:r>
          </w:p>
        </w:tc>
        <w:tc>
          <w:tcPr>
            <w:tcW w:w="1085" w:type="dxa"/>
            <w:vMerge w:val="restart"/>
            <w:noWrap w:val="0"/>
            <w:vAlign w:val="center"/>
          </w:tcPr>
          <w:p w14:paraId="0B231B48">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设备名称</w:t>
            </w:r>
          </w:p>
        </w:tc>
        <w:tc>
          <w:tcPr>
            <w:tcW w:w="758" w:type="dxa"/>
            <w:vMerge w:val="restart"/>
            <w:noWrap w:val="0"/>
            <w:vAlign w:val="center"/>
          </w:tcPr>
          <w:p w14:paraId="4EB42E52">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型号</w:t>
            </w:r>
          </w:p>
          <w:p w14:paraId="1C4338D0">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规格</w:t>
            </w:r>
          </w:p>
        </w:tc>
        <w:tc>
          <w:tcPr>
            <w:tcW w:w="670" w:type="dxa"/>
            <w:vMerge w:val="restart"/>
            <w:noWrap w:val="0"/>
            <w:vAlign w:val="center"/>
          </w:tcPr>
          <w:p w14:paraId="153A10B2">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国别</w:t>
            </w:r>
          </w:p>
          <w:p w14:paraId="65384B87">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产地</w:t>
            </w:r>
          </w:p>
        </w:tc>
        <w:tc>
          <w:tcPr>
            <w:tcW w:w="659" w:type="dxa"/>
            <w:vMerge w:val="restart"/>
            <w:noWrap w:val="0"/>
            <w:vAlign w:val="center"/>
          </w:tcPr>
          <w:p w14:paraId="63F3D9C6">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制造</w:t>
            </w:r>
          </w:p>
          <w:p w14:paraId="2A8CC5E8">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年份</w:t>
            </w:r>
          </w:p>
        </w:tc>
        <w:tc>
          <w:tcPr>
            <w:tcW w:w="941" w:type="dxa"/>
            <w:vMerge w:val="restart"/>
            <w:noWrap w:val="0"/>
            <w:vAlign w:val="center"/>
          </w:tcPr>
          <w:p w14:paraId="444B28D4">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额定功率（kW）</w:t>
            </w:r>
          </w:p>
        </w:tc>
        <w:tc>
          <w:tcPr>
            <w:tcW w:w="646" w:type="dxa"/>
            <w:vMerge w:val="restart"/>
            <w:noWrap w:val="0"/>
            <w:vAlign w:val="center"/>
          </w:tcPr>
          <w:p w14:paraId="1ABF7AE0">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生产</w:t>
            </w:r>
          </w:p>
          <w:p w14:paraId="45C859D4">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能力</w:t>
            </w:r>
          </w:p>
        </w:tc>
        <w:tc>
          <w:tcPr>
            <w:tcW w:w="2109" w:type="dxa"/>
            <w:gridSpan w:val="4"/>
            <w:noWrap w:val="0"/>
            <w:vAlign w:val="center"/>
          </w:tcPr>
          <w:p w14:paraId="1ECD3B87">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数量（台）</w:t>
            </w:r>
          </w:p>
        </w:tc>
        <w:tc>
          <w:tcPr>
            <w:tcW w:w="948" w:type="dxa"/>
            <w:vMerge w:val="restart"/>
            <w:noWrap w:val="0"/>
            <w:vAlign w:val="center"/>
          </w:tcPr>
          <w:p w14:paraId="4F8D676E">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预计进场时间</w:t>
            </w:r>
          </w:p>
        </w:tc>
      </w:tr>
      <w:tr w14:paraId="4A07B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vMerge w:val="continue"/>
            <w:noWrap w:val="0"/>
            <w:vAlign w:val="center"/>
          </w:tcPr>
          <w:p w14:paraId="1EB33AC5">
            <w:pPr>
              <w:pageBreakBefore w:val="0"/>
              <w:kinsoku/>
              <w:wordWrap w:val="0"/>
              <w:bidi w:val="0"/>
              <w:spacing w:line="400" w:lineRule="atLeast"/>
              <w:rPr>
                <w:rFonts w:hint="default" w:ascii="Times New Roman" w:hAnsi="Times New Roman" w:cs="Times New Roman"/>
                <w:szCs w:val="21"/>
                <w:highlight w:val="none"/>
              </w:rPr>
            </w:pPr>
          </w:p>
        </w:tc>
        <w:tc>
          <w:tcPr>
            <w:tcW w:w="1085" w:type="dxa"/>
            <w:vMerge w:val="continue"/>
            <w:noWrap w:val="0"/>
            <w:vAlign w:val="center"/>
          </w:tcPr>
          <w:p w14:paraId="4D15288D">
            <w:pPr>
              <w:pageBreakBefore w:val="0"/>
              <w:kinsoku/>
              <w:wordWrap w:val="0"/>
              <w:bidi w:val="0"/>
              <w:spacing w:line="400" w:lineRule="atLeast"/>
              <w:jc w:val="center"/>
              <w:rPr>
                <w:rFonts w:hint="default" w:ascii="Times New Roman" w:hAnsi="Times New Roman" w:cs="Times New Roman"/>
                <w:szCs w:val="21"/>
                <w:highlight w:val="none"/>
              </w:rPr>
            </w:pPr>
          </w:p>
        </w:tc>
        <w:tc>
          <w:tcPr>
            <w:tcW w:w="758" w:type="dxa"/>
            <w:vMerge w:val="continue"/>
            <w:noWrap w:val="0"/>
            <w:vAlign w:val="center"/>
          </w:tcPr>
          <w:p w14:paraId="1EC56439">
            <w:pPr>
              <w:pageBreakBefore w:val="0"/>
              <w:kinsoku/>
              <w:wordWrap w:val="0"/>
              <w:bidi w:val="0"/>
              <w:spacing w:line="400" w:lineRule="atLeast"/>
              <w:jc w:val="center"/>
              <w:rPr>
                <w:rFonts w:hint="default" w:ascii="Times New Roman" w:hAnsi="Times New Roman" w:cs="Times New Roman"/>
                <w:szCs w:val="21"/>
                <w:highlight w:val="none"/>
              </w:rPr>
            </w:pPr>
          </w:p>
        </w:tc>
        <w:tc>
          <w:tcPr>
            <w:tcW w:w="670" w:type="dxa"/>
            <w:vMerge w:val="continue"/>
            <w:noWrap w:val="0"/>
            <w:vAlign w:val="center"/>
          </w:tcPr>
          <w:p w14:paraId="4A4E1042">
            <w:pPr>
              <w:pageBreakBefore w:val="0"/>
              <w:kinsoku/>
              <w:wordWrap w:val="0"/>
              <w:bidi w:val="0"/>
              <w:spacing w:line="400" w:lineRule="atLeast"/>
              <w:jc w:val="center"/>
              <w:rPr>
                <w:rFonts w:hint="default" w:ascii="Times New Roman" w:hAnsi="Times New Roman" w:cs="Times New Roman"/>
                <w:szCs w:val="21"/>
                <w:highlight w:val="none"/>
              </w:rPr>
            </w:pPr>
          </w:p>
        </w:tc>
        <w:tc>
          <w:tcPr>
            <w:tcW w:w="659" w:type="dxa"/>
            <w:vMerge w:val="continue"/>
            <w:noWrap w:val="0"/>
            <w:vAlign w:val="center"/>
          </w:tcPr>
          <w:p w14:paraId="30B2F2C9">
            <w:pPr>
              <w:pageBreakBefore w:val="0"/>
              <w:kinsoku/>
              <w:wordWrap w:val="0"/>
              <w:bidi w:val="0"/>
              <w:spacing w:line="400" w:lineRule="atLeast"/>
              <w:jc w:val="center"/>
              <w:rPr>
                <w:rFonts w:hint="default" w:ascii="Times New Roman" w:hAnsi="Times New Roman" w:cs="Times New Roman"/>
                <w:szCs w:val="21"/>
                <w:highlight w:val="none"/>
              </w:rPr>
            </w:pPr>
          </w:p>
        </w:tc>
        <w:tc>
          <w:tcPr>
            <w:tcW w:w="941" w:type="dxa"/>
            <w:vMerge w:val="continue"/>
            <w:noWrap w:val="0"/>
            <w:vAlign w:val="center"/>
          </w:tcPr>
          <w:p w14:paraId="3034D39B">
            <w:pPr>
              <w:pageBreakBefore w:val="0"/>
              <w:kinsoku/>
              <w:wordWrap w:val="0"/>
              <w:bidi w:val="0"/>
              <w:spacing w:line="400" w:lineRule="atLeast"/>
              <w:jc w:val="center"/>
              <w:rPr>
                <w:rFonts w:hint="default" w:ascii="Times New Roman" w:hAnsi="Times New Roman" w:cs="Times New Roman"/>
                <w:szCs w:val="21"/>
                <w:highlight w:val="none"/>
              </w:rPr>
            </w:pPr>
          </w:p>
        </w:tc>
        <w:tc>
          <w:tcPr>
            <w:tcW w:w="646" w:type="dxa"/>
            <w:vMerge w:val="continue"/>
            <w:noWrap w:val="0"/>
            <w:vAlign w:val="center"/>
          </w:tcPr>
          <w:p w14:paraId="6BE2B6E8">
            <w:pPr>
              <w:pageBreakBefore w:val="0"/>
              <w:kinsoku/>
              <w:wordWrap w:val="0"/>
              <w:bidi w:val="0"/>
              <w:spacing w:line="400" w:lineRule="atLeast"/>
              <w:jc w:val="center"/>
              <w:rPr>
                <w:rFonts w:hint="default" w:ascii="Times New Roman" w:hAnsi="Times New Roman" w:cs="Times New Roman"/>
                <w:szCs w:val="21"/>
                <w:highlight w:val="none"/>
              </w:rPr>
            </w:pPr>
          </w:p>
        </w:tc>
        <w:tc>
          <w:tcPr>
            <w:tcW w:w="430" w:type="dxa"/>
            <w:vMerge w:val="restart"/>
            <w:noWrap w:val="0"/>
            <w:vAlign w:val="center"/>
          </w:tcPr>
          <w:p w14:paraId="12E15C2B">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小计</w:t>
            </w:r>
          </w:p>
        </w:tc>
        <w:tc>
          <w:tcPr>
            <w:tcW w:w="1679" w:type="dxa"/>
            <w:gridSpan w:val="3"/>
            <w:noWrap w:val="0"/>
            <w:vAlign w:val="center"/>
          </w:tcPr>
          <w:p w14:paraId="2C393128">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其 中</w:t>
            </w:r>
          </w:p>
        </w:tc>
        <w:tc>
          <w:tcPr>
            <w:tcW w:w="948" w:type="dxa"/>
            <w:vMerge w:val="continue"/>
            <w:noWrap w:val="0"/>
            <w:vAlign w:val="center"/>
          </w:tcPr>
          <w:p w14:paraId="79F6F518">
            <w:pPr>
              <w:pageBreakBefore w:val="0"/>
              <w:kinsoku/>
              <w:wordWrap w:val="0"/>
              <w:bidi w:val="0"/>
              <w:spacing w:line="400" w:lineRule="atLeast"/>
              <w:jc w:val="center"/>
              <w:rPr>
                <w:rFonts w:hint="default" w:ascii="Times New Roman" w:hAnsi="Times New Roman" w:cs="Times New Roman"/>
                <w:szCs w:val="21"/>
                <w:highlight w:val="none"/>
              </w:rPr>
            </w:pPr>
          </w:p>
        </w:tc>
      </w:tr>
      <w:tr w14:paraId="77DAC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814" w:type="dxa"/>
            <w:vMerge w:val="continue"/>
            <w:noWrap w:val="0"/>
            <w:vAlign w:val="center"/>
          </w:tcPr>
          <w:p w14:paraId="26CD1200">
            <w:pPr>
              <w:pageBreakBefore w:val="0"/>
              <w:kinsoku/>
              <w:wordWrap w:val="0"/>
              <w:bidi w:val="0"/>
              <w:spacing w:line="400" w:lineRule="atLeast"/>
              <w:rPr>
                <w:rFonts w:hint="default" w:ascii="Times New Roman" w:hAnsi="Times New Roman" w:cs="Times New Roman"/>
                <w:szCs w:val="21"/>
                <w:highlight w:val="none"/>
              </w:rPr>
            </w:pPr>
          </w:p>
        </w:tc>
        <w:tc>
          <w:tcPr>
            <w:tcW w:w="1085" w:type="dxa"/>
            <w:vMerge w:val="continue"/>
            <w:noWrap w:val="0"/>
            <w:vAlign w:val="center"/>
          </w:tcPr>
          <w:p w14:paraId="1CB82D27">
            <w:pPr>
              <w:pageBreakBefore w:val="0"/>
              <w:kinsoku/>
              <w:wordWrap w:val="0"/>
              <w:bidi w:val="0"/>
              <w:spacing w:line="400" w:lineRule="atLeast"/>
              <w:jc w:val="center"/>
              <w:rPr>
                <w:rFonts w:hint="default" w:ascii="Times New Roman" w:hAnsi="Times New Roman" w:cs="Times New Roman"/>
                <w:szCs w:val="21"/>
                <w:highlight w:val="none"/>
              </w:rPr>
            </w:pPr>
          </w:p>
        </w:tc>
        <w:tc>
          <w:tcPr>
            <w:tcW w:w="758" w:type="dxa"/>
            <w:vMerge w:val="continue"/>
            <w:noWrap w:val="0"/>
            <w:vAlign w:val="center"/>
          </w:tcPr>
          <w:p w14:paraId="5EB49AD5">
            <w:pPr>
              <w:pageBreakBefore w:val="0"/>
              <w:kinsoku/>
              <w:wordWrap w:val="0"/>
              <w:bidi w:val="0"/>
              <w:spacing w:line="400" w:lineRule="atLeast"/>
              <w:jc w:val="center"/>
              <w:rPr>
                <w:rFonts w:hint="default" w:ascii="Times New Roman" w:hAnsi="Times New Roman" w:cs="Times New Roman"/>
                <w:szCs w:val="21"/>
                <w:highlight w:val="none"/>
              </w:rPr>
            </w:pPr>
          </w:p>
        </w:tc>
        <w:tc>
          <w:tcPr>
            <w:tcW w:w="670" w:type="dxa"/>
            <w:vMerge w:val="continue"/>
            <w:noWrap w:val="0"/>
            <w:vAlign w:val="center"/>
          </w:tcPr>
          <w:p w14:paraId="675076CD">
            <w:pPr>
              <w:pageBreakBefore w:val="0"/>
              <w:kinsoku/>
              <w:wordWrap w:val="0"/>
              <w:bidi w:val="0"/>
              <w:spacing w:line="400" w:lineRule="atLeast"/>
              <w:jc w:val="center"/>
              <w:rPr>
                <w:rFonts w:hint="default" w:ascii="Times New Roman" w:hAnsi="Times New Roman" w:cs="Times New Roman"/>
                <w:szCs w:val="21"/>
                <w:highlight w:val="none"/>
              </w:rPr>
            </w:pPr>
          </w:p>
        </w:tc>
        <w:tc>
          <w:tcPr>
            <w:tcW w:w="659" w:type="dxa"/>
            <w:vMerge w:val="continue"/>
            <w:noWrap w:val="0"/>
            <w:vAlign w:val="center"/>
          </w:tcPr>
          <w:p w14:paraId="4AFC3B00">
            <w:pPr>
              <w:pageBreakBefore w:val="0"/>
              <w:kinsoku/>
              <w:wordWrap w:val="0"/>
              <w:bidi w:val="0"/>
              <w:spacing w:line="400" w:lineRule="atLeast"/>
              <w:jc w:val="center"/>
              <w:rPr>
                <w:rFonts w:hint="default" w:ascii="Times New Roman" w:hAnsi="Times New Roman" w:cs="Times New Roman"/>
                <w:szCs w:val="21"/>
                <w:highlight w:val="none"/>
              </w:rPr>
            </w:pPr>
          </w:p>
        </w:tc>
        <w:tc>
          <w:tcPr>
            <w:tcW w:w="941" w:type="dxa"/>
            <w:vMerge w:val="continue"/>
            <w:noWrap w:val="0"/>
            <w:vAlign w:val="center"/>
          </w:tcPr>
          <w:p w14:paraId="256DDD3B">
            <w:pPr>
              <w:pageBreakBefore w:val="0"/>
              <w:kinsoku/>
              <w:wordWrap w:val="0"/>
              <w:bidi w:val="0"/>
              <w:spacing w:line="400" w:lineRule="atLeast"/>
              <w:jc w:val="center"/>
              <w:rPr>
                <w:rFonts w:hint="default" w:ascii="Times New Roman" w:hAnsi="Times New Roman" w:cs="Times New Roman"/>
                <w:szCs w:val="21"/>
                <w:highlight w:val="none"/>
              </w:rPr>
            </w:pPr>
          </w:p>
        </w:tc>
        <w:tc>
          <w:tcPr>
            <w:tcW w:w="646" w:type="dxa"/>
            <w:vMerge w:val="continue"/>
            <w:noWrap w:val="0"/>
            <w:vAlign w:val="center"/>
          </w:tcPr>
          <w:p w14:paraId="11DA4589">
            <w:pPr>
              <w:pageBreakBefore w:val="0"/>
              <w:kinsoku/>
              <w:wordWrap w:val="0"/>
              <w:bidi w:val="0"/>
              <w:spacing w:line="400" w:lineRule="atLeast"/>
              <w:jc w:val="center"/>
              <w:rPr>
                <w:rFonts w:hint="default" w:ascii="Times New Roman" w:hAnsi="Times New Roman" w:cs="Times New Roman"/>
                <w:szCs w:val="21"/>
                <w:highlight w:val="none"/>
              </w:rPr>
            </w:pPr>
          </w:p>
        </w:tc>
        <w:tc>
          <w:tcPr>
            <w:tcW w:w="430" w:type="dxa"/>
            <w:vMerge w:val="continue"/>
            <w:noWrap w:val="0"/>
            <w:vAlign w:val="center"/>
          </w:tcPr>
          <w:p w14:paraId="63A5B9C7">
            <w:pPr>
              <w:pageBreakBefore w:val="0"/>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center"/>
          </w:tcPr>
          <w:p w14:paraId="0980F8AF">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自有</w:t>
            </w:r>
          </w:p>
        </w:tc>
        <w:tc>
          <w:tcPr>
            <w:tcW w:w="559" w:type="dxa"/>
            <w:noWrap w:val="0"/>
            <w:vAlign w:val="center"/>
          </w:tcPr>
          <w:p w14:paraId="4581DCA9">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新购</w:t>
            </w:r>
          </w:p>
        </w:tc>
        <w:tc>
          <w:tcPr>
            <w:tcW w:w="561" w:type="dxa"/>
            <w:noWrap w:val="0"/>
            <w:vAlign w:val="center"/>
          </w:tcPr>
          <w:p w14:paraId="5BBF42B0">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租赁</w:t>
            </w:r>
          </w:p>
        </w:tc>
        <w:tc>
          <w:tcPr>
            <w:tcW w:w="948" w:type="dxa"/>
            <w:vMerge w:val="continue"/>
            <w:noWrap w:val="0"/>
            <w:vAlign w:val="center"/>
          </w:tcPr>
          <w:p w14:paraId="2F374146">
            <w:pPr>
              <w:pageBreakBefore w:val="0"/>
              <w:kinsoku/>
              <w:wordWrap w:val="0"/>
              <w:bidi w:val="0"/>
              <w:spacing w:line="400" w:lineRule="atLeast"/>
              <w:jc w:val="center"/>
              <w:rPr>
                <w:rFonts w:hint="default" w:ascii="Times New Roman" w:hAnsi="Times New Roman" w:cs="Times New Roman"/>
                <w:szCs w:val="21"/>
                <w:highlight w:val="none"/>
              </w:rPr>
            </w:pPr>
          </w:p>
        </w:tc>
      </w:tr>
      <w:tr w14:paraId="75EEB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center"/>
          </w:tcPr>
          <w:p w14:paraId="3710B706">
            <w:pPr>
              <w:pageBreakBefore w:val="0"/>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center"/>
          </w:tcPr>
          <w:p w14:paraId="3D31023B">
            <w:pPr>
              <w:pageBreakBefore w:val="0"/>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center"/>
          </w:tcPr>
          <w:p w14:paraId="425A4701">
            <w:pPr>
              <w:pageBreakBefore w:val="0"/>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center"/>
          </w:tcPr>
          <w:p w14:paraId="310BD150">
            <w:pPr>
              <w:pageBreakBefore w:val="0"/>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center"/>
          </w:tcPr>
          <w:p w14:paraId="33E8A3BE">
            <w:pPr>
              <w:pageBreakBefore w:val="0"/>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center"/>
          </w:tcPr>
          <w:p w14:paraId="7FCB590C">
            <w:pPr>
              <w:pageBreakBefore w:val="0"/>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center"/>
          </w:tcPr>
          <w:p w14:paraId="3DF16A4E">
            <w:pPr>
              <w:pageBreakBefore w:val="0"/>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center"/>
          </w:tcPr>
          <w:p w14:paraId="784092D6">
            <w:pPr>
              <w:pageBreakBefore w:val="0"/>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center"/>
          </w:tcPr>
          <w:p w14:paraId="0303489E">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center"/>
          </w:tcPr>
          <w:p w14:paraId="7F4E9872">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center"/>
          </w:tcPr>
          <w:p w14:paraId="5DED378D">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center"/>
          </w:tcPr>
          <w:p w14:paraId="4B54A2C7">
            <w:pPr>
              <w:pageBreakBefore w:val="0"/>
              <w:kinsoku/>
              <w:wordWrap w:val="0"/>
              <w:bidi w:val="0"/>
              <w:spacing w:line="400" w:lineRule="atLeast"/>
              <w:jc w:val="center"/>
              <w:rPr>
                <w:rFonts w:hint="default" w:ascii="Times New Roman" w:hAnsi="Times New Roman" w:cs="Times New Roman"/>
                <w:szCs w:val="21"/>
                <w:highlight w:val="none"/>
              </w:rPr>
            </w:pPr>
          </w:p>
        </w:tc>
      </w:tr>
      <w:tr w14:paraId="3A51B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center"/>
          </w:tcPr>
          <w:p w14:paraId="17AB3D9D">
            <w:pPr>
              <w:pageBreakBefore w:val="0"/>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center"/>
          </w:tcPr>
          <w:p w14:paraId="1D4A8FAA">
            <w:pPr>
              <w:pageBreakBefore w:val="0"/>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center"/>
          </w:tcPr>
          <w:p w14:paraId="761A6BC1">
            <w:pPr>
              <w:pageBreakBefore w:val="0"/>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center"/>
          </w:tcPr>
          <w:p w14:paraId="6A0C9A43">
            <w:pPr>
              <w:pageBreakBefore w:val="0"/>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center"/>
          </w:tcPr>
          <w:p w14:paraId="1BDDE7E3">
            <w:pPr>
              <w:pageBreakBefore w:val="0"/>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center"/>
          </w:tcPr>
          <w:p w14:paraId="728916D0">
            <w:pPr>
              <w:pageBreakBefore w:val="0"/>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center"/>
          </w:tcPr>
          <w:p w14:paraId="0F66A4B0">
            <w:pPr>
              <w:pageBreakBefore w:val="0"/>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center"/>
          </w:tcPr>
          <w:p w14:paraId="5CF494E1">
            <w:pPr>
              <w:pageBreakBefore w:val="0"/>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center"/>
          </w:tcPr>
          <w:p w14:paraId="01F1F740">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center"/>
          </w:tcPr>
          <w:p w14:paraId="3C0502D7">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center"/>
          </w:tcPr>
          <w:p w14:paraId="1FC003A4">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center"/>
          </w:tcPr>
          <w:p w14:paraId="4280F085">
            <w:pPr>
              <w:pageBreakBefore w:val="0"/>
              <w:kinsoku/>
              <w:wordWrap w:val="0"/>
              <w:bidi w:val="0"/>
              <w:spacing w:line="400" w:lineRule="atLeast"/>
              <w:jc w:val="center"/>
              <w:rPr>
                <w:rFonts w:hint="default" w:ascii="Times New Roman" w:hAnsi="Times New Roman" w:cs="Times New Roman"/>
                <w:szCs w:val="21"/>
                <w:highlight w:val="none"/>
              </w:rPr>
            </w:pPr>
          </w:p>
        </w:tc>
      </w:tr>
      <w:tr w14:paraId="5CE48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48B33DBD">
            <w:pPr>
              <w:pageBreakBefore w:val="0"/>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top"/>
          </w:tcPr>
          <w:p w14:paraId="2EF8BBA0">
            <w:pPr>
              <w:pageBreakBefore w:val="0"/>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top"/>
          </w:tcPr>
          <w:p w14:paraId="43BE3EE6">
            <w:pPr>
              <w:pageBreakBefore w:val="0"/>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top"/>
          </w:tcPr>
          <w:p w14:paraId="0ED6E7CF">
            <w:pPr>
              <w:pageBreakBefore w:val="0"/>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top"/>
          </w:tcPr>
          <w:p w14:paraId="12E6EC22">
            <w:pPr>
              <w:pageBreakBefore w:val="0"/>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top"/>
          </w:tcPr>
          <w:p w14:paraId="66F51FDE">
            <w:pPr>
              <w:pageBreakBefore w:val="0"/>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top"/>
          </w:tcPr>
          <w:p w14:paraId="6C0DDF8B">
            <w:pPr>
              <w:pageBreakBefore w:val="0"/>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top"/>
          </w:tcPr>
          <w:p w14:paraId="4BDE449E">
            <w:pPr>
              <w:pageBreakBefore w:val="0"/>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top"/>
          </w:tcPr>
          <w:p w14:paraId="7669531E">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top"/>
          </w:tcPr>
          <w:p w14:paraId="676C7A13">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top"/>
          </w:tcPr>
          <w:p w14:paraId="71A36CFE">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top"/>
          </w:tcPr>
          <w:p w14:paraId="69A20CBB">
            <w:pPr>
              <w:pageBreakBefore w:val="0"/>
              <w:kinsoku/>
              <w:wordWrap w:val="0"/>
              <w:bidi w:val="0"/>
              <w:spacing w:line="400" w:lineRule="atLeast"/>
              <w:jc w:val="center"/>
              <w:rPr>
                <w:rFonts w:hint="default" w:ascii="Times New Roman" w:hAnsi="Times New Roman" w:cs="Times New Roman"/>
                <w:szCs w:val="21"/>
                <w:highlight w:val="none"/>
              </w:rPr>
            </w:pPr>
          </w:p>
        </w:tc>
      </w:tr>
      <w:tr w14:paraId="2C60D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5D070D21">
            <w:pPr>
              <w:pageBreakBefore w:val="0"/>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top"/>
          </w:tcPr>
          <w:p w14:paraId="17CD5A2B">
            <w:pPr>
              <w:pageBreakBefore w:val="0"/>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top"/>
          </w:tcPr>
          <w:p w14:paraId="2745374E">
            <w:pPr>
              <w:pageBreakBefore w:val="0"/>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top"/>
          </w:tcPr>
          <w:p w14:paraId="3406AD6F">
            <w:pPr>
              <w:pageBreakBefore w:val="0"/>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top"/>
          </w:tcPr>
          <w:p w14:paraId="190A0EC4">
            <w:pPr>
              <w:pageBreakBefore w:val="0"/>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top"/>
          </w:tcPr>
          <w:p w14:paraId="007905E9">
            <w:pPr>
              <w:pageBreakBefore w:val="0"/>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top"/>
          </w:tcPr>
          <w:p w14:paraId="284D6D15">
            <w:pPr>
              <w:pageBreakBefore w:val="0"/>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top"/>
          </w:tcPr>
          <w:p w14:paraId="59002FC7">
            <w:pPr>
              <w:pageBreakBefore w:val="0"/>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top"/>
          </w:tcPr>
          <w:p w14:paraId="0E5C828D">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top"/>
          </w:tcPr>
          <w:p w14:paraId="2F01DB29">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top"/>
          </w:tcPr>
          <w:p w14:paraId="0D814716">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top"/>
          </w:tcPr>
          <w:p w14:paraId="40227CD8">
            <w:pPr>
              <w:pageBreakBefore w:val="0"/>
              <w:kinsoku/>
              <w:wordWrap w:val="0"/>
              <w:bidi w:val="0"/>
              <w:spacing w:line="400" w:lineRule="atLeast"/>
              <w:jc w:val="center"/>
              <w:rPr>
                <w:rFonts w:hint="default" w:ascii="Times New Roman" w:hAnsi="Times New Roman" w:cs="Times New Roman"/>
                <w:szCs w:val="21"/>
                <w:highlight w:val="none"/>
              </w:rPr>
            </w:pPr>
          </w:p>
        </w:tc>
      </w:tr>
      <w:tr w14:paraId="1E362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35311EB5">
            <w:pPr>
              <w:pageBreakBefore w:val="0"/>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top"/>
          </w:tcPr>
          <w:p w14:paraId="32F18975">
            <w:pPr>
              <w:pageBreakBefore w:val="0"/>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top"/>
          </w:tcPr>
          <w:p w14:paraId="7E7432DA">
            <w:pPr>
              <w:pageBreakBefore w:val="0"/>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top"/>
          </w:tcPr>
          <w:p w14:paraId="624058E5">
            <w:pPr>
              <w:pageBreakBefore w:val="0"/>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top"/>
          </w:tcPr>
          <w:p w14:paraId="7C399A3F">
            <w:pPr>
              <w:pageBreakBefore w:val="0"/>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top"/>
          </w:tcPr>
          <w:p w14:paraId="70CDC931">
            <w:pPr>
              <w:pageBreakBefore w:val="0"/>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top"/>
          </w:tcPr>
          <w:p w14:paraId="3EA96435">
            <w:pPr>
              <w:pageBreakBefore w:val="0"/>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top"/>
          </w:tcPr>
          <w:p w14:paraId="1DAEBDD5">
            <w:pPr>
              <w:pageBreakBefore w:val="0"/>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top"/>
          </w:tcPr>
          <w:p w14:paraId="0D0F62C9">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top"/>
          </w:tcPr>
          <w:p w14:paraId="0A857E1B">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top"/>
          </w:tcPr>
          <w:p w14:paraId="0B2C0DE3">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top"/>
          </w:tcPr>
          <w:p w14:paraId="764638F1">
            <w:pPr>
              <w:pageBreakBefore w:val="0"/>
              <w:kinsoku/>
              <w:wordWrap w:val="0"/>
              <w:bidi w:val="0"/>
              <w:spacing w:line="400" w:lineRule="atLeast"/>
              <w:jc w:val="center"/>
              <w:rPr>
                <w:rFonts w:hint="default" w:ascii="Times New Roman" w:hAnsi="Times New Roman" w:cs="Times New Roman"/>
                <w:szCs w:val="21"/>
                <w:highlight w:val="none"/>
              </w:rPr>
            </w:pPr>
          </w:p>
        </w:tc>
      </w:tr>
      <w:tr w14:paraId="0E427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4534A3EC">
            <w:pPr>
              <w:pageBreakBefore w:val="0"/>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top"/>
          </w:tcPr>
          <w:p w14:paraId="33496DE1">
            <w:pPr>
              <w:pageBreakBefore w:val="0"/>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top"/>
          </w:tcPr>
          <w:p w14:paraId="017C1D86">
            <w:pPr>
              <w:pageBreakBefore w:val="0"/>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top"/>
          </w:tcPr>
          <w:p w14:paraId="688896F1">
            <w:pPr>
              <w:pageBreakBefore w:val="0"/>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top"/>
          </w:tcPr>
          <w:p w14:paraId="51E0CB32">
            <w:pPr>
              <w:pageBreakBefore w:val="0"/>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top"/>
          </w:tcPr>
          <w:p w14:paraId="153EC1F8">
            <w:pPr>
              <w:pageBreakBefore w:val="0"/>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top"/>
          </w:tcPr>
          <w:p w14:paraId="18A4AAB1">
            <w:pPr>
              <w:pageBreakBefore w:val="0"/>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top"/>
          </w:tcPr>
          <w:p w14:paraId="065F0332">
            <w:pPr>
              <w:pageBreakBefore w:val="0"/>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top"/>
          </w:tcPr>
          <w:p w14:paraId="6D5E456A">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top"/>
          </w:tcPr>
          <w:p w14:paraId="7ED42970">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top"/>
          </w:tcPr>
          <w:p w14:paraId="543A1A91">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top"/>
          </w:tcPr>
          <w:p w14:paraId="0C062E8E">
            <w:pPr>
              <w:pageBreakBefore w:val="0"/>
              <w:kinsoku/>
              <w:wordWrap w:val="0"/>
              <w:bidi w:val="0"/>
              <w:spacing w:line="400" w:lineRule="atLeast"/>
              <w:jc w:val="center"/>
              <w:rPr>
                <w:rFonts w:hint="default" w:ascii="Times New Roman" w:hAnsi="Times New Roman" w:cs="Times New Roman"/>
                <w:szCs w:val="21"/>
                <w:highlight w:val="none"/>
              </w:rPr>
            </w:pPr>
          </w:p>
        </w:tc>
      </w:tr>
      <w:tr w14:paraId="24E53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10BC4E53">
            <w:pPr>
              <w:pageBreakBefore w:val="0"/>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top"/>
          </w:tcPr>
          <w:p w14:paraId="50067104">
            <w:pPr>
              <w:pageBreakBefore w:val="0"/>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top"/>
          </w:tcPr>
          <w:p w14:paraId="775C6442">
            <w:pPr>
              <w:pageBreakBefore w:val="0"/>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top"/>
          </w:tcPr>
          <w:p w14:paraId="081323F6">
            <w:pPr>
              <w:pageBreakBefore w:val="0"/>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top"/>
          </w:tcPr>
          <w:p w14:paraId="0D48E986">
            <w:pPr>
              <w:pageBreakBefore w:val="0"/>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top"/>
          </w:tcPr>
          <w:p w14:paraId="6629C69D">
            <w:pPr>
              <w:pageBreakBefore w:val="0"/>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top"/>
          </w:tcPr>
          <w:p w14:paraId="178A1296">
            <w:pPr>
              <w:pageBreakBefore w:val="0"/>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top"/>
          </w:tcPr>
          <w:p w14:paraId="21816B42">
            <w:pPr>
              <w:pageBreakBefore w:val="0"/>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top"/>
          </w:tcPr>
          <w:p w14:paraId="4C99AA9D">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top"/>
          </w:tcPr>
          <w:p w14:paraId="1E9190B4">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top"/>
          </w:tcPr>
          <w:p w14:paraId="2117B908">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top"/>
          </w:tcPr>
          <w:p w14:paraId="2D615CB6">
            <w:pPr>
              <w:pageBreakBefore w:val="0"/>
              <w:kinsoku/>
              <w:wordWrap w:val="0"/>
              <w:bidi w:val="0"/>
              <w:spacing w:line="400" w:lineRule="atLeast"/>
              <w:jc w:val="center"/>
              <w:rPr>
                <w:rFonts w:hint="default" w:ascii="Times New Roman" w:hAnsi="Times New Roman" w:cs="Times New Roman"/>
                <w:szCs w:val="21"/>
                <w:highlight w:val="none"/>
              </w:rPr>
            </w:pPr>
          </w:p>
        </w:tc>
      </w:tr>
      <w:tr w14:paraId="5FCAC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6C8BE02A">
            <w:pPr>
              <w:pageBreakBefore w:val="0"/>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top"/>
          </w:tcPr>
          <w:p w14:paraId="02A3F632">
            <w:pPr>
              <w:pageBreakBefore w:val="0"/>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top"/>
          </w:tcPr>
          <w:p w14:paraId="7E79024F">
            <w:pPr>
              <w:pageBreakBefore w:val="0"/>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top"/>
          </w:tcPr>
          <w:p w14:paraId="1C897109">
            <w:pPr>
              <w:pageBreakBefore w:val="0"/>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top"/>
          </w:tcPr>
          <w:p w14:paraId="4E90797D">
            <w:pPr>
              <w:pageBreakBefore w:val="0"/>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top"/>
          </w:tcPr>
          <w:p w14:paraId="62D29B3F">
            <w:pPr>
              <w:pageBreakBefore w:val="0"/>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top"/>
          </w:tcPr>
          <w:p w14:paraId="147824B5">
            <w:pPr>
              <w:pageBreakBefore w:val="0"/>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top"/>
          </w:tcPr>
          <w:p w14:paraId="584466DB">
            <w:pPr>
              <w:pageBreakBefore w:val="0"/>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top"/>
          </w:tcPr>
          <w:p w14:paraId="3408A8AB">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top"/>
          </w:tcPr>
          <w:p w14:paraId="4E722E7E">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top"/>
          </w:tcPr>
          <w:p w14:paraId="6EA176E5">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top"/>
          </w:tcPr>
          <w:p w14:paraId="1CCB4B46">
            <w:pPr>
              <w:pageBreakBefore w:val="0"/>
              <w:kinsoku/>
              <w:wordWrap w:val="0"/>
              <w:bidi w:val="0"/>
              <w:spacing w:line="400" w:lineRule="atLeast"/>
              <w:jc w:val="center"/>
              <w:rPr>
                <w:rFonts w:hint="default" w:ascii="Times New Roman" w:hAnsi="Times New Roman" w:cs="Times New Roman"/>
                <w:szCs w:val="21"/>
                <w:highlight w:val="none"/>
              </w:rPr>
            </w:pPr>
          </w:p>
        </w:tc>
      </w:tr>
      <w:tr w14:paraId="27FD0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6A2FF9D9">
            <w:pPr>
              <w:pageBreakBefore w:val="0"/>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top"/>
          </w:tcPr>
          <w:p w14:paraId="02D3A5A6">
            <w:pPr>
              <w:pageBreakBefore w:val="0"/>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top"/>
          </w:tcPr>
          <w:p w14:paraId="09E64CCE">
            <w:pPr>
              <w:pageBreakBefore w:val="0"/>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top"/>
          </w:tcPr>
          <w:p w14:paraId="5966893F">
            <w:pPr>
              <w:pageBreakBefore w:val="0"/>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top"/>
          </w:tcPr>
          <w:p w14:paraId="01BBD744">
            <w:pPr>
              <w:pageBreakBefore w:val="0"/>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top"/>
          </w:tcPr>
          <w:p w14:paraId="0907F30D">
            <w:pPr>
              <w:pageBreakBefore w:val="0"/>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top"/>
          </w:tcPr>
          <w:p w14:paraId="534F8187">
            <w:pPr>
              <w:pageBreakBefore w:val="0"/>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top"/>
          </w:tcPr>
          <w:p w14:paraId="03C553F5">
            <w:pPr>
              <w:pageBreakBefore w:val="0"/>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top"/>
          </w:tcPr>
          <w:p w14:paraId="49F04C63">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top"/>
          </w:tcPr>
          <w:p w14:paraId="5B9CD449">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top"/>
          </w:tcPr>
          <w:p w14:paraId="0EE3C17A">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top"/>
          </w:tcPr>
          <w:p w14:paraId="4BD1D1E4">
            <w:pPr>
              <w:pageBreakBefore w:val="0"/>
              <w:kinsoku/>
              <w:wordWrap w:val="0"/>
              <w:bidi w:val="0"/>
              <w:spacing w:line="400" w:lineRule="atLeast"/>
              <w:jc w:val="center"/>
              <w:rPr>
                <w:rFonts w:hint="default" w:ascii="Times New Roman" w:hAnsi="Times New Roman" w:cs="Times New Roman"/>
                <w:szCs w:val="21"/>
                <w:highlight w:val="none"/>
              </w:rPr>
            </w:pPr>
          </w:p>
        </w:tc>
      </w:tr>
      <w:tr w14:paraId="72E5D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6F6ED1A9">
            <w:pPr>
              <w:pageBreakBefore w:val="0"/>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top"/>
          </w:tcPr>
          <w:p w14:paraId="2C4C6293">
            <w:pPr>
              <w:pageBreakBefore w:val="0"/>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top"/>
          </w:tcPr>
          <w:p w14:paraId="16FCA69C">
            <w:pPr>
              <w:pageBreakBefore w:val="0"/>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top"/>
          </w:tcPr>
          <w:p w14:paraId="249EA869">
            <w:pPr>
              <w:pageBreakBefore w:val="0"/>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top"/>
          </w:tcPr>
          <w:p w14:paraId="08654C18">
            <w:pPr>
              <w:pageBreakBefore w:val="0"/>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top"/>
          </w:tcPr>
          <w:p w14:paraId="387D648E">
            <w:pPr>
              <w:pageBreakBefore w:val="0"/>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top"/>
          </w:tcPr>
          <w:p w14:paraId="400CFB0F">
            <w:pPr>
              <w:pageBreakBefore w:val="0"/>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top"/>
          </w:tcPr>
          <w:p w14:paraId="71B1E833">
            <w:pPr>
              <w:pageBreakBefore w:val="0"/>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top"/>
          </w:tcPr>
          <w:p w14:paraId="3253F6B6">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top"/>
          </w:tcPr>
          <w:p w14:paraId="747FE5A7">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top"/>
          </w:tcPr>
          <w:p w14:paraId="339FCEF1">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top"/>
          </w:tcPr>
          <w:p w14:paraId="0892A11B">
            <w:pPr>
              <w:pageBreakBefore w:val="0"/>
              <w:kinsoku/>
              <w:wordWrap w:val="0"/>
              <w:bidi w:val="0"/>
              <w:spacing w:line="400" w:lineRule="atLeast"/>
              <w:jc w:val="center"/>
              <w:rPr>
                <w:rFonts w:hint="default" w:ascii="Times New Roman" w:hAnsi="Times New Roman" w:cs="Times New Roman"/>
                <w:szCs w:val="21"/>
                <w:highlight w:val="none"/>
              </w:rPr>
            </w:pPr>
          </w:p>
        </w:tc>
      </w:tr>
      <w:tr w14:paraId="26C73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2C39B418">
            <w:pPr>
              <w:pageBreakBefore w:val="0"/>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top"/>
          </w:tcPr>
          <w:p w14:paraId="77D1D2E9">
            <w:pPr>
              <w:pageBreakBefore w:val="0"/>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top"/>
          </w:tcPr>
          <w:p w14:paraId="2B59EFAA">
            <w:pPr>
              <w:pageBreakBefore w:val="0"/>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top"/>
          </w:tcPr>
          <w:p w14:paraId="53125758">
            <w:pPr>
              <w:pageBreakBefore w:val="0"/>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top"/>
          </w:tcPr>
          <w:p w14:paraId="51C023B6">
            <w:pPr>
              <w:pageBreakBefore w:val="0"/>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top"/>
          </w:tcPr>
          <w:p w14:paraId="16914F84">
            <w:pPr>
              <w:pageBreakBefore w:val="0"/>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top"/>
          </w:tcPr>
          <w:p w14:paraId="7F4FCFEC">
            <w:pPr>
              <w:pageBreakBefore w:val="0"/>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top"/>
          </w:tcPr>
          <w:p w14:paraId="11D90CEB">
            <w:pPr>
              <w:pageBreakBefore w:val="0"/>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top"/>
          </w:tcPr>
          <w:p w14:paraId="5BB1E1BD">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top"/>
          </w:tcPr>
          <w:p w14:paraId="3D2D3AA0">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top"/>
          </w:tcPr>
          <w:p w14:paraId="41B6BE36">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top"/>
          </w:tcPr>
          <w:p w14:paraId="3A682FDD">
            <w:pPr>
              <w:pageBreakBefore w:val="0"/>
              <w:kinsoku/>
              <w:wordWrap w:val="0"/>
              <w:bidi w:val="0"/>
              <w:spacing w:line="400" w:lineRule="atLeast"/>
              <w:jc w:val="center"/>
              <w:rPr>
                <w:rFonts w:hint="default" w:ascii="Times New Roman" w:hAnsi="Times New Roman" w:cs="Times New Roman"/>
                <w:szCs w:val="21"/>
                <w:highlight w:val="none"/>
              </w:rPr>
            </w:pPr>
          </w:p>
        </w:tc>
      </w:tr>
      <w:tr w14:paraId="2EDFA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7F0E929E">
            <w:pPr>
              <w:pageBreakBefore w:val="0"/>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top"/>
          </w:tcPr>
          <w:p w14:paraId="5C59F0F4">
            <w:pPr>
              <w:pageBreakBefore w:val="0"/>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top"/>
          </w:tcPr>
          <w:p w14:paraId="13282F42">
            <w:pPr>
              <w:pageBreakBefore w:val="0"/>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top"/>
          </w:tcPr>
          <w:p w14:paraId="0B1645B0">
            <w:pPr>
              <w:pageBreakBefore w:val="0"/>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top"/>
          </w:tcPr>
          <w:p w14:paraId="594390EE">
            <w:pPr>
              <w:pageBreakBefore w:val="0"/>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top"/>
          </w:tcPr>
          <w:p w14:paraId="5678A802">
            <w:pPr>
              <w:pageBreakBefore w:val="0"/>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top"/>
          </w:tcPr>
          <w:p w14:paraId="4447E3B2">
            <w:pPr>
              <w:pageBreakBefore w:val="0"/>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top"/>
          </w:tcPr>
          <w:p w14:paraId="0763733A">
            <w:pPr>
              <w:pageBreakBefore w:val="0"/>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top"/>
          </w:tcPr>
          <w:p w14:paraId="3E487EDA">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top"/>
          </w:tcPr>
          <w:p w14:paraId="3D8A72A4">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top"/>
          </w:tcPr>
          <w:p w14:paraId="0183C593">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top"/>
          </w:tcPr>
          <w:p w14:paraId="48BEA363">
            <w:pPr>
              <w:pageBreakBefore w:val="0"/>
              <w:kinsoku/>
              <w:wordWrap w:val="0"/>
              <w:bidi w:val="0"/>
              <w:spacing w:line="400" w:lineRule="atLeast"/>
              <w:jc w:val="center"/>
              <w:rPr>
                <w:rFonts w:hint="default" w:ascii="Times New Roman" w:hAnsi="Times New Roman" w:cs="Times New Roman"/>
                <w:szCs w:val="21"/>
                <w:highlight w:val="none"/>
              </w:rPr>
            </w:pPr>
          </w:p>
        </w:tc>
      </w:tr>
      <w:tr w14:paraId="05171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5C301633">
            <w:pPr>
              <w:pageBreakBefore w:val="0"/>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top"/>
          </w:tcPr>
          <w:p w14:paraId="5AC82F40">
            <w:pPr>
              <w:pageBreakBefore w:val="0"/>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top"/>
          </w:tcPr>
          <w:p w14:paraId="7BD88640">
            <w:pPr>
              <w:pageBreakBefore w:val="0"/>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top"/>
          </w:tcPr>
          <w:p w14:paraId="5473F30E">
            <w:pPr>
              <w:pageBreakBefore w:val="0"/>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top"/>
          </w:tcPr>
          <w:p w14:paraId="318CA32E">
            <w:pPr>
              <w:pageBreakBefore w:val="0"/>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top"/>
          </w:tcPr>
          <w:p w14:paraId="50BBC4E8">
            <w:pPr>
              <w:pageBreakBefore w:val="0"/>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top"/>
          </w:tcPr>
          <w:p w14:paraId="0D1291EC">
            <w:pPr>
              <w:pageBreakBefore w:val="0"/>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top"/>
          </w:tcPr>
          <w:p w14:paraId="7DB00135">
            <w:pPr>
              <w:pageBreakBefore w:val="0"/>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top"/>
          </w:tcPr>
          <w:p w14:paraId="08C4751E">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top"/>
          </w:tcPr>
          <w:p w14:paraId="066C8B2A">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top"/>
          </w:tcPr>
          <w:p w14:paraId="053CB86C">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top"/>
          </w:tcPr>
          <w:p w14:paraId="07CAD615">
            <w:pPr>
              <w:pageBreakBefore w:val="0"/>
              <w:kinsoku/>
              <w:wordWrap w:val="0"/>
              <w:bidi w:val="0"/>
              <w:spacing w:line="400" w:lineRule="atLeast"/>
              <w:jc w:val="center"/>
              <w:rPr>
                <w:rFonts w:hint="default" w:ascii="Times New Roman" w:hAnsi="Times New Roman" w:cs="Times New Roman"/>
                <w:szCs w:val="21"/>
                <w:highlight w:val="none"/>
              </w:rPr>
            </w:pPr>
          </w:p>
        </w:tc>
      </w:tr>
      <w:tr w14:paraId="0C462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22EBF1D1">
            <w:pPr>
              <w:pageBreakBefore w:val="0"/>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top"/>
          </w:tcPr>
          <w:p w14:paraId="3EDFB058">
            <w:pPr>
              <w:pageBreakBefore w:val="0"/>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top"/>
          </w:tcPr>
          <w:p w14:paraId="53B79FD8">
            <w:pPr>
              <w:pageBreakBefore w:val="0"/>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top"/>
          </w:tcPr>
          <w:p w14:paraId="3858B9F3">
            <w:pPr>
              <w:pageBreakBefore w:val="0"/>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top"/>
          </w:tcPr>
          <w:p w14:paraId="134FC689">
            <w:pPr>
              <w:pageBreakBefore w:val="0"/>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top"/>
          </w:tcPr>
          <w:p w14:paraId="0A800DF9">
            <w:pPr>
              <w:pageBreakBefore w:val="0"/>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top"/>
          </w:tcPr>
          <w:p w14:paraId="776D0170">
            <w:pPr>
              <w:pageBreakBefore w:val="0"/>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top"/>
          </w:tcPr>
          <w:p w14:paraId="5A48638B">
            <w:pPr>
              <w:pageBreakBefore w:val="0"/>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top"/>
          </w:tcPr>
          <w:p w14:paraId="33DBEF82">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top"/>
          </w:tcPr>
          <w:p w14:paraId="33366039">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top"/>
          </w:tcPr>
          <w:p w14:paraId="50800845">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top"/>
          </w:tcPr>
          <w:p w14:paraId="2D3C4E0E">
            <w:pPr>
              <w:pageBreakBefore w:val="0"/>
              <w:kinsoku/>
              <w:wordWrap w:val="0"/>
              <w:bidi w:val="0"/>
              <w:spacing w:line="400" w:lineRule="atLeast"/>
              <w:jc w:val="center"/>
              <w:rPr>
                <w:rFonts w:hint="default" w:ascii="Times New Roman" w:hAnsi="Times New Roman" w:cs="Times New Roman"/>
                <w:szCs w:val="21"/>
                <w:highlight w:val="none"/>
              </w:rPr>
            </w:pPr>
          </w:p>
        </w:tc>
      </w:tr>
      <w:tr w14:paraId="75705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32800FB9">
            <w:pPr>
              <w:pageBreakBefore w:val="0"/>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top"/>
          </w:tcPr>
          <w:p w14:paraId="657E28FC">
            <w:pPr>
              <w:pageBreakBefore w:val="0"/>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top"/>
          </w:tcPr>
          <w:p w14:paraId="0C58E1C2">
            <w:pPr>
              <w:pageBreakBefore w:val="0"/>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top"/>
          </w:tcPr>
          <w:p w14:paraId="4F186B2B">
            <w:pPr>
              <w:pageBreakBefore w:val="0"/>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top"/>
          </w:tcPr>
          <w:p w14:paraId="4BEBABBD">
            <w:pPr>
              <w:pageBreakBefore w:val="0"/>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top"/>
          </w:tcPr>
          <w:p w14:paraId="01D6A6C6">
            <w:pPr>
              <w:pageBreakBefore w:val="0"/>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top"/>
          </w:tcPr>
          <w:p w14:paraId="401A461C">
            <w:pPr>
              <w:pageBreakBefore w:val="0"/>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top"/>
          </w:tcPr>
          <w:p w14:paraId="39AC7E57">
            <w:pPr>
              <w:pageBreakBefore w:val="0"/>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top"/>
          </w:tcPr>
          <w:p w14:paraId="41ADD0A8">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top"/>
          </w:tcPr>
          <w:p w14:paraId="7317A5FF">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top"/>
          </w:tcPr>
          <w:p w14:paraId="2B91C544">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top"/>
          </w:tcPr>
          <w:p w14:paraId="2A06AF9F">
            <w:pPr>
              <w:pageBreakBefore w:val="0"/>
              <w:kinsoku/>
              <w:wordWrap w:val="0"/>
              <w:bidi w:val="0"/>
              <w:spacing w:line="400" w:lineRule="atLeast"/>
              <w:jc w:val="center"/>
              <w:rPr>
                <w:rFonts w:hint="default" w:ascii="Times New Roman" w:hAnsi="Times New Roman" w:cs="Times New Roman"/>
                <w:szCs w:val="21"/>
                <w:highlight w:val="none"/>
              </w:rPr>
            </w:pPr>
          </w:p>
        </w:tc>
      </w:tr>
      <w:tr w14:paraId="3D97C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48E2F802">
            <w:pPr>
              <w:pageBreakBefore w:val="0"/>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top"/>
          </w:tcPr>
          <w:p w14:paraId="75F732F1">
            <w:pPr>
              <w:pageBreakBefore w:val="0"/>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top"/>
          </w:tcPr>
          <w:p w14:paraId="4B4EB697">
            <w:pPr>
              <w:pageBreakBefore w:val="0"/>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top"/>
          </w:tcPr>
          <w:p w14:paraId="30AA0DFA">
            <w:pPr>
              <w:pageBreakBefore w:val="0"/>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top"/>
          </w:tcPr>
          <w:p w14:paraId="0B9EEE9A">
            <w:pPr>
              <w:pageBreakBefore w:val="0"/>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top"/>
          </w:tcPr>
          <w:p w14:paraId="45D8072C">
            <w:pPr>
              <w:pageBreakBefore w:val="0"/>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top"/>
          </w:tcPr>
          <w:p w14:paraId="76A13C76">
            <w:pPr>
              <w:pageBreakBefore w:val="0"/>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top"/>
          </w:tcPr>
          <w:p w14:paraId="747CCBEB">
            <w:pPr>
              <w:pageBreakBefore w:val="0"/>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top"/>
          </w:tcPr>
          <w:p w14:paraId="3DE6A2C5">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top"/>
          </w:tcPr>
          <w:p w14:paraId="6B34B1B2">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top"/>
          </w:tcPr>
          <w:p w14:paraId="59ABC3F3">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top"/>
          </w:tcPr>
          <w:p w14:paraId="72BF0D49">
            <w:pPr>
              <w:pageBreakBefore w:val="0"/>
              <w:kinsoku/>
              <w:wordWrap w:val="0"/>
              <w:bidi w:val="0"/>
              <w:spacing w:line="400" w:lineRule="atLeast"/>
              <w:jc w:val="center"/>
              <w:rPr>
                <w:rFonts w:hint="default" w:ascii="Times New Roman" w:hAnsi="Times New Roman" w:cs="Times New Roman"/>
                <w:szCs w:val="21"/>
                <w:highlight w:val="none"/>
              </w:rPr>
            </w:pPr>
          </w:p>
        </w:tc>
      </w:tr>
      <w:tr w14:paraId="7206D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0A265609">
            <w:pPr>
              <w:pageBreakBefore w:val="0"/>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top"/>
          </w:tcPr>
          <w:p w14:paraId="3C7F81F9">
            <w:pPr>
              <w:pageBreakBefore w:val="0"/>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top"/>
          </w:tcPr>
          <w:p w14:paraId="67AAC802">
            <w:pPr>
              <w:pageBreakBefore w:val="0"/>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top"/>
          </w:tcPr>
          <w:p w14:paraId="638D18DB">
            <w:pPr>
              <w:pageBreakBefore w:val="0"/>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top"/>
          </w:tcPr>
          <w:p w14:paraId="6930D39B">
            <w:pPr>
              <w:pageBreakBefore w:val="0"/>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top"/>
          </w:tcPr>
          <w:p w14:paraId="63AACED2">
            <w:pPr>
              <w:pageBreakBefore w:val="0"/>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top"/>
          </w:tcPr>
          <w:p w14:paraId="2E1665A8">
            <w:pPr>
              <w:pageBreakBefore w:val="0"/>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top"/>
          </w:tcPr>
          <w:p w14:paraId="6A0996FF">
            <w:pPr>
              <w:pageBreakBefore w:val="0"/>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top"/>
          </w:tcPr>
          <w:p w14:paraId="70B03FAA">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top"/>
          </w:tcPr>
          <w:p w14:paraId="2891B7E0">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top"/>
          </w:tcPr>
          <w:p w14:paraId="3D5852B2">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top"/>
          </w:tcPr>
          <w:p w14:paraId="0EF7676A">
            <w:pPr>
              <w:pageBreakBefore w:val="0"/>
              <w:kinsoku/>
              <w:wordWrap w:val="0"/>
              <w:bidi w:val="0"/>
              <w:spacing w:line="400" w:lineRule="atLeast"/>
              <w:jc w:val="center"/>
              <w:rPr>
                <w:rFonts w:hint="default" w:ascii="Times New Roman" w:hAnsi="Times New Roman" w:cs="Times New Roman"/>
                <w:szCs w:val="21"/>
                <w:highlight w:val="none"/>
              </w:rPr>
            </w:pPr>
          </w:p>
        </w:tc>
      </w:tr>
      <w:tr w14:paraId="0310C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3424997D">
            <w:pPr>
              <w:pageBreakBefore w:val="0"/>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top"/>
          </w:tcPr>
          <w:p w14:paraId="196F710F">
            <w:pPr>
              <w:pageBreakBefore w:val="0"/>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top"/>
          </w:tcPr>
          <w:p w14:paraId="7836E7E9">
            <w:pPr>
              <w:pageBreakBefore w:val="0"/>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top"/>
          </w:tcPr>
          <w:p w14:paraId="4CDB43B3">
            <w:pPr>
              <w:pageBreakBefore w:val="0"/>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top"/>
          </w:tcPr>
          <w:p w14:paraId="6090EFD9">
            <w:pPr>
              <w:pageBreakBefore w:val="0"/>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top"/>
          </w:tcPr>
          <w:p w14:paraId="406ECC67">
            <w:pPr>
              <w:pageBreakBefore w:val="0"/>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top"/>
          </w:tcPr>
          <w:p w14:paraId="53E07474">
            <w:pPr>
              <w:pageBreakBefore w:val="0"/>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top"/>
          </w:tcPr>
          <w:p w14:paraId="66396E62">
            <w:pPr>
              <w:pageBreakBefore w:val="0"/>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top"/>
          </w:tcPr>
          <w:p w14:paraId="2DA263B2">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top"/>
          </w:tcPr>
          <w:p w14:paraId="551A4AED">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top"/>
          </w:tcPr>
          <w:p w14:paraId="3A573980">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top"/>
          </w:tcPr>
          <w:p w14:paraId="39D76BB1">
            <w:pPr>
              <w:pageBreakBefore w:val="0"/>
              <w:kinsoku/>
              <w:wordWrap w:val="0"/>
              <w:bidi w:val="0"/>
              <w:spacing w:line="400" w:lineRule="atLeast"/>
              <w:jc w:val="center"/>
              <w:rPr>
                <w:rFonts w:hint="default" w:ascii="Times New Roman" w:hAnsi="Times New Roman" w:cs="Times New Roman"/>
                <w:szCs w:val="21"/>
                <w:highlight w:val="none"/>
              </w:rPr>
            </w:pPr>
          </w:p>
        </w:tc>
      </w:tr>
      <w:tr w14:paraId="4DF39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7AD70D50">
            <w:pPr>
              <w:pageBreakBefore w:val="0"/>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top"/>
          </w:tcPr>
          <w:p w14:paraId="1590E680">
            <w:pPr>
              <w:pageBreakBefore w:val="0"/>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top"/>
          </w:tcPr>
          <w:p w14:paraId="0E986622">
            <w:pPr>
              <w:pageBreakBefore w:val="0"/>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top"/>
          </w:tcPr>
          <w:p w14:paraId="250DC83E">
            <w:pPr>
              <w:pageBreakBefore w:val="0"/>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top"/>
          </w:tcPr>
          <w:p w14:paraId="569A5A6F">
            <w:pPr>
              <w:pageBreakBefore w:val="0"/>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top"/>
          </w:tcPr>
          <w:p w14:paraId="30A5181F">
            <w:pPr>
              <w:pageBreakBefore w:val="0"/>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top"/>
          </w:tcPr>
          <w:p w14:paraId="468DE263">
            <w:pPr>
              <w:pageBreakBefore w:val="0"/>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top"/>
          </w:tcPr>
          <w:p w14:paraId="506D63F3">
            <w:pPr>
              <w:pageBreakBefore w:val="0"/>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top"/>
          </w:tcPr>
          <w:p w14:paraId="7AD1956D">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top"/>
          </w:tcPr>
          <w:p w14:paraId="691B9666">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top"/>
          </w:tcPr>
          <w:p w14:paraId="5FB3C3DA">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top"/>
          </w:tcPr>
          <w:p w14:paraId="0742B701">
            <w:pPr>
              <w:pageBreakBefore w:val="0"/>
              <w:kinsoku/>
              <w:wordWrap w:val="0"/>
              <w:bidi w:val="0"/>
              <w:spacing w:line="400" w:lineRule="atLeast"/>
              <w:jc w:val="center"/>
              <w:rPr>
                <w:rFonts w:hint="default" w:ascii="Times New Roman" w:hAnsi="Times New Roman" w:cs="Times New Roman"/>
                <w:szCs w:val="21"/>
                <w:highlight w:val="none"/>
              </w:rPr>
            </w:pPr>
          </w:p>
        </w:tc>
      </w:tr>
      <w:tr w14:paraId="40558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69920FE7">
            <w:pPr>
              <w:pageBreakBefore w:val="0"/>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top"/>
          </w:tcPr>
          <w:p w14:paraId="0C5345B2">
            <w:pPr>
              <w:pageBreakBefore w:val="0"/>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top"/>
          </w:tcPr>
          <w:p w14:paraId="7011367E">
            <w:pPr>
              <w:pageBreakBefore w:val="0"/>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top"/>
          </w:tcPr>
          <w:p w14:paraId="1CF6ACF9">
            <w:pPr>
              <w:pageBreakBefore w:val="0"/>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top"/>
          </w:tcPr>
          <w:p w14:paraId="181E82C5">
            <w:pPr>
              <w:pageBreakBefore w:val="0"/>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top"/>
          </w:tcPr>
          <w:p w14:paraId="243D814F">
            <w:pPr>
              <w:pageBreakBefore w:val="0"/>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top"/>
          </w:tcPr>
          <w:p w14:paraId="395E4688">
            <w:pPr>
              <w:pageBreakBefore w:val="0"/>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top"/>
          </w:tcPr>
          <w:p w14:paraId="1CC494DF">
            <w:pPr>
              <w:pageBreakBefore w:val="0"/>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top"/>
          </w:tcPr>
          <w:p w14:paraId="6AB25112">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top"/>
          </w:tcPr>
          <w:p w14:paraId="77FD7A7C">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top"/>
          </w:tcPr>
          <w:p w14:paraId="36F8AD57">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top"/>
          </w:tcPr>
          <w:p w14:paraId="7775252F">
            <w:pPr>
              <w:pageBreakBefore w:val="0"/>
              <w:kinsoku/>
              <w:wordWrap w:val="0"/>
              <w:bidi w:val="0"/>
              <w:spacing w:line="400" w:lineRule="atLeast"/>
              <w:jc w:val="center"/>
              <w:rPr>
                <w:rFonts w:hint="default" w:ascii="Times New Roman" w:hAnsi="Times New Roman" w:cs="Times New Roman"/>
                <w:szCs w:val="21"/>
                <w:highlight w:val="none"/>
              </w:rPr>
            </w:pPr>
          </w:p>
        </w:tc>
      </w:tr>
      <w:tr w14:paraId="5D966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4AF17344">
            <w:pPr>
              <w:pageBreakBefore w:val="0"/>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top"/>
          </w:tcPr>
          <w:p w14:paraId="49EF8E62">
            <w:pPr>
              <w:pageBreakBefore w:val="0"/>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top"/>
          </w:tcPr>
          <w:p w14:paraId="4CE114D4">
            <w:pPr>
              <w:pageBreakBefore w:val="0"/>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top"/>
          </w:tcPr>
          <w:p w14:paraId="362D6953">
            <w:pPr>
              <w:pageBreakBefore w:val="0"/>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top"/>
          </w:tcPr>
          <w:p w14:paraId="232DD02E">
            <w:pPr>
              <w:pageBreakBefore w:val="0"/>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top"/>
          </w:tcPr>
          <w:p w14:paraId="0074F347">
            <w:pPr>
              <w:pageBreakBefore w:val="0"/>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top"/>
          </w:tcPr>
          <w:p w14:paraId="70C0AFC5">
            <w:pPr>
              <w:pageBreakBefore w:val="0"/>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top"/>
          </w:tcPr>
          <w:p w14:paraId="57764132">
            <w:pPr>
              <w:pageBreakBefore w:val="0"/>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top"/>
          </w:tcPr>
          <w:p w14:paraId="6D920843">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top"/>
          </w:tcPr>
          <w:p w14:paraId="2CEB04B2">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top"/>
          </w:tcPr>
          <w:p w14:paraId="1ADA2481">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top"/>
          </w:tcPr>
          <w:p w14:paraId="3C21B421">
            <w:pPr>
              <w:pageBreakBefore w:val="0"/>
              <w:kinsoku/>
              <w:wordWrap w:val="0"/>
              <w:bidi w:val="0"/>
              <w:spacing w:line="400" w:lineRule="atLeast"/>
              <w:jc w:val="center"/>
              <w:rPr>
                <w:rFonts w:hint="default" w:ascii="Times New Roman" w:hAnsi="Times New Roman" w:cs="Times New Roman"/>
                <w:szCs w:val="21"/>
                <w:highlight w:val="none"/>
              </w:rPr>
            </w:pPr>
          </w:p>
        </w:tc>
      </w:tr>
      <w:tr w14:paraId="39A77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3C0B47C3">
            <w:pPr>
              <w:pageBreakBefore w:val="0"/>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top"/>
          </w:tcPr>
          <w:p w14:paraId="2D89AA40">
            <w:pPr>
              <w:pageBreakBefore w:val="0"/>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top"/>
          </w:tcPr>
          <w:p w14:paraId="224A0E58">
            <w:pPr>
              <w:pageBreakBefore w:val="0"/>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top"/>
          </w:tcPr>
          <w:p w14:paraId="6D91A866">
            <w:pPr>
              <w:pageBreakBefore w:val="0"/>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top"/>
          </w:tcPr>
          <w:p w14:paraId="4FA95628">
            <w:pPr>
              <w:pageBreakBefore w:val="0"/>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top"/>
          </w:tcPr>
          <w:p w14:paraId="22D1B7DC">
            <w:pPr>
              <w:pageBreakBefore w:val="0"/>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top"/>
          </w:tcPr>
          <w:p w14:paraId="322DE547">
            <w:pPr>
              <w:pageBreakBefore w:val="0"/>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top"/>
          </w:tcPr>
          <w:p w14:paraId="4771A4CD">
            <w:pPr>
              <w:pageBreakBefore w:val="0"/>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top"/>
          </w:tcPr>
          <w:p w14:paraId="0FC51B88">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top"/>
          </w:tcPr>
          <w:p w14:paraId="676A17E2">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top"/>
          </w:tcPr>
          <w:p w14:paraId="4863C982">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top"/>
          </w:tcPr>
          <w:p w14:paraId="12571B3C">
            <w:pPr>
              <w:pageBreakBefore w:val="0"/>
              <w:kinsoku/>
              <w:wordWrap w:val="0"/>
              <w:bidi w:val="0"/>
              <w:spacing w:line="400" w:lineRule="atLeast"/>
              <w:jc w:val="center"/>
              <w:rPr>
                <w:rFonts w:hint="default" w:ascii="Times New Roman" w:hAnsi="Times New Roman" w:cs="Times New Roman"/>
                <w:szCs w:val="21"/>
                <w:highlight w:val="none"/>
              </w:rPr>
            </w:pPr>
          </w:p>
        </w:tc>
      </w:tr>
      <w:tr w14:paraId="3A33C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675C51C8">
            <w:pPr>
              <w:pageBreakBefore w:val="0"/>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top"/>
          </w:tcPr>
          <w:p w14:paraId="3CA15D47">
            <w:pPr>
              <w:pageBreakBefore w:val="0"/>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top"/>
          </w:tcPr>
          <w:p w14:paraId="3682959C">
            <w:pPr>
              <w:pageBreakBefore w:val="0"/>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top"/>
          </w:tcPr>
          <w:p w14:paraId="1F2A652A">
            <w:pPr>
              <w:pageBreakBefore w:val="0"/>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top"/>
          </w:tcPr>
          <w:p w14:paraId="73A6A837">
            <w:pPr>
              <w:pageBreakBefore w:val="0"/>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top"/>
          </w:tcPr>
          <w:p w14:paraId="6F259D17">
            <w:pPr>
              <w:pageBreakBefore w:val="0"/>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top"/>
          </w:tcPr>
          <w:p w14:paraId="5AC3FBB5">
            <w:pPr>
              <w:pageBreakBefore w:val="0"/>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top"/>
          </w:tcPr>
          <w:p w14:paraId="35D59F0A">
            <w:pPr>
              <w:pageBreakBefore w:val="0"/>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top"/>
          </w:tcPr>
          <w:p w14:paraId="7D43CCB5">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top"/>
          </w:tcPr>
          <w:p w14:paraId="6F23BF0B">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top"/>
          </w:tcPr>
          <w:p w14:paraId="443C43F4">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top"/>
          </w:tcPr>
          <w:p w14:paraId="24AA29C9">
            <w:pPr>
              <w:pageBreakBefore w:val="0"/>
              <w:kinsoku/>
              <w:wordWrap w:val="0"/>
              <w:bidi w:val="0"/>
              <w:spacing w:line="400" w:lineRule="atLeast"/>
              <w:jc w:val="center"/>
              <w:rPr>
                <w:rFonts w:hint="default" w:ascii="Times New Roman" w:hAnsi="Times New Roman" w:cs="Times New Roman"/>
                <w:szCs w:val="21"/>
                <w:highlight w:val="none"/>
              </w:rPr>
            </w:pPr>
          </w:p>
        </w:tc>
      </w:tr>
      <w:tr w14:paraId="3E89C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4AD5DDB2">
            <w:pPr>
              <w:pageBreakBefore w:val="0"/>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top"/>
          </w:tcPr>
          <w:p w14:paraId="4E210827">
            <w:pPr>
              <w:pageBreakBefore w:val="0"/>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top"/>
          </w:tcPr>
          <w:p w14:paraId="1861DF1D">
            <w:pPr>
              <w:pageBreakBefore w:val="0"/>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top"/>
          </w:tcPr>
          <w:p w14:paraId="34F641E1">
            <w:pPr>
              <w:pageBreakBefore w:val="0"/>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top"/>
          </w:tcPr>
          <w:p w14:paraId="605333B7">
            <w:pPr>
              <w:pageBreakBefore w:val="0"/>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top"/>
          </w:tcPr>
          <w:p w14:paraId="12F80081">
            <w:pPr>
              <w:pageBreakBefore w:val="0"/>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top"/>
          </w:tcPr>
          <w:p w14:paraId="5CB6D682">
            <w:pPr>
              <w:pageBreakBefore w:val="0"/>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top"/>
          </w:tcPr>
          <w:p w14:paraId="46262920">
            <w:pPr>
              <w:pageBreakBefore w:val="0"/>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top"/>
          </w:tcPr>
          <w:p w14:paraId="3072E33D">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top"/>
          </w:tcPr>
          <w:p w14:paraId="6E2F4652">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top"/>
          </w:tcPr>
          <w:p w14:paraId="6DFB304F">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top"/>
          </w:tcPr>
          <w:p w14:paraId="5A8CD558">
            <w:pPr>
              <w:pageBreakBefore w:val="0"/>
              <w:kinsoku/>
              <w:wordWrap w:val="0"/>
              <w:bidi w:val="0"/>
              <w:spacing w:line="400" w:lineRule="atLeast"/>
              <w:jc w:val="center"/>
              <w:rPr>
                <w:rFonts w:hint="default" w:ascii="Times New Roman" w:hAnsi="Times New Roman" w:cs="Times New Roman"/>
                <w:szCs w:val="21"/>
                <w:highlight w:val="none"/>
              </w:rPr>
            </w:pPr>
          </w:p>
        </w:tc>
      </w:tr>
      <w:tr w14:paraId="4828C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5E5D4732">
            <w:pPr>
              <w:pageBreakBefore w:val="0"/>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top"/>
          </w:tcPr>
          <w:p w14:paraId="5FB1B5C5">
            <w:pPr>
              <w:pageBreakBefore w:val="0"/>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top"/>
          </w:tcPr>
          <w:p w14:paraId="36FB7569">
            <w:pPr>
              <w:pageBreakBefore w:val="0"/>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top"/>
          </w:tcPr>
          <w:p w14:paraId="7028F594">
            <w:pPr>
              <w:pageBreakBefore w:val="0"/>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top"/>
          </w:tcPr>
          <w:p w14:paraId="0ABBA2FB">
            <w:pPr>
              <w:pageBreakBefore w:val="0"/>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top"/>
          </w:tcPr>
          <w:p w14:paraId="11B5AF72">
            <w:pPr>
              <w:pageBreakBefore w:val="0"/>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top"/>
          </w:tcPr>
          <w:p w14:paraId="4010D695">
            <w:pPr>
              <w:pageBreakBefore w:val="0"/>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top"/>
          </w:tcPr>
          <w:p w14:paraId="6F69DD0B">
            <w:pPr>
              <w:pageBreakBefore w:val="0"/>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top"/>
          </w:tcPr>
          <w:p w14:paraId="4B422185">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top"/>
          </w:tcPr>
          <w:p w14:paraId="6B559024">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top"/>
          </w:tcPr>
          <w:p w14:paraId="5A1AF3C5">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top"/>
          </w:tcPr>
          <w:p w14:paraId="65CE5E21">
            <w:pPr>
              <w:pageBreakBefore w:val="0"/>
              <w:kinsoku/>
              <w:wordWrap w:val="0"/>
              <w:bidi w:val="0"/>
              <w:spacing w:line="400" w:lineRule="atLeast"/>
              <w:jc w:val="center"/>
              <w:rPr>
                <w:rFonts w:hint="default" w:ascii="Times New Roman" w:hAnsi="Times New Roman" w:cs="Times New Roman"/>
                <w:szCs w:val="21"/>
                <w:highlight w:val="none"/>
              </w:rPr>
            </w:pPr>
          </w:p>
        </w:tc>
      </w:tr>
    </w:tbl>
    <w:p w14:paraId="7447B842">
      <w:pPr>
        <w:pStyle w:val="17"/>
        <w:pageBreakBefore w:val="0"/>
        <w:kinsoku/>
        <w:wordWrap w:val="0"/>
        <w:bidi w:val="0"/>
        <w:spacing w:after="0" w:line="400" w:lineRule="atLeast"/>
        <w:ind w:left="735" w:leftChars="0" w:hanging="735" w:hangingChars="350"/>
        <w:rPr>
          <w:rFonts w:hint="default" w:ascii="Times New Roman" w:hAnsi="Times New Roman" w:cs="Times New Roman"/>
          <w:bCs/>
          <w:kern w:val="0"/>
          <w:szCs w:val="21"/>
          <w:highlight w:val="none"/>
        </w:rPr>
      </w:pPr>
      <w:r>
        <w:rPr>
          <w:rFonts w:hint="default" w:ascii="Times New Roman" w:hAnsi="Times New Roman" w:cs="Times New Roman"/>
          <w:szCs w:val="21"/>
          <w:highlight w:val="none"/>
        </w:rPr>
        <w:t>注：本表填报的设备应满足招标文件第二章</w:t>
      </w:r>
      <w:r>
        <w:rPr>
          <w:rFonts w:hint="eastAsia" w:ascii="宋体" w:hAnsi="宋体" w:eastAsia="宋体" w:cs="宋体"/>
          <w:szCs w:val="21"/>
          <w:highlight w:val="none"/>
        </w:rPr>
        <w:t>“</w:t>
      </w:r>
      <w:r>
        <w:rPr>
          <w:rFonts w:hint="default" w:ascii="Times New Roman" w:hAnsi="Times New Roman" w:cs="Times New Roman"/>
          <w:szCs w:val="21"/>
          <w:highlight w:val="none"/>
        </w:rPr>
        <w:t>投标人须知</w:t>
      </w:r>
      <w:r>
        <w:rPr>
          <w:rFonts w:hint="eastAsia" w:ascii="宋体" w:hAnsi="宋体" w:eastAsia="宋体" w:cs="宋体"/>
          <w:szCs w:val="21"/>
          <w:highlight w:val="none"/>
        </w:rPr>
        <w:t>”</w:t>
      </w:r>
      <w:r>
        <w:rPr>
          <w:rFonts w:hint="default" w:ascii="Times New Roman" w:hAnsi="Times New Roman" w:cs="Times New Roman"/>
          <w:szCs w:val="21"/>
          <w:highlight w:val="none"/>
        </w:rPr>
        <w:t>前附表附录7的要求。</w:t>
      </w:r>
    </w:p>
    <w:p w14:paraId="092A5ED5">
      <w:pPr>
        <w:pageBreakBefore w:val="0"/>
        <w:kinsoku/>
        <w:wordWrap w:val="0"/>
        <w:topLinePunct/>
        <w:bidi w:val="0"/>
        <w:spacing w:line="400" w:lineRule="atLeast"/>
        <w:rPr>
          <w:rFonts w:hint="default" w:ascii="Times New Roman" w:hAnsi="Times New Roman" w:cs="Times New Roman"/>
          <w:sz w:val="23"/>
          <w:szCs w:val="23"/>
          <w:highlight w:val="none"/>
        </w:rPr>
      </w:pPr>
    </w:p>
    <w:p w14:paraId="782E64D7">
      <w:pPr>
        <w:pStyle w:val="2"/>
        <w:pageBreakBefore w:val="0"/>
        <w:kinsoku/>
        <w:wordWrap w:val="0"/>
        <w:bidi w:val="0"/>
        <w:spacing w:before="0" w:after="0" w:line="380" w:lineRule="atLeast"/>
        <w:jc w:val="center"/>
        <w:rPr>
          <w:rFonts w:hint="default" w:ascii="Times New Roman" w:hAnsi="Times New Roman" w:eastAsia="黑体" w:cs="Times New Roman"/>
          <w:b w:val="0"/>
          <w:sz w:val="24"/>
          <w:szCs w:val="24"/>
          <w:highlight w:val="none"/>
        </w:rPr>
      </w:pPr>
      <w:bookmarkStart w:id="1559" w:name="_Toc234833289"/>
      <w:bookmarkStart w:id="1560" w:name="_Toc32334"/>
      <w:bookmarkStart w:id="1561" w:name="_Toc13545"/>
      <w:r>
        <w:rPr>
          <w:rFonts w:hint="default" w:ascii="Times New Roman" w:hAnsi="Times New Roman" w:eastAsia="黑体" w:cs="Times New Roman"/>
          <w:b w:val="0"/>
          <w:sz w:val="24"/>
          <w:szCs w:val="24"/>
          <w:highlight w:val="none"/>
        </w:rPr>
        <w:t>（十） 拟配备本标段的主要材料试验、测量、质检仪器设备表</w:t>
      </w:r>
      <w:r>
        <w:rPr>
          <w:rFonts w:hint="default" w:ascii="Times New Roman" w:hAnsi="Times New Roman" w:eastAsia="黑体" w:cs="Times New Roman"/>
          <w:b w:val="0"/>
          <w:sz w:val="24"/>
          <w:szCs w:val="24"/>
          <w:highlight w:val="none"/>
          <w:vertAlign w:val="superscript"/>
        </w:rPr>
        <w:footnoteReference w:id="41"/>
      </w:r>
      <w:bookmarkEnd w:id="1559"/>
      <w:bookmarkEnd w:id="1560"/>
      <w:bookmarkEnd w:id="1561"/>
    </w:p>
    <w:p w14:paraId="7A5F50AC">
      <w:pPr>
        <w:pageBreakBefore w:val="0"/>
        <w:kinsoku/>
        <w:wordWrap w:val="0"/>
        <w:bidi w:val="0"/>
        <w:spacing w:line="400" w:lineRule="atLeast"/>
        <w:rPr>
          <w:rFonts w:hint="default" w:ascii="Times New Roman" w:hAnsi="Times New Roman" w:cs="Times New Roman"/>
          <w:sz w:val="20"/>
          <w:szCs w:val="20"/>
          <w:highlight w:val="none"/>
        </w:rPr>
      </w:pPr>
    </w:p>
    <w:tbl>
      <w:tblPr>
        <w:tblStyle w:val="4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5"/>
        <w:gridCol w:w="1617"/>
        <w:gridCol w:w="1030"/>
        <w:gridCol w:w="1016"/>
        <w:gridCol w:w="1026"/>
        <w:gridCol w:w="1026"/>
        <w:gridCol w:w="1693"/>
        <w:gridCol w:w="697"/>
      </w:tblGrid>
      <w:tr w14:paraId="3107F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center"/>
          </w:tcPr>
          <w:p w14:paraId="19CF5D4B">
            <w:pPr>
              <w:pageBreakBefore w:val="0"/>
              <w:kinsoku/>
              <w:wordWrap w:val="0"/>
              <w:bidi w:val="0"/>
              <w:spacing w:before="120" w:beforeLines="50" w:after="120" w:afterLines="50" w:line="400" w:lineRule="atLeast"/>
              <w:ind w:left="-105" w:leftChars="-50" w:right="-105" w:rightChars="-5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序号</w:t>
            </w:r>
          </w:p>
        </w:tc>
        <w:tc>
          <w:tcPr>
            <w:tcW w:w="1617" w:type="dxa"/>
            <w:noWrap w:val="0"/>
            <w:vAlign w:val="center"/>
          </w:tcPr>
          <w:p w14:paraId="317C9810">
            <w:pPr>
              <w:pageBreakBefore w:val="0"/>
              <w:kinsoku/>
              <w:wordWrap w:val="0"/>
              <w:bidi w:val="0"/>
              <w:spacing w:before="120" w:beforeLines="50" w:after="120" w:afterLines="50" w:line="400" w:lineRule="atLeast"/>
              <w:ind w:left="-105" w:leftChars="-50" w:right="-105" w:rightChars="-5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仪器设备名称</w:t>
            </w:r>
          </w:p>
        </w:tc>
        <w:tc>
          <w:tcPr>
            <w:tcW w:w="1030" w:type="dxa"/>
            <w:noWrap w:val="0"/>
            <w:vAlign w:val="center"/>
          </w:tcPr>
          <w:p w14:paraId="551907C6">
            <w:pPr>
              <w:pageBreakBefore w:val="0"/>
              <w:kinsoku/>
              <w:wordWrap w:val="0"/>
              <w:bidi w:val="0"/>
              <w:spacing w:before="120" w:beforeLines="50" w:after="120" w:afterLines="50" w:line="400" w:lineRule="atLeast"/>
              <w:ind w:left="-105" w:leftChars="-50" w:right="-105" w:rightChars="-5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型号规格</w:t>
            </w:r>
          </w:p>
        </w:tc>
        <w:tc>
          <w:tcPr>
            <w:tcW w:w="1016" w:type="dxa"/>
            <w:noWrap w:val="0"/>
            <w:vAlign w:val="center"/>
          </w:tcPr>
          <w:p w14:paraId="1FD70B45">
            <w:pPr>
              <w:pageBreakBefore w:val="0"/>
              <w:kinsoku/>
              <w:wordWrap w:val="0"/>
              <w:bidi w:val="0"/>
              <w:spacing w:before="120" w:beforeLines="50" w:after="120" w:afterLines="50" w:line="400" w:lineRule="atLeast"/>
              <w:ind w:left="-105" w:leftChars="-50" w:right="-105" w:rightChars="-5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数量</w:t>
            </w:r>
          </w:p>
        </w:tc>
        <w:tc>
          <w:tcPr>
            <w:tcW w:w="1026" w:type="dxa"/>
            <w:noWrap w:val="0"/>
            <w:vAlign w:val="center"/>
          </w:tcPr>
          <w:p w14:paraId="3D7A2A7D">
            <w:pPr>
              <w:pageBreakBefore w:val="0"/>
              <w:kinsoku/>
              <w:wordWrap w:val="0"/>
              <w:bidi w:val="0"/>
              <w:spacing w:before="120" w:beforeLines="50" w:after="120" w:afterLines="50" w:line="400" w:lineRule="atLeast"/>
              <w:ind w:left="-105" w:leftChars="-50" w:right="-105" w:rightChars="-5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国别产地</w:t>
            </w:r>
          </w:p>
        </w:tc>
        <w:tc>
          <w:tcPr>
            <w:tcW w:w="1026" w:type="dxa"/>
            <w:noWrap w:val="0"/>
            <w:vAlign w:val="center"/>
          </w:tcPr>
          <w:p w14:paraId="67864FA2">
            <w:pPr>
              <w:pageBreakBefore w:val="0"/>
              <w:kinsoku/>
              <w:wordWrap w:val="0"/>
              <w:bidi w:val="0"/>
              <w:spacing w:before="120" w:beforeLines="50" w:after="120" w:afterLines="50" w:line="400" w:lineRule="atLeast"/>
              <w:ind w:left="-105" w:leftChars="-50" w:right="-105" w:rightChars="-5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制造年份</w:t>
            </w:r>
          </w:p>
        </w:tc>
        <w:tc>
          <w:tcPr>
            <w:tcW w:w="1693" w:type="dxa"/>
            <w:noWrap w:val="0"/>
            <w:vAlign w:val="center"/>
          </w:tcPr>
          <w:p w14:paraId="4EDC023F">
            <w:pPr>
              <w:pageBreakBefore w:val="0"/>
              <w:kinsoku/>
              <w:wordWrap w:val="0"/>
              <w:bidi w:val="0"/>
              <w:spacing w:before="120" w:beforeLines="50" w:after="120" w:afterLines="50" w:line="400" w:lineRule="atLeast"/>
              <w:ind w:left="-105" w:leftChars="-50" w:right="-105" w:rightChars="-5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用途</w:t>
            </w:r>
          </w:p>
        </w:tc>
        <w:tc>
          <w:tcPr>
            <w:tcW w:w="697" w:type="dxa"/>
            <w:noWrap w:val="0"/>
            <w:vAlign w:val="center"/>
          </w:tcPr>
          <w:p w14:paraId="6239C9DB">
            <w:pPr>
              <w:pageBreakBefore w:val="0"/>
              <w:kinsoku/>
              <w:wordWrap w:val="0"/>
              <w:bidi w:val="0"/>
              <w:spacing w:before="120" w:beforeLines="50" w:after="120" w:afterLines="50" w:line="400" w:lineRule="atLeast"/>
              <w:ind w:left="-105" w:leftChars="-50" w:right="-105" w:rightChars="-5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备注</w:t>
            </w:r>
          </w:p>
        </w:tc>
      </w:tr>
      <w:tr w14:paraId="7B110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center"/>
          </w:tcPr>
          <w:p w14:paraId="21BCD152">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17" w:type="dxa"/>
            <w:noWrap w:val="0"/>
            <w:vAlign w:val="center"/>
          </w:tcPr>
          <w:p w14:paraId="6B8F3BC8">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30" w:type="dxa"/>
            <w:noWrap w:val="0"/>
            <w:vAlign w:val="center"/>
          </w:tcPr>
          <w:p w14:paraId="33A6E5C6">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16" w:type="dxa"/>
            <w:noWrap w:val="0"/>
            <w:vAlign w:val="center"/>
          </w:tcPr>
          <w:p w14:paraId="76C1EFAA">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center"/>
          </w:tcPr>
          <w:p w14:paraId="24BBFD60">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center"/>
          </w:tcPr>
          <w:p w14:paraId="4EB95E0C">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93" w:type="dxa"/>
            <w:noWrap w:val="0"/>
            <w:vAlign w:val="center"/>
          </w:tcPr>
          <w:p w14:paraId="3FB2753E">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697" w:type="dxa"/>
            <w:noWrap w:val="0"/>
            <w:vAlign w:val="center"/>
          </w:tcPr>
          <w:p w14:paraId="6010F090">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r>
      <w:tr w14:paraId="2C98D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center"/>
          </w:tcPr>
          <w:p w14:paraId="6EC4B6F5">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17" w:type="dxa"/>
            <w:noWrap w:val="0"/>
            <w:vAlign w:val="center"/>
          </w:tcPr>
          <w:p w14:paraId="25DBA35A">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30" w:type="dxa"/>
            <w:noWrap w:val="0"/>
            <w:vAlign w:val="center"/>
          </w:tcPr>
          <w:p w14:paraId="6D442B42">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16" w:type="dxa"/>
            <w:noWrap w:val="0"/>
            <w:vAlign w:val="center"/>
          </w:tcPr>
          <w:p w14:paraId="748B131D">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center"/>
          </w:tcPr>
          <w:p w14:paraId="308988B6">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center"/>
          </w:tcPr>
          <w:p w14:paraId="0E335717">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93" w:type="dxa"/>
            <w:noWrap w:val="0"/>
            <w:vAlign w:val="center"/>
          </w:tcPr>
          <w:p w14:paraId="11CCBC59">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697" w:type="dxa"/>
            <w:noWrap w:val="0"/>
            <w:vAlign w:val="center"/>
          </w:tcPr>
          <w:p w14:paraId="17613579">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r>
      <w:tr w14:paraId="5F851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top"/>
          </w:tcPr>
          <w:p w14:paraId="1E3C1CD1">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17" w:type="dxa"/>
            <w:noWrap w:val="0"/>
            <w:vAlign w:val="top"/>
          </w:tcPr>
          <w:p w14:paraId="0F8D5EFE">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30" w:type="dxa"/>
            <w:noWrap w:val="0"/>
            <w:vAlign w:val="top"/>
          </w:tcPr>
          <w:p w14:paraId="6A604791">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16" w:type="dxa"/>
            <w:noWrap w:val="0"/>
            <w:vAlign w:val="top"/>
          </w:tcPr>
          <w:p w14:paraId="6C5BFFD2">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562A9874">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252C5BB0">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93" w:type="dxa"/>
            <w:noWrap w:val="0"/>
            <w:vAlign w:val="top"/>
          </w:tcPr>
          <w:p w14:paraId="70003A73">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697" w:type="dxa"/>
            <w:noWrap w:val="0"/>
            <w:vAlign w:val="top"/>
          </w:tcPr>
          <w:p w14:paraId="1360305B">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r>
      <w:tr w14:paraId="7B178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top"/>
          </w:tcPr>
          <w:p w14:paraId="3257C4EA">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17" w:type="dxa"/>
            <w:noWrap w:val="0"/>
            <w:vAlign w:val="top"/>
          </w:tcPr>
          <w:p w14:paraId="63E7038F">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30" w:type="dxa"/>
            <w:noWrap w:val="0"/>
            <w:vAlign w:val="top"/>
          </w:tcPr>
          <w:p w14:paraId="30C88876">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16" w:type="dxa"/>
            <w:noWrap w:val="0"/>
            <w:vAlign w:val="top"/>
          </w:tcPr>
          <w:p w14:paraId="67DB26EA">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76E88547">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4BB88015">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93" w:type="dxa"/>
            <w:noWrap w:val="0"/>
            <w:vAlign w:val="top"/>
          </w:tcPr>
          <w:p w14:paraId="5A8DC0C7">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697" w:type="dxa"/>
            <w:noWrap w:val="0"/>
            <w:vAlign w:val="top"/>
          </w:tcPr>
          <w:p w14:paraId="3E0C72A4">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r>
      <w:tr w14:paraId="1BBC1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top"/>
          </w:tcPr>
          <w:p w14:paraId="799AF93B">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17" w:type="dxa"/>
            <w:noWrap w:val="0"/>
            <w:vAlign w:val="top"/>
          </w:tcPr>
          <w:p w14:paraId="04EB2FFB">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30" w:type="dxa"/>
            <w:noWrap w:val="0"/>
            <w:vAlign w:val="top"/>
          </w:tcPr>
          <w:p w14:paraId="3A97E40D">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16" w:type="dxa"/>
            <w:noWrap w:val="0"/>
            <w:vAlign w:val="top"/>
          </w:tcPr>
          <w:p w14:paraId="086A4E34">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11C2C964">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6F1D8DB1">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93" w:type="dxa"/>
            <w:noWrap w:val="0"/>
            <w:vAlign w:val="top"/>
          </w:tcPr>
          <w:p w14:paraId="25E3C440">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697" w:type="dxa"/>
            <w:noWrap w:val="0"/>
            <w:vAlign w:val="top"/>
          </w:tcPr>
          <w:p w14:paraId="437FD0E6">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r>
      <w:tr w14:paraId="08451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top"/>
          </w:tcPr>
          <w:p w14:paraId="6FBB3435">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17" w:type="dxa"/>
            <w:noWrap w:val="0"/>
            <w:vAlign w:val="top"/>
          </w:tcPr>
          <w:p w14:paraId="2BEB2EEA">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30" w:type="dxa"/>
            <w:noWrap w:val="0"/>
            <w:vAlign w:val="top"/>
          </w:tcPr>
          <w:p w14:paraId="7DAEC18C">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16" w:type="dxa"/>
            <w:noWrap w:val="0"/>
            <w:vAlign w:val="top"/>
          </w:tcPr>
          <w:p w14:paraId="430E9C75">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0CE6CF50">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2E0B9E97">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93" w:type="dxa"/>
            <w:noWrap w:val="0"/>
            <w:vAlign w:val="top"/>
          </w:tcPr>
          <w:p w14:paraId="3AC3834E">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697" w:type="dxa"/>
            <w:noWrap w:val="0"/>
            <w:vAlign w:val="top"/>
          </w:tcPr>
          <w:p w14:paraId="5DF90910">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r>
      <w:tr w14:paraId="3DC4F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top"/>
          </w:tcPr>
          <w:p w14:paraId="065B84F6">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17" w:type="dxa"/>
            <w:noWrap w:val="0"/>
            <w:vAlign w:val="top"/>
          </w:tcPr>
          <w:p w14:paraId="3C959DB7">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30" w:type="dxa"/>
            <w:noWrap w:val="0"/>
            <w:vAlign w:val="top"/>
          </w:tcPr>
          <w:p w14:paraId="06D5A480">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16" w:type="dxa"/>
            <w:noWrap w:val="0"/>
            <w:vAlign w:val="top"/>
          </w:tcPr>
          <w:p w14:paraId="48BE2007">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1D3F8CFB">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5507E1C3">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93" w:type="dxa"/>
            <w:noWrap w:val="0"/>
            <w:vAlign w:val="top"/>
          </w:tcPr>
          <w:p w14:paraId="67EACC85">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697" w:type="dxa"/>
            <w:noWrap w:val="0"/>
            <w:vAlign w:val="top"/>
          </w:tcPr>
          <w:p w14:paraId="31BFA200">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r>
      <w:tr w14:paraId="4B2B9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top"/>
          </w:tcPr>
          <w:p w14:paraId="21619890">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17" w:type="dxa"/>
            <w:noWrap w:val="0"/>
            <w:vAlign w:val="top"/>
          </w:tcPr>
          <w:p w14:paraId="6748681D">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30" w:type="dxa"/>
            <w:noWrap w:val="0"/>
            <w:vAlign w:val="top"/>
          </w:tcPr>
          <w:p w14:paraId="654AD199">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16" w:type="dxa"/>
            <w:noWrap w:val="0"/>
            <w:vAlign w:val="top"/>
          </w:tcPr>
          <w:p w14:paraId="7213D9D2">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085DAEED">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040F7879">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93" w:type="dxa"/>
            <w:noWrap w:val="0"/>
            <w:vAlign w:val="top"/>
          </w:tcPr>
          <w:p w14:paraId="51E6BA05">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697" w:type="dxa"/>
            <w:noWrap w:val="0"/>
            <w:vAlign w:val="top"/>
          </w:tcPr>
          <w:p w14:paraId="10BF5244">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r>
      <w:tr w14:paraId="33C3E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top"/>
          </w:tcPr>
          <w:p w14:paraId="75DE8737">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17" w:type="dxa"/>
            <w:noWrap w:val="0"/>
            <w:vAlign w:val="top"/>
          </w:tcPr>
          <w:p w14:paraId="05DE744F">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30" w:type="dxa"/>
            <w:noWrap w:val="0"/>
            <w:vAlign w:val="top"/>
          </w:tcPr>
          <w:p w14:paraId="108B5C97">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16" w:type="dxa"/>
            <w:noWrap w:val="0"/>
            <w:vAlign w:val="top"/>
          </w:tcPr>
          <w:p w14:paraId="04FB16A1">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549DC6B4">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1B26EB8F">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93" w:type="dxa"/>
            <w:noWrap w:val="0"/>
            <w:vAlign w:val="top"/>
          </w:tcPr>
          <w:p w14:paraId="67CB7AFE">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697" w:type="dxa"/>
            <w:noWrap w:val="0"/>
            <w:vAlign w:val="top"/>
          </w:tcPr>
          <w:p w14:paraId="471FB4C3">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r>
      <w:tr w14:paraId="13347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top"/>
          </w:tcPr>
          <w:p w14:paraId="0DED400D">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17" w:type="dxa"/>
            <w:noWrap w:val="0"/>
            <w:vAlign w:val="top"/>
          </w:tcPr>
          <w:p w14:paraId="4A81E554">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30" w:type="dxa"/>
            <w:noWrap w:val="0"/>
            <w:vAlign w:val="top"/>
          </w:tcPr>
          <w:p w14:paraId="3E6A1416">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16" w:type="dxa"/>
            <w:noWrap w:val="0"/>
            <w:vAlign w:val="top"/>
          </w:tcPr>
          <w:p w14:paraId="227DEF9F">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0BE4D16A">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2EB71B94">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93" w:type="dxa"/>
            <w:noWrap w:val="0"/>
            <w:vAlign w:val="top"/>
          </w:tcPr>
          <w:p w14:paraId="08B84144">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697" w:type="dxa"/>
            <w:noWrap w:val="0"/>
            <w:vAlign w:val="top"/>
          </w:tcPr>
          <w:p w14:paraId="54C45E74">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r>
      <w:tr w14:paraId="68166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top"/>
          </w:tcPr>
          <w:p w14:paraId="4E962AF3">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17" w:type="dxa"/>
            <w:noWrap w:val="0"/>
            <w:vAlign w:val="top"/>
          </w:tcPr>
          <w:p w14:paraId="507AC761">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30" w:type="dxa"/>
            <w:noWrap w:val="0"/>
            <w:vAlign w:val="top"/>
          </w:tcPr>
          <w:p w14:paraId="51F16710">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16" w:type="dxa"/>
            <w:noWrap w:val="0"/>
            <w:vAlign w:val="top"/>
          </w:tcPr>
          <w:p w14:paraId="0B8B797D">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12A7BA33">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1692E2DE">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93" w:type="dxa"/>
            <w:noWrap w:val="0"/>
            <w:vAlign w:val="top"/>
          </w:tcPr>
          <w:p w14:paraId="3EC2AB81">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697" w:type="dxa"/>
            <w:noWrap w:val="0"/>
            <w:vAlign w:val="top"/>
          </w:tcPr>
          <w:p w14:paraId="11E23B37">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r>
      <w:tr w14:paraId="25837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top"/>
          </w:tcPr>
          <w:p w14:paraId="6DBA88B2">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17" w:type="dxa"/>
            <w:noWrap w:val="0"/>
            <w:vAlign w:val="top"/>
          </w:tcPr>
          <w:p w14:paraId="18D3C202">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30" w:type="dxa"/>
            <w:noWrap w:val="0"/>
            <w:vAlign w:val="top"/>
          </w:tcPr>
          <w:p w14:paraId="07023E48">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16" w:type="dxa"/>
            <w:noWrap w:val="0"/>
            <w:vAlign w:val="top"/>
          </w:tcPr>
          <w:p w14:paraId="5EBD2855">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1B809ABA">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5D6322B2">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93" w:type="dxa"/>
            <w:noWrap w:val="0"/>
            <w:vAlign w:val="top"/>
          </w:tcPr>
          <w:p w14:paraId="16A7002C">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697" w:type="dxa"/>
            <w:noWrap w:val="0"/>
            <w:vAlign w:val="top"/>
          </w:tcPr>
          <w:p w14:paraId="307634DD">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r>
      <w:tr w14:paraId="07E97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top"/>
          </w:tcPr>
          <w:p w14:paraId="593C1469">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17" w:type="dxa"/>
            <w:noWrap w:val="0"/>
            <w:vAlign w:val="top"/>
          </w:tcPr>
          <w:p w14:paraId="28F7C2A1">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30" w:type="dxa"/>
            <w:noWrap w:val="0"/>
            <w:vAlign w:val="top"/>
          </w:tcPr>
          <w:p w14:paraId="76AD2E96">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16" w:type="dxa"/>
            <w:noWrap w:val="0"/>
            <w:vAlign w:val="top"/>
          </w:tcPr>
          <w:p w14:paraId="355ED935">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25D68AD5">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320BD060">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93" w:type="dxa"/>
            <w:noWrap w:val="0"/>
            <w:vAlign w:val="top"/>
          </w:tcPr>
          <w:p w14:paraId="1605A216">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697" w:type="dxa"/>
            <w:noWrap w:val="0"/>
            <w:vAlign w:val="top"/>
          </w:tcPr>
          <w:p w14:paraId="1714C94E">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r>
      <w:tr w14:paraId="56869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top"/>
          </w:tcPr>
          <w:p w14:paraId="1A87CE08">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17" w:type="dxa"/>
            <w:noWrap w:val="0"/>
            <w:vAlign w:val="top"/>
          </w:tcPr>
          <w:p w14:paraId="4BC05094">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30" w:type="dxa"/>
            <w:noWrap w:val="0"/>
            <w:vAlign w:val="top"/>
          </w:tcPr>
          <w:p w14:paraId="33BA3C6D">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16" w:type="dxa"/>
            <w:noWrap w:val="0"/>
            <w:vAlign w:val="top"/>
          </w:tcPr>
          <w:p w14:paraId="7119BEEF">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0D500748">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3BC973E7">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93" w:type="dxa"/>
            <w:noWrap w:val="0"/>
            <w:vAlign w:val="top"/>
          </w:tcPr>
          <w:p w14:paraId="1103868B">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697" w:type="dxa"/>
            <w:noWrap w:val="0"/>
            <w:vAlign w:val="top"/>
          </w:tcPr>
          <w:p w14:paraId="7391A351">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r>
      <w:tr w14:paraId="5EC00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top"/>
          </w:tcPr>
          <w:p w14:paraId="6EF14FFC">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17" w:type="dxa"/>
            <w:noWrap w:val="0"/>
            <w:vAlign w:val="top"/>
          </w:tcPr>
          <w:p w14:paraId="7668DB14">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30" w:type="dxa"/>
            <w:noWrap w:val="0"/>
            <w:vAlign w:val="top"/>
          </w:tcPr>
          <w:p w14:paraId="480812E1">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16" w:type="dxa"/>
            <w:noWrap w:val="0"/>
            <w:vAlign w:val="top"/>
          </w:tcPr>
          <w:p w14:paraId="3044D754">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49DEA30A">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6C22DFA5">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93" w:type="dxa"/>
            <w:noWrap w:val="0"/>
            <w:vAlign w:val="top"/>
          </w:tcPr>
          <w:p w14:paraId="4ED66DD4">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697" w:type="dxa"/>
            <w:noWrap w:val="0"/>
            <w:vAlign w:val="top"/>
          </w:tcPr>
          <w:p w14:paraId="01FEBD33">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r>
      <w:tr w14:paraId="73C3D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top"/>
          </w:tcPr>
          <w:p w14:paraId="30E2FC30">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17" w:type="dxa"/>
            <w:noWrap w:val="0"/>
            <w:vAlign w:val="top"/>
          </w:tcPr>
          <w:p w14:paraId="6E449D69">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30" w:type="dxa"/>
            <w:noWrap w:val="0"/>
            <w:vAlign w:val="top"/>
          </w:tcPr>
          <w:p w14:paraId="60E1C8F1">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16" w:type="dxa"/>
            <w:noWrap w:val="0"/>
            <w:vAlign w:val="top"/>
          </w:tcPr>
          <w:p w14:paraId="106FEE7B">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21336968">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0A332DAF">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93" w:type="dxa"/>
            <w:noWrap w:val="0"/>
            <w:vAlign w:val="top"/>
          </w:tcPr>
          <w:p w14:paraId="077B46D9">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697" w:type="dxa"/>
            <w:noWrap w:val="0"/>
            <w:vAlign w:val="top"/>
          </w:tcPr>
          <w:p w14:paraId="220AD178">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r>
    </w:tbl>
    <w:p w14:paraId="23B7CD55">
      <w:pPr>
        <w:pStyle w:val="17"/>
        <w:pageBreakBefore w:val="0"/>
        <w:kinsoku/>
        <w:wordWrap w:val="0"/>
        <w:bidi w:val="0"/>
        <w:spacing w:after="0" w:line="400" w:lineRule="atLeast"/>
        <w:ind w:left="735" w:leftChars="0" w:hanging="735" w:hangingChars="350"/>
        <w:rPr>
          <w:rFonts w:hint="default" w:ascii="Times New Roman" w:hAnsi="Times New Roman" w:cs="Times New Roman"/>
          <w:szCs w:val="21"/>
          <w:highlight w:val="none"/>
        </w:rPr>
      </w:pPr>
      <w:r>
        <w:rPr>
          <w:rFonts w:hint="default" w:ascii="Times New Roman" w:hAnsi="Times New Roman" w:cs="Times New Roman"/>
          <w:szCs w:val="21"/>
          <w:highlight w:val="none"/>
        </w:rPr>
        <w:t>注：本表填报的设备应满足招标文件第二章</w:t>
      </w:r>
      <w:r>
        <w:rPr>
          <w:rFonts w:hint="eastAsia" w:ascii="宋体" w:hAnsi="宋体" w:eastAsia="宋体" w:cs="宋体"/>
          <w:szCs w:val="21"/>
          <w:highlight w:val="none"/>
        </w:rPr>
        <w:t>“</w:t>
      </w:r>
      <w:r>
        <w:rPr>
          <w:rFonts w:hint="default" w:ascii="Times New Roman" w:hAnsi="Times New Roman" w:cs="Times New Roman"/>
          <w:szCs w:val="21"/>
          <w:highlight w:val="none"/>
        </w:rPr>
        <w:t>投标人须知</w:t>
      </w:r>
      <w:r>
        <w:rPr>
          <w:rFonts w:hint="eastAsia" w:ascii="宋体" w:hAnsi="宋体" w:eastAsia="宋体" w:cs="宋体"/>
          <w:szCs w:val="21"/>
          <w:highlight w:val="none"/>
        </w:rPr>
        <w:t>”</w:t>
      </w:r>
      <w:r>
        <w:rPr>
          <w:rFonts w:hint="default" w:ascii="Times New Roman" w:hAnsi="Times New Roman" w:cs="Times New Roman"/>
          <w:szCs w:val="21"/>
          <w:highlight w:val="none"/>
        </w:rPr>
        <w:t>前附表附录7的要求。</w:t>
      </w:r>
    </w:p>
    <w:p w14:paraId="2F6E902B">
      <w:pPr>
        <w:keepNext/>
        <w:keepLines w:val="0"/>
        <w:pageBreakBefore w:val="0"/>
        <w:widowControl w:val="0"/>
        <w:kinsoku/>
        <w:wordWrap/>
        <w:overflowPunct/>
        <w:topLinePunct/>
        <w:autoSpaceDE/>
        <w:autoSpaceDN/>
        <w:bidi w:val="0"/>
        <w:adjustRightInd w:val="0"/>
        <w:snapToGrid/>
        <w:spacing w:line="440" w:lineRule="exact"/>
        <w:jc w:val="center"/>
        <w:textAlignment w:val="baseline"/>
        <w:outlineLvl w:val="0"/>
        <w:rPr>
          <w:rFonts w:hint="default" w:ascii="Times New Roman" w:hAnsi="Times New Roman" w:eastAsia="黑体" w:cs="Times New Roman"/>
          <w:kern w:val="0"/>
          <w:sz w:val="28"/>
          <w:szCs w:val="20"/>
          <w:highlight w:val="none"/>
        </w:rPr>
      </w:pPr>
      <w:r>
        <w:rPr>
          <w:rFonts w:hint="default" w:ascii="Times New Roman" w:hAnsi="Times New Roman" w:cs="Times New Roman"/>
          <w:sz w:val="24"/>
          <w:highlight w:val="none"/>
        </w:rPr>
        <w:br w:type="page"/>
      </w:r>
      <w:bookmarkStart w:id="1562" w:name="_Toc5710"/>
      <w:bookmarkStart w:id="1563" w:name="_Toc18105"/>
      <w:bookmarkStart w:id="1564" w:name="_Toc15816"/>
      <w:bookmarkStart w:id="1565" w:name="_Toc234833291"/>
      <w:r>
        <w:rPr>
          <w:rFonts w:hint="default" w:ascii="Times New Roman" w:hAnsi="Times New Roman" w:eastAsia="黑体" w:cs="Times New Roman"/>
          <w:sz w:val="28"/>
          <w:szCs w:val="28"/>
          <w:highlight w:val="none"/>
          <w:lang w:val="en-US" w:eastAsia="zh-CN"/>
        </w:rPr>
        <w:t>九</w:t>
      </w:r>
      <w:r>
        <w:rPr>
          <w:rFonts w:hint="default" w:ascii="Times New Roman" w:hAnsi="Times New Roman" w:eastAsia="黑体" w:cs="Times New Roman"/>
          <w:b w:val="0"/>
          <w:sz w:val="28"/>
          <w:szCs w:val="28"/>
          <w:highlight w:val="none"/>
        </w:rPr>
        <w:t>、</w:t>
      </w:r>
      <w:r>
        <w:rPr>
          <w:rFonts w:hint="default" w:ascii="Times New Roman" w:hAnsi="Times New Roman" w:eastAsia="黑体" w:cs="Times New Roman"/>
          <w:kern w:val="0"/>
          <w:sz w:val="28"/>
          <w:szCs w:val="20"/>
          <w:highlight w:val="none"/>
        </w:rPr>
        <w:t>投标人告知承诺函</w:t>
      </w:r>
      <w:bookmarkEnd w:id="1562"/>
      <w:bookmarkEnd w:id="1563"/>
      <w:bookmarkEnd w:id="1564"/>
    </w:p>
    <w:p w14:paraId="1F0878F1">
      <w:pPr>
        <w:spacing w:line="380" w:lineRule="exact"/>
        <w:rPr>
          <w:rFonts w:hint="default" w:ascii="Times New Roman" w:hAnsi="Times New Roman" w:cs="Times New Roman"/>
          <w:sz w:val="24"/>
          <w:highlight w:val="none"/>
          <w:u w:val="single"/>
        </w:rPr>
      </w:pPr>
    </w:p>
    <w:p w14:paraId="04E7DA04">
      <w:pPr>
        <w:wordWrap w:val="0"/>
        <w:spacing w:line="38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u w:val="single"/>
          <w:lang w:val="en-US" w:eastAsia="zh-CN"/>
        </w:rPr>
        <w:t xml:space="preserve">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（招标人名称）、</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u w:val="single"/>
          <w:lang w:val="en-US" w:eastAsia="zh-CN"/>
        </w:rPr>
        <w:t xml:space="preserve">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（监管部门名称）：</w:t>
      </w:r>
    </w:p>
    <w:p w14:paraId="76D24A4C">
      <w:pPr>
        <w:wordWrap w:val="0"/>
        <w:spacing w:line="38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我单位参与</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u w:val="single"/>
          <w:lang w:val="en-US" w:eastAsia="zh-CN"/>
        </w:rPr>
        <w:t xml:space="preserve">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的投标。根据《中华人民共和国招标投标法》等法律法规的规定，我已知悉本单位相关权利义务，作为法定代表人（或授权委托人），本人清楚知晓我单位在本项目投标活动的情况。本人已详细阅读告知承诺函的内容，并在此郑重承诺：</w:t>
      </w:r>
    </w:p>
    <w:p w14:paraId="07182AD8">
      <w:pPr>
        <w:spacing w:line="38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一、我单位和我本人遵循公开、公平、公正、诚实守信的原则，依法依规参与本项目投标。</w:t>
      </w:r>
    </w:p>
    <w:p w14:paraId="3D71949A">
      <w:pPr>
        <w:spacing w:line="38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二、我单位具有参与本次投标的资质和能力，公司运营状况良好，不存在挂靠投标、不受让、租借、出租、出借资格或资质证书，无处罚期内的不良行为。</w:t>
      </w:r>
    </w:p>
    <w:p w14:paraId="79ED28A1">
      <w:pPr>
        <w:spacing w:line="38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三、我单位在本项目投标过程中从招标公告列明的渠道获取招标文件，没有通过其他不正当渠道获取招标文件。</w:t>
      </w:r>
    </w:p>
    <w:p w14:paraId="1EB1DF96">
      <w:pPr>
        <w:spacing w:line="38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四、我单位承诺投标文件由本单位员工独立编制，严格遵守保密义务。所提供的一切投标相关材料都是真实、有效、合法的。</w:t>
      </w:r>
    </w:p>
    <w:p w14:paraId="0EEEEAAD">
      <w:pPr>
        <w:spacing w:line="38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五、我单位不与其他投标人相互串通投标报价，不恶意压低或抬高投标报价，不排挤其他投标人的公平竞争，不损害招标人或其他投标人的合法权益。</w:t>
      </w:r>
    </w:p>
    <w:p w14:paraId="41AD2418">
      <w:pPr>
        <w:spacing w:line="38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六、我单位不与招标人或招标代理机构串通投标，损害国家利益、社会公共利益或者他人的合法权益。</w:t>
      </w:r>
    </w:p>
    <w:p w14:paraId="220D9E4D">
      <w:pPr>
        <w:spacing w:line="38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七、我单位不向招标人或者评标委员会成员行贿以牟取中标，不在开标后进行虚假恶意投诉。</w:t>
      </w:r>
    </w:p>
    <w:p w14:paraId="3A53AAE5">
      <w:pPr>
        <w:spacing w:line="38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八、我单位和我个人清楚并知晓《中华人民共和国刑法》第二百二十三条</w:t>
      </w:r>
      <w:r>
        <w:rPr>
          <w:rFonts w:hint="eastAsia" w:ascii="宋体" w:hAnsi="宋体" w:eastAsia="宋体" w:cs="宋体"/>
          <w:sz w:val="24"/>
          <w:highlight w:val="none"/>
        </w:rPr>
        <w:t>“</w:t>
      </w:r>
      <w:r>
        <w:rPr>
          <w:rFonts w:hint="default" w:ascii="Times New Roman" w:hAnsi="Times New Roman" w:cs="Times New Roman"/>
          <w:sz w:val="24"/>
          <w:highlight w:val="none"/>
        </w:rPr>
        <w:t>投标人相互串通投标报价，损害招标人或者其他投标人利益，情节严重的，处三年以下有期徒刑或者拘役，并处或者单处罚金。投标人与招标人串通投标，损害国家、集体、公民的合法利益的，依照前款的规定处罚</w:t>
      </w:r>
      <w:r>
        <w:rPr>
          <w:rFonts w:hint="eastAsia" w:ascii="宋体" w:hAnsi="宋体" w:eastAsia="宋体" w:cs="宋体"/>
          <w:sz w:val="24"/>
          <w:highlight w:val="none"/>
        </w:rPr>
        <w:t>”</w:t>
      </w:r>
      <w:r>
        <w:rPr>
          <w:rFonts w:hint="default" w:ascii="Times New Roman" w:hAnsi="Times New Roman" w:cs="Times New Roman"/>
          <w:sz w:val="24"/>
          <w:highlight w:val="none"/>
        </w:rPr>
        <w:t>的规定。</w:t>
      </w:r>
    </w:p>
    <w:p w14:paraId="656E5511">
      <w:pPr>
        <w:spacing w:line="38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九、我单位如在本项目招标投标活动评标工作中存在串通投标、弄虚作假等行为的，本单位及本人自愿承担法律责任，接受相应刑事、纪律和行政处罚以及失信惩戒。</w:t>
      </w:r>
    </w:p>
    <w:p w14:paraId="76106BCF">
      <w:pPr>
        <w:spacing w:line="38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十、本承诺函由我单位盖章及法定代表人（授权委托人）本人亲自签字确认。</w:t>
      </w:r>
    </w:p>
    <w:p w14:paraId="3F93FDF6">
      <w:pPr>
        <w:spacing w:line="380" w:lineRule="exact"/>
        <w:ind w:firstLine="480" w:firstLineChars="200"/>
        <w:rPr>
          <w:rFonts w:hint="default" w:ascii="Times New Roman" w:hAnsi="Times New Roman" w:cs="Times New Roman"/>
          <w:sz w:val="24"/>
          <w:highlight w:val="none"/>
        </w:rPr>
      </w:pPr>
    </w:p>
    <w:p w14:paraId="76B3D123">
      <w:pPr>
        <w:widowControl/>
        <w:spacing w:line="380" w:lineRule="exact"/>
        <w:jc w:val="right"/>
        <w:rPr>
          <w:rFonts w:hint="default" w:ascii="Times New Roman" w:hAnsi="Times New Roman" w:cs="Times New Roman"/>
          <w:kern w:val="0"/>
          <w:sz w:val="24"/>
          <w:highlight w:val="none"/>
          <w:u w:val="single"/>
          <w:lang w:val="zh-CN" w:bidi="zh-CN"/>
        </w:rPr>
      </w:pPr>
      <w:r>
        <w:rPr>
          <w:rFonts w:hint="default" w:ascii="Times New Roman" w:hAnsi="Times New Roman" w:cs="Times New Roman"/>
          <w:kern w:val="0"/>
          <w:sz w:val="24"/>
          <w:highlight w:val="none"/>
          <w:lang w:val="zh-CN" w:bidi="zh-CN"/>
        </w:rPr>
        <w:t>投标人：</w:t>
      </w:r>
      <w:r>
        <w:rPr>
          <w:rFonts w:hint="default" w:ascii="Times New Roman" w:hAnsi="Times New Roman" w:cs="Times New Roman"/>
          <w:kern w:val="0"/>
          <w:sz w:val="24"/>
          <w:highlight w:val="none"/>
          <w:u w:val="single"/>
          <w:lang w:val="zh-CN" w:bidi="zh-CN"/>
        </w:rPr>
        <w:t>投标人全称（加盖单位</w:t>
      </w:r>
      <w:r>
        <w:rPr>
          <w:rFonts w:hint="default" w:ascii="Times New Roman" w:hAnsi="Times New Roman" w:cs="Times New Roman"/>
          <w:kern w:val="0"/>
          <w:sz w:val="24"/>
          <w:highlight w:val="none"/>
          <w:u w:val="single"/>
          <w:lang w:val="en-US" w:bidi="zh-CN"/>
        </w:rPr>
        <w:t>电子印</w:t>
      </w:r>
      <w:r>
        <w:rPr>
          <w:rFonts w:hint="default" w:ascii="Times New Roman" w:hAnsi="Times New Roman" w:cs="Times New Roman"/>
          <w:kern w:val="0"/>
          <w:sz w:val="24"/>
          <w:highlight w:val="none"/>
          <w:u w:val="single"/>
          <w:lang w:val="zh-CN" w:bidi="zh-CN"/>
        </w:rPr>
        <w:t>章）</w:t>
      </w:r>
    </w:p>
    <w:p w14:paraId="6CECCD7D">
      <w:pPr>
        <w:widowControl/>
        <w:wordWrap w:val="0"/>
        <w:spacing w:line="380" w:lineRule="exact"/>
        <w:jc w:val="right"/>
        <w:rPr>
          <w:rFonts w:hint="default" w:ascii="Times New Roman" w:hAnsi="Times New Roman" w:cs="Times New Roman"/>
          <w:kern w:val="0"/>
          <w:sz w:val="24"/>
          <w:highlight w:val="none"/>
          <w:lang w:val="zh-CN" w:bidi="zh-CN"/>
        </w:rPr>
      </w:pPr>
      <w:r>
        <w:rPr>
          <w:rFonts w:hint="default" w:ascii="Times New Roman" w:hAnsi="Times New Roman" w:cs="Times New Roman"/>
          <w:kern w:val="0"/>
          <w:sz w:val="24"/>
          <w:highlight w:val="none"/>
          <w:lang w:val="zh-CN" w:bidi="zh-CN"/>
        </w:rPr>
        <w:t>法定代表人（或授权委托人）：</w:t>
      </w:r>
      <w:r>
        <w:rPr>
          <w:rFonts w:hint="default" w:ascii="Times New Roman" w:hAnsi="Times New Roman" w:cs="Times New Roman"/>
          <w:kern w:val="0"/>
          <w:sz w:val="24"/>
          <w:highlight w:val="none"/>
          <w:u w:val="single"/>
          <w:lang w:val="zh-CN" w:bidi="zh-CN"/>
        </w:rPr>
        <w:t xml:space="preserve">       </w:t>
      </w:r>
      <w:r>
        <w:rPr>
          <w:rFonts w:hint="default" w:ascii="Times New Roman" w:hAnsi="Times New Roman" w:cs="Times New Roman"/>
          <w:kern w:val="0"/>
          <w:sz w:val="24"/>
          <w:highlight w:val="none"/>
          <w:lang w:val="zh-CN" w:bidi="zh-CN"/>
        </w:rPr>
        <w:t>（</w:t>
      </w:r>
      <w:r>
        <w:rPr>
          <w:rFonts w:hint="default" w:ascii="Times New Roman" w:hAnsi="Times New Roman" w:cs="Times New Roman"/>
          <w:sz w:val="24"/>
          <w:highlight w:val="none"/>
        </w:rPr>
        <w:t>个人电子签名章或个人电子印章</w:t>
      </w:r>
      <w:r>
        <w:rPr>
          <w:rFonts w:hint="default" w:ascii="Times New Roman" w:hAnsi="Times New Roman" w:cs="Times New Roman"/>
          <w:kern w:val="0"/>
          <w:sz w:val="24"/>
          <w:highlight w:val="none"/>
          <w:lang w:val="zh-CN" w:bidi="zh-CN"/>
        </w:rPr>
        <w:t>）</w:t>
      </w:r>
    </w:p>
    <w:p w14:paraId="7A776FFE">
      <w:pPr>
        <w:widowControl/>
        <w:wordWrap w:val="0"/>
        <w:spacing w:line="380" w:lineRule="exact"/>
        <w:jc w:val="right"/>
        <w:rPr>
          <w:rFonts w:hint="default" w:ascii="Times New Roman" w:hAnsi="Times New Roman" w:eastAsia="黑体" w:cs="Times New Roman"/>
          <w:b w:val="0"/>
          <w:sz w:val="28"/>
          <w:szCs w:val="28"/>
          <w:highlight w:val="none"/>
        </w:rPr>
      </w:pPr>
      <w:r>
        <w:rPr>
          <w:rFonts w:hint="default" w:ascii="Times New Roman" w:hAnsi="Times New Roman" w:cs="Times New Roman"/>
          <w:kern w:val="0"/>
          <w:sz w:val="24"/>
          <w:highlight w:val="none"/>
          <w:lang w:val="zh-CN" w:bidi="zh-CN"/>
        </w:rPr>
        <w:t>承诺日期：</w:t>
      </w:r>
      <w:r>
        <w:rPr>
          <w:rFonts w:hint="default" w:ascii="Times New Roman" w:hAnsi="Times New Roman" w:cs="Times New Roman"/>
          <w:kern w:val="0"/>
          <w:sz w:val="24"/>
          <w:highlight w:val="none"/>
          <w:u w:val="single"/>
          <w:lang w:val="zh-CN" w:bidi="zh-CN"/>
        </w:rPr>
        <w:t xml:space="preserve">     </w:t>
      </w:r>
      <w:r>
        <w:rPr>
          <w:rFonts w:hint="default" w:ascii="Times New Roman" w:hAnsi="Times New Roman" w:cs="Times New Roman"/>
          <w:kern w:val="0"/>
          <w:sz w:val="24"/>
          <w:highlight w:val="none"/>
          <w:lang w:val="zh-CN" w:bidi="zh-CN"/>
        </w:rPr>
        <w:t>年</w:t>
      </w:r>
      <w:r>
        <w:rPr>
          <w:rFonts w:hint="default" w:ascii="Times New Roman" w:hAnsi="Times New Roman" w:cs="Times New Roman"/>
          <w:kern w:val="0"/>
          <w:sz w:val="24"/>
          <w:highlight w:val="none"/>
          <w:u w:val="single"/>
          <w:lang w:val="zh-CN" w:bidi="zh-CN"/>
        </w:rPr>
        <w:t xml:space="preserve">    </w:t>
      </w:r>
      <w:r>
        <w:rPr>
          <w:rFonts w:hint="default" w:ascii="Times New Roman" w:hAnsi="Times New Roman" w:cs="Times New Roman"/>
          <w:kern w:val="0"/>
          <w:sz w:val="24"/>
          <w:highlight w:val="none"/>
          <w:lang w:val="zh-CN" w:bidi="zh-CN"/>
        </w:rPr>
        <w:t>月</w:t>
      </w:r>
      <w:r>
        <w:rPr>
          <w:rFonts w:hint="default" w:ascii="Times New Roman" w:hAnsi="Times New Roman" w:cs="Times New Roman"/>
          <w:kern w:val="0"/>
          <w:sz w:val="24"/>
          <w:highlight w:val="none"/>
          <w:u w:val="single"/>
          <w:lang w:val="zh-CN" w:bidi="zh-CN"/>
        </w:rPr>
        <w:t xml:space="preserve">    </w:t>
      </w:r>
      <w:r>
        <w:rPr>
          <w:rFonts w:hint="default" w:ascii="Times New Roman" w:hAnsi="Times New Roman" w:cs="Times New Roman"/>
          <w:kern w:val="0"/>
          <w:sz w:val="24"/>
          <w:highlight w:val="none"/>
          <w:lang w:val="zh-CN" w:bidi="zh-CN"/>
        </w:rPr>
        <w:t>日</w:t>
      </w:r>
    </w:p>
    <w:p w14:paraId="7AF5495D">
      <w:pPr>
        <w:pStyle w:val="2"/>
        <w:pageBreakBefore w:val="0"/>
        <w:kinsoku/>
        <w:wordWrap w:val="0"/>
        <w:overflowPunct/>
        <w:bidi w:val="0"/>
        <w:spacing w:before="0" w:after="0" w:line="380" w:lineRule="atLeast"/>
        <w:jc w:val="center"/>
        <w:rPr>
          <w:rFonts w:hint="default" w:ascii="Times New Roman" w:hAnsi="Times New Roman" w:cs="Times New Roman"/>
          <w:b w:val="0"/>
          <w:sz w:val="28"/>
          <w:szCs w:val="28"/>
          <w:highlight w:val="none"/>
          <w:lang w:val="en-US" w:eastAsia="zh-CN"/>
        </w:rPr>
        <w:sectPr>
          <w:footnotePr>
            <w:numFmt w:val="decimalEnclosedCircleChinese"/>
            <w:numRestart w:val="eachPage"/>
          </w:footnotePr>
          <w:pgSz w:w="11906" w:h="16838"/>
          <w:pgMar w:top="1588" w:right="1644" w:bottom="1474" w:left="1701" w:header="851" w:footer="851" w:gutter="0"/>
          <w:pgNumType w:fmt="decimal"/>
          <w:cols w:space="425" w:num="1"/>
          <w:docGrid w:linePitch="312" w:charSpace="0"/>
        </w:sectPr>
      </w:pPr>
    </w:p>
    <w:p w14:paraId="57D22F7E">
      <w:pPr>
        <w:pStyle w:val="2"/>
        <w:pageBreakBefore w:val="0"/>
        <w:kinsoku/>
        <w:wordWrap w:val="0"/>
        <w:bidi w:val="0"/>
        <w:spacing w:before="0" w:after="0" w:line="380" w:lineRule="atLeast"/>
        <w:jc w:val="center"/>
        <w:rPr>
          <w:rFonts w:hint="default" w:ascii="Times New Roman" w:hAnsi="Times New Roman" w:eastAsia="黑体" w:cs="Times New Roman"/>
          <w:b w:val="0"/>
          <w:sz w:val="28"/>
          <w:szCs w:val="28"/>
          <w:highlight w:val="none"/>
        </w:rPr>
      </w:pPr>
      <w:bookmarkStart w:id="1566" w:name="_Toc29855"/>
      <w:bookmarkStart w:id="1567" w:name="_Toc18802"/>
      <w:r>
        <w:rPr>
          <w:rFonts w:hint="default" w:ascii="Times New Roman" w:hAnsi="Times New Roman" w:cs="Times New Roman"/>
          <w:sz w:val="28"/>
          <w:szCs w:val="28"/>
          <w:highlight w:val="none"/>
          <w:lang w:val="en-US" w:eastAsia="zh-CN"/>
        </w:rPr>
        <w:t>十</w:t>
      </w:r>
      <w:r>
        <w:rPr>
          <w:rFonts w:hint="default" w:ascii="Times New Roman" w:hAnsi="Times New Roman" w:eastAsia="黑体" w:cs="Times New Roman"/>
          <w:b w:val="0"/>
          <w:sz w:val="28"/>
          <w:szCs w:val="28"/>
          <w:highlight w:val="none"/>
        </w:rPr>
        <w:t>、其他</w:t>
      </w:r>
      <w:bookmarkEnd w:id="1565"/>
      <w:r>
        <w:rPr>
          <w:rFonts w:hint="default" w:ascii="Times New Roman" w:hAnsi="Times New Roman" w:eastAsia="黑体" w:cs="Times New Roman"/>
          <w:b w:val="0"/>
          <w:sz w:val="28"/>
          <w:szCs w:val="28"/>
          <w:highlight w:val="none"/>
          <w:lang w:eastAsia="zh-CN"/>
        </w:rPr>
        <w:t>资料</w:t>
      </w:r>
      <w:bookmarkEnd w:id="1566"/>
      <w:bookmarkEnd w:id="1567"/>
    </w:p>
    <w:p w14:paraId="4E74B45C">
      <w:pPr>
        <w:pageBreakBefore w:val="0"/>
        <w:kinsoku/>
        <w:wordWrap w:val="0"/>
        <w:bidi w:val="0"/>
        <w:spacing w:line="440" w:lineRule="exact"/>
        <w:rPr>
          <w:rFonts w:hint="default" w:ascii="Times New Roman" w:hAnsi="Times New Roman" w:eastAsia="黑体" w:cs="Times New Roman"/>
          <w:sz w:val="20"/>
          <w:szCs w:val="20"/>
          <w:highlight w:val="none"/>
        </w:rPr>
      </w:pPr>
    </w:p>
    <w:p w14:paraId="1D81AF17">
      <w:pPr>
        <w:pageBreakBefore w:val="0"/>
        <w:kinsoku/>
        <w:wordWrap w:val="0"/>
        <w:bidi w:val="0"/>
        <w:spacing w:line="440" w:lineRule="exact"/>
        <w:rPr>
          <w:rFonts w:hint="default" w:ascii="Times New Roman" w:hAnsi="Times New Roman" w:eastAsia="黑体" w:cs="Times New Roman"/>
          <w:sz w:val="20"/>
          <w:szCs w:val="20"/>
          <w:highlight w:val="none"/>
        </w:rPr>
      </w:pPr>
    </w:p>
    <w:p w14:paraId="71D6BE4E">
      <w:pPr>
        <w:pageBreakBefore w:val="0"/>
        <w:kinsoku/>
        <w:wordWrap w:val="0"/>
        <w:bidi w:val="0"/>
        <w:spacing w:line="440" w:lineRule="exact"/>
        <w:rPr>
          <w:rFonts w:hint="default" w:ascii="Times New Roman" w:hAnsi="Times New Roman" w:eastAsia="黑体" w:cs="Times New Roman"/>
          <w:sz w:val="20"/>
          <w:szCs w:val="20"/>
          <w:highlight w:val="none"/>
        </w:rPr>
      </w:pPr>
    </w:p>
    <w:p w14:paraId="08211F81">
      <w:pPr>
        <w:pageBreakBefore w:val="0"/>
        <w:kinsoku/>
        <w:wordWrap w:val="0"/>
        <w:bidi w:val="0"/>
        <w:spacing w:line="440" w:lineRule="exact"/>
        <w:rPr>
          <w:rFonts w:hint="default" w:ascii="Times New Roman" w:hAnsi="Times New Roman" w:eastAsia="黑体" w:cs="Times New Roman"/>
          <w:sz w:val="20"/>
          <w:szCs w:val="20"/>
          <w:highlight w:val="none"/>
        </w:rPr>
      </w:pPr>
    </w:p>
    <w:p w14:paraId="5004F7C6">
      <w:pPr>
        <w:pageBreakBefore w:val="0"/>
        <w:kinsoku/>
        <w:wordWrap w:val="0"/>
        <w:bidi w:val="0"/>
        <w:spacing w:line="440" w:lineRule="exact"/>
        <w:rPr>
          <w:rFonts w:hint="default" w:ascii="Times New Roman" w:hAnsi="Times New Roman" w:eastAsia="黑体" w:cs="Times New Roman"/>
          <w:sz w:val="20"/>
          <w:szCs w:val="20"/>
          <w:highlight w:val="none"/>
        </w:rPr>
      </w:pPr>
      <w:r>
        <w:rPr>
          <w:rFonts w:hint="default" w:ascii="Times New Roman" w:hAnsi="Times New Roman" w:eastAsia="黑体" w:cs="Times New Roman"/>
          <w:sz w:val="20"/>
          <w:szCs w:val="20"/>
          <w:highlight w:val="none"/>
        </w:rPr>
        <w:br w:type="page"/>
      </w:r>
    </w:p>
    <w:p w14:paraId="22264E52">
      <w:pPr>
        <w:pStyle w:val="15"/>
        <w:keepNext w:val="0"/>
        <w:keepLines w:val="0"/>
        <w:pageBreakBefore w:val="0"/>
        <w:widowControl w:val="0"/>
        <w:kinsoku/>
        <w:overflowPunct/>
        <w:topLinePunct w:val="0"/>
        <w:autoSpaceDE/>
        <w:autoSpaceDN/>
        <w:bidi w:val="0"/>
        <w:adjustRightInd/>
        <w:snapToGrid/>
        <w:spacing w:line="360" w:lineRule="auto"/>
        <w:ind w:firstLine="1705" w:firstLineChars="550"/>
        <w:textAlignment w:val="auto"/>
        <w:rPr>
          <w:rFonts w:hint="default" w:ascii="Times New Roman" w:hAnsi="Times New Roman" w:eastAsia="黑体" w:cs="Times New Roman"/>
          <w:sz w:val="31"/>
          <w:szCs w:val="31"/>
          <w:highlight w:val="none"/>
        </w:rPr>
      </w:pPr>
      <w:r>
        <w:rPr>
          <w:rFonts w:hint="default" w:ascii="Times New Roman" w:hAnsi="Times New Roman" w:eastAsia="黑体" w:cs="Times New Roman"/>
          <w:sz w:val="31"/>
          <w:szCs w:val="31"/>
          <w:highlight w:val="none"/>
          <w:u w:val="single"/>
        </w:rPr>
        <w:t xml:space="preserve">          </w:t>
      </w:r>
      <w:r>
        <w:rPr>
          <w:rFonts w:hint="default" w:ascii="Times New Roman" w:hAnsi="Times New Roman" w:eastAsia="黑体" w:cs="Times New Roman"/>
          <w:sz w:val="31"/>
          <w:szCs w:val="31"/>
          <w:highlight w:val="none"/>
        </w:rPr>
        <w:t>省（自治区、直辖市）</w:t>
      </w:r>
    </w:p>
    <w:p w14:paraId="03E7CDA9">
      <w:pPr>
        <w:pageBreakBefore w:val="0"/>
        <w:kinsoku/>
        <w:wordWrap w:val="0"/>
        <w:bidi w:val="0"/>
        <w:spacing w:line="440" w:lineRule="exact"/>
        <w:rPr>
          <w:rFonts w:hint="default" w:ascii="Times New Roman" w:hAnsi="Times New Roman" w:eastAsia="黑体" w:cs="Times New Roman"/>
          <w:sz w:val="24"/>
          <w:highlight w:val="none"/>
          <w:lang w:val="en-US" w:eastAsia="zh-CN"/>
        </w:rPr>
      </w:pPr>
      <w:r>
        <w:rPr>
          <w:rFonts w:hint="default" w:ascii="Times New Roman" w:hAnsi="Times New Roman" w:eastAsia="黑体" w:cs="Times New Roman"/>
          <w:b w:val="0"/>
          <w:bCs w:val="0"/>
          <w:color w:val="000000"/>
          <w:sz w:val="31"/>
          <w:szCs w:val="31"/>
          <w:highlight w:val="none"/>
          <w:u w:val="single"/>
        </w:rPr>
        <w:t xml:space="preserve">          </w:t>
      </w:r>
      <w:r>
        <w:rPr>
          <w:rFonts w:hint="default" w:ascii="Times New Roman" w:hAnsi="Times New Roman" w:eastAsia="黑体" w:cs="Times New Roman"/>
          <w:b w:val="0"/>
          <w:bCs w:val="0"/>
          <w:sz w:val="31"/>
          <w:szCs w:val="31"/>
          <w:highlight w:val="none"/>
        </w:rPr>
        <w:t>（项目名称）</w:t>
      </w:r>
      <w:r>
        <w:rPr>
          <w:rFonts w:hint="default" w:ascii="Times New Roman" w:hAnsi="Times New Roman" w:eastAsia="黑体" w:cs="Times New Roman"/>
          <w:b w:val="0"/>
          <w:bCs w:val="0"/>
          <w:color w:val="000000"/>
          <w:sz w:val="31"/>
          <w:szCs w:val="31"/>
          <w:highlight w:val="none"/>
          <w:u w:val="single"/>
        </w:rPr>
        <w:t xml:space="preserve">          </w:t>
      </w:r>
      <w:r>
        <w:rPr>
          <w:rFonts w:hint="default" w:ascii="Times New Roman" w:hAnsi="Times New Roman" w:eastAsia="黑体" w:cs="Times New Roman"/>
          <w:b w:val="0"/>
          <w:bCs w:val="0"/>
          <w:sz w:val="31"/>
          <w:szCs w:val="31"/>
          <w:highlight w:val="none"/>
        </w:rPr>
        <w:t>（</w:t>
      </w:r>
      <w:r>
        <w:rPr>
          <w:rFonts w:hint="default" w:ascii="Times New Roman" w:hAnsi="Times New Roman" w:eastAsia="黑体" w:cs="Times New Roman"/>
          <w:b w:val="0"/>
          <w:bCs w:val="0"/>
          <w:sz w:val="31"/>
          <w:szCs w:val="31"/>
          <w:highlight w:val="none"/>
          <w:lang w:val="en-US" w:eastAsia="zh-CN"/>
        </w:rPr>
        <w:t>标段</w:t>
      </w:r>
      <w:r>
        <w:rPr>
          <w:rFonts w:hint="default" w:ascii="Times New Roman" w:hAnsi="Times New Roman" w:eastAsia="黑体" w:cs="Times New Roman"/>
          <w:b w:val="0"/>
          <w:bCs w:val="0"/>
          <w:sz w:val="31"/>
          <w:szCs w:val="31"/>
          <w:highlight w:val="none"/>
        </w:rPr>
        <w:t>名称）</w:t>
      </w:r>
      <w:r>
        <w:rPr>
          <w:rFonts w:hint="default" w:ascii="Times New Roman" w:hAnsi="Times New Roman" w:eastAsia="黑体" w:cs="Times New Roman"/>
          <w:b w:val="0"/>
          <w:bCs w:val="0"/>
          <w:sz w:val="31"/>
          <w:szCs w:val="31"/>
          <w:highlight w:val="none"/>
          <w:lang w:val="en-US" w:eastAsia="zh-CN"/>
        </w:rPr>
        <w:t>施工招标</w:t>
      </w:r>
    </w:p>
    <w:p w14:paraId="718FAA7A">
      <w:pPr>
        <w:pageBreakBefore w:val="0"/>
        <w:kinsoku/>
        <w:wordWrap w:val="0"/>
        <w:bidi w:val="0"/>
        <w:spacing w:line="440" w:lineRule="exact"/>
        <w:rPr>
          <w:rFonts w:hint="default" w:ascii="Times New Roman" w:hAnsi="Times New Roman" w:eastAsia="黑体" w:cs="Times New Roman"/>
          <w:sz w:val="20"/>
          <w:szCs w:val="20"/>
          <w:highlight w:val="none"/>
        </w:rPr>
      </w:pPr>
      <w:r>
        <w:rPr>
          <w:rFonts w:hint="default" w:ascii="Times New Roman" w:hAnsi="Times New Roman" w:eastAsia="黑体" w:cs="Times New Roman"/>
          <w:sz w:val="20"/>
          <w:szCs w:val="20"/>
          <w:highlight w:val="none"/>
        </w:rPr>
        <w:t xml:space="preserve"> </w:t>
      </w:r>
    </w:p>
    <w:p w14:paraId="7F1F3FFB">
      <w:pPr>
        <w:pageBreakBefore w:val="0"/>
        <w:kinsoku/>
        <w:wordWrap w:val="0"/>
        <w:bidi w:val="0"/>
        <w:spacing w:line="440" w:lineRule="exact"/>
        <w:rPr>
          <w:rFonts w:hint="default" w:ascii="Times New Roman" w:hAnsi="Times New Roman" w:eastAsia="黑体" w:cs="Times New Roman"/>
          <w:sz w:val="40"/>
          <w:szCs w:val="40"/>
          <w:highlight w:val="none"/>
        </w:rPr>
      </w:pPr>
    </w:p>
    <w:p w14:paraId="2D7CA93D">
      <w:pPr>
        <w:pageBreakBefore w:val="0"/>
        <w:kinsoku/>
        <w:wordWrap w:val="0"/>
        <w:bidi w:val="0"/>
        <w:spacing w:line="440" w:lineRule="exact"/>
        <w:jc w:val="center"/>
        <w:rPr>
          <w:rFonts w:hint="default" w:ascii="Times New Roman" w:hAnsi="Times New Roman" w:eastAsia="黑体" w:cs="Times New Roman"/>
          <w:sz w:val="40"/>
          <w:szCs w:val="40"/>
          <w:highlight w:val="none"/>
        </w:rPr>
      </w:pPr>
    </w:p>
    <w:p w14:paraId="41D0C019">
      <w:pPr>
        <w:pStyle w:val="16"/>
        <w:rPr>
          <w:rFonts w:hint="default" w:ascii="Times New Roman" w:hAnsi="Times New Roman" w:eastAsia="黑体" w:cs="Times New Roman"/>
          <w:sz w:val="40"/>
          <w:szCs w:val="40"/>
          <w:highlight w:val="none"/>
        </w:rPr>
      </w:pPr>
    </w:p>
    <w:p w14:paraId="275C83D4">
      <w:pPr>
        <w:pStyle w:val="16"/>
        <w:rPr>
          <w:rFonts w:hint="default" w:ascii="Times New Roman" w:hAnsi="Times New Roman" w:eastAsia="黑体" w:cs="Times New Roman"/>
          <w:sz w:val="40"/>
          <w:szCs w:val="40"/>
          <w:highlight w:val="none"/>
        </w:rPr>
      </w:pPr>
    </w:p>
    <w:p w14:paraId="184C436A">
      <w:pPr>
        <w:pStyle w:val="16"/>
        <w:rPr>
          <w:rFonts w:hint="default" w:ascii="Times New Roman" w:hAnsi="Times New Roman" w:eastAsia="黑体" w:cs="Times New Roman"/>
          <w:sz w:val="40"/>
          <w:szCs w:val="40"/>
          <w:highlight w:val="none"/>
        </w:rPr>
      </w:pPr>
    </w:p>
    <w:p w14:paraId="4DC1265F">
      <w:pPr>
        <w:pageBreakBefore w:val="0"/>
        <w:kinsoku/>
        <w:wordWrap w:val="0"/>
        <w:bidi w:val="0"/>
        <w:spacing w:line="440" w:lineRule="exact"/>
        <w:jc w:val="center"/>
        <w:rPr>
          <w:rFonts w:hint="default" w:ascii="Times New Roman" w:hAnsi="Times New Roman" w:eastAsia="黑体" w:cs="Times New Roman"/>
          <w:sz w:val="40"/>
          <w:szCs w:val="40"/>
          <w:highlight w:val="none"/>
        </w:rPr>
      </w:pPr>
    </w:p>
    <w:p w14:paraId="0E4ACB13">
      <w:pPr>
        <w:pStyle w:val="2"/>
        <w:keepNext/>
        <w:keepLines/>
        <w:pageBreakBefore w:val="0"/>
        <w:widowControl w:val="0"/>
        <w:kinsoku/>
        <w:wordWrap w:val="0"/>
        <w:overflowPunct/>
        <w:topLinePunct w:val="0"/>
        <w:autoSpaceDE/>
        <w:autoSpaceDN/>
        <w:bidi w:val="0"/>
        <w:adjustRightInd/>
        <w:snapToGrid/>
        <w:spacing w:before="0" w:after="0" w:line="360" w:lineRule="auto"/>
        <w:jc w:val="center"/>
        <w:textAlignment w:val="auto"/>
        <w:rPr>
          <w:rFonts w:hint="default" w:ascii="Times New Roman" w:hAnsi="Times New Roman" w:eastAsia="黑体" w:cs="Times New Roman"/>
          <w:b w:val="0"/>
          <w:sz w:val="72"/>
          <w:szCs w:val="72"/>
          <w:highlight w:val="none"/>
        </w:rPr>
      </w:pPr>
      <w:bookmarkStart w:id="1568" w:name="_Toc17055"/>
      <w:bookmarkStart w:id="1569" w:name="_Toc23196"/>
      <w:bookmarkStart w:id="1570" w:name="_Toc9419"/>
      <w:bookmarkStart w:id="1571" w:name="_Toc11826"/>
      <w:r>
        <w:rPr>
          <w:rFonts w:hint="default" w:ascii="Times New Roman" w:hAnsi="Times New Roman" w:eastAsia="黑体" w:cs="Times New Roman"/>
          <w:b w:val="0"/>
          <w:sz w:val="72"/>
          <w:szCs w:val="72"/>
          <w:highlight w:val="none"/>
        </w:rPr>
        <w:t>投  标  文  件</w:t>
      </w:r>
      <w:bookmarkEnd w:id="1568"/>
      <w:bookmarkEnd w:id="1569"/>
      <w:bookmarkEnd w:id="1570"/>
      <w:bookmarkEnd w:id="1571"/>
    </w:p>
    <w:p w14:paraId="7FF821A3">
      <w:pPr>
        <w:pStyle w:val="2"/>
        <w:keepNext/>
        <w:keepLines/>
        <w:pageBreakBefore w:val="0"/>
        <w:widowControl w:val="0"/>
        <w:kinsoku/>
        <w:wordWrap w:val="0"/>
        <w:overflowPunct/>
        <w:topLinePunct w:val="0"/>
        <w:autoSpaceDE/>
        <w:autoSpaceDN/>
        <w:bidi w:val="0"/>
        <w:adjustRightInd/>
        <w:snapToGrid/>
        <w:spacing w:before="0" w:after="0" w:line="360" w:lineRule="auto"/>
        <w:jc w:val="center"/>
        <w:textAlignment w:val="auto"/>
        <w:rPr>
          <w:rFonts w:hint="default" w:ascii="Times New Roman" w:hAnsi="Times New Roman" w:eastAsia="黑体" w:cs="Times New Roman"/>
          <w:b w:val="0"/>
          <w:sz w:val="30"/>
          <w:szCs w:val="30"/>
          <w:highlight w:val="none"/>
        </w:rPr>
      </w:pPr>
      <w:bookmarkStart w:id="1572" w:name="_Toc5781"/>
      <w:bookmarkStart w:id="1573" w:name="_Toc6104"/>
      <w:bookmarkStart w:id="1574" w:name="_Toc27018"/>
      <w:bookmarkStart w:id="1575" w:name="_Toc16866"/>
      <w:r>
        <w:rPr>
          <w:rFonts w:hint="default" w:ascii="Times New Roman" w:hAnsi="Times New Roman" w:eastAsia="黑体" w:cs="Times New Roman"/>
          <w:b w:val="0"/>
          <w:sz w:val="32"/>
          <w:szCs w:val="32"/>
          <w:highlight w:val="none"/>
        </w:rPr>
        <w:t>（</w:t>
      </w:r>
      <w:r>
        <w:rPr>
          <w:rFonts w:hint="default" w:ascii="Times New Roman" w:hAnsi="Times New Roman" w:cs="Times New Roman"/>
          <w:b w:val="0"/>
          <w:sz w:val="32"/>
          <w:szCs w:val="32"/>
          <w:highlight w:val="none"/>
          <w:lang w:val="en-US" w:eastAsia="zh-CN"/>
        </w:rPr>
        <w:t xml:space="preserve">第二个信封 </w:t>
      </w:r>
      <w:r>
        <w:rPr>
          <w:rFonts w:hint="default" w:ascii="Times New Roman" w:hAnsi="Times New Roman" w:eastAsia="黑体" w:cs="Times New Roman"/>
          <w:b w:val="0"/>
          <w:sz w:val="32"/>
          <w:szCs w:val="32"/>
          <w:highlight w:val="none"/>
        </w:rPr>
        <w:t>报价文件）</w:t>
      </w:r>
      <w:bookmarkEnd w:id="1572"/>
      <w:bookmarkEnd w:id="1573"/>
      <w:bookmarkEnd w:id="1574"/>
      <w:bookmarkEnd w:id="1575"/>
    </w:p>
    <w:p w14:paraId="267046EF">
      <w:pPr>
        <w:pageBreakBefore w:val="0"/>
        <w:kinsoku/>
        <w:wordWrap w:val="0"/>
        <w:bidi w:val="0"/>
        <w:spacing w:line="440" w:lineRule="exact"/>
        <w:jc w:val="center"/>
        <w:rPr>
          <w:rFonts w:hint="default" w:ascii="Times New Roman" w:hAnsi="Times New Roman" w:eastAsia="黑体" w:cs="Times New Roman"/>
          <w:sz w:val="40"/>
          <w:szCs w:val="40"/>
          <w:highlight w:val="none"/>
        </w:rPr>
      </w:pPr>
    </w:p>
    <w:p w14:paraId="42677B41">
      <w:pPr>
        <w:pageBreakBefore w:val="0"/>
        <w:kinsoku/>
        <w:wordWrap w:val="0"/>
        <w:bidi w:val="0"/>
        <w:spacing w:line="440" w:lineRule="exact"/>
        <w:jc w:val="center"/>
        <w:rPr>
          <w:rFonts w:hint="default" w:ascii="Times New Roman" w:hAnsi="Times New Roman" w:eastAsia="黑体" w:cs="Times New Roman"/>
          <w:sz w:val="36"/>
          <w:szCs w:val="36"/>
          <w:highlight w:val="none"/>
        </w:rPr>
      </w:pPr>
    </w:p>
    <w:p w14:paraId="5DF22ED5">
      <w:pPr>
        <w:pageBreakBefore w:val="0"/>
        <w:kinsoku/>
        <w:wordWrap w:val="0"/>
        <w:bidi w:val="0"/>
        <w:spacing w:line="440" w:lineRule="exact"/>
        <w:rPr>
          <w:rFonts w:hint="default" w:ascii="Times New Roman" w:hAnsi="Times New Roman" w:eastAsia="黑体" w:cs="Times New Roman"/>
          <w:sz w:val="20"/>
          <w:szCs w:val="20"/>
          <w:highlight w:val="none"/>
        </w:rPr>
      </w:pPr>
    </w:p>
    <w:p w14:paraId="282C2E6D">
      <w:pPr>
        <w:pageBreakBefore w:val="0"/>
        <w:kinsoku/>
        <w:wordWrap w:val="0"/>
        <w:bidi w:val="0"/>
        <w:spacing w:line="440" w:lineRule="exact"/>
        <w:rPr>
          <w:rFonts w:hint="default" w:ascii="Times New Roman" w:hAnsi="Times New Roman" w:eastAsia="黑体" w:cs="Times New Roman"/>
          <w:sz w:val="20"/>
          <w:szCs w:val="20"/>
          <w:highlight w:val="none"/>
        </w:rPr>
      </w:pPr>
    </w:p>
    <w:p w14:paraId="300EF575">
      <w:pPr>
        <w:pageBreakBefore w:val="0"/>
        <w:kinsoku/>
        <w:wordWrap w:val="0"/>
        <w:bidi w:val="0"/>
        <w:spacing w:line="440" w:lineRule="exact"/>
        <w:rPr>
          <w:rFonts w:hint="default" w:ascii="Times New Roman" w:hAnsi="Times New Roman" w:eastAsia="黑体" w:cs="Times New Roman"/>
          <w:sz w:val="20"/>
          <w:szCs w:val="20"/>
          <w:highlight w:val="none"/>
        </w:rPr>
      </w:pPr>
    </w:p>
    <w:p w14:paraId="37262A4C">
      <w:pPr>
        <w:pageBreakBefore w:val="0"/>
        <w:kinsoku/>
        <w:wordWrap w:val="0"/>
        <w:bidi w:val="0"/>
        <w:spacing w:line="440" w:lineRule="exact"/>
        <w:rPr>
          <w:rFonts w:hint="default" w:ascii="Times New Roman" w:hAnsi="Times New Roman" w:eastAsia="黑体" w:cs="Times New Roman"/>
          <w:sz w:val="20"/>
          <w:szCs w:val="20"/>
          <w:highlight w:val="none"/>
        </w:rPr>
      </w:pPr>
    </w:p>
    <w:p w14:paraId="736B1A5B">
      <w:pPr>
        <w:pageBreakBefore w:val="0"/>
        <w:kinsoku/>
        <w:wordWrap w:val="0"/>
        <w:bidi w:val="0"/>
        <w:spacing w:line="440" w:lineRule="exact"/>
        <w:rPr>
          <w:rFonts w:hint="default" w:ascii="Times New Roman" w:hAnsi="Times New Roman" w:eastAsia="黑体" w:cs="Times New Roman"/>
          <w:sz w:val="20"/>
          <w:szCs w:val="20"/>
          <w:highlight w:val="none"/>
        </w:rPr>
      </w:pPr>
    </w:p>
    <w:p w14:paraId="59FE3484">
      <w:pPr>
        <w:pageBreakBefore w:val="0"/>
        <w:kinsoku/>
        <w:wordWrap w:val="0"/>
        <w:bidi w:val="0"/>
        <w:spacing w:line="440" w:lineRule="exact"/>
        <w:rPr>
          <w:rFonts w:hint="default" w:ascii="Times New Roman" w:hAnsi="Times New Roman" w:eastAsia="黑体" w:cs="Times New Roman"/>
          <w:sz w:val="20"/>
          <w:szCs w:val="20"/>
          <w:highlight w:val="none"/>
        </w:rPr>
      </w:pPr>
    </w:p>
    <w:p w14:paraId="509B2CFC">
      <w:pPr>
        <w:pageBreakBefore w:val="0"/>
        <w:kinsoku/>
        <w:wordWrap w:val="0"/>
        <w:bidi w:val="0"/>
        <w:spacing w:line="440" w:lineRule="exact"/>
        <w:rPr>
          <w:rFonts w:hint="default" w:ascii="Times New Roman" w:hAnsi="Times New Roman" w:eastAsia="黑体" w:cs="Times New Roman"/>
          <w:sz w:val="20"/>
          <w:szCs w:val="20"/>
          <w:highlight w:val="none"/>
        </w:rPr>
      </w:pPr>
    </w:p>
    <w:p w14:paraId="6504F42F">
      <w:pPr>
        <w:pageBreakBefore w:val="0"/>
        <w:kinsoku/>
        <w:wordWrap w:val="0"/>
        <w:bidi w:val="0"/>
        <w:spacing w:line="440" w:lineRule="exact"/>
        <w:rPr>
          <w:rFonts w:hint="default" w:ascii="Times New Roman" w:hAnsi="Times New Roman" w:eastAsia="黑体" w:cs="Times New Roman"/>
          <w:sz w:val="20"/>
          <w:szCs w:val="20"/>
          <w:highlight w:val="none"/>
        </w:rPr>
      </w:pPr>
    </w:p>
    <w:p w14:paraId="4A34040D">
      <w:pPr>
        <w:pageBreakBefore w:val="0"/>
        <w:kinsoku/>
        <w:wordWrap w:val="0"/>
        <w:bidi w:val="0"/>
        <w:spacing w:line="440" w:lineRule="exact"/>
        <w:jc w:val="center"/>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投标人：</w:t>
      </w:r>
      <w:r>
        <w:rPr>
          <w:rFonts w:hint="default" w:ascii="Times New Roman" w:hAnsi="Times New Roman" w:eastAsia="黑体" w:cs="Times New Roman"/>
          <w:sz w:val="28"/>
          <w:szCs w:val="28"/>
          <w:highlight w:val="none"/>
          <w:u w:val="single"/>
        </w:rPr>
        <w:t xml:space="preserve">                                  </w:t>
      </w:r>
      <w:r>
        <w:rPr>
          <w:rFonts w:hint="default" w:ascii="Times New Roman" w:hAnsi="Times New Roman" w:eastAsia="黑体" w:cs="Times New Roman"/>
          <w:sz w:val="28"/>
          <w:szCs w:val="28"/>
          <w:highlight w:val="none"/>
        </w:rPr>
        <w:t>（</w:t>
      </w:r>
      <w:r>
        <w:rPr>
          <w:rFonts w:hint="default" w:ascii="Times New Roman" w:hAnsi="Times New Roman" w:eastAsia="黑体" w:cs="Times New Roman"/>
          <w:sz w:val="28"/>
          <w:szCs w:val="28"/>
          <w:highlight w:val="none"/>
          <w:lang w:eastAsia="zh-CN"/>
        </w:rPr>
        <w:t>盖单位电子印章</w:t>
      </w:r>
      <w:r>
        <w:rPr>
          <w:rFonts w:hint="default" w:ascii="Times New Roman" w:hAnsi="Times New Roman" w:eastAsia="黑体" w:cs="Times New Roman"/>
          <w:sz w:val="28"/>
          <w:szCs w:val="28"/>
          <w:highlight w:val="none"/>
        </w:rPr>
        <w:t>）</w:t>
      </w:r>
    </w:p>
    <w:p w14:paraId="2240756B">
      <w:pPr>
        <w:pageBreakBefore w:val="0"/>
        <w:kinsoku/>
        <w:wordWrap w:val="0"/>
        <w:bidi w:val="0"/>
        <w:spacing w:line="440" w:lineRule="exact"/>
        <w:rPr>
          <w:rFonts w:hint="default" w:ascii="Times New Roman" w:hAnsi="Times New Roman" w:eastAsia="黑体" w:cs="Times New Roman"/>
          <w:sz w:val="28"/>
          <w:szCs w:val="28"/>
          <w:highlight w:val="none"/>
        </w:rPr>
      </w:pPr>
    </w:p>
    <w:p w14:paraId="36090361">
      <w:pPr>
        <w:pageBreakBefore w:val="0"/>
        <w:kinsoku/>
        <w:wordWrap w:val="0"/>
        <w:bidi w:val="0"/>
        <w:spacing w:line="440" w:lineRule="exact"/>
        <w:jc w:val="center"/>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u w:val="single"/>
        </w:rPr>
        <w:t xml:space="preserve">        </w:t>
      </w:r>
      <w:r>
        <w:rPr>
          <w:rFonts w:hint="default" w:ascii="Times New Roman" w:hAnsi="Times New Roman" w:eastAsia="黑体" w:cs="Times New Roman"/>
          <w:sz w:val="28"/>
          <w:szCs w:val="28"/>
          <w:highlight w:val="none"/>
        </w:rPr>
        <w:t>年</w:t>
      </w:r>
      <w:r>
        <w:rPr>
          <w:rFonts w:hint="default" w:ascii="Times New Roman" w:hAnsi="Times New Roman" w:eastAsia="黑体" w:cs="Times New Roman"/>
          <w:sz w:val="28"/>
          <w:szCs w:val="28"/>
          <w:highlight w:val="none"/>
          <w:u w:val="single"/>
        </w:rPr>
        <w:t xml:space="preserve">        </w:t>
      </w:r>
      <w:r>
        <w:rPr>
          <w:rFonts w:hint="default" w:ascii="Times New Roman" w:hAnsi="Times New Roman" w:eastAsia="黑体" w:cs="Times New Roman"/>
          <w:sz w:val="28"/>
          <w:szCs w:val="28"/>
          <w:highlight w:val="none"/>
        </w:rPr>
        <w:t>月</w:t>
      </w:r>
      <w:r>
        <w:rPr>
          <w:rFonts w:hint="default" w:ascii="Times New Roman" w:hAnsi="Times New Roman" w:eastAsia="黑体" w:cs="Times New Roman"/>
          <w:sz w:val="28"/>
          <w:szCs w:val="28"/>
          <w:highlight w:val="none"/>
          <w:u w:val="single"/>
        </w:rPr>
        <w:t xml:space="preserve">         </w:t>
      </w:r>
      <w:r>
        <w:rPr>
          <w:rFonts w:hint="default" w:ascii="Times New Roman" w:hAnsi="Times New Roman" w:eastAsia="黑体" w:cs="Times New Roman"/>
          <w:sz w:val="28"/>
          <w:szCs w:val="28"/>
          <w:highlight w:val="none"/>
        </w:rPr>
        <w:t>日</w:t>
      </w:r>
    </w:p>
    <w:p w14:paraId="140843B6">
      <w:pPr>
        <w:pageBreakBefore w:val="0"/>
        <w:kinsoku/>
        <w:wordWrap w:val="0"/>
        <w:bidi w:val="0"/>
        <w:spacing w:line="440" w:lineRule="exact"/>
        <w:ind w:firstLine="140" w:firstLineChars="50"/>
        <w:jc w:val="center"/>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br w:type="page"/>
      </w:r>
    </w:p>
    <w:p w14:paraId="7A91DCEC">
      <w:pPr>
        <w:pageBreakBefore w:val="0"/>
        <w:kinsoku/>
        <w:wordWrap w:val="0"/>
        <w:bidi w:val="0"/>
        <w:spacing w:line="440" w:lineRule="exact"/>
        <w:ind w:firstLine="140" w:firstLineChars="50"/>
        <w:jc w:val="center"/>
        <w:rPr>
          <w:rFonts w:hint="default" w:ascii="Times New Roman" w:hAnsi="Times New Roman" w:eastAsia="黑体" w:cs="Times New Roman"/>
          <w:sz w:val="28"/>
          <w:szCs w:val="28"/>
          <w:highlight w:val="none"/>
        </w:rPr>
      </w:pPr>
    </w:p>
    <w:p w14:paraId="3AA11E74">
      <w:pPr>
        <w:pageBreakBefore w:val="0"/>
        <w:kinsoku/>
        <w:wordWrap w:val="0"/>
        <w:bidi w:val="0"/>
        <w:spacing w:line="440" w:lineRule="exact"/>
        <w:ind w:firstLine="151" w:firstLineChars="50"/>
        <w:jc w:val="center"/>
        <w:rPr>
          <w:rFonts w:hint="default" w:ascii="Times New Roman" w:hAnsi="Times New Roman" w:eastAsia="黑体" w:cs="Times New Roman"/>
          <w:b/>
          <w:sz w:val="30"/>
          <w:szCs w:val="30"/>
          <w:highlight w:val="none"/>
        </w:rPr>
      </w:pPr>
      <w:r>
        <w:rPr>
          <w:rFonts w:hint="default" w:ascii="Times New Roman" w:hAnsi="Times New Roman" w:eastAsia="黑体" w:cs="Times New Roman"/>
          <w:b/>
          <w:sz w:val="30"/>
          <w:szCs w:val="30"/>
          <w:highlight w:val="none"/>
        </w:rPr>
        <w:t>目     录</w:t>
      </w:r>
    </w:p>
    <w:p w14:paraId="1C1D1D6F">
      <w:pPr>
        <w:pageBreakBefore w:val="0"/>
        <w:kinsoku/>
        <w:wordWrap w:val="0"/>
        <w:bidi w:val="0"/>
        <w:spacing w:line="440" w:lineRule="exact"/>
        <w:rPr>
          <w:rFonts w:hint="default" w:ascii="Times New Roman" w:hAnsi="Times New Roman" w:eastAsia="黑体" w:cs="Times New Roman"/>
          <w:sz w:val="20"/>
          <w:szCs w:val="20"/>
          <w:highlight w:val="none"/>
        </w:rPr>
      </w:pPr>
    </w:p>
    <w:p w14:paraId="3358341A">
      <w:pPr>
        <w:pageBreakBefore w:val="0"/>
        <w:kinsoku/>
        <w:wordWrap w:val="0"/>
        <w:bidi w:val="0"/>
        <w:spacing w:line="440" w:lineRule="exact"/>
        <w:ind w:left="1619" w:leftChars="771" w:firstLine="1"/>
        <w:rPr>
          <w:rFonts w:hint="default" w:ascii="Times New Roman" w:hAnsi="Times New Roman" w:cs="Times New Roman"/>
          <w:sz w:val="24"/>
          <w:highlight w:val="none"/>
        </w:rPr>
      </w:pPr>
      <w:r>
        <w:rPr>
          <w:rFonts w:hint="default" w:ascii="Times New Roman" w:hAnsi="Times New Roman" w:cs="Times New Roman"/>
          <w:sz w:val="24"/>
          <w:highlight w:val="none"/>
        </w:rPr>
        <w:t>调价函格式（如有）</w:t>
      </w:r>
    </w:p>
    <w:p w14:paraId="2BB4136C">
      <w:pPr>
        <w:pageBreakBefore w:val="0"/>
        <w:kinsoku/>
        <w:wordWrap w:val="0"/>
        <w:bidi w:val="0"/>
        <w:spacing w:line="440" w:lineRule="exact"/>
        <w:ind w:left="1619" w:leftChars="771" w:firstLine="1"/>
        <w:rPr>
          <w:rFonts w:hint="default" w:ascii="Times New Roman" w:hAnsi="Times New Roman" w:cs="Times New Roman"/>
          <w:sz w:val="24"/>
          <w:highlight w:val="none"/>
        </w:rPr>
      </w:pPr>
      <w:r>
        <w:rPr>
          <w:rFonts w:hint="default" w:ascii="Times New Roman" w:hAnsi="Times New Roman" w:cs="Times New Roman"/>
          <w:sz w:val="24"/>
          <w:highlight w:val="none"/>
        </w:rPr>
        <w:t>一、投标函</w:t>
      </w:r>
    </w:p>
    <w:p w14:paraId="0B69C062">
      <w:pPr>
        <w:pageBreakBefore w:val="0"/>
        <w:kinsoku/>
        <w:wordWrap w:val="0"/>
        <w:bidi w:val="0"/>
        <w:spacing w:line="440" w:lineRule="exact"/>
        <w:ind w:left="1619" w:leftChars="771" w:firstLine="1"/>
        <w:rPr>
          <w:rFonts w:hint="default" w:ascii="Times New Roman" w:hAnsi="Times New Roman" w:cs="Times New Roman"/>
          <w:sz w:val="24"/>
          <w:highlight w:val="none"/>
        </w:rPr>
      </w:pPr>
      <w:r>
        <w:rPr>
          <w:rFonts w:hint="default" w:ascii="Times New Roman" w:hAnsi="Times New Roman" w:cs="Times New Roman"/>
          <w:sz w:val="24"/>
          <w:highlight w:val="none"/>
        </w:rPr>
        <w:t>二、已标价工程量清单</w:t>
      </w:r>
    </w:p>
    <w:p w14:paraId="73B1B4A5">
      <w:pPr>
        <w:pageBreakBefore w:val="0"/>
        <w:kinsoku/>
        <w:wordWrap w:val="0"/>
        <w:bidi w:val="0"/>
        <w:spacing w:line="440" w:lineRule="exact"/>
        <w:ind w:left="1619" w:leftChars="771" w:firstLine="1"/>
        <w:rPr>
          <w:rFonts w:hint="default" w:ascii="Times New Roman" w:hAnsi="Times New Roman" w:cs="Times New Roman"/>
          <w:sz w:val="24"/>
          <w:highlight w:val="none"/>
        </w:rPr>
      </w:pPr>
      <w:r>
        <w:rPr>
          <w:rFonts w:hint="default" w:ascii="Times New Roman" w:hAnsi="Times New Roman" w:cs="Times New Roman"/>
          <w:sz w:val="24"/>
          <w:highlight w:val="none"/>
        </w:rPr>
        <w:t>三、合同用款估算表</w:t>
      </w:r>
    </w:p>
    <w:p w14:paraId="13EFF224">
      <w:pPr>
        <w:pageBreakBefore w:val="0"/>
        <w:kinsoku/>
        <w:wordWrap w:val="0"/>
        <w:bidi w:val="0"/>
        <w:spacing w:line="440" w:lineRule="exact"/>
        <w:ind w:left="1619" w:leftChars="771" w:firstLine="1"/>
        <w:rPr>
          <w:rFonts w:hint="default" w:ascii="Times New Roman" w:hAnsi="Times New Roman" w:cs="Times New Roman"/>
          <w:sz w:val="24"/>
          <w:highlight w:val="none"/>
        </w:rPr>
      </w:pPr>
    </w:p>
    <w:p w14:paraId="324E67F6">
      <w:pPr>
        <w:pageBreakBefore w:val="0"/>
        <w:kinsoku/>
        <w:wordWrap w:val="0"/>
        <w:bidi w:val="0"/>
        <w:spacing w:before="360" w:beforeLines="150" w:after="240" w:afterLines="100" w:line="380" w:lineRule="atLeast"/>
        <w:jc w:val="center"/>
        <w:outlineLvl w:val="9"/>
        <w:rPr>
          <w:rFonts w:hint="default" w:ascii="Times New Roman" w:hAnsi="Times New Roman" w:eastAsia="黑体" w:cs="Times New Roman"/>
          <w:sz w:val="20"/>
          <w:szCs w:val="20"/>
          <w:highlight w:val="none"/>
        </w:rPr>
      </w:pPr>
    </w:p>
    <w:p w14:paraId="7245E899">
      <w:pPr>
        <w:pageBreakBefore w:val="0"/>
        <w:kinsoku/>
        <w:wordWrap w:val="0"/>
        <w:bidi w:val="0"/>
        <w:spacing w:line="440" w:lineRule="exact"/>
        <w:rPr>
          <w:rFonts w:hint="default" w:ascii="Times New Roman" w:hAnsi="Times New Roman" w:eastAsia="黑体" w:cs="Times New Roman"/>
          <w:sz w:val="20"/>
          <w:szCs w:val="20"/>
          <w:highlight w:val="none"/>
        </w:rPr>
      </w:pPr>
    </w:p>
    <w:p w14:paraId="64A0E821">
      <w:pPr>
        <w:pageBreakBefore w:val="0"/>
        <w:kinsoku/>
        <w:wordWrap w:val="0"/>
        <w:bidi w:val="0"/>
        <w:spacing w:line="440" w:lineRule="exact"/>
        <w:rPr>
          <w:rFonts w:hint="default" w:ascii="Times New Roman" w:hAnsi="Times New Roman" w:eastAsia="黑体" w:cs="Times New Roman"/>
          <w:sz w:val="20"/>
          <w:szCs w:val="20"/>
          <w:highlight w:val="none"/>
        </w:rPr>
      </w:pPr>
    </w:p>
    <w:p w14:paraId="62CC5767">
      <w:pPr>
        <w:pageBreakBefore w:val="0"/>
        <w:kinsoku/>
        <w:wordWrap w:val="0"/>
        <w:bidi w:val="0"/>
        <w:spacing w:line="440" w:lineRule="exact"/>
        <w:rPr>
          <w:rFonts w:hint="default" w:ascii="Times New Roman" w:hAnsi="Times New Roman" w:eastAsia="黑体" w:cs="Times New Roman"/>
          <w:sz w:val="20"/>
          <w:szCs w:val="20"/>
          <w:highlight w:val="none"/>
        </w:rPr>
      </w:pPr>
    </w:p>
    <w:p w14:paraId="48F5F844">
      <w:pPr>
        <w:pageBreakBefore w:val="0"/>
        <w:kinsoku/>
        <w:wordWrap w:val="0"/>
        <w:bidi w:val="0"/>
        <w:spacing w:line="440" w:lineRule="exact"/>
        <w:rPr>
          <w:rFonts w:hint="default" w:ascii="Times New Roman" w:hAnsi="Times New Roman" w:eastAsia="黑体" w:cs="Times New Roman"/>
          <w:sz w:val="20"/>
          <w:szCs w:val="20"/>
          <w:highlight w:val="none"/>
        </w:rPr>
      </w:pPr>
    </w:p>
    <w:p w14:paraId="39D8148F">
      <w:pPr>
        <w:pageBreakBefore w:val="0"/>
        <w:kinsoku/>
        <w:wordWrap w:val="0"/>
        <w:bidi w:val="0"/>
        <w:spacing w:line="440" w:lineRule="exact"/>
        <w:rPr>
          <w:rFonts w:hint="default" w:ascii="Times New Roman" w:hAnsi="Times New Roman" w:eastAsia="黑体" w:cs="Times New Roman"/>
          <w:sz w:val="20"/>
          <w:szCs w:val="20"/>
          <w:highlight w:val="none"/>
        </w:rPr>
      </w:pPr>
    </w:p>
    <w:p w14:paraId="03CE34E8">
      <w:pPr>
        <w:pageBreakBefore w:val="0"/>
        <w:kinsoku/>
        <w:wordWrap w:val="0"/>
        <w:bidi w:val="0"/>
        <w:spacing w:line="440" w:lineRule="exact"/>
        <w:rPr>
          <w:rFonts w:hint="default" w:ascii="Times New Roman" w:hAnsi="Times New Roman" w:eastAsia="黑体" w:cs="Times New Roman"/>
          <w:sz w:val="20"/>
          <w:szCs w:val="20"/>
          <w:highlight w:val="none"/>
        </w:rPr>
      </w:pPr>
    </w:p>
    <w:p w14:paraId="67978B91">
      <w:pPr>
        <w:pageBreakBefore w:val="0"/>
        <w:kinsoku/>
        <w:wordWrap w:val="0"/>
        <w:bidi w:val="0"/>
        <w:spacing w:line="440" w:lineRule="exact"/>
        <w:rPr>
          <w:rFonts w:hint="default" w:ascii="Times New Roman" w:hAnsi="Times New Roman" w:eastAsia="黑体" w:cs="Times New Roman"/>
          <w:sz w:val="20"/>
          <w:szCs w:val="20"/>
          <w:highlight w:val="none"/>
        </w:rPr>
      </w:pPr>
    </w:p>
    <w:p w14:paraId="55A36D7B">
      <w:pPr>
        <w:pageBreakBefore w:val="0"/>
        <w:kinsoku/>
        <w:wordWrap w:val="0"/>
        <w:bidi w:val="0"/>
        <w:spacing w:line="440" w:lineRule="exact"/>
        <w:rPr>
          <w:rFonts w:hint="default" w:ascii="Times New Roman" w:hAnsi="Times New Roman" w:eastAsia="黑体" w:cs="Times New Roman"/>
          <w:sz w:val="20"/>
          <w:szCs w:val="20"/>
          <w:highlight w:val="none"/>
        </w:rPr>
      </w:pPr>
    </w:p>
    <w:p w14:paraId="28EA2C83">
      <w:pPr>
        <w:pageBreakBefore w:val="0"/>
        <w:kinsoku/>
        <w:wordWrap w:val="0"/>
        <w:bidi w:val="0"/>
        <w:spacing w:line="440" w:lineRule="exact"/>
        <w:rPr>
          <w:rFonts w:hint="default" w:ascii="Times New Roman" w:hAnsi="Times New Roman" w:eastAsia="黑体" w:cs="Times New Roman"/>
          <w:sz w:val="20"/>
          <w:szCs w:val="20"/>
          <w:highlight w:val="none"/>
        </w:rPr>
      </w:pPr>
    </w:p>
    <w:p w14:paraId="2D6A595B">
      <w:pPr>
        <w:pageBreakBefore w:val="0"/>
        <w:kinsoku/>
        <w:wordWrap w:val="0"/>
        <w:bidi w:val="0"/>
        <w:spacing w:line="440" w:lineRule="exact"/>
        <w:rPr>
          <w:rFonts w:hint="default" w:ascii="Times New Roman" w:hAnsi="Times New Roman" w:eastAsia="黑体" w:cs="Times New Roman"/>
          <w:sz w:val="20"/>
          <w:szCs w:val="20"/>
          <w:highlight w:val="none"/>
        </w:rPr>
      </w:pPr>
    </w:p>
    <w:p w14:paraId="7BC238B7">
      <w:pPr>
        <w:pageBreakBefore w:val="0"/>
        <w:kinsoku/>
        <w:wordWrap w:val="0"/>
        <w:bidi w:val="0"/>
        <w:spacing w:line="440" w:lineRule="exact"/>
        <w:rPr>
          <w:rFonts w:hint="default" w:ascii="Times New Roman" w:hAnsi="Times New Roman" w:eastAsia="黑体" w:cs="Times New Roman"/>
          <w:sz w:val="20"/>
          <w:szCs w:val="20"/>
          <w:highlight w:val="none"/>
        </w:rPr>
      </w:pPr>
    </w:p>
    <w:p w14:paraId="51DA6AD1">
      <w:pPr>
        <w:pageBreakBefore w:val="0"/>
        <w:kinsoku/>
        <w:wordWrap w:val="0"/>
        <w:bidi w:val="0"/>
        <w:spacing w:line="440" w:lineRule="exact"/>
        <w:rPr>
          <w:rFonts w:hint="default" w:ascii="Times New Roman" w:hAnsi="Times New Roman" w:eastAsia="黑体" w:cs="Times New Roman"/>
          <w:sz w:val="20"/>
          <w:szCs w:val="20"/>
          <w:highlight w:val="none"/>
        </w:rPr>
      </w:pPr>
    </w:p>
    <w:p w14:paraId="61F032D3">
      <w:pPr>
        <w:pageBreakBefore w:val="0"/>
        <w:kinsoku/>
        <w:wordWrap w:val="0"/>
        <w:bidi w:val="0"/>
        <w:spacing w:line="440" w:lineRule="exact"/>
        <w:rPr>
          <w:rFonts w:hint="default" w:ascii="Times New Roman" w:hAnsi="Times New Roman" w:eastAsia="黑体" w:cs="Times New Roman"/>
          <w:sz w:val="20"/>
          <w:szCs w:val="20"/>
          <w:highlight w:val="none"/>
        </w:rPr>
      </w:pPr>
      <w:r>
        <w:rPr>
          <w:rFonts w:hint="default" w:ascii="Times New Roman" w:hAnsi="Times New Roman" w:eastAsia="黑体" w:cs="Times New Roman"/>
          <w:sz w:val="20"/>
          <w:szCs w:val="20"/>
          <w:highlight w:val="none"/>
        </w:rPr>
        <w:br w:type="page"/>
      </w:r>
    </w:p>
    <w:p w14:paraId="7AE15D54">
      <w:pPr>
        <w:pStyle w:val="2"/>
        <w:pageBreakBefore w:val="0"/>
        <w:kinsoku/>
        <w:wordWrap w:val="0"/>
        <w:bidi w:val="0"/>
        <w:spacing w:before="360" w:beforeLines="150" w:after="240" w:afterLines="100" w:line="380" w:lineRule="atLeast"/>
        <w:jc w:val="center"/>
        <w:rPr>
          <w:rFonts w:hint="default" w:ascii="Times New Roman" w:hAnsi="Times New Roman" w:eastAsia="黑体" w:cs="Times New Roman"/>
          <w:b w:val="0"/>
          <w:sz w:val="30"/>
          <w:szCs w:val="30"/>
          <w:highlight w:val="none"/>
        </w:rPr>
      </w:pPr>
      <w:bookmarkStart w:id="1576" w:name="_Toc29927"/>
      <w:bookmarkStart w:id="1577" w:name="_Toc2064"/>
      <w:bookmarkStart w:id="1578" w:name="_Toc6668"/>
      <w:r>
        <w:rPr>
          <w:rFonts w:hint="default" w:ascii="Times New Roman" w:hAnsi="Times New Roman" w:eastAsia="黑体" w:cs="Times New Roman"/>
          <w:b w:val="0"/>
          <w:sz w:val="30"/>
          <w:szCs w:val="30"/>
          <w:highlight w:val="none"/>
        </w:rPr>
        <w:t>调价函格式（如有）</w:t>
      </w:r>
      <w:r>
        <w:rPr>
          <w:rStyle w:val="56"/>
          <w:rFonts w:hint="default" w:ascii="Times New Roman" w:hAnsi="Times New Roman" w:eastAsia="黑体" w:cs="Times New Roman"/>
          <w:sz w:val="30"/>
          <w:szCs w:val="30"/>
          <w:highlight w:val="none"/>
        </w:rPr>
        <w:footnoteReference w:id="42"/>
      </w:r>
      <w:bookmarkEnd w:id="1576"/>
      <w:bookmarkEnd w:id="1577"/>
      <w:bookmarkEnd w:id="1578"/>
    </w:p>
    <w:p w14:paraId="03722AF4">
      <w:pPr>
        <w:pageBreakBefore w:val="0"/>
        <w:kinsoku/>
        <w:wordWrap w:val="0"/>
        <w:bidi w:val="0"/>
        <w:spacing w:line="400" w:lineRule="atLeast"/>
        <w:rPr>
          <w:rFonts w:hint="default" w:ascii="Times New Roman" w:hAnsi="Times New Roman" w:cs="Times New Roman"/>
          <w:sz w:val="24"/>
          <w:highlight w:val="none"/>
        </w:rPr>
      </w:pPr>
    </w:p>
    <w:p w14:paraId="0138706D">
      <w:pPr>
        <w:pageBreakBefore w:val="0"/>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（招标人名称）：</w:t>
      </w:r>
    </w:p>
    <w:p w14:paraId="07E08F6D">
      <w:pPr>
        <w:pageBreakBefore w:val="0"/>
        <w:kinsoku/>
        <w:wordWrap w:val="0"/>
        <w:bidi w:val="0"/>
        <w:spacing w:line="400" w:lineRule="atLeast"/>
        <w:ind w:firstLine="525"/>
        <w:rPr>
          <w:rFonts w:hint="default" w:ascii="Times New Roman" w:hAnsi="Times New Roman" w:cs="Times New Roman"/>
          <w:sz w:val="24"/>
          <w:highlight w:val="none"/>
        </w:rPr>
      </w:pPr>
    </w:p>
    <w:p w14:paraId="5647A88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经我方慎重研究，基于</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理由，在</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（项目名称）</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标段施工招标投标函报价人民币（大写）________元（¥________）的基础上进行调价，调价后金额为人民币（大写）________元（¥________），调价后金额为我方最终报价。</w:t>
      </w:r>
    </w:p>
    <w:p w14:paraId="753D78C5">
      <w:pPr>
        <w:pageBreakBefore w:val="0"/>
        <w:kinsoku/>
        <w:wordWrap w:val="0"/>
        <w:bidi w:val="0"/>
        <w:spacing w:line="400" w:lineRule="atLeast"/>
        <w:ind w:firstLine="480" w:firstLineChars="200"/>
        <w:rPr>
          <w:rFonts w:hint="default" w:ascii="Times New Roman" w:hAnsi="Times New Roman" w:cs="Times New Roman"/>
          <w:sz w:val="24"/>
          <w:highlight w:val="none"/>
        </w:rPr>
      </w:pPr>
    </w:p>
    <w:p w14:paraId="148FA74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调价后的工程量清单</w:t>
      </w:r>
      <w:r>
        <w:rPr>
          <w:rStyle w:val="56"/>
          <w:rFonts w:hint="default" w:ascii="Times New Roman" w:hAnsi="Times New Roman" w:cs="Times New Roman"/>
          <w:sz w:val="24"/>
          <w:highlight w:val="none"/>
        </w:rPr>
        <w:footnoteReference w:id="43"/>
      </w:r>
      <w:r>
        <w:rPr>
          <w:rFonts w:hint="default" w:ascii="Times New Roman" w:hAnsi="Times New Roman" w:cs="Times New Roman"/>
          <w:sz w:val="24"/>
          <w:highlight w:val="none"/>
        </w:rPr>
        <w:t>附后，否则调价无效。</w:t>
      </w:r>
    </w:p>
    <w:p w14:paraId="5F1D84A9">
      <w:pPr>
        <w:pageBreakBefore w:val="0"/>
        <w:kinsoku/>
        <w:wordWrap w:val="0"/>
        <w:bidi w:val="0"/>
        <w:spacing w:line="400" w:lineRule="atLeast"/>
        <w:rPr>
          <w:rFonts w:hint="default" w:ascii="Times New Roman" w:hAnsi="Times New Roman" w:cs="Times New Roman"/>
          <w:sz w:val="24"/>
          <w:highlight w:val="none"/>
        </w:rPr>
      </w:pPr>
    </w:p>
    <w:p w14:paraId="0639D018">
      <w:pPr>
        <w:pageBreakBefore w:val="0"/>
        <w:kinsoku/>
        <w:wordWrap w:val="0"/>
        <w:bidi w:val="0"/>
        <w:spacing w:line="400" w:lineRule="atLeast"/>
        <w:rPr>
          <w:rFonts w:hint="default" w:ascii="Times New Roman" w:hAnsi="Times New Roman" w:cs="Times New Roman"/>
          <w:sz w:val="24"/>
          <w:highlight w:val="none"/>
        </w:rPr>
      </w:pPr>
    </w:p>
    <w:p w14:paraId="2BD2483A">
      <w:pPr>
        <w:pageBreakBefore w:val="0"/>
        <w:kinsoku/>
        <w:wordWrap w:val="0"/>
        <w:bidi w:val="0"/>
        <w:spacing w:line="400" w:lineRule="atLeast"/>
        <w:rPr>
          <w:rFonts w:hint="default" w:ascii="Times New Roman" w:hAnsi="Times New Roman" w:cs="Times New Roman"/>
          <w:sz w:val="24"/>
          <w:highlight w:val="none"/>
        </w:rPr>
      </w:pPr>
    </w:p>
    <w:p w14:paraId="0699983C">
      <w:pPr>
        <w:pageBreakBefore w:val="0"/>
        <w:kinsoku/>
        <w:wordWrap w:val="0"/>
        <w:bidi w:val="0"/>
        <w:spacing w:line="400" w:lineRule="atLeast"/>
        <w:rPr>
          <w:rFonts w:hint="default" w:ascii="Times New Roman" w:hAnsi="Times New Roman" w:cs="Times New Roman"/>
          <w:sz w:val="24"/>
          <w:highlight w:val="none"/>
        </w:rPr>
      </w:pPr>
    </w:p>
    <w:p w14:paraId="1572DCB1">
      <w:pPr>
        <w:keepNext w:val="0"/>
        <w:keepLines w:val="0"/>
        <w:pageBreakBefore w:val="0"/>
        <w:widowControl w:val="0"/>
        <w:kinsoku/>
        <w:wordWrap w:val="0"/>
        <w:overflowPunct/>
        <w:topLinePunct w:val="0"/>
        <w:autoSpaceDE/>
        <w:autoSpaceDN/>
        <w:bidi w:val="0"/>
        <w:adjustRightInd/>
        <w:snapToGrid/>
        <w:spacing w:line="440" w:lineRule="exact"/>
        <w:ind w:firstLine="1440" w:firstLineChars="6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投 标 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（盖单位电子印章）</w:t>
      </w:r>
    </w:p>
    <w:p w14:paraId="3FF66B85">
      <w:pPr>
        <w:keepNext w:val="0"/>
        <w:keepLines w:val="0"/>
        <w:pageBreakBefore w:val="0"/>
        <w:widowControl w:val="0"/>
        <w:kinsoku/>
        <w:wordWrap w:val="0"/>
        <w:overflowPunct/>
        <w:topLinePunct w:val="0"/>
        <w:autoSpaceDE/>
        <w:autoSpaceDN/>
        <w:bidi w:val="0"/>
        <w:adjustRightInd/>
        <w:snapToGrid/>
        <w:spacing w:line="440" w:lineRule="exact"/>
        <w:ind w:firstLine="1440" w:firstLineChars="6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法定代表人或其委托代理人：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（个人电子签名章或个人电子印章）</w:t>
      </w:r>
    </w:p>
    <w:p w14:paraId="32AE5AF4">
      <w:pPr>
        <w:keepNext w:val="0"/>
        <w:keepLines w:val="0"/>
        <w:pageBreakBefore w:val="0"/>
        <w:widowControl w:val="0"/>
        <w:kinsoku/>
        <w:wordWrap w:val="0"/>
        <w:overflowPunct/>
        <w:topLinePunct w:val="0"/>
        <w:autoSpaceDE/>
        <w:autoSpaceDN/>
        <w:bidi w:val="0"/>
        <w:adjustRightInd/>
        <w:snapToGrid/>
        <w:spacing w:line="440" w:lineRule="exact"/>
        <w:ind w:firstLine="1440" w:firstLineChars="6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月</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日</w:t>
      </w:r>
    </w:p>
    <w:p w14:paraId="7580A4D1">
      <w:pPr>
        <w:keepNext w:val="0"/>
        <w:keepLines w:val="0"/>
        <w:pageBreakBefore w:val="0"/>
        <w:widowControl w:val="0"/>
        <w:kinsoku/>
        <w:wordWrap w:val="0"/>
        <w:overflowPunct/>
        <w:topLinePunct w:val="0"/>
        <w:autoSpaceDE/>
        <w:autoSpaceDN/>
        <w:bidi w:val="0"/>
        <w:adjustRightInd/>
        <w:snapToGrid/>
        <w:spacing w:before="0" w:after="0" w:line="400" w:lineRule="atLeast"/>
        <w:ind w:firstLine="1260" w:firstLineChars="600"/>
        <w:jc w:val="center"/>
        <w:textAlignment w:val="auto"/>
        <w:outlineLvl w:val="9"/>
        <w:rPr>
          <w:rFonts w:hint="default" w:ascii="Times New Roman" w:hAnsi="Times New Roman" w:cs="Times New Roman"/>
          <w:highlight w:val="none"/>
          <w:lang w:eastAsia="zh-CN"/>
        </w:rPr>
      </w:pPr>
    </w:p>
    <w:p w14:paraId="4B845F58">
      <w:pPr>
        <w:pageBreakBefore w:val="0"/>
        <w:kinsoku/>
        <w:wordWrap w:val="0"/>
        <w:bidi w:val="0"/>
        <w:spacing w:before="0" w:after="0" w:line="400" w:lineRule="atLeast"/>
        <w:jc w:val="center"/>
        <w:outlineLvl w:val="9"/>
        <w:rPr>
          <w:rFonts w:hint="default" w:ascii="Times New Roman" w:hAnsi="Times New Roman" w:cs="Times New Roman"/>
          <w:highlight w:val="none"/>
          <w:lang w:eastAsia="zh-CN"/>
        </w:rPr>
      </w:pPr>
    </w:p>
    <w:p w14:paraId="34F2EDBD">
      <w:pPr>
        <w:pStyle w:val="2"/>
        <w:pageBreakBefore w:val="0"/>
        <w:kinsoku/>
        <w:wordWrap w:val="0"/>
        <w:bidi w:val="0"/>
        <w:spacing w:before="0" w:after="0" w:line="400" w:lineRule="atLeast"/>
        <w:jc w:val="center"/>
        <w:rPr>
          <w:rFonts w:hint="default" w:ascii="Times New Roman" w:hAnsi="Times New Roman" w:eastAsia="黑体" w:cs="Times New Roman"/>
          <w:b w:val="0"/>
          <w:sz w:val="30"/>
          <w:szCs w:val="30"/>
          <w:highlight w:val="none"/>
        </w:rPr>
      </w:pPr>
      <w:r>
        <w:rPr>
          <w:rFonts w:hint="default" w:ascii="Times New Roman" w:hAnsi="Times New Roman" w:cs="Times New Roman"/>
          <w:highlight w:val="none"/>
        </w:rPr>
        <w:br w:type="page"/>
      </w:r>
      <w:bookmarkStart w:id="1579" w:name="_Toc28096"/>
      <w:bookmarkStart w:id="1580" w:name="_Toc13802"/>
      <w:bookmarkStart w:id="1581" w:name="_Toc4909"/>
      <w:r>
        <w:rPr>
          <w:rFonts w:hint="default" w:ascii="Times New Roman" w:hAnsi="Times New Roman" w:eastAsia="黑体" w:cs="Times New Roman"/>
          <w:b w:val="0"/>
          <w:sz w:val="30"/>
          <w:szCs w:val="30"/>
          <w:highlight w:val="none"/>
        </w:rPr>
        <w:t>一、投标函</w:t>
      </w:r>
      <w:bookmarkEnd w:id="1579"/>
      <w:bookmarkEnd w:id="1580"/>
      <w:bookmarkEnd w:id="1581"/>
    </w:p>
    <w:p w14:paraId="4FF80B98">
      <w:pPr>
        <w:pageBreakBefore w:val="0"/>
        <w:kinsoku/>
        <w:wordWrap w:val="0"/>
        <w:bidi w:val="0"/>
        <w:spacing w:before="360" w:beforeLines="150" w:after="240" w:afterLines="100" w:line="400" w:lineRule="atLeast"/>
        <w:jc w:val="center"/>
        <w:outlineLvl w:val="9"/>
        <w:rPr>
          <w:rFonts w:hint="default" w:ascii="Times New Roman" w:hAnsi="Times New Roman" w:eastAsia="黑体" w:cs="Times New Roman"/>
          <w:b w:val="0"/>
          <w:sz w:val="28"/>
          <w:szCs w:val="28"/>
          <w:highlight w:val="none"/>
        </w:rPr>
      </w:pPr>
    </w:p>
    <w:p w14:paraId="06E5623B">
      <w:pPr>
        <w:pageBreakBefore w:val="0"/>
        <w:kinsoku/>
        <w:wordWrap w:val="0"/>
        <w:bidi w:val="0"/>
        <w:spacing w:before="240" w:beforeLines="100" w:after="120" w:afterLines="50"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（招标人名称）：</w:t>
      </w:r>
    </w:p>
    <w:p w14:paraId="6816C921">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1．我方已仔细研究</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（项目名称）</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lang w:eastAsia="zh-CN"/>
        </w:rPr>
        <w:t>（</w:t>
      </w:r>
      <w:r>
        <w:rPr>
          <w:rFonts w:hint="default" w:ascii="Times New Roman" w:hAnsi="Times New Roman" w:cs="Times New Roman"/>
          <w:sz w:val="24"/>
          <w:highlight w:val="none"/>
          <w:lang w:val="en-US" w:eastAsia="zh-CN"/>
        </w:rPr>
        <w:t>标段名称</w:t>
      </w:r>
      <w:r>
        <w:rPr>
          <w:rFonts w:hint="default" w:ascii="Times New Roman" w:hAnsi="Times New Roman" w:cs="Times New Roman"/>
          <w:sz w:val="24"/>
          <w:highlight w:val="none"/>
          <w:lang w:eastAsia="zh-CN"/>
        </w:rPr>
        <w:t>）</w:t>
      </w:r>
      <w:r>
        <w:rPr>
          <w:rFonts w:hint="default" w:ascii="Times New Roman" w:hAnsi="Times New Roman" w:cs="Times New Roman"/>
          <w:sz w:val="24"/>
          <w:highlight w:val="none"/>
        </w:rPr>
        <w:t>施工招标文件的全部内容（含补遗书第___号至第___号），在考察工程现场后，愿意以人民币（大写）</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元（¥</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）的投标总报价（或根据招标文件规定修正核实后确定的另一金额，其中，增值税税率为</w:t>
      </w:r>
      <w:r>
        <w:rPr>
          <w:rFonts w:hint="default" w:ascii="Times New Roman" w:hAnsi="Times New Roman" w:eastAsia="黑体" w:cs="Times New Roman"/>
          <w:sz w:val="24"/>
          <w:highlight w:val="none"/>
          <w:u w:val="single"/>
        </w:rPr>
        <w:t xml:space="preserve">         </w:t>
      </w:r>
      <w:r>
        <w:rPr>
          <w:rFonts w:hint="default" w:ascii="Times New Roman" w:hAnsi="Times New Roman" w:cs="Times New Roman"/>
          <w:sz w:val="24"/>
          <w:highlight w:val="none"/>
        </w:rPr>
        <w:t>），按合同约定实施和完成承包工程，修补工程中的任何缺陷。</w:t>
      </w:r>
    </w:p>
    <w:p w14:paraId="7DB34271">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2．在合同协议书正式签署生效之前，本投标函连同你方的中标通知书将构成我们双方之间共同遵守的文件，对双方具有约束力。</w:t>
      </w:r>
    </w:p>
    <w:p w14:paraId="65A4797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（其他补充说明）。</w:t>
      </w:r>
    </w:p>
    <w:p w14:paraId="09729DBB">
      <w:pPr>
        <w:pageBreakBefore w:val="0"/>
        <w:kinsoku/>
        <w:wordWrap w:val="0"/>
        <w:bidi w:val="0"/>
        <w:spacing w:line="400" w:lineRule="atLeast"/>
        <w:ind w:firstLine="480" w:firstLineChars="200"/>
        <w:rPr>
          <w:rFonts w:hint="default" w:ascii="Times New Roman" w:hAnsi="Times New Roman" w:cs="Times New Roman"/>
          <w:sz w:val="24"/>
          <w:highlight w:val="none"/>
        </w:rPr>
      </w:pPr>
    </w:p>
    <w:p w14:paraId="71A38011">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投 标 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（盖单位</w:t>
      </w:r>
      <w:r>
        <w:rPr>
          <w:rFonts w:hint="default" w:ascii="Times New Roman" w:hAnsi="Times New Roman" w:cs="Times New Roman"/>
          <w:sz w:val="24"/>
          <w:highlight w:val="none"/>
          <w:lang w:val="en-US" w:eastAsia="zh-CN"/>
        </w:rPr>
        <w:t>电子印</w:t>
      </w:r>
      <w:r>
        <w:rPr>
          <w:rFonts w:hint="default" w:ascii="Times New Roman" w:hAnsi="Times New Roman" w:cs="Times New Roman"/>
          <w:sz w:val="24"/>
          <w:highlight w:val="none"/>
        </w:rPr>
        <w:t>章）</w:t>
      </w:r>
    </w:p>
    <w:p w14:paraId="493D541F">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法定代表人或其委托代理人：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（个人电子签名章或个人电子印章）</w:t>
      </w:r>
    </w:p>
    <w:p w14:paraId="2355381B">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地    址：</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 </w:t>
      </w:r>
    </w:p>
    <w:p w14:paraId="4CAFB5F1">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网    址：</w:t>
      </w:r>
      <w:r>
        <w:rPr>
          <w:rFonts w:hint="default" w:ascii="Times New Roman" w:hAnsi="Times New Roman" w:cs="Times New Roman"/>
          <w:sz w:val="24"/>
          <w:highlight w:val="none"/>
          <w:u w:val="single"/>
        </w:rPr>
        <w:t xml:space="preserve">                                     </w:t>
      </w:r>
    </w:p>
    <w:p w14:paraId="18502F0F">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电    话：</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 </w:t>
      </w:r>
    </w:p>
    <w:p w14:paraId="607A3AC7">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传    真：</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 </w:t>
      </w:r>
    </w:p>
    <w:p w14:paraId="61DD2144">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邮政编码：</w:t>
      </w:r>
      <w:r>
        <w:rPr>
          <w:rFonts w:hint="default" w:ascii="Times New Roman" w:hAnsi="Times New Roman" w:cs="Times New Roman"/>
          <w:sz w:val="24"/>
          <w:highlight w:val="none"/>
          <w:u w:val="single"/>
        </w:rPr>
        <w:t xml:space="preserve">                                  </w:t>
      </w:r>
    </w:p>
    <w:p w14:paraId="089CC339">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sz w:val="24"/>
          <w:highlight w:val="none"/>
        </w:rPr>
      </w:pPr>
    </w:p>
    <w:p w14:paraId="38BBF723">
      <w:pPr>
        <w:pageBreakBefore w:val="0"/>
        <w:kinsoku/>
        <w:wordWrap w:val="0"/>
        <w:bidi w:val="0"/>
        <w:spacing w:line="400" w:lineRule="atLeast"/>
        <w:ind w:firstLine="4740" w:firstLineChars="1975"/>
        <w:rPr>
          <w:rFonts w:hint="default" w:ascii="Times New Roman" w:hAnsi="Times New Roman" w:cs="Times New Roman"/>
          <w:sz w:val="24"/>
          <w:highlight w:val="none"/>
        </w:rPr>
      </w:pP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月</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日</w:t>
      </w:r>
      <w:r>
        <w:rPr>
          <w:rFonts w:hint="default" w:ascii="Times New Roman" w:hAnsi="Times New Roman" w:cs="Times New Roman"/>
          <w:sz w:val="24"/>
          <w:highlight w:val="none"/>
        </w:rPr>
        <w:br w:type="page"/>
      </w:r>
    </w:p>
    <w:p w14:paraId="5A971E0E">
      <w:pPr>
        <w:pStyle w:val="2"/>
        <w:pageBreakBefore w:val="0"/>
        <w:kinsoku/>
        <w:wordWrap w:val="0"/>
        <w:bidi w:val="0"/>
        <w:spacing w:before="360" w:beforeLines="150" w:after="240" w:afterLines="100" w:line="380" w:lineRule="atLeast"/>
        <w:jc w:val="center"/>
        <w:rPr>
          <w:rFonts w:hint="default" w:ascii="Times New Roman" w:hAnsi="Times New Roman" w:eastAsia="黑体" w:cs="Times New Roman"/>
          <w:b w:val="0"/>
          <w:sz w:val="28"/>
          <w:szCs w:val="28"/>
          <w:highlight w:val="none"/>
        </w:rPr>
      </w:pPr>
      <w:bookmarkStart w:id="1582" w:name="_Toc30401"/>
      <w:bookmarkStart w:id="1583" w:name="_Toc234833263"/>
      <w:bookmarkStart w:id="1584" w:name="_Toc20312"/>
      <w:bookmarkStart w:id="1585" w:name="_Toc14806"/>
      <w:r>
        <w:rPr>
          <w:rFonts w:hint="default" w:ascii="Times New Roman" w:hAnsi="Times New Roman" w:eastAsia="黑体" w:cs="Times New Roman"/>
          <w:b w:val="0"/>
          <w:sz w:val="28"/>
          <w:szCs w:val="28"/>
          <w:highlight w:val="none"/>
        </w:rPr>
        <w:t>二、已标价工程量清单</w:t>
      </w:r>
      <w:bookmarkEnd w:id="1582"/>
      <w:bookmarkEnd w:id="1583"/>
      <w:bookmarkEnd w:id="1584"/>
      <w:bookmarkEnd w:id="1585"/>
    </w:p>
    <w:p w14:paraId="466A36BF">
      <w:pPr>
        <w:pageBreakBefore w:val="0"/>
        <w:kinsoku/>
        <w:wordWrap w:val="0"/>
        <w:bidi w:val="0"/>
        <w:spacing w:line="440" w:lineRule="exact"/>
        <w:rPr>
          <w:rFonts w:hint="default" w:ascii="Times New Roman" w:hAnsi="Times New Roman" w:eastAsia="黑体" w:cs="Times New Roman"/>
          <w:sz w:val="24"/>
          <w:highlight w:val="none"/>
        </w:rPr>
      </w:pPr>
    </w:p>
    <w:p w14:paraId="28C761A9">
      <w:pPr>
        <w:pageBreakBefore w:val="0"/>
        <w:kinsoku/>
        <w:wordWrap w:val="0"/>
        <w:bidi w:val="0"/>
        <w:spacing w:line="44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投标人应按照第五章</w:t>
      </w:r>
      <w:r>
        <w:rPr>
          <w:rFonts w:hint="eastAsia" w:ascii="宋体" w:hAnsi="宋体" w:eastAsia="宋体" w:cs="宋体"/>
          <w:sz w:val="24"/>
          <w:highlight w:val="none"/>
        </w:rPr>
        <w:t>“</w:t>
      </w:r>
      <w:r>
        <w:rPr>
          <w:rFonts w:hint="default" w:ascii="Times New Roman" w:hAnsi="Times New Roman" w:cs="Times New Roman"/>
          <w:sz w:val="24"/>
          <w:highlight w:val="none"/>
        </w:rPr>
        <w:t>工程量清单</w:t>
      </w:r>
      <w:r>
        <w:rPr>
          <w:rFonts w:hint="eastAsia" w:ascii="宋体" w:hAnsi="宋体" w:eastAsia="宋体" w:cs="宋体"/>
          <w:sz w:val="24"/>
          <w:highlight w:val="none"/>
        </w:rPr>
        <w:t>”</w:t>
      </w:r>
      <w:r>
        <w:rPr>
          <w:rFonts w:hint="default" w:ascii="Times New Roman" w:hAnsi="Times New Roman" w:cs="Times New Roman"/>
          <w:sz w:val="24"/>
          <w:highlight w:val="none"/>
        </w:rPr>
        <w:t>的要求逐项填报工程量清单，包括工程量清单说明、投标报价说明、计日工说明、其他说明及工程量清单各项表格（工程量清单表5.1～表5.5）。</w:t>
      </w:r>
    </w:p>
    <w:p w14:paraId="66E2D1BC">
      <w:pPr>
        <w:pStyle w:val="2"/>
        <w:pageBreakBefore w:val="0"/>
        <w:kinsoku/>
        <w:wordWrap w:val="0"/>
        <w:bidi w:val="0"/>
        <w:spacing w:before="0" w:after="0" w:line="380" w:lineRule="atLeast"/>
        <w:jc w:val="center"/>
        <w:rPr>
          <w:rFonts w:hint="default" w:ascii="Times New Roman" w:hAnsi="Times New Roman" w:eastAsia="黑体" w:cs="Times New Roman"/>
          <w:b w:val="0"/>
          <w:sz w:val="28"/>
          <w:szCs w:val="28"/>
          <w:highlight w:val="none"/>
        </w:rPr>
      </w:pPr>
      <w:r>
        <w:rPr>
          <w:rFonts w:hint="default" w:ascii="Times New Roman" w:hAnsi="Times New Roman" w:eastAsia="黑体" w:cs="Times New Roman"/>
          <w:sz w:val="24"/>
          <w:highlight w:val="none"/>
        </w:rPr>
        <w:br w:type="page"/>
      </w:r>
      <w:bookmarkStart w:id="1586" w:name="_Toc13456"/>
      <w:bookmarkStart w:id="1587" w:name="_Toc6563"/>
      <w:bookmarkStart w:id="1588" w:name="_Toc12105"/>
      <w:bookmarkStart w:id="1589" w:name="_Toc234833274"/>
      <w:r>
        <w:rPr>
          <w:rFonts w:hint="default" w:ascii="Times New Roman" w:hAnsi="Times New Roman" w:eastAsia="黑体" w:cs="Times New Roman"/>
          <w:b w:val="0"/>
          <w:sz w:val="28"/>
          <w:szCs w:val="28"/>
          <w:highlight w:val="none"/>
        </w:rPr>
        <w:t>三、合同用款估算表</w:t>
      </w:r>
      <w:bookmarkEnd w:id="1586"/>
      <w:bookmarkEnd w:id="1587"/>
      <w:bookmarkEnd w:id="1588"/>
      <w:bookmarkEnd w:id="1589"/>
    </w:p>
    <w:p w14:paraId="3A6C7DAE">
      <w:pPr>
        <w:pStyle w:val="91"/>
        <w:pageBreakBefore w:val="0"/>
        <w:kinsoku/>
        <w:wordWrap w:val="0"/>
        <w:bidi w:val="0"/>
        <w:snapToGrid w:val="0"/>
        <w:spacing w:before="0" w:after="0" w:line="400" w:lineRule="atLeast"/>
        <w:jc w:val="center"/>
        <w:rPr>
          <w:rFonts w:hint="default" w:ascii="Times New Roman" w:hAnsi="Times New Roman" w:cs="Times New Roman"/>
          <w:b w:val="0"/>
          <w:highlight w:val="none"/>
        </w:rPr>
      </w:pPr>
    </w:p>
    <w:tbl>
      <w:tblPr>
        <w:tblStyle w:val="40"/>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
      <w:tblGrid>
        <w:gridCol w:w="628"/>
        <w:gridCol w:w="2025"/>
        <w:gridCol w:w="1547"/>
        <w:gridCol w:w="1548"/>
        <w:gridCol w:w="1548"/>
        <w:gridCol w:w="1548"/>
      </w:tblGrid>
      <w:tr w14:paraId="5C9708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vMerge w:val="restart"/>
            <w:tcBorders>
              <w:bottom w:val="nil"/>
              <w:right w:val="single" w:color="auto" w:sz="6" w:space="0"/>
            </w:tcBorders>
            <w:noWrap w:val="0"/>
            <w:vAlign w:val="center"/>
          </w:tcPr>
          <w:p w14:paraId="2D12AA1E">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从开工月算起的时间</w:t>
            </w:r>
          </w:p>
          <w:p w14:paraId="0723C19C">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（月）</w:t>
            </w:r>
          </w:p>
        </w:tc>
        <w:tc>
          <w:tcPr>
            <w:tcW w:w="6191" w:type="dxa"/>
            <w:gridSpan w:val="4"/>
            <w:tcBorders>
              <w:left w:val="single" w:color="auto" w:sz="6" w:space="0"/>
            </w:tcBorders>
            <w:noWrap w:val="0"/>
            <w:vAlign w:val="center"/>
          </w:tcPr>
          <w:p w14:paraId="00BA611A">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投标人的估算</w:t>
            </w:r>
          </w:p>
        </w:tc>
      </w:tr>
      <w:tr w14:paraId="575472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vMerge w:val="continue"/>
            <w:tcBorders>
              <w:top w:val="nil"/>
              <w:bottom w:val="nil"/>
              <w:right w:val="single" w:color="auto" w:sz="6" w:space="0"/>
            </w:tcBorders>
            <w:noWrap w:val="0"/>
            <w:vAlign w:val="center"/>
          </w:tcPr>
          <w:p w14:paraId="3D72EEC8">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3095" w:type="dxa"/>
            <w:gridSpan w:val="2"/>
            <w:tcBorders>
              <w:top w:val="single" w:color="auto" w:sz="4" w:space="0"/>
              <w:left w:val="single" w:color="auto" w:sz="6" w:space="0"/>
              <w:bottom w:val="single" w:color="auto" w:sz="6" w:space="0"/>
              <w:right w:val="single" w:color="auto" w:sz="6" w:space="0"/>
            </w:tcBorders>
            <w:noWrap w:val="0"/>
            <w:vAlign w:val="center"/>
          </w:tcPr>
          <w:p w14:paraId="210169ED">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分     期</w:t>
            </w:r>
          </w:p>
        </w:tc>
        <w:tc>
          <w:tcPr>
            <w:tcW w:w="3096" w:type="dxa"/>
            <w:gridSpan w:val="2"/>
            <w:tcBorders>
              <w:left w:val="single" w:color="auto" w:sz="6" w:space="0"/>
            </w:tcBorders>
            <w:noWrap w:val="0"/>
            <w:vAlign w:val="center"/>
          </w:tcPr>
          <w:p w14:paraId="691A030F">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累     计</w:t>
            </w:r>
          </w:p>
        </w:tc>
      </w:tr>
      <w:tr w14:paraId="0A7D55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vMerge w:val="continue"/>
            <w:tcBorders>
              <w:top w:val="nil"/>
              <w:right w:val="single" w:color="auto" w:sz="6" w:space="0"/>
            </w:tcBorders>
            <w:noWrap w:val="0"/>
            <w:vAlign w:val="center"/>
          </w:tcPr>
          <w:p w14:paraId="5E373C0C">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7" w:type="dxa"/>
            <w:tcBorders>
              <w:top w:val="single" w:color="auto" w:sz="6" w:space="0"/>
              <w:left w:val="single" w:color="auto" w:sz="6" w:space="0"/>
            </w:tcBorders>
            <w:noWrap w:val="0"/>
            <w:vAlign w:val="center"/>
          </w:tcPr>
          <w:p w14:paraId="2FA22D3F">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金额（元）</w:t>
            </w:r>
          </w:p>
        </w:tc>
        <w:tc>
          <w:tcPr>
            <w:tcW w:w="1548" w:type="dxa"/>
            <w:tcBorders>
              <w:top w:val="single" w:color="auto" w:sz="6" w:space="0"/>
            </w:tcBorders>
            <w:noWrap w:val="0"/>
            <w:vAlign w:val="center"/>
          </w:tcPr>
          <w:p w14:paraId="652A093F">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w:t>
            </w:r>
          </w:p>
        </w:tc>
        <w:tc>
          <w:tcPr>
            <w:tcW w:w="1548" w:type="dxa"/>
            <w:noWrap w:val="0"/>
            <w:vAlign w:val="center"/>
          </w:tcPr>
          <w:p w14:paraId="4F056F78">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金额（元）</w:t>
            </w:r>
          </w:p>
        </w:tc>
        <w:tc>
          <w:tcPr>
            <w:tcW w:w="1548" w:type="dxa"/>
            <w:noWrap w:val="0"/>
            <w:vAlign w:val="center"/>
          </w:tcPr>
          <w:p w14:paraId="21EBA583">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w:t>
            </w:r>
          </w:p>
        </w:tc>
      </w:tr>
      <w:tr w14:paraId="5B3D1D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noWrap w:val="0"/>
            <w:vAlign w:val="center"/>
          </w:tcPr>
          <w:p w14:paraId="196225C9">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第一次开工预付款</w:t>
            </w:r>
          </w:p>
        </w:tc>
        <w:tc>
          <w:tcPr>
            <w:tcW w:w="1547" w:type="dxa"/>
            <w:noWrap w:val="0"/>
            <w:vAlign w:val="center"/>
          </w:tcPr>
          <w:p w14:paraId="01ECF3C0">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11A5C132">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503F537F">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5C3B1A45">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r>
      <w:tr w14:paraId="5CAC83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noWrap w:val="0"/>
            <w:vAlign w:val="center"/>
          </w:tcPr>
          <w:p w14:paraId="6CDA370D">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1 ~ 3</w:t>
            </w:r>
          </w:p>
        </w:tc>
        <w:tc>
          <w:tcPr>
            <w:tcW w:w="1547" w:type="dxa"/>
            <w:noWrap w:val="0"/>
            <w:vAlign w:val="center"/>
          </w:tcPr>
          <w:p w14:paraId="7766A4B4">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1B8B361D">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3C144BED">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00BE30AE">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r>
      <w:tr w14:paraId="690234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noWrap w:val="0"/>
            <w:vAlign w:val="center"/>
          </w:tcPr>
          <w:p w14:paraId="145DBF8D">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4 ~ 6</w:t>
            </w:r>
          </w:p>
        </w:tc>
        <w:tc>
          <w:tcPr>
            <w:tcW w:w="1547" w:type="dxa"/>
            <w:noWrap w:val="0"/>
            <w:vAlign w:val="center"/>
          </w:tcPr>
          <w:p w14:paraId="0C0F0C8B">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50CD9EDB">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4E4F9C53">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10961D7C">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r>
      <w:tr w14:paraId="2CF54E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noWrap w:val="0"/>
            <w:vAlign w:val="center"/>
          </w:tcPr>
          <w:p w14:paraId="2DF87C41">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7 ~ 9</w:t>
            </w:r>
          </w:p>
        </w:tc>
        <w:tc>
          <w:tcPr>
            <w:tcW w:w="1547" w:type="dxa"/>
            <w:noWrap w:val="0"/>
            <w:vAlign w:val="center"/>
          </w:tcPr>
          <w:p w14:paraId="75655A61">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3188E01F">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72130DA1">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1F07E2B1">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r>
      <w:tr w14:paraId="4923F9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noWrap w:val="0"/>
            <w:vAlign w:val="center"/>
          </w:tcPr>
          <w:p w14:paraId="78A096A6">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10 ~ 12</w:t>
            </w:r>
          </w:p>
        </w:tc>
        <w:tc>
          <w:tcPr>
            <w:tcW w:w="1547" w:type="dxa"/>
            <w:noWrap w:val="0"/>
            <w:vAlign w:val="center"/>
          </w:tcPr>
          <w:p w14:paraId="324F9976">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22DAA9CF">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3B72F52B">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4AD6C36B">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r>
      <w:tr w14:paraId="60457A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noWrap w:val="0"/>
            <w:vAlign w:val="center"/>
          </w:tcPr>
          <w:p w14:paraId="11F54BFC">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13 ~ 15</w:t>
            </w:r>
          </w:p>
        </w:tc>
        <w:tc>
          <w:tcPr>
            <w:tcW w:w="1547" w:type="dxa"/>
            <w:noWrap w:val="0"/>
            <w:vAlign w:val="center"/>
          </w:tcPr>
          <w:p w14:paraId="6756A307">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262928CC">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37337BF4">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63F3330F">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r>
      <w:tr w14:paraId="2650D9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noWrap w:val="0"/>
            <w:vAlign w:val="center"/>
          </w:tcPr>
          <w:p w14:paraId="7B6CA870">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w:t>
            </w:r>
          </w:p>
        </w:tc>
        <w:tc>
          <w:tcPr>
            <w:tcW w:w="1547" w:type="dxa"/>
            <w:noWrap w:val="0"/>
            <w:vAlign w:val="center"/>
          </w:tcPr>
          <w:p w14:paraId="20795206">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3A45BE4B">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10FBCB94">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36EF61F4">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r>
      <w:tr w14:paraId="3D0ED8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noWrap w:val="0"/>
            <w:vAlign w:val="center"/>
          </w:tcPr>
          <w:p w14:paraId="060E0BC5">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w:t>
            </w:r>
          </w:p>
        </w:tc>
        <w:tc>
          <w:tcPr>
            <w:tcW w:w="1547" w:type="dxa"/>
            <w:noWrap w:val="0"/>
            <w:vAlign w:val="center"/>
          </w:tcPr>
          <w:p w14:paraId="42B54CAC">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625F4CE0">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2CE509C7">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2B9750FE">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r>
      <w:tr w14:paraId="191A72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noWrap w:val="0"/>
            <w:vAlign w:val="center"/>
          </w:tcPr>
          <w:p w14:paraId="677BFD18">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7" w:type="dxa"/>
            <w:noWrap w:val="0"/>
            <w:vAlign w:val="center"/>
          </w:tcPr>
          <w:p w14:paraId="56867EC1">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7DBFADBF">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18331319">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228E83E7">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r>
      <w:tr w14:paraId="639135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noWrap w:val="0"/>
            <w:vAlign w:val="center"/>
          </w:tcPr>
          <w:p w14:paraId="38EDED5D">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缺陷责任期</w:t>
            </w:r>
          </w:p>
        </w:tc>
        <w:tc>
          <w:tcPr>
            <w:tcW w:w="1547" w:type="dxa"/>
            <w:noWrap w:val="0"/>
            <w:vAlign w:val="center"/>
          </w:tcPr>
          <w:p w14:paraId="59B18F53">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440FC368">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64E8A43F">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7DFC7DB0">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r>
      <w:tr w14:paraId="71696B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noWrap w:val="0"/>
            <w:vAlign w:val="center"/>
          </w:tcPr>
          <w:p w14:paraId="6A308F31">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小      计</w:t>
            </w:r>
          </w:p>
        </w:tc>
        <w:tc>
          <w:tcPr>
            <w:tcW w:w="1547" w:type="dxa"/>
            <w:noWrap w:val="0"/>
            <w:vAlign w:val="center"/>
          </w:tcPr>
          <w:p w14:paraId="772F4625">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6C3E8DC3">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100.00</w:t>
            </w:r>
          </w:p>
        </w:tc>
        <w:tc>
          <w:tcPr>
            <w:tcW w:w="1548" w:type="dxa"/>
            <w:noWrap w:val="0"/>
            <w:vAlign w:val="center"/>
          </w:tcPr>
          <w:p w14:paraId="3E9F2B8F">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46B7BF02">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r>
      <w:tr w14:paraId="464B0D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c>
          <w:tcPr>
            <w:tcW w:w="8844" w:type="dxa"/>
            <w:gridSpan w:val="6"/>
            <w:noWrap w:val="0"/>
            <w:vAlign w:val="center"/>
          </w:tcPr>
          <w:p w14:paraId="6B8F66E8">
            <w:pPr>
              <w:pStyle w:val="26"/>
              <w:pageBreakBefore w:val="0"/>
              <w:tabs>
                <w:tab w:val="clear" w:pos="4153"/>
                <w:tab w:val="clear" w:pos="8306"/>
              </w:tabs>
              <w:kinsoku/>
              <w:wordWrap w:val="0"/>
              <w:bidi w:val="0"/>
              <w:spacing w:before="60" w:beforeLines="25" w:after="60" w:afterLines="25" w:line="400" w:lineRule="atLeast"/>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投标价：</w:t>
            </w:r>
          </w:p>
        </w:tc>
      </w:tr>
      <w:tr w14:paraId="138AE4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3162" w:hRule="atLeast"/>
        </w:trPr>
        <w:tc>
          <w:tcPr>
            <w:tcW w:w="628" w:type="dxa"/>
            <w:noWrap w:val="0"/>
            <w:vAlign w:val="center"/>
          </w:tcPr>
          <w:p w14:paraId="5EEFE764">
            <w:pPr>
              <w:pageBreakBefore w:val="0"/>
              <w:kinsoku/>
              <w:wordWrap w:val="0"/>
              <w:bidi w:val="0"/>
              <w:snapToGrid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说</w:t>
            </w:r>
          </w:p>
          <w:p w14:paraId="129198AD">
            <w:pPr>
              <w:pageBreakBefore w:val="0"/>
              <w:kinsoku/>
              <w:wordWrap w:val="0"/>
              <w:bidi w:val="0"/>
              <w:snapToGrid w:val="0"/>
              <w:spacing w:line="400" w:lineRule="atLeast"/>
              <w:jc w:val="center"/>
              <w:rPr>
                <w:rFonts w:hint="default" w:ascii="Times New Roman" w:hAnsi="Times New Roman" w:cs="Times New Roman"/>
                <w:szCs w:val="21"/>
                <w:highlight w:val="none"/>
              </w:rPr>
            </w:pPr>
          </w:p>
          <w:p w14:paraId="30325399">
            <w:pPr>
              <w:pageBreakBefore w:val="0"/>
              <w:kinsoku/>
              <w:wordWrap w:val="0"/>
              <w:bidi w:val="0"/>
              <w:snapToGrid w:val="0"/>
              <w:spacing w:line="400" w:lineRule="atLeast"/>
              <w:jc w:val="center"/>
              <w:rPr>
                <w:rFonts w:hint="default" w:ascii="Times New Roman" w:hAnsi="Times New Roman" w:cs="Times New Roman"/>
                <w:szCs w:val="21"/>
                <w:highlight w:val="none"/>
              </w:rPr>
            </w:pPr>
          </w:p>
          <w:p w14:paraId="587B3B3C">
            <w:pPr>
              <w:pageBreakBefore w:val="0"/>
              <w:kinsoku/>
              <w:wordWrap w:val="0"/>
              <w:bidi w:val="0"/>
              <w:snapToGrid w:val="0"/>
              <w:spacing w:line="400" w:lineRule="atLeast"/>
              <w:jc w:val="center"/>
              <w:rPr>
                <w:rFonts w:hint="default" w:ascii="Times New Roman" w:hAnsi="Times New Roman" w:cs="Times New Roman"/>
                <w:szCs w:val="21"/>
                <w:highlight w:val="none"/>
              </w:rPr>
            </w:pPr>
          </w:p>
          <w:p w14:paraId="7A826878">
            <w:pPr>
              <w:pageBreakBefore w:val="0"/>
              <w:kinsoku/>
              <w:wordWrap w:val="0"/>
              <w:bidi w:val="0"/>
              <w:snapToGrid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明</w:t>
            </w:r>
          </w:p>
        </w:tc>
        <w:tc>
          <w:tcPr>
            <w:tcW w:w="8216" w:type="dxa"/>
            <w:gridSpan w:val="5"/>
            <w:noWrap w:val="0"/>
            <w:vAlign w:val="center"/>
          </w:tcPr>
          <w:p w14:paraId="695107D5">
            <w:pPr>
              <w:pageBreakBefore w:val="0"/>
              <w:kinsoku/>
              <w:wordWrap w:val="0"/>
              <w:bidi w:val="0"/>
              <w:snapToGrid w:val="0"/>
              <w:spacing w:line="400" w:lineRule="atLeast"/>
              <w:jc w:val="center"/>
              <w:rPr>
                <w:rFonts w:hint="default" w:ascii="Times New Roman" w:hAnsi="Times New Roman" w:cs="Times New Roman"/>
                <w:szCs w:val="21"/>
                <w:highlight w:val="none"/>
              </w:rPr>
            </w:pPr>
          </w:p>
          <w:p w14:paraId="56BEDF48">
            <w:pPr>
              <w:pageBreakBefore w:val="0"/>
              <w:kinsoku/>
              <w:wordWrap w:val="0"/>
              <w:bidi w:val="0"/>
              <w:snapToGrid w:val="0"/>
              <w:spacing w:line="400" w:lineRule="atLeast"/>
              <w:jc w:val="center"/>
              <w:rPr>
                <w:rFonts w:hint="default" w:ascii="Times New Roman" w:hAnsi="Times New Roman" w:cs="Times New Roman"/>
                <w:szCs w:val="21"/>
                <w:highlight w:val="none"/>
              </w:rPr>
            </w:pPr>
          </w:p>
          <w:p w14:paraId="1B6E97C4">
            <w:pPr>
              <w:pageBreakBefore w:val="0"/>
              <w:kinsoku/>
              <w:wordWrap w:val="0"/>
              <w:bidi w:val="0"/>
              <w:snapToGrid w:val="0"/>
              <w:spacing w:line="400" w:lineRule="atLeast"/>
              <w:jc w:val="center"/>
              <w:rPr>
                <w:rFonts w:hint="default" w:ascii="Times New Roman" w:hAnsi="Times New Roman" w:cs="Times New Roman"/>
                <w:szCs w:val="21"/>
                <w:highlight w:val="none"/>
              </w:rPr>
            </w:pPr>
          </w:p>
        </w:tc>
      </w:tr>
    </w:tbl>
    <w:p w14:paraId="0F8183D1">
      <w:pPr>
        <w:pageBreakBefore w:val="0"/>
        <w:kinsoku/>
        <w:wordWrap w:val="0"/>
        <w:bidi w:val="0"/>
        <w:snapToGrid w:val="0"/>
        <w:spacing w:line="340" w:lineRule="atLeast"/>
        <w:ind w:left="894" w:leftChars="100" w:hanging="684" w:hangingChars="326"/>
        <w:rPr>
          <w:rFonts w:hint="default" w:ascii="Times New Roman" w:hAnsi="Times New Roman" w:cs="Times New Roman"/>
          <w:szCs w:val="21"/>
          <w:highlight w:val="none"/>
        </w:rPr>
      </w:pPr>
      <w:r>
        <w:rPr>
          <w:rFonts w:hint="default" w:ascii="Times New Roman" w:hAnsi="Times New Roman" w:cs="Times New Roman"/>
          <w:szCs w:val="21"/>
          <w:highlight w:val="none"/>
        </w:rPr>
        <w:t>注：1.投标人可按工程进度估算并填写本表。</w:t>
      </w:r>
    </w:p>
    <w:p w14:paraId="17C6C369">
      <w:pPr>
        <w:pageBreakBefore w:val="0"/>
        <w:kinsoku/>
        <w:wordWrap w:val="0"/>
        <w:bidi w:val="0"/>
        <w:spacing w:line="340" w:lineRule="atLeast"/>
        <w:ind w:left="865" w:leftChars="286" w:right="-334" w:rightChars="-159" w:hanging="264" w:hangingChars="126"/>
        <w:rPr>
          <w:rFonts w:hint="default" w:ascii="Times New Roman" w:hAnsi="Times New Roman" w:eastAsia="黑体" w:cs="Times New Roman"/>
          <w:szCs w:val="21"/>
          <w:highlight w:val="none"/>
        </w:rPr>
      </w:pPr>
      <w:r>
        <w:rPr>
          <w:rFonts w:hint="default" w:ascii="Times New Roman" w:hAnsi="Times New Roman" w:cs="Times New Roman"/>
          <w:szCs w:val="21"/>
          <w:highlight w:val="none"/>
        </w:rPr>
        <w:t>2.用款额按所报单价和总额价估算，不包括价格调整和暂列金额、暂估价，但应考虑开工预付款的扣回以及签发付款证书后到实际支付的时间间隔。</w:t>
      </w:r>
    </w:p>
    <w:p w14:paraId="0FD8B7FC">
      <w:pPr>
        <w:pageBreakBefore w:val="0"/>
        <w:kinsoku/>
        <w:wordWrap w:val="0"/>
        <w:bidi w:val="0"/>
        <w:spacing w:line="400" w:lineRule="atLeast"/>
        <w:ind w:firstLine="480" w:firstLineChars="200"/>
        <w:rPr>
          <w:rFonts w:hint="default" w:ascii="Times New Roman" w:hAnsi="Times New Roman" w:cs="Times New Roman"/>
          <w:sz w:val="24"/>
          <w:highlight w:val="none"/>
        </w:rPr>
      </w:pPr>
    </w:p>
    <w:sectPr>
      <w:footnotePr>
        <w:numFmt w:val="decimalEnclosedCircleChinese"/>
        <w:numRestart w:val="eachPage"/>
      </w:footnotePr>
      <w:pgSz w:w="11907" w:h="16840"/>
      <w:pgMar w:top="1588" w:right="1588" w:bottom="1474" w:left="1644" w:header="851" w:footer="851"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楷体">
    <w:panose1 w:val="02010609060101010101"/>
    <w:charset w:val="86"/>
    <w:family w:val="modern"/>
    <w:pitch w:val="default"/>
    <w:sig w:usb0="800002BF" w:usb1="38CF7CFA" w:usb2="00000016" w:usb3="00000000" w:csb0="00040001" w:csb1="00000000"/>
  </w:font>
  <w:font w:name="华文细黑">
    <w:altName w:val="微软雅黑"/>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80F3C52" w:usb2="00000016" w:usb3="00000000" w:csb0="0004001F" w:csb1="00000000"/>
  </w:font>
  <w:font w:name="Cambria">
    <w:panose1 w:val="02040503050406030204"/>
    <w:charset w:val="00"/>
    <w:family w:val="roman"/>
    <w:pitch w:val="default"/>
    <w:sig w:usb0="E00002FF" w:usb1="400004FF" w:usb2="0000000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Wingdings 2">
    <w:altName w:val="Wingdings"/>
    <w:panose1 w:val="05020102010507070707"/>
    <w:charset w:val="00"/>
    <w:family w:val="auto"/>
    <w:pitch w:val="default"/>
    <w:sig w:usb0="00000000" w:usb1="00000000" w:usb2="00000000" w:usb3="00000000" w:csb0="80000000" w:csb1="00000000"/>
  </w:font>
  <w:font w:name="宋体-18030">
    <w:altName w:val="宋体"/>
    <w:panose1 w:val="00000000000000000000"/>
    <w:charset w:val="86"/>
    <w:family w:val="modern"/>
    <w:pitch w:val="default"/>
    <w:sig w:usb0="00000000" w:usb1="00000000" w:usb2="000A005E" w:usb3="00000000" w:csb0="00040001" w:csb1="00000000"/>
  </w:font>
  <w:font w:name="MS Gothic">
    <w:panose1 w:val="020B0609070205080204"/>
    <w:charset w:val="80"/>
    <w:family w:val="modern"/>
    <w:pitch w:val="default"/>
    <w:sig w:usb0="E00002FF" w:usb1="6AC7FDFB" w:usb2="00000012" w:usb3="00000000" w:csb0="4002009F" w:csb1="DFD70000"/>
  </w:font>
  <w:font w:name="Roman">
    <w:altName w:val="Times New Roman"/>
    <w:panose1 w:val="00000000000000000000"/>
    <w:charset w:val="00"/>
    <w:family w:val="roman"/>
    <w:pitch w:val="default"/>
    <w:sig w:usb0="00000000" w:usb1="00000000" w:usb2="00000000" w:usb3="00000000" w:csb0="00000000" w:csb1="00000000"/>
  </w:font>
  <w:font w:name="隶书">
    <w:altName w:val="微软雅黑"/>
    <w:panose1 w:val="02010509060101010101"/>
    <w:charset w:val="86"/>
    <w:family w:val="modern"/>
    <w:pitch w:val="default"/>
    <w:sig w:usb0="00000000" w:usb1="00000000" w:usb2="00000000" w:usb3="00000000" w:csb0="00040000" w:csb1="00000000"/>
  </w:font>
  <w:font w:name="华文隶书">
    <w:altName w:val="微软雅黑"/>
    <w:panose1 w:val="02010800040101010101"/>
    <w:charset w:val="86"/>
    <w:family w:val="auto"/>
    <w:pitch w:val="default"/>
    <w:sig w:usb0="00000000" w:usb1="00000000" w:usb2="00000000" w:usb3="00000000" w:csb0="00040000" w:csb1="00000000"/>
  </w:font>
  <w:font w:name="宋体 ，Arial">
    <w:altName w:val="宋体"/>
    <w:panose1 w:val="00000000000000000000"/>
    <w:charset w:val="86"/>
    <w:family w:val="roman"/>
    <w:pitch w:val="default"/>
    <w:sig w:usb0="00000000" w:usb1="00000000" w:usb2="00000010" w:usb3="00000000" w:csb0="00040000"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57A8C7">
    <w:pPr>
      <w:pStyle w:val="26"/>
      <w:spacing w:line="240" w:lineRule="exact"/>
      <w:ind w:right="360" w:firstLine="360"/>
      <w:rPr>
        <w:rFonts w:hint="eastAsia" w:eastAsia="黑体"/>
        <w:sz w:val="17"/>
        <w:szCs w:val="17"/>
      </w:rPr>
    </w:pPr>
    <w:r>
      <w:rPr>
        <w:sz w:val="17"/>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69E2BA">
                          <w:pPr>
                            <w:pStyle w:val="2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olJw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8olJwzAgAAYwQAAA4AAAAAAAAAAQAgAAAAHwEAAGRycy9lMm9Eb2MueG1sUEsF&#10;BgAAAAAGAAYAWQEAAMQFAAAAAA==&#10;">
              <v:fill on="f" focussize="0,0"/>
              <v:stroke on="f" weight="0.5pt"/>
              <v:imagedata o:title=""/>
              <o:lock v:ext="edit" aspectratio="f"/>
              <v:textbox inset="0mm,0mm,0mm,0mm" style="mso-fit-shape-to-text:t;">
                <w:txbxContent>
                  <w:p w14:paraId="1B69E2BA">
                    <w:pPr>
                      <w:pStyle w:val="2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B8CEF4">
    <w:pPr>
      <w:pStyle w:val="26"/>
      <w:tabs>
        <w:tab w:val="left" w:pos="1778"/>
      </w:tabs>
      <w:ind w:right="360" w:firstLine="360"/>
      <w:jc w:val="left"/>
      <w:rPr>
        <w:rFonts w:hint="eastAsia" w:eastAsia="宋体"/>
        <w:lang w:eastAsia="zh-CN"/>
      </w:rPr>
    </w:pPr>
    <w:r>
      <w:rPr>
        <w:rFonts w:hint="eastAsia"/>
        <w:lang w:eastAsia="zh-CN"/>
      </w:rPr>
      <w:tab/>
    </w:r>
    <w:r>
      <w:rPr>
        <w:rFonts w:hint="eastAsia"/>
        <w:lang w:eastAsia="zh-CN"/>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56FA2C">
    <w:pPr>
      <w:pStyle w:val="26"/>
      <w:spacing w:line="240" w:lineRule="exact"/>
      <w:ind w:right="360" w:firstLine="360"/>
      <w:rPr>
        <w:rFonts w:hint="eastAsia" w:eastAsia="黑体"/>
        <w:sz w:val="17"/>
        <w:szCs w:val="17"/>
      </w:rPr>
    </w:pPr>
    <w:r>
      <w:rPr>
        <w:sz w:val="17"/>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166E9C">
                          <w:pPr>
                            <w:pStyle w:val="2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2AA3M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9d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2AA3MzAgAAYwQAAA4AAAAAAAAAAQAgAAAAHwEAAGRycy9lMm9Eb2MueG1sUEsF&#10;BgAAAAAGAAYAWQEAAMQFAAAAAA==&#10;">
              <v:fill on="f" focussize="0,0"/>
              <v:stroke on="f" weight="0.5pt"/>
              <v:imagedata o:title=""/>
              <o:lock v:ext="edit" aspectratio="f"/>
              <v:textbox inset="0mm,0mm,0mm,0mm" style="mso-fit-shape-to-text:t;">
                <w:txbxContent>
                  <w:p w14:paraId="01166E9C">
                    <w:pPr>
                      <w:pStyle w:val="2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3E177A">
    <w:pPr>
      <w:pStyle w:val="26"/>
      <w:tabs>
        <w:tab w:val="left" w:pos="1778"/>
      </w:tabs>
      <w:ind w:right="360" w:firstLine="360"/>
      <w:jc w:val="left"/>
      <w:rPr>
        <w:rFonts w:hint="eastAsia" w:eastAsia="宋体"/>
        <w:lang w:eastAsia="zh-CN"/>
      </w:rPr>
    </w:pPr>
    <w:r>
      <w:rPr>
        <w:rFonts w:hint="eastAsia"/>
        <w:lang w:eastAsia="zh-CN"/>
      </w:rPr>
      <w:tab/>
    </w:r>
    <w:r>
      <w:rPr>
        <w:rFonts w:hint="eastAsia"/>
        <w:lang w:eastAsia="zh-CN"/>
      </w:rP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850A29">
    <w:pPr>
      <w:pStyle w:val="26"/>
      <w:spacing w:line="240" w:lineRule="exact"/>
      <w:ind w:right="360" w:firstLine="360"/>
      <w:jc w:val="center"/>
      <w:rPr>
        <w:rFonts w:hint="eastAsia" w:eastAsia="黑体"/>
        <w:sz w:val="17"/>
        <w:szCs w:val="17"/>
      </w:rPr>
    </w:pPr>
    <w:r>
      <w:rPr>
        <w:sz w:val="17"/>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D0105E">
                          <w:pPr>
                            <w:pStyle w:val="2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J74X8zAgAAYw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ryd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J74X8zAgAAYwQAAA4AAAAAAAAAAQAgAAAAHwEAAGRycy9lMm9Eb2MueG1sUEsF&#10;BgAAAAAGAAYAWQEAAMQFAAAAAA==&#10;">
              <v:fill on="f" focussize="0,0"/>
              <v:stroke on="f" weight="0.5pt"/>
              <v:imagedata o:title=""/>
              <o:lock v:ext="edit" aspectratio="f"/>
              <v:textbox inset="0mm,0mm,0mm,0mm" style="mso-fit-shape-to-text:t;">
                <w:txbxContent>
                  <w:p w14:paraId="4FD0105E">
                    <w:pPr>
                      <w:pStyle w:val="2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D5AD42">
    <w:pPr>
      <w:pStyle w:val="26"/>
      <w:ind w:right="360" w:firstLine="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CA336B">
                          <w:pPr>
                            <w:pStyle w:val="26"/>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14:paraId="1FCA336B">
                    <w:pPr>
                      <w:pStyle w:val="26"/>
                    </w:pPr>
                    <w:r>
                      <w:fldChar w:fldCharType="begin"/>
                    </w:r>
                    <w:r>
                      <w:instrText xml:space="preserve"> PAGE  \* MERGEFORMAT </w:instrText>
                    </w:r>
                    <w:r>
                      <w:fldChar w:fldCharType="separate"/>
                    </w:r>
                    <w:r>
                      <w:t>0</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7B85FC">
    <w:pPr>
      <w:pStyle w:val="26"/>
      <w:spacing w:line="240" w:lineRule="exact"/>
      <w:ind w:right="360" w:firstLine="360"/>
      <w:jc w:val="center"/>
      <w:rPr>
        <w:rFonts w:hint="eastAsia" w:eastAsia="黑体"/>
        <w:sz w:val="17"/>
        <w:szCs w:val="17"/>
      </w:rPr>
    </w:pPr>
    <w:r>
      <w:rPr>
        <w:sz w:val="17"/>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56" name="文本框 5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E7D25B">
                          <w:pPr>
                            <w:pStyle w:val="26"/>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WFKJQzAgAAYwQAAA4AAABkcnMvZTJvRG9jLnhtbK1UzY7TMBC+I/EO&#10;lu80adFW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t/epO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WFKJQzAgAAYwQAAA4AAAAAAAAAAQAgAAAAHwEAAGRycy9lMm9Eb2MueG1sUEsF&#10;BgAAAAAGAAYAWQEAAMQFAAAAAA==&#10;">
              <v:fill on="f" focussize="0,0"/>
              <v:stroke on="f" weight="0.5pt"/>
              <v:imagedata o:title=""/>
              <o:lock v:ext="edit" aspectratio="f"/>
              <v:textbox inset="0mm,0mm,0mm,0mm" style="mso-fit-shape-to-text:t;">
                <w:txbxContent>
                  <w:p w14:paraId="20E7D25B">
                    <w:pPr>
                      <w:pStyle w:val="26"/>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6028D1">
    <w:pPr>
      <w:pStyle w:val="26"/>
      <w:ind w:right="360" w:firstLine="36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6529EC">
                          <w:pPr>
                            <w:pStyle w:val="26"/>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GXY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1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GXYzAgAAYwQAAA4AAAAAAAAAAQAgAAAAHwEAAGRycy9lMm9Eb2MueG1sUEsF&#10;BgAAAAAGAAYAWQEAAMQFAAAAAA==&#10;">
              <v:fill on="f" focussize="0,0"/>
              <v:stroke on="f" weight="0.5pt"/>
              <v:imagedata o:title=""/>
              <o:lock v:ext="edit" aspectratio="f"/>
              <v:textbox inset="0mm,0mm,0mm,0mm" style="mso-fit-shape-to-text:t;">
                <w:txbxContent>
                  <w:p w14:paraId="506529EC">
                    <w:pPr>
                      <w:pStyle w:val="26"/>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B88B3E">
    <w:pPr>
      <w:pStyle w:val="26"/>
      <w:rPr>
        <w:rStyle w:val="45"/>
      </w:rPr>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57" name="文本框 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6014A7">
                          <w:pPr>
                            <w:pStyle w:val="26"/>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tv3szAgAAY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ctv3szAgAAYwQAAA4AAAAAAAAAAQAgAAAAHwEAAGRycy9lMm9Eb2MueG1sUEsF&#10;BgAAAAAGAAYAWQEAAMQFAAAAAA==&#10;">
              <v:fill on="f" focussize="0,0"/>
              <v:stroke on="f" weight="0.5pt"/>
              <v:imagedata o:title=""/>
              <o:lock v:ext="edit" aspectratio="f"/>
              <v:textbox inset="0mm,0mm,0mm,0mm" style="mso-fit-shape-to-text:t;">
                <w:txbxContent>
                  <w:p w14:paraId="446014A7">
                    <w:pPr>
                      <w:pStyle w:val="26"/>
                    </w:pPr>
                    <w:r>
                      <w:fldChar w:fldCharType="begin"/>
                    </w:r>
                    <w:r>
                      <w:instrText xml:space="preserve"> PAGE  \* MERGEFORMAT </w:instrText>
                    </w:r>
                    <w:r>
                      <w:fldChar w:fldCharType="separate"/>
                    </w:r>
                    <w:r>
                      <w:t>3</w:t>
                    </w:r>
                    <w:r>
                      <w:fldChar w:fldCharType="end"/>
                    </w:r>
                  </w:p>
                </w:txbxContent>
              </v:textbox>
            </v:shape>
          </w:pict>
        </mc:Fallback>
      </mc:AlternateContent>
    </w:r>
  </w:p>
  <w:p w14:paraId="126D1AB7">
    <w:pPr>
      <w:pStyle w:val="26"/>
      <w:spacing w:line="240" w:lineRule="exact"/>
      <w:ind w:right="360" w:firstLine="360"/>
      <w:jc w:val="center"/>
      <w:rPr>
        <w:rFonts w:hint="eastAsia" w:eastAsia="黑体"/>
        <w:sz w:val="17"/>
        <w:szCs w:val="17"/>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2BDE92">
    <w:pPr>
      <w:pStyle w:val="26"/>
      <w:ind w:right="360" w:firstLine="360"/>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2AD5F3">
                          <w:pPr>
                            <w:pStyle w:val="26"/>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b3G8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Sb3G8zAgAAYwQAAA4AAAAAAAAAAQAgAAAAHwEAAGRycy9lMm9Eb2MueG1sUEsF&#10;BgAAAAAGAAYAWQEAAMQFAAAAAA==&#10;">
              <v:fill on="f" focussize="0,0"/>
              <v:stroke on="f" weight="0.5pt"/>
              <v:imagedata o:title=""/>
              <o:lock v:ext="edit" aspectratio="f"/>
              <v:textbox inset="0mm,0mm,0mm,0mm" style="mso-fit-shape-to-text:t;">
                <w:txbxContent>
                  <w:p w14:paraId="072AD5F3">
                    <w:pPr>
                      <w:pStyle w:val="26"/>
                    </w:pPr>
                    <w:r>
                      <w:fldChar w:fldCharType="begin"/>
                    </w:r>
                    <w:r>
                      <w:instrText xml:space="preserve"> PAGE  \* MERGEFORMAT </w:instrText>
                    </w:r>
                    <w:r>
                      <w:fldChar w:fldCharType="separate"/>
                    </w:r>
                    <w:r>
                      <w:t>0</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90D42F">
    <w:pPr>
      <w:pStyle w:val="26"/>
      <w:spacing w:line="240" w:lineRule="exact"/>
      <w:ind w:right="360" w:firstLine="360"/>
      <w:jc w:val="center"/>
      <w:rPr>
        <w:rFonts w:hint="eastAsia" w:eastAsia="黑体"/>
        <w:sz w:val="17"/>
        <w:szCs w:val="17"/>
      </w:rPr>
    </w:pPr>
    <w:r>
      <w:rPr>
        <w:sz w:val="17"/>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59" name="文本框 5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B3E9D1">
                          <w:pPr>
                            <w:pStyle w:val="26"/>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yNJGYzAgAAYwQAAA4AAABkcnMvZTJvRG9jLnhtbK1UzY7TMBC+I/EO&#10;lu80adGu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9d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yNJGYzAgAAYwQAAA4AAAAAAAAAAQAgAAAAHwEAAGRycy9lMm9Eb2MueG1sUEsF&#10;BgAAAAAGAAYAWQEAAMQFAAAAAA==&#10;">
              <v:fill on="f" focussize="0,0"/>
              <v:stroke on="f" weight="0.5pt"/>
              <v:imagedata o:title=""/>
              <o:lock v:ext="edit" aspectratio="f"/>
              <v:textbox inset="0mm,0mm,0mm,0mm" style="mso-fit-shape-to-text:t;">
                <w:txbxContent>
                  <w:p w14:paraId="65B3E9D1">
                    <w:pPr>
                      <w:pStyle w:val="26"/>
                    </w:pPr>
                    <w:r>
                      <w:fldChar w:fldCharType="begin"/>
                    </w:r>
                    <w:r>
                      <w:instrText xml:space="preserve"> PAGE  \* MERGEFORMAT </w:instrText>
                    </w:r>
                    <w:r>
                      <w:fldChar w:fldCharType="separate"/>
                    </w:r>
                    <w:r>
                      <w:t>10</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D0B88">
    <w:pPr>
      <w:pStyle w:val="26"/>
      <w:ind w:right="360" w:firstLine="360"/>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4C7327">
                          <w:pPr>
                            <w:pStyle w:val="26"/>
                          </w:pPr>
                          <w:r>
                            <w:fldChar w:fldCharType="begin"/>
                          </w:r>
                          <w:r>
                            <w:instrText xml:space="preserve"> PAGE  \* MERGEFORMAT </w:instrText>
                          </w:r>
                          <w:r>
                            <w:fldChar w:fldCharType="separate"/>
                          </w:r>
                          <w:r>
                            <w:t>14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7J9wA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0kMUyj4qcf308/&#10;H06/vhGcQaDGhRni7h0iY/vOtmib4TzgMPFuK6/TF4wI/MA6XuQVbSQ8XZpOptMcLg7fsAF+9njd&#10;+RDfC6tJMgrqUb9OVnbYhNiHDiEpm7FrqVRXQ2VIU9Cr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7J9wAzAgAAYwQAAA4AAAAAAAAAAQAgAAAAHwEAAGRycy9lMm9Eb2MueG1sUEsF&#10;BgAAAAAGAAYAWQEAAMQFAAAAAA==&#10;">
              <v:fill on="f" focussize="0,0"/>
              <v:stroke on="f" weight="0.5pt"/>
              <v:imagedata o:title=""/>
              <o:lock v:ext="edit" aspectratio="f"/>
              <v:textbox inset="0mm,0mm,0mm,0mm" style="mso-fit-shape-to-text:t;">
                <w:txbxContent>
                  <w:p w14:paraId="744C7327">
                    <w:pPr>
                      <w:pStyle w:val="26"/>
                    </w:pPr>
                    <w:r>
                      <w:fldChar w:fldCharType="begin"/>
                    </w:r>
                    <w:r>
                      <w:instrText xml:space="preserve"> PAGE  \* MERGEFORMAT </w:instrText>
                    </w:r>
                    <w:r>
                      <w:fldChar w:fldCharType="separate"/>
                    </w:r>
                    <w:r>
                      <w:t>14</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3DB21D">
    <w:pPr>
      <w:pStyle w:val="26"/>
      <w:spacing w:line="240" w:lineRule="exact"/>
      <w:ind w:right="360" w:firstLine="360"/>
      <w:jc w:val="center"/>
      <w:rPr>
        <w:rFonts w:hint="eastAsia" w:eastAsia="黑体"/>
        <w:sz w:val="17"/>
        <w:szCs w:val="17"/>
      </w:rPr>
    </w:pPr>
    <w:r>
      <w:rPr>
        <w:sz w:val="17"/>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60" name="文本框 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D732B6">
                          <w:pPr>
                            <w:pStyle w:val="26"/>
                          </w:pPr>
                          <w:r>
                            <w:fldChar w:fldCharType="begin"/>
                          </w:r>
                          <w:r>
                            <w:instrText xml:space="preserve"> PAGE  \* MERGEFORMAT </w:instrText>
                          </w:r>
                          <w:r>
                            <w:fldChar w:fldCharType="separate"/>
                          </w:r>
                          <w:r>
                            <w:t>58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eh/es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Hof3rMQIAAGMEAAAOAAAAAAAAAAEAIAAAAB8BAABkcnMvZTJvRG9jLnhtbFBLBQYA&#10;AAAABgAGAFkBAADCBQAAAAA=&#10;">
              <v:fill on="f" focussize="0,0"/>
              <v:stroke on="f" weight="0.5pt"/>
              <v:imagedata o:title=""/>
              <o:lock v:ext="edit" aspectratio="f"/>
              <v:textbox inset="0mm,0mm,0mm,0mm" style="mso-fit-shape-to-text:t;">
                <w:txbxContent>
                  <w:p w14:paraId="69D732B6">
                    <w:pPr>
                      <w:pStyle w:val="26"/>
                    </w:pPr>
                    <w:r>
                      <w:fldChar w:fldCharType="begin"/>
                    </w:r>
                    <w:r>
                      <w:instrText xml:space="preserve"> PAGE  \* MERGEFORMAT </w:instrText>
                    </w:r>
                    <w:r>
                      <w:fldChar w:fldCharType="separate"/>
                    </w:r>
                    <w:r>
                      <w:t>58</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27109D">
    <w:pPr>
      <w:pStyle w:val="26"/>
      <w:ind w:right="360" w:firstLine="360"/>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B02B07">
                          <w:pPr>
                            <w:pStyle w:val="26"/>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ufqQQ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M2E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ufqQQzAgAAYwQAAA4AAAAAAAAAAQAgAAAAHwEAAGRycy9lMm9Eb2MueG1sUEsF&#10;BgAAAAAGAAYAWQEAAMQFAAAAAA==&#10;">
              <v:fill on="f" focussize="0,0"/>
              <v:stroke on="f" weight="0.5pt"/>
              <v:imagedata o:title=""/>
              <o:lock v:ext="edit" aspectratio="f"/>
              <v:textbox inset="0mm,0mm,0mm,0mm" style="mso-fit-shape-to-text:t;">
                <w:txbxContent>
                  <w:p w14:paraId="7AB02B07">
                    <w:pPr>
                      <w:pStyle w:val="26"/>
                    </w:pPr>
                    <w:r>
                      <w:fldChar w:fldCharType="begin"/>
                    </w:r>
                    <w:r>
                      <w:instrText xml:space="preserve"> PAGE  \* MERGEFORMAT </w:instrText>
                    </w:r>
                    <w:r>
                      <w:fldChar w:fldCharType="separate"/>
                    </w:r>
                    <w:r>
                      <w:t>0</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F0AFD3">
    <w:pPr>
      <w:pStyle w:val="26"/>
      <w:spacing w:line="240" w:lineRule="exact"/>
      <w:ind w:right="360" w:firstLine="360"/>
      <w:jc w:val="center"/>
      <w:rPr>
        <w:rFonts w:hint="eastAsia" w:eastAsia="黑体"/>
        <w:sz w:val="17"/>
        <w:szCs w:val="17"/>
      </w:rPr>
    </w:pPr>
    <w:r>
      <w:rPr>
        <w:sz w:val="17"/>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C26701">
                          <w:pPr>
                            <w:pStyle w:val="26"/>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UJagQ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FCWoEMQIAAGMEAAAOAAAAAAAAAAEAIAAAAB8BAABkcnMvZTJvRG9jLnhtbFBLBQYA&#10;AAAABgAGAFkBAADCBQAAAAA=&#10;">
              <v:fill on="f" focussize="0,0"/>
              <v:stroke on="f" weight="0.5pt"/>
              <v:imagedata o:title=""/>
              <o:lock v:ext="edit" aspectratio="f"/>
              <v:textbox inset="0mm,0mm,0mm,0mm" style="mso-fit-shape-to-text:t;">
                <w:txbxContent>
                  <w:p w14:paraId="25C26701">
                    <w:pPr>
                      <w:pStyle w:val="26"/>
                    </w:pPr>
                    <w:r>
                      <w:fldChar w:fldCharType="begin"/>
                    </w:r>
                    <w:r>
                      <w:instrText xml:space="preserve"> PAGE  \* MERGEFORMAT </w:instrText>
                    </w:r>
                    <w:r>
                      <w:fldChar w:fldCharType="separate"/>
                    </w:r>
                    <w:r>
                      <w:t>59</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8EE6D3">
    <w:pPr>
      <w:pStyle w:val="26"/>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64" name="文本框 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9C7B8A">
                          <w:pPr>
                            <w:pStyle w:val="26"/>
                          </w:pPr>
                          <w:r>
                            <w:fldChar w:fldCharType="begin"/>
                          </w:r>
                          <w:r>
                            <w:instrText xml:space="preserve"> PAGE  \* MERGEFORMAT </w:instrText>
                          </w:r>
                          <w:r>
                            <w:fldChar w:fldCharType="separate"/>
                          </w:r>
                          <w:r>
                            <w:t>155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0MQeM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NJYZpVPz04/vp&#10;58Pp1zeCMwjUuDBD3L1DZGzf2RZtM5wHHCbebeV1+oIRgR/yHi/yijYSni5NJ9NpDheHb9gAP3u8&#10;7nyI74XVJBkF9ahfJys7bELsQ4eQlM3YtVSqq6EypAGJ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0MQeMzAgAAYwQAAA4AAAAAAAAAAQAgAAAAHwEAAGRycy9lMm9Eb2MueG1sUEsF&#10;BgAAAAAGAAYAWQEAAMQFAAAAAA==&#10;">
              <v:fill on="f" focussize="0,0"/>
              <v:stroke on="f" weight="0.5pt"/>
              <v:imagedata o:title=""/>
              <o:lock v:ext="edit" aspectratio="f"/>
              <v:textbox inset="0mm,0mm,0mm,0mm" style="mso-fit-shape-to-text:t;">
                <w:txbxContent>
                  <w:p w14:paraId="729C7B8A">
                    <w:pPr>
                      <w:pStyle w:val="26"/>
                    </w:pPr>
                    <w:r>
                      <w:fldChar w:fldCharType="begin"/>
                    </w:r>
                    <w:r>
                      <w:instrText xml:space="preserve"> PAGE  \* MERGEFORMAT </w:instrText>
                    </w:r>
                    <w:r>
                      <w:fldChar w:fldCharType="separate"/>
                    </w:r>
                    <w:r>
                      <w:t>155</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F5274A">
    <w:pPr>
      <w:pStyle w:val="26"/>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66" name="文本框 6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A000CB">
                          <w:pPr>
                            <w:pStyle w:val="26"/>
                          </w:pPr>
                          <w:r>
                            <w:fldChar w:fldCharType="begin"/>
                          </w:r>
                          <w:r>
                            <w:instrText xml:space="preserve"> PAGE  \* MERGEFORMAT </w:instrText>
                          </w:r>
                          <w:r>
                            <w:fldChar w:fldCharType="separate"/>
                          </w:r>
                          <w:r>
                            <w:t>159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haH+c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CFof5zICAABjBAAADgAAAAAAAAABACAAAAAfAQAAZHJzL2Uyb0RvYy54bWxQSwUG&#10;AAAAAAYABgBZAQAAwwUAAAAA&#10;">
              <v:fill on="f" focussize="0,0"/>
              <v:stroke on="f" weight="0.5pt"/>
              <v:imagedata o:title=""/>
              <o:lock v:ext="edit" aspectratio="f"/>
              <v:textbox inset="0mm,0mm,0mm,0mm" style="mso-fit-shape-to-text:t;">
                <w:txbxContent>
                  <w:p w14:paraId="53A000CB">
                    <w:pPr>
                      <w:pStyle w:val="26"/>
                    </w:pPr>
                    <w:r>
                      <w:fldChar w:fldCharType="begin"/>
                    </w:r>
                    <w:r>
                      <w:instrText xml:space="preserve"> PAGE  \* MERGEFORMAT </w:instrText>
                    </w:r>
                    <w:r>
                      <w:fldChar w:fldCharType="separate"/>
                    </w:r>
                    <w:r>
                      <w:t>159</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D0ECC0">
    <w:pPr>
      <w:pStyle w:val="26"/>
      <w:spacing w:line="240" w:lineRule="exact"/>
      <w:ind w:right="360" w:firstLine="360"/>
      <w:jc w:val="center"/>
      <w:rPr>
        <w:rFonts w:hint="eastAsia" w:eastAsia="黑体"/>
        <w:sz w:val="17"/>
        <w:szCs w:val="17"/>
      </w:rPr>
    </w:pPr>
    <w:r>
      <w:rPr>
        <w:sz w:val="17"/>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A8668E">
                          <w:pPr>
                            <w:pStyle w:val="26"/>
                          </w:pPr>
                          <w:r>
                            <w:fldChar w:fldCharType="begin"/>
                          </w:r>
                          <w:r>
                            <w:instrText xml:space="preserve"> PAGE  \* MERGEFORMAT </w:instrText>
                          </w:r>
                          <w:r>
                            <w:fldChar w:fldCharType="separate"/>
                          </w:r>
                          <w:r>
                            <w:t>160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yiAg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tJYZpVPz04/vp&#10;58Pp1zeCMwjUuDBD3L1DZGzf2RZtM5wHHCbebeV1+oIRgR/yHi/yijYSni5NJ9NpDheHb9gAP3u8&#10;7nyI74XVJBkF9ahfJys7bELsQ4eQlM3YtVSqq6EypAGJ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ryiAgzAgAAYwQAAA4AAAAAAAAAAQAgAAAAHwEAAGRycy9lMm9Eb2MueG1sUEsF&#10;BgAAAAAGAAYAWQEAAMQFAAAAAA==&#10;">
              <v:fill on="f" focussize="0,0"/>
              <v:stroke on="f" weight="0.5pt"/>
              <v:imagedata o:title=""/>
              <o:lock v:ext="edit" aspectratio="f"/>
              <v:textbox inset="0mm,0mm,0mm,0mm" style="mso-fit-shape-to-text:t;">
                <w:txbxContent>
                  <w:p w14:paraId="48A8668E">
                    <w:pPr>
                      <w:pStyle w:val="26"/>
                    </w:pPr>
                    <w:r>
                      <w:fldChar w:fldCharType="begin"/>
                    </w:r>
                    <w:r>
                      <w:instrText xml:space="preserve"> PAGE  \* MERGEFORMAT </w:instrText>
                    </w:r>
                    <w:r>
                      <w:fldChar w:fldCharType="separate"/>
                    </w:r>
                    <w:r>
                      <w:t>160</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181D3A">
    <w:pPr>
      <w:pStyle w:val="26"/>
      <w:spacing w:line="240" w:lineRule="exact"/>
      <w:ind w:right="360" w:firstLine="360"/>
      <w:jc w:val="center"/>
      <w:rPr>
        <w:rFonts w:hint="eastAsia" w:eastAsia="黑体"/>
        <w:sz w:val="17"/>
        <w:szCs w:val="17"/>
      </w:rPr>
    </w:pPr>
    <w:r>
      <w:rPr>
        <w:sz w:val="17"/>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68" name="文本框 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AB2421">
                          <w:pPr>
                            <w:pStyle w:val="26"/>
                          </w:pPr>
                          <w:r>
                            <w:fldChar w:fldCharType="begin"/>
                          </w:r>
                          <w:r>
                            <w:instrText xml:space="preserve"> PAGE  \* MERGEFORMAT </w:instrText>
                          </w:r>
                          <w:r>
                            <w:fldChar w:fldCharType="separate"/>
                          </w:r>
                          <w:r>
                            <w:t>176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P6hPo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T+oT6MQIAAGMEAAAOAAAAAAAAAAEAIAAAAB8BAABkcnMvZTJvRG9jLnhtbFBLBQYA&#10;AAAABgAGAFkBAADCBQAAAAA=&#10;">
              <v:fill on="f" focussize="0,0"/>
              <v:stroke on="f" weight="0.5pt"/>
              <v:imagedata o:title=""/>
              <o:lock v:ext="edit" aspectratio="f"/>
              <v:textbox inset="0mm,0mm,0mm,0mm" style="mso-fit-shape-to-text:t;">
                <w:txbxContent>
                  <w:p w14:paraId="65AB2421">
                    <w:pPr>
                      <w:pStyle w:val="26"/>
                    </w:pPr>
                    <w:r>
                      <w:fldChar w:fldCharType="begin"/>
                    </w:r>
                    <w:r>
                      <w:instrText xml:space="preserve"> PAGE  \* MERGEFORMAT </w:instrText>
                    </w:r>
                    <w:r>
                      <w:fldChar w:fldCharType="separate"/>
                    </w:r>
                    <w:r>
                      <w:t>176</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A1EC1">
    <w:pPr>
      <w:pStyle w:val="26"/>
      <w:spacing w:line="240" w:lineRule="exact"/>
      <w:ind w:right="360" w:firstLine="360"/>
      <w:jc w:val="center"/>
      <w:rPr>
        <w:rFonts w:hint="eastAsia" w:eastAsia="黑体"/>
        <w:sz w:val="17"/>
        <w:szCs w:val="17"/>
      </w:rPr>
    </w:pPr>
    <w:r>
      <w:rPr>
        <w:sz w:val="17"/>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71" name="文本框 7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B225C5">
                          <w:pPr>
                            <w:pStyle w:val="26"/>
                          </w:pPr>
                          <w:r>
                            <w:fldChar w:fldCharType="begin"/>
                          </w:r>
                          <w:r>
                            <w:instrText xml:space="preserve"> PAGE  \* MERGEFORMAT </w:instrText>
                          </w:r>
                          <w:r>
                            <w:fldChar w:fldCharType="separate"/>
                          </w:r>
                          <w:r>
                            <w:t>209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G+V5wzAgAAYwQAAA4AAABkcnMvZTJvRG9jLnhtbK1UzY7TMBC+I/EO&#10;lu80aRFL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1TYphGx08/vp9+&#10;Ppx+fSM4g0CNCzPE3TtExvadbTE2w3nAYeLdVl6nLxgR+CHv8SKvaCPh6dJ0Mp3mcHH4hg3ws8fr&#10;zof4XlhNklFQj/51srLDJsQ+dAhJ2YxdS6W6HipDmoJevX6T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G+V5wzAgAAYwQAAA4AAAAAAAAAAQAgAAAAHwEAAGRycy9lMm9Eb2MueG1sUEsF&#10;BgAAAAAGAAYAWQEAAMQFAAAAAA==&#10;">
              <v:fill on="f" focussize="0,0"/>
              <v:stroke on="f" weight="0.5pt"/>
              <v:imagedata o:title=""/>
              <o:lock v:ext="edit" aspectratio="f"/>
              <v:textbox inset="0mm,0mm,0mm,0mm" style="mso-fit-shape-to-text:t;">
                <w:txbxContent>
                  <w:p w14:paraId="70B225C5">
                    <w:pPr>
                      <w:pStyle w:val="26"/>
                    </w:pPr>
                    <w:r>
                      <w:fldChar w:fldCharType="begin"/>
                    </w:r>
                    <w:r>
                      <w:instrText xml:space="preserve"> PAGE  \* MERGEFORMAT </w:instrText>
                    </w:r>
                    <w:r>
                      <w:fldChar w:fldCharType="separate"/>
                    </w:r>
                    <w:r>
                      <w:t>209</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77E9A7">
    <w:pPr>
      <w:pStyle w:val="26"/>
      <w:ind w:right="360" w:firstLine="360"/>
      <w:jc w:val="cen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3344C8">
                          <w:pPr>
                            <w:pStyle w:val="26"/>
                          </w:pPr>
                          <w:r>
                            <w:fldChar w:fldCharType="begin"/>
                          </w:r>
                          <w:r>
                            <w:instrText xml:space="preserve"> PAGE  \* MERGEFORMAT </w:instrText>
                          </w:r>
                          <w:r>
                            <w:fldChar w:fldCharType="separate"/>
                          </w:r>
                          <w:r>
                            <w:t>232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DTdpAzAgAAY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DTdpAzAgAAYwQAAA4AAAAAAAAAAQAgAAAAHwEAAGRycy9lMm9Eb2MueG1sUEsF&#10;BgAAAAAGAAYAWQEAAMQFAAAAAA==&#10;">
              <v:fill on="f" focussize="0,0"/>
              <v:stroke on="f" weight="0.5pt"/>
              <v:imagedata o:title=""/>
              <o:lock v:ext="edit" aspectratio="f"/>
              <v:textbox inset="0mm,0mm,0mm,0mm" style="mso-fit-shape-to-text:t;">
                <w:txbxContent>
                  <w:p w14:paraId="1B3344C8">
                    <w:pPr>
                      <w:pStyle w:val="26"/>
                    </w:pPr>
                    <w:r>
                      <w:fldChar w:fldCharType="begin"/>
                    </w:r>
                    <w:r>
                      <w:instrText xml:space="preserve"> PAGE  \* MERGEFORMAT </w:instrText>
                    </w:r>
                    <w:r>
                      <w:fldChar w:fldCharType="separate"/>
                    </w:r>
                    <w:r>
                      <w:t>232</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DE4CC4">
    <w:pPr>
      <w:pStyle w:val="26"/>
      <w:spacing w:line="240" w:lineRule="exact"/>
      <w:ind w:right="360" w:firstLine="360"/>
      <w:jc w:val="center"/>
      <w:rPr>
        <w:rFonts w:hint="eastAsia" w:eastAsia="黑体"/>
        <w:sz w:val="17"/>
        <w:szCs w:val="17"/>
      </w:rPr>
    </w:pPr>
    <w:r>
      <w:rPr>
        <w:sz w:val="17"/>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72" name="文本框 7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81802F">
                          <w:pPr>
                            <w:pStyle w:val="26"/>
                          </w:pPr>
                          <w:r>
                            <w:fldChar w:fldCharType="begin"/>
                          </w:r>
                          <w:r>
                            <w:instrText xml:space="preserve"> PAGE  \* MERGEFORMAT </w:instrText>
                          </w:r>
                          <w:r>
                            <w:fldChar w:fldCharType="separate"/>
                          </w:r>
                          <w:r>
                            <w:t>224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ZAnnc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2E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ZAnnczAgAAYwQAAA4AAAAAAAAAAQAgAAAAHwEAAGRycy9lMm9Eb2MueG1sUEsF&#10;BgAAAAAGAAYAWQEAAMQFAAAAAA==&#10;">
              <v:fill on="f" focussize="0,0"/>
              <v:stroke on="f" weight="0.5pt"/>
              <v:imagedata o:title=""/>
              <o:lock v:ext="edit" aspectratio="f"/>
              <v:textbox inset="0mm,0mm,0mm,0mm" style="mso-fit-shape-to-text:t;">
                <w:txbxContent>
                  <w:p w14:paraId="2381802F">
                    <w:pPr>
                      <w:pStyle w:val="26"/>
                    </w:pPr>
                    <w:r>
                      <w:fldChar w:fldCharType="begin"/>
                    </w:r>
                    <w:r>
                      <w:instrText xml:space="preserve"> PAGE  \* MERGEFORMAT </w:instrText>
                    </w:r>
                    <w:r>
                      <w:fldChar w:fldCharType="separate"/>
                    </w:r>
                    <w:r>
                      <w:t>224</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88">
    <w:p>
      <w:r>
        <w:separator/>
      </w:r>
    </w:p>
  </w:footnote>
  <w:footnote w:type="continuationSeparator" w:id="89">
    <w:p>
      <w:r>
        <w:continuationSeparator/>
      </w:r>
    </w:p>
  </w:footnote>
  <w:footnote w:id="0">
    <w:p w14:paraId="63149339">
      <w:pPr>
        <w:pStyle w:val="30"/>
        <w:spacing w:line="300" w:lineRule="atLeast"/>
        <w:ind w:left="180" w:hanging="180" w:hangingChars="100"/>
        <w:jc w:val="both"/>
        <w:rPr>
          <w:rFonts w:hint="eastAsia"/>
          <w:szCs w:val="18"/>
        </w:rPr>
      </w:pPr>
      <w:r>
        <w:rPr>
          <w:rStyle w:val="56"/>
          <w:szCs w:val="18"/>
        </w:rPr>
        <w:footnoteRef/>
      </w:r>
      <w:r>
        <w:rPr>
          <w:rFonts w:hint="eastAsia"/>
          <w:szCs w:val="18"/>
        </w:rPr>
        <w:t xml:space="preserve"> 招标人可根据项目具体特点和实际需要对本章内容进行补充、细化，但应遵守《中华人民共和国招标投标法》第十六条</w:t>
      </w:r>
      <w:r>
        <w:rPr>
          <w:rFonts w:hint="eastAsia"/>
          <w:szCs w:val="18"/>
          <w:lang w:eastAsia="zh-CN"/>
        </w:rPr>
        <w:t>、</w:t>
      </w:r>
      <w:r>
        <w:rPr>
          <w:rFonts w:hint="eastAsia"/>
          <w:szCs w:val="18"/>
        </w:rPr>
        <w:t>《招标公告和公示信息发布管理办法》</w:t>
      </w:r>
      <w:r>
        <w:rPr>
          <w:rFonts w:hint="eastAsia"/>
          <w:szCs w:val="18"/>
          <w:lang w:eastAsia="zh-CN"/>
        </w:rPr>
        <w:t>、《辽宁省交通运输厅关于进一步规范全省公路工程招标投标活动的意见》</w:t>
      </w:r>
      <w:r>
        <w:rPr>
          <w:rFonts w:hint="eastAsia"/>
          <w:szCs w:val="18"/>
        </w:rPr>
        <w:t>等有关法律法规、部门规章和行政规范性文件的规定。</w:t>
      </w:r>
    </w:p>
  </w:footnote>
  <w:footnote w:id="1">
    <w:p w14:paraId="16E698E1">
      <w:pPr>
        <w:pStyle w:val="30"/>
        <w:spacing w:line="280" w:lineRule="atLeast"/>
        <w:ind w:left="180" w:hanging="180" w:hangingChars="100"/>
        <w:rPr>
          <w:rFonts w:hint="eastAsia"/>
          <w:szCs w:val="18"/>
        </w:rPr>
      </w:pPr>
      <w:r>
        <w:rPr>
          <w:rStyle w:val="56"/>
          <w:szCs w:val="18"/>
        </w:rPr>
        <w:footnoteRef/>
      </w:r>
      <w:r>
        <w:rPr>
          <w:szCs w:val="18"/>
        </w:rPr>
        <w:t xml:space="preserve"> </w:t>
      </w:r>
      <w:r>
        <w:rPr>
          <w:rFonts w:hint="eastAsia"/>
          <w:szCs w:val="18"/>
        </w:rPr>
        <w:t>a.“投标人须知前附表”用于进一步明确正文中的未尽事宜，由招标人根据招标项目具体特点和实际需要编制和填写，且</w:t>
      </w:r>
      <w:r>
        <w:rPr>
          <w:szCs w:val="18"/>
        </w:rPr>
        <w:t>应</w:t>
      </w:r>
      <w:r>
        <w:rPr>
          <w:rFonts w:hint="eastAsia"/>
          <w:szCs w:val="18"/>
        </w:rPr>
        <w:t>与招标文件中其他章节相衔接，并不得与本章正文内容相抵触。</w:t>
      </w:r>
      <w:r>
        <w:rPr>
          <w:rFonts w:hint="eastAsia"/>
          <w:b/>
          <w:bCs/>
          <w:szCs w:val="18"/>
        </w:rPr>
        <w:t>如前附表与正文不一致时，以前附表的规定为准</w:t>
      </w:r>
      <w:r>
        <w:rPr>
          <w:rFonts w:hint="eastAsia"/>
          <w:szCs w:val="18"/>
        </w:rPr>
        <w:t>。</w:t>
      </w:r>
    </w:p>
    <w:p w14:paraId="747EF1B9">
      <w:pPr>
        <w:pStyle w:val="30"/>
        <w:spacing w:line="280" w:lineRule="atLeast"/>
        <w:ind w:left="0" w:leftChars="0" w:firstLine="180" w:firstLineChars="100"/>
        <w:rPr>
          <w:rFonts w:hint="eastAsia"/>
          <w:szCs w:val="18"/>
        </w:rPr>
      </w:pPr>
      <w:r>
        <w:rPr>
          <w:rFonts w:hint="eastAsia"/>
          <w:szCs w:val="18"/>
        </w:rPr>
        <w:t>b.</w:t>
      </w:r>
      <w:r>
        <w:rPr>
          <w:rFonts w:hint="eastAsia" w:ascii="宋体" w:hAnsi="宋体" w:cs="宋体-18030"/>
          <w:szCs w:val="18"/>
        </w:rPr>
        <w:t>“投标人须知前附表”中的附录表格同属“投标人须知前附表”内容，具有同等效力。</w:t>
      </w:r>
    </w:p>
  </w:footnote>
  <w:footnote w:id="2">
    <w:p w14:paraId="0432519F">
      <w:pPr>
        <w:pStyle w:val="30"/>
        <w:spacing w:line="280" w:lineRule="atLeast"/>
        <w:ind w:left="180" w:hanging="180" w:hangingChars="100"/>
        <w:rPr>
          <w:szCs w:val="18"/>
        </w:rPr>
      </w:pPr>
      <w:r>
        <w:rPr>
          <w:rStyle w:val="56"/>
          <w:szCs w:val="18"/>
        </w:rPr>
        <w:footnoteRef/>
      </w:r>
      <w:r>
        <w:rPr>
          <w:szCs w:val="18"/>
        </w:rPr>
        <w:t xml:space="preserve"> </w:t>
      </w:r>
      <w:r>
        <w:rPr>
          <w:rFonts w:hint="eastAsia"/>
          <w:szCs w:val="18"/>
        </w:rPr>
        <w:t>招标人应根据招标项目具体特点和实际需要，对工程</w:t>
      </w:r>
      <w:r>
        <w:rPr>
          <w:rFonts w:hint="eastAsia"/>
          <w:szCs w:val="18"/>
          <w:lang w:eastAsia="zh-CN"/>
        </w:rPr>
        <w:t>施工</w:t>
      </w:r>
      <w:r>
        <w:rPr>
          <w:rFonts w:hint="eastAsia"/>
          <w:szCs w:val="18"/>
        </w:rPr>
        <w:t>过程中的</w:t>
      </w:r>
      <w:r>
        <w:rPr>
          <w:szCs w:val="18"/>
        </w:rPr>
        <w:t>人员</w:t>
      </w:r>
      <w:r>
        <w:rPr>
          <w:rFonts w:hint="eastAsia"/>
          <w:szCs w:val="18"/>
          <w:lang w:eastAsia="zh-CN"/>
        </w:rPr>
        <w:t>、</w:t>
      </w:r>
      <w:r>
        <w:rPr>
          <w:rFonts w:hint="eastAsia"/>
          <w:szCs w:val="18"/>
          <w:lang w:val="en-US" w:eastAsia="zh-CN"/>
        </w:rPr>
        <w:t>工程等</w:t>
      </w:r>
      <w:r>
        <w:rPr>
          <w:rFonts w:hint="eastAsia"/>
          <w:szCs w:val="18"/>
        </w:rPr>
        <w:t>安全提出目标要求。</w:t>
      </w:r>
    </w:p>
  </w:footnote>
  <w:footnote w:id="3">
    <w:p w14:paraId="1E613554">
      <w:pPr>
        <w:pStyle w:val="30"/>
        <w:spacing w:line="280" w:lineRule="atLeast"/>
        <w:ind w:left="180" w:hanging="180" w:hangingChars="100"/>
        <w:rPr>
          <w:rFonts w:hint="eastAsia"/>
          <w:szCs w:val="18"/>
        </w:rPr>
      </w:pPr>
      <w:r>
        <w:rPr>
          <w:rStyle w:val="56"/>
          <w:szCs w:val="18"/>
        </w:rPr>
        <w:footnoteRef/>
      </w:r>
      <w:r>
        <w:rPr>
          <w:szCs w:val="18"/>
        </w:rPr>
        <w:t xml:space="preserve"> </w:t>
      </w:r>
      <w:r>
        <w:rPr>
          <w:rFonts w:hint="eastAsia"/>
          <w:szCs w:val="18"/>
        </w:rPr>
        <w:t>对于特别复杂的特大桥梁和特长隧道项目主体工程以及其他有特殊要求的工程，招标人还</w:t>
      </w:r>
      <w:r>
        <w:rPr>
          <w:rFonts w:hint="eastAsia"/>
          <w:szCs w:val="18"/>
          <w:lang w:eastAsia="zh-CN"/>
        </w:rPr>
        <w:t>可</w:t>
      </w:r>
      <w:r>
        <w:rPr>
          <w:rFonts w:hint="eastAsia"/>
          <w:szCs w:val="18"/>
        </w:rPr>
        <w:t>增加附录6、附录7对投标人的其他管理和技术人员</w:t>
      </w:r>
      <w:r>
        <w:rPr>
          <w:rFonts w:hint="eastAsia"/>
          <w:lang w:eastAsia="zh-CN"/>
        </w:rPr>
        <w:t>（例如</w:t>
      </w:r>
      <w:r>
        <w:rPr>
          <w:lang w:eastAsia="zh-CN"/>
        </w:rPr>
        <w:t>项目副经理、专业工程师等</w:t>
      </w:r>
      <w:r>
        <w:rPr>
          <w:rFonts w:hint="eastAsia"/>
          <w:lang w:eastAsia="zh-CN"/>
        </w:rPr>
        <w:t>）</w:t>
      </w:r>
      <w:r>
        <w:rPr>
          <w:rFonts w:hint="eastAsia"/>
          <w:szCs w:val="18"/>
        </w:rPr>
        <w:t>以及主要机械设备和试验检测设备提出要求。</w:t>
      </w:r>
    </w:p>
  </w:footnote>
  <w:footnote w:id="4">
    <w:p w14:paraId="3261E79F">
      <w:pPr>
        <w:pStyle w:val="30"/>
        <w:spacing w:line="320" w:lineRule="atLeast"/>
        <w:ind w:left="180" w:hanging="180" w:hangingChars="100"/>
        <w:rPr>
          <w:rFonts w:hint="eastAsia"/>
          <w:szCs w:val="18"/>
        </w:rPr>
      </w:pPr>
      <w:r>
        <w:rPr>
          <w:rStyle w:val="56"/>
          <w:szCs w:val="18"/>
        </w:rPr>
        <w:footnoteRef/>
      </w:r>
      <w:r>
        <w:rPr>
          <w:szCs w:val="18"/>
        </w:rPr>
        <w:t xml:space="preserve"> </w:t>
      </w:r>
      <w:r>
        <w:rPr>
          <w:rFonts w:hint="eastAsia"/>
          <w:szCs w:val="18"/>
        </w:rPr>
        <w:t>一般情况下建议招标人不接受调价函。</w:t>
      </w:r>
    </w:p>
  </w:footnote>
  <w:footnote w:id="5">
    <w:p w14:paraId="2CF07C07">
      <w:pPr>
        <w:pStyle w:val="30"/>
        <w:spacing w:line="320" w:lineRule="atLeast"/>
        <w:ind w:left="180" w:hanging="180" w:hangingChars="100"/>
        <w:rPr>
          <w:szCs w:val="18"/>
        </w:rPr>
      </w:pPr>
      <w:r>
        <w:rPr>
          <w:rStyle w:val="56"/>
          <w:szCs w:val="18"/>
        </w:rPr>
        <w:footnoteRef/>
      </w:r>
      <w:r>
        <w:rPr>
          <w:rFonts w:hint="eastAsia"/>
        </w:rPr>
        <w:t xml:space="preserve"> 招标人可根据</w:t>
      </w:r>
      <w:r>
        <w:rPr>
          <w:rFonts w:hint="eastAsia"/>
          <w:lang w:val="en-US" w:eastAsia="zh-CN"/>
        </w:rPr>
        <w:t>辽宁省交通运输厅</w:t>
      </w:r>
      <w:r>
        <w:rPr>
          <w:rFonts w:hint="eastAsia"/>
        </w:rPr>
        <w:t>的有关规定，对信用等级高的投标人，给予减免投标保证金金额的</w:t>
      </w:r>
      <w:r>
        <w:t>优惠</w:t>
      </w:r>
      <w:r>
        <w:rPr>
          <w:rFonts w:hint="eastAsia"/>
        </w:rPr>
        <w:t>。</w:t>
      </w:r>
    </w:p>
  </w:footnote>
  <w:footnote w:id="6">
    <w:p w14:paraId="0B31BC77">
      <w:pPr>
        <w:pStyle w:val="30"/>
        <w:spacing w:line="320" w:lineRule="atLeast"/>
        <w:ind w:left="180" w:hanging="180" w:hangingChars="100"/>
        <w:rPr>
          <w:szCs w:val="18"/>
        </w:rPr>
      </w:pPr>
      <w:r>
        <w:rPr>
          <w:rStyle w:val="56"/>
          <w:szCs w:val="18"/>
        </w:rPr>
        <w:footnoteRef/>
      </w:r>
      <w:r>
        <w:rPr>
          <w:rFonts w:hint="eastAsia"/>
        </w:rPr>
        <w:t xml:space="preserve"> 招标人不得强制限定投标保证金必须采用现金或支票方式缴纳，</w:t>
      </w:r>
      <w:r>
        <w:t>不得拒绝银行保函形式的投标保证金</w:t>
      </w:r>
      <w:r>
        <w:rPr>
          <w:rFonts w:hint="eastAsia"/>
        </w:rPr>
        <w:t>。</w:t>
      </w:r>
    </w:p>
  </w:footnote>
  <w:footnote w:id="7">
    <w:p w14:paraId="128E4E43">
      <w:pPr>
        <w:pStyle w:val="30"/>
        <w:spacing w:line="320" w:lineRule="atLeast"/>
        <w:ind w:left="180" w:hanging="180" w:hangingChars="100"/>
        <w:rPr>
          <w:rFonts w:hint="eastAsia"/>
          <w:szCs w:val="18"/>
        </w:rPr>
      </w:pPr>
      <w:r>
        <w:rPr>
          <w:rStyle w:val="56"/>
          <w:szCs w:val="18"/>
        </w:rPr>
        <w:footnoteRef/>
      </w:r>
      <w:r>
        <w:rPr>
          <w:szCs w:val="18"/>
        </w:rPr>
        <w:t xml:space="preserve"> </w:t>
      </w:r>
      <w:r>
        <w:rPr>
          <w:rFonts w:hint="eastAsia"/>
          <w:szCs w:val="18"/>
        </w:rPr>
        <w:t>评标委员会应由招标人代表和有关方面的专家组成，人数为</w:t>
      </w:r>
      <w:r>
        <w:rPr>
          <w:rFonts w:hint="eastAsia"/>
          <w:szCs w:val="18"/>
          <w:lang w:eastAsia="zh-CN"/>
        </w:rPr>
        <w:t>5</w:t>
      </w:r>
      <w:r>
        <w:rPr>
          <w:rFonts w:hint="eastAsia"/>
          <w:szCs w:val="18"/>
        </w:rPr>
        <w:t>人以上单数，其中技术、经济专家人数应不少于成员总数的三分之二。</w:t>
      </w:r>
    </w:p>
  </w:footnote>
  <w:footnote w:id="8">
    <w:p w14:paraId="3066BE29">
      <w:pPr>
        <w:pStyle w:val="30"/>
        <w:spacing w:line="320" w:lineRule="atLeast"/>
        <w:ind w:left="180" w:right="-229" w:rightChars="-109" w:hanging="180" w:hangingChars="100"/>
        <w:rPr>
          <w:szCs w:val="18"/>
        </w:rPr>
      </w:pPr>
      <w:r>
        <w:rPr>
          <w:rStyle w:val="56"/>
          <w:szCs w:val="18"/>
        </w:rPr>
        <w:footnoteRef/>
      </w:r>
      <w:r>
        <w:rPr>
          <w:rFonts w:hint="eastAsia"/>
        </w:rPr>
        <w:t xml:space="preserve"> 招标人不得强制限定履约保证金必须采用现金或支票方式缴纳，</w:t>
      </w:r>
      <w:r>
        <w:t>不得拒绝银行保函形式的</w:t>
      </w:r>
      <w:r>
        <w:rPr>
          <w:rFonts w:hint="eastAsia"/>
        </w:rPr>
        <w:t>履约保证金。</w:t>
      </w:r>
    </w:p>
  </w:footnote>
  <w:footnote w:id="9">
    <w:p w14:paraId="1DAF5D2C">
      <w:pPr>
        <w:pStyle w:val="30"/>
        <w:spacing w:line="320" w:lineRule="atLeast"/>
        <w:ind w:left="180" w:hanging="180" w:hangingChars="100"/>
        <w:rPr>
          <w:szCs w:val="18"/>
        </w:rPr>
      </w:pPr>
      <w:r>
        <w:rPr>
          <w:rStyle w:val="56"/>
          <w:szCs w:val="18"/>
        </w:rPr>
        <w:footnoteRef/>
      </w:r>
      <w:r>
        <w:rPr>
          <w:rFonts w:hint="eastAsia"/>
        </w:rPr>
        <w:t xml:space="preserve"> 招标人可根据招标项目所在地省级交通运输主管部门的有关规定，对信用等级高的投标人，给予</w:t>
      </w:r>
      <w:r>
        <w:rPr>
          <w:rFonts w:hint="eastAsia" w:hAnsi="Roman"/>
          <w:szCs w:val="18"/>
        </w:rPr>
        <w:t>减少履约保证金金额的优惠。</w:t>
      </w:r>
    </w:p>
  </w:footnote>
  <w:footnote w:id="10">
    <w:p w14:paraId="1990B4DF">
      <w:pPr>
        <w:widowControl w:val="0"/>
        <w:adjustRightInd w:val="0"/>
        <w:snapToGrid w:val="0"/>
        <w:spacing w:line="240" w:lineRule="auto"/>
        <w:ind w:left="180" w:hanging="210" w:hangingChars="100"/>
        <w:jc w:val="both"/>
        <w:textAlignment w:val="baseline"/>
        <w:rPr>
          <w:rFonts w:ascii="Times New Roman" w:hAnsi="Times New Roman" w:eastAsia="宋体" w:cs="Times New Roman"/>
          <w:kern w:val="0"/>
          <w:sz w:val="18"/>
          <w:szCs w:val="20"/>
          <w:lang w:val="en-US" w:eastAsia="zh-CN" w:bidi="ar-SA"/>
        </w:rPr>
      </w:pPr>
      <w:r>
        <w:rPr>
          <w:rFonts w:hint="eastAsia" w:ascii="Times New Roman" w:hAnsi="Times New Roman" w:eastAsia="宋体" w:cs="Times New Roman"/>
          <w:kern w:val="2"/>
          <w:sz w:val="21"/>
          <w:szCs w:val="24"/>
          <w:vertAlign w:val="superscript"/>
          <w:lang w:val="en-US" w:eastAsia="zh-CN" w:bidi="ar-SA"/>
        </w:rPr>
        <w:footnoteRef/>
      </w:r>
      <w:r>
        <w:rPr>
          <w:rFonts w:hint="eastAsia" w:ascii="Times New Roman" w:hAnsi="Times New Roman" w:eastAsia="宋体" w:cs="Times New Roman"/>
          <w:kern w:val="0"/>
          <w:sz w:val="18"/>
          <w:szCs w:val="20"/>
          <w:lang w:val="en-US" w:eastAsia="zh-CN" w:bidi="ar-SA"/>
        </w:rPr>
        <w:t>《</w:t>
      </w:r>
      <w:r>
        <w:rPr>
          <w:rFonts w:hint="eastAsia" w:ascii="Times New Roman" w:hAnsi="Times New Roman" w:eastAsia="宋体" w:cs="Times New Roman"/>
          <w:kern w:val="0"/>
          <w:sz w:val="18"/>
          <w:szCs w:val="20"/>
          <w:lang w:val="en-US" w:eastAsia="zh-CN" w:bidi="ar-SA"/>
        </w:rPr>
        <w:fldChar w:fldCharType="begin"/>
      </w:r>
      <w:r>
        <w:rPr>
          <w:rFonts w:hint="eastAsia" w:ascii="Times New Roman" w:hAnsi="Times New Roman" w:eastAsia="宋体" w:cs="Times New Roman"/>
          <w:kern w:val="0"/>
          <w:sz w:val="18"/>
          <w:szCs w:val="20"/>
          <w:lang w:val="en-US" w:eastAsia="zh-CN" w:bidi="ar-SA"/>
        </w:rPr>
        <w:instrText xml:space="preserve"> HYPERLINK "https://baike.baidu.com/item/%E4%BF%9D%E9%9A%9C%E5%86%9C%E6%B0%91%E5%B7%A5%E5%B7%A5%E8%B5%84%E6%94%AF%E4%BB%98%E6%9D%A1%E4%BE%8B/23674641?fromModule=lemma-qiyi_sense-lemma" </w:instrText>
      </w:r>
      <w:r>
        <w:rPr>
          <w:rFonts w:hint="eastAsia" w:ascii="Times New Roman" w:hAnsi="Times New Roman" w:eastAsia="宋体" w:cs="Times New Roman"/>
          <w:kern w:val="0"/>
          <w:sz w:val="18"/>
          <w:szCs w:val="20"/>
          <w:lang w:val="en-US" w:eastAsia="zh-CN" w:bidi="ar-SA"/>
        </w:rPr>
        <w:fldChar w:fldCharType="separate"/>
      </w:r>
      <w:r>
        <w:rPr>
          <w:rFonts w:hint="eastAsia" w:ascii="Times New Roman" w:hAnsi="Times New Roman" w:eastAsia="宋体" w:cs="Times New Roman"/>
          <w:kern w:val="0"/>
          <w:sz w:val="18"/>
          <w:szCs w:val="20"/>
          <w:lang w:val="en-US" w:eastAsia="zh-CN" w:bidi="ar-SA"/>
        </w:rPr>
        <w:t>保障农民工工资支付条例</w:t>
      </w:r>
      <w:r>
        <w:rPr>
          <w:rFonts w:hint="eastAsia" w:ascii="Times New Roman" w:hAnsi="Times New Roman" w:eastAsia="宋体" w:cs="Times New Roman"/>
          <w:kern w:val="0"/>
          <w:sz w:val="18"/>
          <w:szCs w:val="20"/>
          <w:lang w:val="en-US" w:eastAsia="zh-CN" w:bidi="ar-SA"/>
        </w:rPr>
        <w:fldChar w:fldCharType="end"/>
      </w:r>
      <w:r>
        <w:rPr>
          <w:rFonts w:hint="eastAsia" w:ascii="Times New Roman" w:hAnsi="Times New Roman" w:eastAsia="宋体" w:cs="Times New Roman"/>
          <w:kern w:val="0"/>
          <w:sz w:val="18"/>
          <w:szCs w:val="20"/>
          <w:lang w:val="en-US" w:eastAsia="zh-CN" w:bidi="ar-SA"/>
        </w:rPr>
        <w:t>》第2</w:t>
      </w:r>
      <w:r>
        <w:rPr>
          <w:rFonts w:ascii="Times New Roman" w:hAnsi="Times New Roman" w:eastAsia="宋体" w:cs="Times New Roman"/>
          <w:kern w:val="0"/>
          <w:sz w:val="18"/>
          <w:szCs w:val="20"/>
          <w:lang w:val="en-US" w:eastAsia="zh-CN" w:bidi="ar-SA"/>
        </w:rPr>
        <w:t>4</w:t>
      </w:r>
      <w:r>
        <w:rPr>
          <w:rFonts w:hint="eastAsia" w:ascii="Times New Roman" w:hAnsi="Times New Roman" w:eastAsia="宋体" w:cs="Times New Roman"/>
          <w:kern w:val="0"/>
          <w:sz w:val="18"/>
          <w:szCs w:val="20"/>
          <w:lang w:val="en-US" w:eastAsia="zh-CN" w:bidi="ar-SA"/>
        </w:rPr>
        <w:t>条第一款规定，建设单位应当向施工单位提供工程款支付担保。按照《交通运输部办公厅关于进一步支持公路建设领域中小企业发展的通知》要求，认真贯彻落实党中央、国务院有关部署，对照《保障农民工工资支付条例》等规定，进一步规范公路建设领域工程款支付工作，推动落实工程款支付担保制度，切实减轻中小企业负担。</w:t>
      </w:r>
    </w:p>
  </w:footnote>
  <w:footnote w:id="11">
    <w:p w14:paraId="45EE5809">
      <w:pPr>
        <w:pStyle w:val="30"/>
        <w:ind w:left="210" w:hanging="210"/>
        <w:rPr>
          <w:rFonts w:hint="eastAsia"/>
          <w:szCs w:val="18"/>
        </w:rPr>
      </w:pPr>
      <w:r>
        <w:rPr>
          <w:rStyle w:val="56"/>
          <w:szCs w:val="18"/>
        </w:rPr>
        <w:footnoteRef/>
      </w:r>
      <w:r>
        <w:rPr>
          <w:rFonts w:hint="eastAsia"/>
          <w:szCs w:val="18"/>
        </w:rPr>
        <w:t xml:space="preserve"> 具体资质要求由招标人在满足国家相关法律法规前提下，根据招标项目具体特点和实际情况确定。</w:t>
      </w:r>
    </w:p>
  </w:footnote>
  <w:footnote w:id="12">
    <w:p w14:paraId="72499CC9">
      <w:pPr>
        <w:pStyle w:val="30"/>
        <w:spacing w:line="240" w:lineRule="auto"/>
        <w:ind w:left="180" w:hanging="180" w:hangingChars="100"/>
        <w:rPr>
          <w:rFonts w:hint="eastAsia"/>
          <w:szCs w:val="18"/>
        </w:rPr>
      </w:pPr>
      <w:r>
        <w:rPr>
          <w:rStyle w:val="56"/>
          <w:szCs w:val="18"/>
        </w:rPr>
        <w:footnoteRef/>
      </w:r>
      <w:r>
        <w:rPr>
          <w:rFonts w:hint="eastAsia"/>
          <w:szCs w:val="18"/>
        </w:rPr>
        <w:t xml:space="preserve"> 具体财务要求由招标人在满足国家相关法律法规前提下，根据招标项目具体特点和实际情况确定。例如招标人可对投标人近三年的平均营业额、流动比率、</w:t>
      </w:r>
      <w:r>
        <w:rPr>
          <w:rFonts w:hint="eastAsia"/>
        </w:rPr>
        <w:t>资产负债率、净资产</w:t>
      </w:r>
      <w:r>
        <w:rPr>
          <w:rFonts w:hint="eastAsia"/>
          <w:szCs w:val="18"/>
        </w:rPr>
        <w:t>等提出要求。</w:t>
      </w:r>
    </w:p>
  </w:footnote>
  <w:footnote w:id="13">
    <w:p w14:paraId="14E5D92B">
      <w:pPr>
        <w:pStyle w:val="30"/>
        <w:spacing w:line="300" w:lineRule="atLeast"/>
        <w:ind w:left="180" w:hanging="180" w:hangingChars="100"/>
        <w:rPr>
          <w:rFonts w:hint="eastAsia"/>
          <w:szCs w:val="18"/>
        </w:rPr>
      </w:pPr>
      <w:r>
        <w:rPr>
          <w:rStyle w:val="56"/>
          <w:szCs w:val="18"/>
        </w:rPr>
        <w:footnoteRef/>
      </w:r>
      <w:r>
        <w:rPr>
          <w:rFonts w:hint="eastAsia"/>
          <w:szCs w:val="18"/>
        </w:rPr>
        <w:t xml:space="preserve"> 具体业绩要求由招标人在满足国家相关法律法规前提下，根据招标项目具体特点和实际情况确定，但不得设置过高的业绩资格条件。</w:t>
      </w:r>
    </w:p>
  </w:footnote>
  <w:footnote w:id="14">
    <w:p w14:paraId="2301E775">
      <w:pPr>
        <w:pStyle w:val="30"/>
        <w:ind w:left="210" w:hanging="210"/>
        <w:rPr>
          <w:rFonts w:hint="eastAsia"/>
          <w:szCs w:val="18"/>
        </w:rPr>
      </w:pPr>
      <w:r>
        <w:rPr>
          <w:rStyle w:val="56"/>
          <w:szCs w:val="18"/>
        </w:rPr>
        <w:footnoteRef/>
      </w:r>
      <w:r>
        <w:rPr>
          <w:rFonts w:hint="eastAsia"/>
          <w:szCs w:val="18"/>
        </w:rPr>
        <w:t xml:space="preserve"> </w:t>
      </w:r>
      <w:r>
        <w:rPr>
          <w:rFonts w:hint="eastAsia"/>
        </w:rPr>
        <w:t>具体信誉要求由招标人在满足国家相关法律法规前提下，根据招标项目具体特点和实际情况确定</w:t>
      </w:r>
      <w:r>
        <w:rPr>
          <w:lang w:eastAsia="zh-CN"/>
        </w:rPr>
        <w:t>。</w:t>
      </w:r>
    </w:p>
  </w:footnote>
  <w:footnote w:id="15">
    <w:p w14:paraId="6703540E">
      <w:pPr>
        <w:pStyle w:val="30"/>
        <w:spacing w:line="360" w:lineRule="atLeast"/>
        <w:ind w:left="180" w:hanging="180" w:hangingChars="100"/>
        <w:rPr>
          <w:rFonts w:hint="eastAsia"/>
          <w:szCs w:val="18"/>
        </w:rPr>
      </w:pPr>
      <w:r>
        <w:rPr>
          <w:rStyle w:val="56"/>
          <w:szCs w:val="18"/>
        </w:rPr>
        <w:footnoteRef/>
      </w:r>
      <w:r>
        <w:rPr>
          <w:rFonts w:hint="eastAsia"/>
          <w:szCs w:val="18"/>
        </w:rPr>
        <w:t xml:space="preserve"> 对项目经理和项目总工的具体资格要求由招标人在满足国家相关法律法规前提下，根据招标项目具体特点和实际情况确定，但不得设置过高的资格条件。</w:t>
      </w:r>
    </w:p>
  </w:footnote>
  <w:footnote w:id="16">
    <w:p w14:paraId="6903C7E9">
      <w:pPr>
        <w:pStyle w:val="30"/>
        <w:spacing w:line="300" w:lineRule="atLeast"/>
        <w:ind w:left="180" w:hanging="180" w:hangingChars="100"/>
        <w:jc w:val="both"/>
        <w:rPr>
          <w:rFonts w:hint="eastAsia" w:ascii="宋体" w:hAnsi="宋体"/>
          <w:szCs w:val="18"/>
        </w:rPr>
      </w:pPr>
      <w:r>
        <w:rPr>
          <w:rStyle w:val="56"/>
          <w:rFonts w:ascii="宋体" w:hAnsi="宋体"/>
          <w:szCs w:val="18"/>
        </w:rPr>
        <w:footnoteRef/>
      </w:r>
      <w:r>
        <w:rPr>
          <w:rFonts w:hint="eastAsia" w:ascii="宋体" w:hAnsi="宋体"/>
          <w:szCs w:val="18"/>
        </w:rPr>
        <w:t xml:space="preserve"> 本表</w:t>
      </w:r>
      <w:r>
        <w:rPr>
          <w:rFonts w:hint="eastAsia"/>
          <w:szCs w:val="18"/>
        </w:rPr>
        <w:t>仅适用于技术特别复杂的特大桥梁和特长隧道等项目主体工程以及其他有特殊要求的工程。对其他管理和技术人员</w:t>
      </w:r>
      <w:r>
        <w:rPr>
          <w:rFonts w:hint="eastAsia"/>
          <w:lang w:eastAsia="zh-CN"/>
        </w:rPr>
        <w:t>（例如</w:t>
      </w:r>
      <w:r>
        <w:rPr>
          <w:lang w:eastAsia="zh-CN"/>
        </w:rPr>
        <w:t>项目副经理、专业工程师等</w:t>
      </w:r>
      <w:r>
        <w:rPr>
          <w:rFonts w:hint="eastAsia"/>
          <w:lang w:eastAsia="zh-CN"/>
        </w:rPr>
        <w:t>）</w:t>
      </w:r>
      <w:r>
        <w:rPr>
          <w:rFonts w:hint="eastAsia"/>
          <w:szCs w:val="18"/>
        </w:rPr>
        <w:t>的最低要求</w:t>
      </w:r>
      <w:r>
        <w:rPr>
          <w:rFonts w:hint="eastAsia"/>
          <w:szCs w:val="18"/>
          <w:lang w:eastAsia="zh-CN"/>
        </w:rPr>
        <w:t>，</w:t>
      </w:r>
      <w:r>
        <w:rPr>
          <w:rFonts w:hint="eastAsia"/>
          <w:szCs w:val="18"/>
        </w:rPr>
        <w:t>由招标人在满足国家相关法律法规前提下，根据招标项目具体特点和实际情况确定，但不得设置过高的资格条件。</w:t>
      </w:r>
    </w:p>
  </w:footnote>
  <w:footnote w:id="17">
    <w:p w14:paraId="2494B8CE">
      <w:pPr>
        <w:pStyle w:val="30"/>
        <w:spacing w:line="300" w:lineRule="atLeast"/>
        <w:ind w:left="180" w:hanging="180" w:hangingChars="100"/>
        <w:jc w:val="both"/>
        <w:rPr>
          <w:rFonts w:hint="eastAsia" w:ascii="宋体" w:hAnsi="宋体"/>
          <w:szCs w:val="18"/>
        </w:rPr>
      </w:pPr>
      <w:r>
        <w:rPr>
          <w:rStyle w:val="56"/>
          <w:rFonts w:ascii="宋体" w:hAnsi="宋体"/>
          <w:szCs w:val="18"/>
        </w:rPr>
        <w:footnoteRef/>
      </w:r>
      <w:r>
        <w:rPr>
          <w:rFonts w:hint="eastAsia" w:ascii="宋体" w:hAnsi="宋体"/>
          <w:szCs w:val="18"/>
        </w:rPr>
        <w:t xml:space="preserve"> 本表</w:t>
      </w:r>
      <w:r>
        <w:rPr>
          <w:rFonts w:hint="eastAsia"/>
          <w:szCs w:val="18"/>
        </w:rPr>
        <w:t>仅适用于技术特别复杂的特大桥梁和特长隧道等项目主体工程以及其他有特殊要求的工程。对主要机械设备和试验检测设备的最低要求</w:t>
      </w:r>
      <w:r>
        <w:rPr>
          <w:rFonts w:hint="eastAsia"/>
          <w:szCs w:val="18"/>
          <w:lang w:eastAsia="zh-CN"/>
        </w:rPr>
        <w:t>，</w:t>
      </w:r>
      <w:r>
        <w:rPr>
          <w:rFonts w:hint="eastAsia"/>
          <w:szCs w:val="18"/>
        </w:rPr>
        <w:t>由招标人在满足国家相关法律法规前提下，根据招标项目具体特点和实际情况确定。</w:t>
      </w:r>
    </w:p>
  </w:footnote>
  <w:footnote w:id="18">
    <w:p w14:paraId="2D11D340">
      <w:pPr>
        <w:pStyle w:val="30"/>
        <w:spacing w:line="320" w:lineRule="atLeast"/>
        <w:ind w:left="180" w:hanging="180" w:hangingChars="100"/>
        <w:rPr>
          <w:rFonts w:hint="eastAsia"/>
        </w:rPr>
      </w:pPr>
      <w:r>
        <w:rPr>
          <w:rStyle w:val="56"/>
        </w:rPr>
        <w:footnoteRef/>
      </w:r>
      <w:r>
        <w:rPr>
          <w:rFonts w:hint="eastAsia"/>
          <w:lang w:eastAsia="zh-CN"/>
        </w:rPr>
        <w:t xml:space="preserve"> </w:t>
      </w:r>
      <w:r>
        <w:rPr>
          <w:rFonts w:hint="eastAsia"/>
        </w:rPr>
        <w:t>本</w:t>
      </w:r>
      <w:r>
        <w:rPr>
          <w:rFonts w:hint="eastAsia"/>
          <w:lang w:eastAsia="zh-CN"/>
        </w:rPr>
        <w:t>项</w:t>
      </w:r>
      <w:r>
        <w:rPr>
          <w:rFonts w:hint="eastAsia"/>
        </w:rPr>
        <w:t>规定仅适用于根据《关于发布公路工程从业企业资质名录的通知》（厅公路字〔2011〕114号）要求，招标人应通过名录对投标人资质条件进行审核的公路施工企业。</w:t>
      </w:r>
    </w:p>
  </w:footnote>
  <w:footnote w:id="19">
    <w:p w14:paraId="7B2AA145">
      <w:pPr>
        <w:pStyle w:val="30"/>
        <w:spacing w:line="340" w:lineRule="atLeast"/>
        <w:ind w:left="210" w:right="-88" w:rightChars="-42" w:hanging="210"/>
        <w:rPr>
          <w:rFonts w:hint="eastAsia"/>
          <w:szCs w:val="18"/>
        </w:rPr>
      </w:pPr>
      <w:r>
        <w:rPr>
          <w:rStyle w:val="56"/>
          <w:szCs w:val="18"/>
        </w:rPr>
        <w:footnoteRef/>
      </w:r>
      <w:r>
        <w:rPr>
          <w:rFonts w:hint="eastAsia"/>
          <w:szCs w:val="18"/>
        </w:rPr>
        <w:t xml:space="preserve"> 投标保证金</w:t>
      </w:r>
      <w:r>
        <w:rPr>
          <w:szCs w:val="18"/>
        </w:rPr>
        <w:t>不得超过招标标段估算价的2%</w:t>
      </w:r>
      <w:r>
        <w:rPr>
          <w:rFonts w:hint="eastAsia"/>
          <w:szCs w:val="18"/>
        </w:rPr>
        <w:t>，招标人应据此测算出具体金额。</w:t>
      </w:r>
    </w:p>
  </w:footnote>
  <w:footnote w:id="20">
    <w:p w14:paraId="0DF5C53C">
      <w:pPr>
        <w:pStyle w:val="30"/>
        <w:tabs>
          <w:tab w:val="left" w:pos="3780"/>
        </w:tabs>
        <w:spacing w:line="320" w:lineRule="atLeast"/>
        <w:ind w:left="180" w:hanging="180" w:hangingChars="100"/>
        <w:rPr>
          <w:rFonts w:hint="eastAsia"/>
          <w:szCs w:val="18"/>
        </w:rPr>
      </w:pPr>
      <w:r>
        <w:rPr>
          <w:rStyle w:val="56"/>
          <w:szCs w:val="18"/>
        </w:rPr>
        <w:footnoteRef/>
      </w:r>
      <w:r>
        <w:rPr>
          <w:szCs w:val="18"/>
        </w:rPr>
        <w:t xml:space="preserve"> </w:t>
      </w:r>
      <w:r>
        <w:rPr>
          <w:rFonts w:hint="eastAsia"/>
          <w:szCs w:val="18"/>
        </w:rPr>
        <w:t>招标人可根据</w:t>
      </w:r>
      <w:r>
        <w:rPr>
          <w:rFonts w:hint="eastAsia"/>
          <w:szCs w:val="18"/>
          <w:lang w:eastAsia="zh-CN"/>
        </w:rPr>
        <w:t>实际</w:t>
      </w:r>
      <w:r>
        <w:rPr>
          <w:rFonts w:hint="eastAsia"/>
          <w:szCs w:val="18"/>
        </w:rPr>
        <w:t>需要进行修改。</w:t>
      </w:r>
    </w:p>
  </w:footnote>
  <w:footnote w:id="21">
    <w:p w14:paraId="63164715">
      <w:pPr>
        <w:pStyle w:val="30"/>
        <w:spacing w:line="300" w:lineRule="atLeast"/>
        <w:ind w:left="180" w:hanging="180" w:hangingChars="100"/>
        <w:jc w:val="both"/>
        <w:rPr>
          <w:rFonts w:hint="eastAsia" w:hAnsi="宋体"/>
          <w:szCs w:val="18"/>
        </w:rPr>
      </w:pPr>
      <w:r>
        <w:rPr>
          <w:rStyle w:val="56"/>
          <w:rFonts w:ascii="宋体" w:hAnsi="宋体"/>
          <w:szCs w:val="18"/>
        </w:rPr>
        <w:footnoteRef/>
      </w:r>
      <w:r>
        <w:rPr>
          <w:rFonts w:hint="eastAsia" w:hAnsi="宋体"/>
          <w:szCs w:val="18"/>
          <w:lang w:eastAsia="zh-CN"/>
        </w:rPr>
        <w:t xml:space="preserve"> 投标人仅须在投标文件的澄清或说明上加盖单位章，或由法定代表人或其委托代理人签字</w:t>
      </w:r>
      <w:r>
        <w:rPr>
          <w:rFonts w:hint="eastAsia" w:hAnsi="宋体"/>
          <w:szCs w:val="18"/>
        </w:rPr>
        <w:t>。</w:t>
      </w:r>
    </w:p>
  </w:footnote>
  <w:footnote w:id="22">
    <w:p w14:paraId="79C4D066">
      <w:pPr>
        <w:pStyle w:val="30"/>
        <w:spacing w:line="320" w:lineRule="atLeast"/>
        <w:ind w:left="180" w:hanging="180" w:hangingChars="100"/>
        <w:jc w:val="both"/>
        <w:rPr>
          <w:rFonts w:hint="eastAsia"/>
          <w:szCs w:val="18"/>
        </w:rPr>
      </w:pPr>
      <w:r>
        <w:rPr>
          <w:rStyle w:val="56"/>
          <w:szCs w:val="18"/>
        </w:rPr>
        <w:footnoteRef/>
      </w:r>
      <w:r>
        <w:rPr>
          <w:rFonts w:hint="eastAsia"/>
          <w:szCs w:val="18"/>
        </w:rPr>
        <w:t xml:space="preserve"> “合理低价法”是综合评估法的评分因素中评标价得分为100分、其他评分因素分值为0分的特例。“合理低价法”中，第一个信封（商务及技术文件）的评审应采用合格制。</w:t>
      </w:r>
    </w:p>
  </w:footnote>
  <w:footnote w:id="23">
    <w:p w14:paraId="794541CE">
      <w:pPr>
        <w:pStyle w:val="30"/>
        <w:spacing w:line="320" w:lineRule="atLeast"/>
        <w:ind w:left="180" w:hanging="180" w:hangingChars="100"/>
        <w:jc w:val="both"/>
        <w:rPr>
          <w:rFonts w:hint="eastAsia"/>
          <w:szCs w:val="18"/>
        </w:rPr>
      </w:pPr>
      <w:r>
        <w:rPr>
          <w:rStyle w:val="56"/>
          <w:szCs w:val="18"/>
        </w:rPr>
        <w:footnoteRef/>
      </w:r>
      <w:r>
        <w:rPr>
          <w:szCs w:val="18"/>
        </w:rPr>
        <w:t xml:space="preserve"> </w:t>
      </w:r>
      <w:r>
        <w:rPr>
          <w:rFonts w:hint="eastAsia"/>
          <w:szCs w:val="18"/>
        </w:rPr>
        <w:t>“评标办法前附表”用于明确评标的方法、因素、标准和程序</w:t>
      </w:r>
      <w:r>
        <w:rPr>
          <w:rFonts w:hint="eastAsia"/>
          <w:szCs w:val="18"/>
          <w:lang w:eastAsia="zh-CN"/>
        </w:rPr>
        <w:t>，</w:t>
      </w:r>
      <w:r>
        <w:rPr>
          <w:rFonts w:hint="eastAsia"/>
          <w:szCs w:val="18"/>
        </w:rPr>
        <w:t>是对评标办法正文的补充和细化，应对照评标办法正文中同一编号的条款一起阅读和理解。</w:t>
      </w:r>
      <w:r>
        <w:rPr>
          <w:rFonts w:hint="eastAsia" w:ascii="黑体" w:hAnsi="黑体" w:eastAsia="黑体"/>
          <w:szCs w:val="18"/>
        </w:rPr>
        <w:t>如前附表与正文不一致时，以前附表的规定为准</w:t>
      </w:r>
      <w:r>
        <w:rPr>
          <w:rFonts w:hint="eastAsia"/>
          <w:szCs w:val="18"/>
        </w:rPr>
        <w:t>。招标人应根据招标项目具体特点和实际需要，详细列明全部评审因素、标准，没有列明的因素和标准不得作为评标的依据。</w:t>
      </w:r>
    </w:p>
  </w:footnote>
  <w:footnote w:id="24">
    <w:p w14:paraId="717EC7AA">
      <w:pPr>
        <w:pStyle w:val="30"/>
        <w:spacing w:line="320" w:lineRule="atLeast"/>
        <w:ind w:left="180" w:hanging="180" w:hangingChars="100"/>
        <w:rPr>
          <w:rFonts w:hint="eastAsia"/>
          <w:szCs w:val="18"/>
        </w:rPr>
      </w:pPr>
      <w:r>
        <w:rPr>
          <w:rStyle w:val="56"/>
          <w:szCs w:val="18"/>
        </w:rPr>
        <w:footnoteRef/>
      </w:r>
      <w:r>
        <w:rPr>
          <w:rFonts w:hint="eastAsia" w:ascii="宋体" w:hAnsi="宋体"/>
          <w:szCs w:val="18"/>
        </w:rPr>
        <w:t xml:space="preserve"> 对</w:t>
      </w:r>
      <w:r>
        <w:rPr>
          <w:rFonts w:hint="eastAsia"/>
          <w:szCs w:val="18"/>
        </w:rPr>
        <w:t>于特别复杂的特大桥梁和特长隧道项目主体工程以及其他有特殊要求的工程，还</w:t>
      </w:r>
      <w:r>
        <w:rPr>
          <w:rFonts w:hint="eastAsia"/>
          <w:szCs w:val="18"/>
          <w:lang w:eastAsia="zh-CN"/>
        </w:rPr>
        <w:t>可</w:t>
      </w:r>
      <w:r>
        <w:rPr>
          <w:rFonts w:hint="eastAsia"/>
          <w:szCs w:val="18"/>
        </w:rPr>
        <w:t>对其他管理和技术人员</w:t>
      </w:r>
      <w:r>
        <w:rPr>
          <w:rFonts w:hint="eastAsia"/>
          <w:lang w:eastAsia="zh-CN"/>
        </w:rPr>
        <w:t>（例如</w:t>
      </w:r>
      <w:r>
        <w:rPr>
          <w:lang w:eastAsia="zh-CN"/>
        </w:rPr>
        <w:t>项目副经理、专业工程师等</w:t>
      </w:r>
      <w:r>
        <w:rPr>
          <w:rFonts w:hint="eastAsia"/>
          <w:lang w:eastAsia="zh-CN"/>
        </w:rPr>
        <w:t>）</w:t>
      </w:r>
      <w:r>
        <w:rPr>
          <w:rFonts w:hint="eastAsia"/>
          <w:szCs w:val="18"/>
        </w:rPr>
        <w:t>以及主要机械设备和试验检测设备进行资格评审。</w:t>
      </w:r>
    </w:p>
  </w:footnote>
  <w:footnote w:id="25">
    <w:p w14:paraId="4A07A97B">
      <w:pPr>
        <w:pStyle w:val="30"/>
        <w:spacing w:line="320" w:lineRule="atLeast"/>
        <w:ind w:left="180" w:hanging="180" w:hangingChars="100"/>
        <w:rPr>
          <w:rFonts w:hint="eastAsia"/>
        </w:rPr>
      </w:pPr>
      <w:r>
        <w:rPr>
          <w:rStyle w:val="56"/>
        </w:rPr>
        <w:footnoteRef/>
      </w:r>
      <w:r>
        <w:rPr>
          <w:rFonts w:hint="eastAsia"/>
          <w:szCs w:val="18"/>
          <w:lang w:eastAsia="zh-CN"/>
        </w:rPr>
        <w:t xml:space="preserve"> </w:t>
      </w:r>
      <w:r>
        <w:rPr>
          <w:rFonts w:hint="eastAsia"/>
          <w:szCs w:val="18"/>
        </w:rPr>
        <w:t>本</w:t>
      </w:r>
      <w:r>
        <w:rPr>
          <w:rFonts w:hint="eastAsia"/>
          <w:szCs w:val="18"/>
          <w:lang w:eastAsia="zh-CN"/>
        </w:rPr>
        <w:t>款</w:t>
      </w:r>
      <w:r>
        <w:rPr>
          <w:rFonts w:hint="eastAsia"/>
          <w:szCs w:val="18"/>
        </w:rPr>
        <w:t>规定仅适用于根据《关于发布公路工程从业企业资质名录的通知》（厅公路字〔</w:t>
      </w:r>
      <w:r>
        <w:rPr>
          <w:szCs w:val="18"/>
        </w:rPr>
        <w:t>2011</w:t>
      </w:r>
      <w:r>
        <w:rPr>
          <w:rFonts w:hint="eastAsia"/>
          <w:szCs w:val="18"/>
        </w:rPr>
        <w:t>〕</w:t>
      </w:r>
      <w:r>
        <w:rPr>
          <w:szCs w:val="18"/>
        </w:rPr>
        <w:t>114</w:t>
      </w:r>
      <w:r>
        <w:rPr>
          <w:rFonts w:hint="eastAsia"/>
          <w:szCs w:val="18"/>
        </w:rPr>
        <w:t>号）要求，招标人应通过名录对投标人资质条件进行审核的公路施工企业。</w:t>
      </w:r>
    </w:p>
  </w:footnote>
  <w:footnote w:id="26">
    <w:p w14:paraId="169F7D79">
      <w:pPr>
        <w:pStyle w:val="30"/>
        <w:spacing w:line="320" w:lineRule="atLeast"/>
        <w:ind w:left="180" w:hanging="180" w:hangingChars="100"/>
        <w:rPr>
          <w:rStyle w:val="56"/>
          <w:szCs w:val="18"/>
        </w:rPr>
      </w:pPr>
      <w:r>
        <w:rPr>
          <w:rStyle w:val="56"/>
          <w:szCs w:val="18"/>
        </w:rPr>
        <w:footnoteRef/>
      </w:r>
      <w:r>
        <w:rPr>
          <w:rFonts w:hint="eastAsia"/>
          <w:szCs w:val="18"/>
        </w:rPr>
        <w:t xml:space="preserve"> 如</w:t>
      </w:r>
      <w:r>
        <w:rPr>
          <w:rStyle w:val="56"/>
          <w:szCs w:val="18"/>
          <w:vertAlign w:val="baseline"/>
        </w:rPr>
        <w:t>本项目招标</w:t>
      </w:r>
      <w:r>
        <w:rPr>
          <w:rStyle w:val="56"/>
          <w:rFonts w:hint="eastAsia"/>
          <w:szCs w:val="18"/>
          <w:vertAlign w:val="baseline"/>
        </w:rPr>
        <w:t>由投标人按照招标人提供的</w:t>
      </w:r>
      <w:r>
        <w:rPr>
          <w:szCs w:val="18"/>
        </w:rPr>
        <w:t>书面</w:t>
      </w:r>
      <w:r>
        <w:rPr>
          <w:rStyle w:val="56"/>
          <w:rFonts w:hint="eastAsia"/>
          <w:szCs w:val="18"/>
          <w:vertAlign w:val="baseline"/>
        </w:rPr>
        <w:t>工程量清单填写</w:t>
      </w:r>
      <w:r>
        <w:rPr>
          <w:rStyle w:val="56"/>
          <w:szCs w:val="18"/>
          <w:vertAlign w:val="baseline"/>
        </w:rPr>
        <w:t>本合同各工程子目的单价、合价和总额价</w:t>
      </w:r>
      <w:r>
        <w:rPr>
          <w:rStyle w:val="56"/>
          <w:rFonts w:hint="eastAsia"/>
          <w:szCs w:val="18"/>
          <w:vertAlign w:val="baseline"/>
        </w:rPr>
        <w:t>，则</w:t>
      </w:r>
      <w:r>
        <w:rPr>
          <w:rStyle w:val="56"/>
          <w:szCs w:val="18"/>
          <w:vertAlign w:val="baseline"/>
        </w:rPr>
        <w:t>评标委员会按照</w:t>
      </w:r>
      <w:r>
        <w:rPr>
          <w:rStyle w:val="56"/>
          <w:rFonts w:hint="eastAsia"/>
          <w:szCs w:val="18"/>
          <w:vertAlign w:val="baseline"/>
        </w:rPr>
        <w:t>本</w:t>
      </w:r>
      <w:r>
        <w:rPr>
          <w:rStyle w:val="56"/>
          <w:szCs w:val="18"/>
          <w:vertAlign w:val="baseline"/>
        </w:rPr>
        <w:t>章</w:t>
      </w:r>
      <w:r>
        <w:rPr>
          <w:rStyle w:val="56"/>
          <w:rFonts w:hint="eastAsia"/>
          <w:szCs w:val="18"/>
          <w:vertAlign w:val="baseline"/>
        </w:rPr>
        <w:t>第3.3.2项和第3</w:t>
      </w:r>
      <w:r>
        <w:rPr>
          <w:rFonts w:hint="eastAsia"/>
          <w:szCs w:val="18"/>
        </w:rPr>
        <w:t>.3.3项</w:t>
      </w:r>
      <w:r>
        <w:rPr>
          <w:rStyle w:val="56"/>
          <w:rFonts w:hint="eastAsia"/>
          <w:szCs w:val="18"/>
          <w:vertAlign w:val="baseline"/>
        </w:rPr>
        <w:t>的</w:t>
      </w:r>
      <w:r>
        <w:rPr>
          <w:rStyle w:val="56"/>
          <w:szCs w:val="18"/>
          <w:vertAlign w:val="baseline"/>
        </w:rPr>
        <w:t>规定</w:t>
      </w:r>
      <w:r>
        <w:rPr>
          <w:rStyle w:val="56"/>
          <w:rFonts w:hint="eastAsia"/>
          <w:szCs w:val="18"/>
          <w:vertAlign w:val="baseline"/>
        </w:rPr>
        <w:t>对投标人的投标报价进行修正。</w:t>
      </w:r>
      <w:r>
        <w:rPr>
          <w:rFonts w:hint="eastAsia"/>
          <w:szCs w:val="18"/>
        </w:rPr>
        <w:t>如</w:t>
      </w:r>
      <w:r>
        <w:rPr>
          <w:rStyle w:val="56"/>
          <w:szCs w:val="18"/>
          <w:vertAlign w:val="baseline"/>
        </w:rPr>
        <w:t>本项目招标</w:t>
      </w:r>
      <w:r>
        <w:rPr>
          <w:rStyle w:val="56"/>
          <w:rFonts w:hint="eastAsia"/>
          <w:szCs w:val="18"/>
          <w:vertAlign w:val="baseline"/>
          <w:lang w:eastAsia="zh-CN"/>
        </w:rPr>
        <w:t>由</w:t>
      </w:r>
      <w:r>
        <w:rPr>
          <w:rFonts w:hint="eastAsia"/>
          <w:szCs w:val="18"/>
        </w:rPr>
        <w:t>投标人按照招标人提供的</w:t>
      </w:r>
      <w:r>
        <w:rPr>
          <w:rFonts w:hint="eastAsia"/>
          <w:szCs w:val="18"/>
          <w:lang w:eastAsia="zh-CN"/>
        </w:rPr>
        <w:t>工程量清单</w:t>
      </w:r>
      <w:r>
        <w:rPr>
          <w:rFonts w:hint="eastAsia"/>
          <w:szCs w:val="18"/>
        </w:rPr>
        <w:t>电子文件填写工程量清单，无须按照本章第3.3.2项和第3.3.3项的规定对投标报价进行修正，第3.3.2项</w:t>
      </w:r>
      <w:r>
        <w:rPr>
          <w:rFonts w:hint="eastAsia"/>
          <w:szCs w:val="18"/>
          <w:lang w:eastAsia="zh-CN"/>
        </w:rPr>
        <w:t>至</w:t>
      </w:r>
      <w:r>
        <w:rPr>
          <w:rFonts w:hint="eastAsia"/>
          <w:szCs w:val="18"/>
        </w:rPr>
        <w:t>第3.3.5项内容不适用。</w:t>
      </w:r>
    </w:p>
  </w:footnote>
  <w:footnote w:id="27">
    <w:p w14:paraId="3946DE42">
      <w:pPr>
        <w:pStyle w:val="30"/>
        <w:rPr>
          <w:rFonts w:hint="eastAsia"/>
          <w:lang w:eastAsia="zh-CN"/>
        </w:rPr>
      </w:pPr>
      <w:r>
        <w:rPr>
          <w:rStyle w:val="56"/>
        </w:rPr>
        <w:footnoteRef/>
      </w:r>
      <w:r>
        <w:t xml:space="preserve"> </w:t>
      </w:r>
      <w:r>
        <w:rPr>
          <w:rFonts w:hint="eastAsia"/>
          <w:lang w:eastAsia="zh-CN"/>
        </w:rPr>
        <w:t>本部分不加修改地引用了国家九部委《标准施工招标文件》（2007年版）相关内容。</w:t>
      </w:r>
    </w:p>
  </w:footnote>
  <w:footnote w:id="28">
    <w:p w14:paraId="1EED9F04">
      <w:pPr>
        <w:pStyle w:val="30"/>
        <w:spacing w:line="320" w:lineRule="atLeast"/>
        <w:ind w:left="180" w:hanging="180" w:hangingChars="100"/>
        <w:rPr>
          <w:rFonts w:hint="eastAsia"/>
          <w:lang w:eastAsia="zh-CN"/>
        </w:rPr>
      </w:pPr>
      <w:r>
        <w:rPr>
          <w:rStyle w:val="56"/>
        </w:rPr>
        <w:footnoteRef/>
      </w:r>
      <w:r>
        <w:t xml:space="preserve"> 如果在招标</w:t>
      </w:r>
      <w:r>
        <w:rPr>
          <w:rFonts w:hint="eastAsia"/>
          <w:lang w:eastAsia="zh-CN"/>
        </w:rPr>
        <w:t>阶段</w:t>
      </w:r>
      <w:r>
        <w:rPr>
          <w:rFonts w:hint="eastAsia"/>
        </w:rPr>
        <w:t>，招标人</w:t>
      </w:r>
      <w:r>
        <w:t>在图纸中直接指定了取土场和弃土场位置</w:t>
      </w:r>
      <w:r>
        <w:rPr>
          <w:rFonts w:hint="eastAsia"/>
        </w:rPr>
        <w:t>，</w:t>
      </w:r>
      <w:r>
        <w:t>且作为投标人投标</w:t>
      </w:r>
      <w:r>
        <w:rPr>
          <w:rFonts w:hint="eastAsia"/>
          <w:lang w:eastAsia="zh-CN"/>
        </w:rPr>
        <w:t>报价</w:t>
      </w:r>
      <w:r>
        <w:t>的依据</w:t>
      </w:r>
      <w:r>
        <w:rPr>
          <w:rFonts w:hint="eastAsia"/>
        </w:rPr>
        <w:t>，则</w:t>
      </w:r>
      <w:r>
        <w:rPr>
          <w:rFonts w:hint="eastAsia"/>
          <w:lang w:eastAsia="zh-CN"/>
        </w:rPr>
        <w:t>招标</w:t>
      </w:r>
      <w:r>
        <w:rPr>
          <w:rFonts w:hint="eastAsia"/>
        </w:rPr>
        <w:t>人应在项目专用合同条款中对本项规定进行调整。</w:t>
      </w:r>
    </w:p>
  </w:footnote>
  <w:footnote w:id="29">
    <w:p w14:paraId="5EC31B14">
      <w:pPr>
        <w:pStyle w:val="30"/>
        <w:snapToGrid w:val="0"/>
        <w:ind w:firstLine="0"/>
      </w:pPr>
      <w:r>
        <w:rPr>
          <w:rStyle w:val="56"/>
        </w:rPr>
        <w:footnoteRef/>
      </w:r>
      <w:r>
        <w:t xml:space="preserve"> </w:t>
      </w:r>
      <w:r>
        <w:rPr>
          <w:rFonts w:hint="eastAsia"/>
        </w:rPr>
        <w:t>招标人可结合</w:t>
      </w:r>
      <w:r>
        <w:rPr>
          <w:rFonts w:hint="eastAsia"/>
          <w:lang w:val="en-US" w:eastAsia="zh-CN"/>
        </w:rPr>
        <w:t>辽宁</w:t>
      </w:r>
      <w:r>
        <w:rPr>
          <w:rFonts w:hint="eastAsia"/>
        </w:rPr>
        <w:t>省公路建设领域管理政策文件对项目专用合同条款进行细化</w:t>
      </w:r>
      <w:r>
        <w:rPr>
          <w:rFonts w:hint="eastAsia"/>
          <w:lang w:eastAsia="zh-CN"/>
        </w:rPr>
        <w:t>，</w:t>
      </w:r>
      <w:r>
        <w:rPr>
          <w:rFonts w:hint="eastAsia"/>
        </w:rPr>
        <w:t>不得设置各类</w:t>
      </w:r>
      <w:r>
        <w:rPr>
          <w:rFonts w:hint="eastAsia"/>
          <w:lang w:eastAsia="zh-CN"/>
        </w:rPr>
        <w:t>有失公允或违法违规合同条款</w:t>
      </w:r>
      <w:r>
        <w:rPr>
          <w:rFonts w:hint="eastAsia"/>
        </w:rPr>
        <w:t>。</w:t>
      </w:r>
    </w:p>
  </w:footnote>
  <w:footnote w:id="30">
    <w:p w14:paraId="1BEDDEDF">
      <w:pPr>
        <w:pStyle w:val="30"/>
        <w:spacing w:line="300" w:lineRule="atLeast"/>
        <w:ind w:left="360" w:hanging="360" w:hangingChars="200"/>
        <w:jc w:val="both"/>
        <w:rPr>
          <w:szCs w:val="18"/>
        </w:rPr>
      </w:pPr>
      <w:r>
        <w:rPr>
          <w:rStyle w:val="56"/>
          <w:rFonts w:ascii="宋体" w:hAnsi="宋体"/>
          <w:szCs w:val="18"/>
        </w:rPr>
        <w:footnoteRef/>
      </w:r>
      <w:r>
        <w:rPr>
          <w:rFonts w:hint="eastAsia"/>
          <w:szCs w:val="18"/>
        </w:rPr>
        <w:t xml:space="preserve"> </w:t>
      </w:r>
      <w:r>
        <w:rPr>
          <w:szCs w:val="18"/>
        </w:rPr>
        <w:t>a.</w:t>
      </w:r>
      <w:r>
        <w:rPr>
          <w:rFonts w:hAnsi="宋体"/>
          <w:szCs w:val="18"/>
        </w:rPr>
        <w:t>招标人应在招标文件中规定若投标人在所投标段中标需派驻的其他管理和技术人员</w:t>
      </w:r>
      <w:r>
        <w:rPr>
          <w:rFonts w:hint="eastAsia"/>
          <w:lang w:eastAsia="zh-CN"/>
        </w:rPr>
        <w:t>（例如</w:t>
      </w:r>
      <w:r>
        <w:rPr>
          <w:lang w:eastAsia="zh-CN"/>
        </w:rPr>
        <w:t>项目副经理、专业工程师等</w:t>
      </w:r>
      <w:r>
        <w:rPr>
          <w:rFonts w:hint="eastAsia"/>
          <w:lang w:eastAsia="zh-CN"/>
        </w:rPr>
        <w:t>）</w:t>
      </w:r>
      <w:r>
        <w:rPr>
          <w:rFonts w:hAnsi="宋体"/>
          <w:szCs w:val="18"/>
        </w:rPr>
        <w:t>。</w:t>
      </w:r>
      <w:r>
        <w:rPr>
          <w:rFonts w:hint="eastAsia" w:hAnsi="宋体"/>
          <w:szCs w:val="18"/>
        </w:rPr>
        <w:t>上述人员</w:t>
      </w:r>
      <w:r>
        <w:rPr>
          <w:rFonts w:hAnsi="宋体"/>
          <w:szCs w:val="18"/>
        </w:rPr>
        <w:t>的具体人选由招标人和中标人在合同谈判阶段确定</w:t>
      </w:r>
      <w:r>
        <w:rPr>
          <w:rFonts w:hint="eastAsia" w:hAnsi="宋体"/>
          <w:szCs w:val="18"/>
        </w:rPr>
        <w:t>，且经</w:t>
      </w:r>
      <w:r>
        <w:rPr>
          <w:rFonts w:hAnsi="宋体"/>
          <w:szCs w:val="18"/>
        </w:rPr>
        <w:t>招标人审批后作为派驻本标段的项目管理机构主要人员</w:t>
      </w:r>
      <w:r>
        <w:rPr>
          <w:rFonts w:hint="eastAsia" w:hAnsi="宋体"/>
          <w:szCs w:val="18"/>
        </w:rPr>
        <w:t>，</w:t>
      </w:r>
      <w:r>
        <w:rPr>
          <w:rFonts w:hAnsi="宋体"/>
          <w:szCs w:val="18"/>
        </w:rPr>
        <w:t>不允许更换。</w:t>
      </w:r>
      <w:r>
        <w:rPr>
          <w:rFonts w:hint="eastAsia" w:hAnsi="宋体"/>
          <w:szCs w:val="18"/>
        </w:rPr>
        <w:t>如中标人拟派驻的人员数量和资格条件不满足本表要求，招标人应取消其中标资格。</w:t>
      </w:r>
    </w:p>
    <w:p w14:paraId="7F5780B0">
      <w:pPr>
        <w:pStyle w:val="30"/>
        <w:spacing w:line="300" w:lineRule="atLeast"/>
        <w:ind w:left="361" w:leftChars="86" w:hanging="180" w:hangingChars="100"/>
        <w:jc w:val="both"/>
        <w:rPr>
          <w:rFonts w:hint="eastAsia"/>
          <w:szCs w:val="18"/>
        </w:rPr>
      </w:pPr>
      <w:r>
        <w:rPr>
          <w:szCs w:val="18"/>
        </w:rPr>
        <w:t>b.</w:t>
      </w:r>
      <w:r>
        <w:rPr>
          <w:rFonts w:hAnsi="宋体"/>
          <w:szCs w:val="18"/>
        </w:rPr>
        <w:t>本表不适用于已按招标文件要求提供了其他管理和技术人员的特别复杂的特大桥梁和特长隧道项目主体工程以及其他有特殊要求的工程</w:t>
      </w:r>
      <w:r>
        <w:rPr>
          <w:rFonts w:hint="eastAsia" w:ascii="宋体" w:hAnsi="宋体"/>
          <w:szCs w:val="18"/>
        </w:rPr>
        <w:t>。</w:t>
      </w:r>
    </w:p>
  </w:footnote>
  <w:footnote w:id="31">
    <w:p w14:paraId="1FEDE3CF">
      <w:pPr>
        <w:pStyle w:val="30"/>
        <w:spacing w:line="300" w:lineRule="atLeast"/>
        <w:ind w:left="360" w:hanging="360" w:hangingChars="200"/>
        <w:rPr>
          <w:szCs w:val="18"/>
        </w:rPr>
      </w:pPr>
      <w:r>
        <w:rPr>
          <w:rStyle w:val="56"/>
          <w:szCs w:val="18"/>
        </w:rPr>
        <w:footnoteRef/>
      </w:r>
      <w:r>
        <w:rPr>
          <w:rFonts w:hint="eastAsia"/>
          <w:szCs w:val="18"/>
        </w:rPr>
        <w:t xml:space="preserve"> </w:t>
      </w:r>
      <w:r>
        <w:rPr>
          <w:szCs w:val="18"/>
        </w:rPr>
        <w:t>a.</w:t>
      </w:r>
      <w:r>
        <w:rPr>
          <w:rFonts w:hint="eastAsia"/>
          <w:szCs w:val="18"/>
        </w:rPr>
        <w:t xml:space="preserve"> </w:t>
      </w:r>
      <w:r>
        <w:rPr>
          <w:rFonts w:hAnsi="宋体"/>
          <w:szCs w:val="18"/>
        </w:rPr>
        <w:t>招标人应在招标文件中规定若投标人在所投标段中标需提供的主要机械设备和试验检测设备。招标人将在</w:t>
      </w:r>
      <w:r>
        <w:rPr>
          <w:rFonts w:hint="eastAsia" w:hAnsi="宋体"/>
          <w:szCs w:val="18"/>
        </w:rPr>
        <w:t>合同谈判阶段</w:t>
      </w:r>
      <w:r>
        <w:rPr>
          <w:rFonts w:hAnsi="宋体"/>
          <w:szCs w:val="18"/>
        </w:rPr>
        <w:t>要求中标人按照本表的最低要求填报为本标段配备的主要设备，在经招标人审批后作为投入本标段的主要设备且不允许更换。</w:t>
      </w:r>
      <w:r>
        <w:rPr>
          <w:rFonts w:hint="eastAsia" w:hAnsi="宋体"/>
          <w:szCs w:val="18"/>
        </w:rPr>
        <w:t>如招标人拟提供的设备数量和规格指标等不满足本表要求，招标人应取消其中标资格。</w:t>
      </w:r>
    </w:p>
    <w:p w14:paraId="2094A9C5">
      <w:pPr>
        <w:pStyle w:val="30"/>
        <w:spacing w:line="300" w:lineRule="atLeast"/>
        <w:ind w:left="451" w:leftChars="129" w:hanging="180" w:hangingChars="100"/>
        <w:jc w:val="both"/>
        <w:rPr>
          <w:rFonts w:hint="eastAsia"/>
          <w:szCs w:val="18"/>
        </w:rPr>
      </w:pPr>
      <w:r>
        <w:rPr>
          <w:szCs w:val="18"/>
        </w:rPr>
        <w:t>b.</w:t>
      </w:r>
      <w:r>
        <w:rPr>
          <w:rFonts w:hAnsi="宋体"/>
          <w:szCs w:val="18"/>
        </w:rPr>
        <w:t>本表不适用</w:t>
      </w:r>
      <w:r>
        <w:rPr>
          <w:rFonts w:hint="eastAsia" w:ascii="宋体" w:hAnsi="宋体"/>
          <w:szCs w:val="18"/>
        </w:rPr>
        <w:t>于已按招标文件要求提供了主要机械设备和试验检测设备的特别复杂的特大桥梁和特长隧道项目主体工程以及其他有特殊要求的工程。</w:t>
      </w:r>
    </w:p>
    <w:p w14:paraId="545A4E09">
      <w:pPr>
        <w:pStyle w:val="30"/>
        <w:ind w:left="210" w:hanging="210"/>
        <w:rPr>
          <w:rFonts w:hint="eastAsia"/>
          <w:sz w:val="21"/>
          <w:szCs w:val="21"/>
        </w:rPr>
      </w:pPr>
    </w:p>
  </w:footnote>
  <w:footnote w:id="32">
    <w:p w14:paraId="5FD6794B">
      <w:pPr>
        <w:pStyle w:val="30"/>
        <w:tabs>
          <w:tab w:val="left" w:pos="3780"/>
        </w:tabs>
        <w:spacing w:line="340" w:lineRule="atLeast"/>
        <w:ind w:left="210" w:hanging="210"/>
        <w:rPr>
          <w:rFonts w:hint="eastAsia"/>
        </w:rPr>
      </w:pPr>
      <w:r>
        <w:rPr>
          <w:rStyle w:val="56"/>
        </w:rPr>
        <w:footnoteRef/>
      </w:r>
      <w:r>
        <w:rPr>
          <w:rFonts w:hint="eastAsia"/>
        </w:rPr>
        <w:t>本条内容可修改为：“</w:t>
      </w:r>
      <w:r>
        <w:t>本</w:t>
      </w:r>
      <w:r>
        <w:rPr>
          <w:rFonts w:hint="eastAsia"/>
          <w:lang w:eastAsia="zh-CN"/>
        </w:rPr>
        <w:t>担保</w:t>
      </w:r>
      <w:r>
        <w:t>自</w:t>
      </w:r>
      <w:r>
        <w:rPr>
          <w:rFonts w:hint="eastAsia"/>
          <w:u w:val="single"/>
        </w:rPr>
        <w:t xml:space="preserve">         </w:t>
      </w:r>
      <w:r>
        <w:t>（生效日期）之日起生效，至</w:t>
      </w:r>
      <w:r>
        <w:rPr>
          <w:rFonts w:hint="eastAsia"/>
          <w:u w:val="single"/>
        </w:rPr>
        <w:t xml:space="preserve">         </w:t>
      </w:r>
      <w:r>
        <w:t>（失效日期）之日失效</w:t>
      </w:r>
      <w:r>
        <w:rPr>
          <w:rFonts w:hint="eastAsia"/>
        </w:rPr>
        <w:t>。”</w:t>
      </w:r>
      <w:r>
        <w:rPr>
          <w:rFonts w:hint="eastAsia"/>
          <w:sz w:val="21"/>
          <w:szCs w:val="21"/>
        </w:rPr>
        <w:t xml:space="preserve"> </w:t>
      </w:r>
      <w:r>
        <w:rPr>
          <w:rFonts w:hint="eastAsia"/>
        </w:rPr>
        <w:t>如发包人接受</w:t>
      </w:r>
      <w:r>
        <w:rPr>
          <w:rFonts w:hint="eastAsia"/>
          <w:lang w:eastAsia="zh-CN"/>
        </w:rPr>
        <w:t>履约</w:t>
      </w:r>
      <w:r>
        <w:t>保函</w:t>
      </w:r>
      <w:r>
        <w:rPr>
          <w:rFonts w:hint="eastAsia"/>
        </w:rPr>
        <w:t>采用固定有效</w:t>
      </w:r>
      <w:r>
        <w:t>期，</w:t>
      </w:r>
      <w:r>
        <w:rPr>
          <w:rFonts w:hint="eastAsia"/>
        </w:rPr>
        <w:t>在项目</w:t>
      </w:r>
      <w:r>
        <w:t>专用合同条款中</w:t>
      </w:r>
      <w:r>
        <w:rPr>
          <w:rFonts w:hint="eastAsia"/>
        </w:rPr>
        <w:t>应</w:t>
      </w:r>
      <w:r>
        <w:t>增加</w:t>
      </w:r>
      <w:r>
        <w:rPr>
          <w:rFonts w:hint="eastAsia"/>
          <w:lang w:eastAsia="zh-CN"/>
        </w:rPr>
        <w:t>保证</w:t>
      </w:r>
      <w:r>
        <w:rPr>
          <w:rFonts w:hint="eastAsia"/>
        </w:rPr>
        <w:t>承包人在</w:t>
      </w:r>
      <w:r>
        <w:rPr>
          <w:rFonts w:hint="eastAsia"/>
          <w:lang w:eastAsia="zh-CN"/>
        </w:rPr>
        <w:t>履约</w:t>
      </w:r>
      <w:r>
        <w:t>保函失效</w:t>
      </w:r>
      <w:r>
        <w:rPr>
          <w:rFonts w:hint="eastAsia"/>
          <w:lang w:eastAsia="zh-CN"/>
        </w:rPr>
        <w:t>日</w:t>
      </w:r>
      <w:r>
        <w:t>前向发包人出具后续阶段履约保函</w:t>
      </w:r>
      <w:r>
        <w:rPr>
          <w:rFonts w:hint="eastAsia"/>
          <w:lang w:eastAsia="zh-CN"/>
        </w:rPr>
        <w:t>的</w:t>
      </w:r>
      <w:r>
        <w:rPr>
          <w:rFonts w:hint="eastAsia"/>
        </w:rPr>
        <w:t>约束</w:t>
      </w:r>
      <w:r>
        <w:rPr>
          <w:rFonts w:hint="eastAsia"/>
          <w:lang w:eastAsia="zh-CN"/>
        </w:rPr>
        <w:t>性</w:t>
      </w:r>
      <w:r>
        <w:rPr>
          <w:lang w:eastAsia="zh-CN"/>
        </w:rPr>
        <w:t>条款</w:t>
      </w:r>
      <w:r>
        <w:t>，直至发包人签发交工验收证书</w:t>
      </w:r>
      <w:r>
        <w:rPr>
          <w:rFonts w:hint="eastAsia"/>
        </w:rPr>
        <w:t>且承包人按照合同约定缴纳质量保证金</w:t>
      </w:r>
      <w:r>
        <w:t>之日</w:t>
      </w:r>
      <w:r>
        <w:rPr>
          <w:rFonts w:hint="eastAsia"/>
          <w:lang w:eastAsia="zh-CN"/>
        </w:rPr>
        <w:t>为止</w:t>
      </w:r>
      <w:r>
        <w:t>。</w:t>
      </w:r>
    </w:p>
  </w:footnote>
  <w:footnote w:id="33">
    <w:p w14:paraId="1999F8B0">
      <w:pPr>
        <w:pStyle w:val="30"/>
        <w:ind w:left="210" w:hanging="210"/>
        <w:rPr>
          <w:rFonts w:hint="eastAsia"/>
          <w:szCs w:val="18"/>
        </w:rPr>
      </w:pPr>
      <w:r>
        <w:rPr>
          <w:rStyle w:val="56"/>
          <w:szCs w:val="18"/>
        </w:rPr>
        <w:footnoteRef/>
      </w:r>
      <w:r>
        <w:rPr>
          <w:rFonts w:hint="eastAsia"/>
          <w:szCs w:val="18"/>
        </w:rPr>
        <w:t xml:space="preserve"> 招标人可结合招标项目具体特点和实际需要，对本章内容进行补充、细化。</w:t>
      </w:r>
    </w:p>
  </w:footnote>
  <w:footnote w:id="34">
    <w:p w14:paraId="0793D6AB">
      <w:pPr>
        <w:pStyle w:val="30"/>
        <w:spacing w:line="300" w:lineRule="atLeast"/>
        <w:ind w:left="180" w:hanging="180" w:hangingChars="100"/>
        <w:jc w:val="both"/>
        <w:rPr>
          <w:rFonts w:hint="eastAsia" w:hAnsi="宋体"/>
          <w:szCs w:val="18"/>
        </w:rPr>
      </w:pPr>
      <w:r>
        <w:rPr>
          <w:rStyle w:val="56"/>
          <w:rFonts w:ascii="宋体" w:hAnsi="宋体"/>
          <w:szCs w:val="18"/>
        </w:rPr>
        <w:footnoteRef/>
      </w:r>
      <w:r>
        <w:rPr>
          <w:rFonts w:hint="eastAsia" w:hAnsi="宋体"/>
          <w:szCs w:val="18"/>
          <w:lang w:eastAsia="zh-CN"/>
        </w:rPr>
        <w:t xml:space="preserve"> </w:t>
      </w:r>
      <w:r>
        <w:rPr>
          <w:rFonts w:hAnsi="宋体"/>
          <w:szCs w:val="18"/>
        </w:rPr>
        <w:t>本</w:t>
      </w:r>
      <w:r>
        <w:rPr>
          <w:rFonts w:hint="eastAsia" w:hAnsi="宋体"/>
          <w:szCs w:val="18"/>
          <w:lang w:eastAsia="zh-CN"/>
        </w:rPr>
        <w:t>条款</w:t>
      </w:r>
      <w:r>
        <w:rPr>
          <w:rFonts w:hAnsi="宋体"/>
          <w:szCs w:val="18"/>
        </w:rPr>
        <w:t>不适用于已按资格招标文件要求提供了其他管理和技术人员</w:t>
      </w:r>
      <w:r>
        <w:rPr>
          <w:rFonts w:hint="eastAsia" w:hAnsi="宋体"/>
          <w:szCs w:val="18"/>
        </w:rPr>
        <w:t>、</w:t>
      </w:r>
      <w:r>
        <w:rPr>
          <w:rFonts w:hAnsi="宋体"/>
          <w:szCs w:val="18"/>
        </w:rPr>
        <w:t>主要机械设备和试验检测设备的</w:t>
      </w:r>
      <w:r>
        <w:rPr>
          <w:rFonts w:hint="eastAsia" w:hAnsi="宋体"/>
          <w:szCs w:val="18"/>
        </w:rPr>
        <w:t>项目。</w:t>
      </w:r>
    </w:p>
  </w:footnote>
  <w:footnote w:id="35">
    <w:p w14:paraId="3347A57C">
      <w:pPr>
        <w:pStyle w:val="30"/>
        <w:spacing w:line="300" w:lineRule="atLeast"/>
        <w:ind w:left="180" w:hanging="210" w:hangingChars="100"/>
        <w:rPr>
          <w:szCs w:val="18"/>
        </w:rPr>
      </w:pPr>
      <w:r>
        <w:rPr>
          <w:rStyle w:val="56"/>
          <w:kern w:val="2"/>
          <w:sz w:val="21"/>
          <w:szCs w:val="18"/>
        </w:rPr>
        <w:footnoteRef/>
      </w:r>
      <w:r>
        <w:rPr>
          <w:szCs w:val="18"/>
        </w:rPr>
        <w:t xml:space="preserve"> </w:t>
      </w:r>
      <w:r>
        <w:rPr>
          <w:rFonts w:hint="eastAsia"/>
          <w:szCs w:val="18"/>
          <w:lang w:val="en-US" w:eastAsia="zh-CN"/>
        </w:rPr>
        <w:t>若联合体协议书采用线下签署方式，投标人应</w:t>
      </w:r>
      <w:r>
        <w:rPr>
          <w:rFonts w:hint="eastAsia"/>
          <w:szCs w:val="18"/>
        </w:rPr>
        <w:t>附</w:t>
      </w:r>
      <w:r>
        <w:rPr>
          <w:rFonts w:hint="eastAsia"/>
          <w:szCs w:val="18"/>
          <w:lang w:val="en-US" w:eastAsia="zh-CN"/>
        </w:rPr>
        <w:t>所有成员签字盖章后的</w:t>
      </w:r>
      <w:r>
        <w:rPr>
          <w:rFonts w:hint="eastAsia"/>
          <w:szCs w:val="18"/>
        </w:rPr>
        <w:t>联合体协议书</w:t>
      </w:r>
      <w:r>
        <w:rPr>
          <w:rFonts w:hint="eastAsia"/>
          <w:szCs w:val="18"/>
          <w:lang w:val="en-US" w:eastAsia="zh-CN"/>
        </w:rPr>
        <w:t>原件扫描件</w:t>
      </w:r>
      <w:r>
        <w:rPr>
          <w:rFonts w:hint="eastAsia"/>
          <w:szCs w:val="18"/>
          <w:highlight w:val="none"/>
          <w:lang w:val="en-US" w:eastAsia="zh-CN"/>
        </w:rPr>
        <w:t>。</w:t>
      </w:r>
    </w:p>
  </w:footnote>
  <w:footnote w:id="36">
    <w:p w14:paraId="0E00D16F">
      <w:pPr>
        <w:pStyle w:val="30"/>
        <w:spacing w:line="320" w:lineRule="atLeast"/>
        <w:ind w:firstLine="0"/>
        <w:rPr>
          <w:sz w:val="21"/>
          <w:szCs w:val="21"/>
        </w:rPr>
      </w:pPr>
      <w:r>
        <w:rPr>
          <w:rStyle w:val="56"/>
        </w:rPr>
        <w:footnoteRef/>
      </w:r>
    </w:p>
  </w:footnote>
  <w:footnote w:id="37">
    <w:p w14:paraId="7EC1048F">
      <w:pPr>
        <w:pStyle w:val="30"/>
        <w:spacing w:line="300" w:lineRule="atLeast"/>
        <w:ind w:left="180" w:hanging="180" w:hangingChars="100"/>
        <w:rPr>
          <w:rFonts w:hint="eastAsia" w:ascii="宋体-18030" w:hAnsi="宋体-18030" w:eastAsia="宋体-18030" w:cs="宋体-18030"/>
          <w:szCs w:val="18"/>
        </w:rPr>
      </w:pPr>
      <w:r>
        <w:rPr>
          <w:rStyle w:val="56"/>
          <w:rFonts w:ascii="宋体-18030" w:hAnsi="宋体-18030" w:eastAsia="宋体-18030" w:cs="宋体-18030"/>
          <w:szCs w:val="18"/>
        </w:rPr>
        <w:footnoteRef/>
      </w:r>
      <w:r>
        <w:rPr>
          <w:rFonts w:hint="eastAsia"/>
          <w:szCs w:val="18"/>
        </w:rPr>
        <w:t xml:space="preserve"> 招标人要求投标人提供银行信贷证明是为了避免投标人中标后因流动资金不足而影响工程施工，招标人可根据招标项目具体特点和实际情况选择是否要求投标人提供银行信贷证明。如采用银行信贷证明，</w:t>
      </w:r>
      <w:r>
        <w:rPr>
          <w:rFonts w:hint="eastAsia" w:ascii="宋体" w:hAnsi="宋体" w:cs="宋体-18030"/>
          <w:szCs w:val="18"/>
        </w:rPr>
        <w:t>招标人应在此规定开具信贷证明的银行级别。</w:t>
      </w:r>
    </w:p>
  </w:footnote>
  <w:footnote w:id="38">
    <w:p w14:paraId="1C660797">
      <w:pPr>
        <w:pStyle w:val="30"/>
        <w:ind w:firstLine="0"/>
        <w:jc w:val="both"/>
        <w:rPr>
          <w:rFonts w:hint="eastAsia" w:ascii="宋体" w:hAnsi="宋体"/>
          <w:szCs w:val="18"/>
        </w:rPr>
      </w:pPr>
      <w:r>
        <w:rPr>
          <w:rStyle w:val="56"/>
          <w:rFonts w:ascii="宋体" w:hAnsi="宋体"/>
          <w:szCs w:val="18"/>
        </w:rPr>
        <w:footnoteRef/>
      </w:r>
      <w:r>
        <w:rPr>
          <w:rFonts w:hint="eastAsia" w:ascii="宋体" w:hAnsi="宋体"/>
          <w:szCs w:val="18"/>
        </w:rPr>
        <w:t xml:space="preserve"> 本表</w:t>
      </w:r>
      <w:r>
        <w:rPr>
          <w:rFonts w:hint="eastAsia"/>
          <w:szCs w:val="18"/>
        </w:rPr>
        <w:t>仅适用于特别复杂的特大桥梁和特长隧道项目主体工程以及其他有特殊要求的工程。</w:t>
      </w:r>
    </w:p>
  </w:footnote>
  <w:footnote w:id="39">
    <w:p w14:paraId="0B2DF39A">
      <w:pPr>
        <w:pStyle w:val="30"/>
        <w:ind w:firstLine="0"/>
        <w:jc w:val="both"/>
        <w:rPr>
          <w:rFonts w:hint="eastAsia" w:ascii="宋体" w:hAnsi="宋体"/>
          <w:szCs w:val="18"/>
        </w:rPr>
      </w:pPr>
      <w:r>
        <w:rPr>
          <w:rStyle w:val="56"/>
          <w:rFonts w:ascii="宋体" w:hAnsi="宋体"/>
          <w:szCs w:val="18"/>
        </w:rPr>
        <w:footnoteRef/>
      </w:r>
      <w:r>
        <w:rPr>
          <w:rFonts w:hint="eastAsia" w:ascii="宋体" w:hAnsi="宋体"/>
          <w:szCs w:val="18"/>
        </w:rPr>
        <w:t xml:space="preserve"> 本表</w:t>
      </w:r>
      <w:r>
        <w:rPr>
          <w:rFonts w:hint="eastAsia"/>
          <w:szCs w:val="18"/>
        </w:rPr>
        <w:t>仅适用于特别复杂的特大桥梁和特长隧道项目主体工程以及其他有特殊要求的工程。</w:t>
      </w:r>
    </w:p>
  </w:footnote>
  <w:footnote w:id="40">
    <w:p w14:paraId="5FE28D42">
      <w:pPr>
        <w:pStyle w:val="30"/>
        <w:ind w:firstLine="0"/>
        <w:jc w:val="both"/>
        <w:rPr>
          <w:rFonts w:hint="eastAsia" w:ascii="宋体" w:hAnsi="宋体"/>
          <w:sz w:val="21"/>
          <w:szCs w:val="21"/>
        </w:rPr>
      </w:pPr>
      <w:r>
        <w:rPr>
          <w:rStyle w:val="56"/>
          <w:rFonts w:ascii="宋体" w:hAnsi="宋体"/>
        </w:rPr>
        <w:footnoteRef/>
      </w:r>
      <w:r>
        <w:rPr>
          <w:rFonts w:hint="eastAsia" w:ascii="宋体" w:hAnsi="宋体"/>
          <w:szCs w:val="18"/>
          <w:lang w:eastAsia="zh-CN"/>
        </w:rPr>
        <w:t xml:space="preserve"> </w:t>
      </w:r>
      <w:r>
        <w:rPr>
          <w:rFonts w:hint="eastAsia" w:ascii="宋体" w:hAnsi="宋体"/>
          <w:szCs w:val="18"/>
        </w:rPr>
        <w:t>本表仅适用于特别复杂的特大桥梁和特长隧道项目主体工程以及其他有特殊要求的工程。</w:t>
      </w:r>
    </w:p>
  </w:footnote>
  <w:footnote w:id="41">
    <w:p w14:paraId="59DB97BC">
      <w:pPr>
        <w:pStyle w:val="30"/>
        <w:ind w:firstLine="0"/>
        <w:jc w:val="both"/>
        <w:rPr>
          <w:rFonts w:hint="eastAsia" w:ascii="宋体" w:hAnsi="宋体"/>
          <w:szCs w:val="18"/>
        </w:rPr>
      </w:pPr>
      <w:r>
        <w:rPr>
          <w:rStyle w:val="56"/>
          <w:rFonts w:ascii="宋体" w:hAnsi="宋体"/>
          <w:szCs w:val="18"/>
        </w:rPr>
        <w:footnoteRef/>
      </w:r>
      <w:r>
        <w:rPr>
          <w:rFonts w:hint="eastAsia" w:ascii="宋体" w:hAnsi="宋体"/>
          <w:szCs w:val="18"/>
        </w:rPr>
        <w:t xml:space="preserve"> 本表</w:t>
      </w:r>
      <w:r>
        <w:rPr>
          <w:rFonts w:hint="eastAsia"/>
          <w:szCs w:val="18"/>
        </w:rPr>
        <w:t>仅适用于特别复杂的特大桥梁和特长隧道项目主体工程以及其他有特殊要求的工程。</w:t>
      </w:r>
    </w:p>
  </w:footnote>
  <w:footnote w:id="42">
    <w:p w14:paraId="1CF50B37">
      <w:pPr>
        <w:pStyle w:val="30"/>
        <w:spacing w:line="300" w:lineRule="atLeast"/>
        <w:ind w:firstLine="0"/>
        <w:rPr>
          <w:rFonts w:hint="eastAsia"/>
          <w:szCs w:val="18"/>
        </w:rPr>
      </w:pPr>
      <w:r>
        <w:rPr>
          <w:rStyle w:val="56"/>
          <w:szCs w:val="18"/>
        </w:rPr>
        <w:footnoteRef/>
      </w:r>
      <w:r>
        <w:rPr>
          <w:rFonts w:hint="eastAsia"/>
          <w:szCs w:val="18"/>
        </w:rPr>
        <w:t xml:space="preserve"> 一般情况下招标人应不接受调价函。</w:t>
      </w:r>
    </w:p>
  </w:footnote>
  <w:footnote w:id="43">
    <w:p w14:paraId="60306703">
      <w:pPr>
        <w:pStyle w:val="30"/>
        <w:spacing w:line="300" w:lineRule="atLeast"/>
        <w:ind w:left="180" w:hanging="180" w:hangingChars="100"/>
        <w:rPr>
          <w:rFonts w:hint="eastAsia"/>
          <w:szCs w:val="18"/>
        </w:rPr>
      </w:pPr>
      <w:r>
        <w:rPr>
          <w:rStyle w:val="56"/>
          <w:szCs w:val="18"/>
        </w:rPr>
        <w:footnoteRef/>
      </w:r>
      <w:r>
        <w:rPr>
          <w:szCs w:val="18"/>
        </w:rPr>
        <w:t xml:space="preserve"> </w:t>
      </w:r>
      <w:r>
        <w:rPr>
          <w:rFonts w:hint="eastAsia" w:ascii="宋体" w:hAnsi="宋体"/>
          <w:szCs w:val="18"/>
        </w:rPr>
        <w:t>调价后的工程量清单</w:t>
      </w:r>
      <w:r>
        <w:rPr>
          <w:rFonts w:ascii="宋体" w:hAnsi="宋体"/>
          <w:szCs w:val="18"/>
        </w:rPr>
        <w:t>包括工程量清单说明、投标报价说明、计日工说明、其他说明及工程量清单各</w:t>
      </w:r>
      <w:r>
        <w:rPr>
          <w:rFonts w:hAnsi="宋体"/>
          <w:szCs w:val="18"/>
        </w:rPr>
        <w:t>项表格（工程量清单表</w:t>
      </w:r>
      <w:r>
        <w:rPr>
          <w:szCs w:val="18"/>
        </w:rPr>
        <w:t>5.1~</w:t>
      </w:r>
      <w:r>
        <w:rPr>
          <w:rFonts w:hAnsi="宋体"/>
          <w:szCs w:val="18"/>
        </w:rPr>
        <w:t>表</w:t>
      </w:r>
      <w:r>
        <w:rPr>
          <w:szCs w:val="18"/>
        </w:rPr>
        <w:t>5.5）</w:t>
      </w:r>
      <w:r>
        <w:rPr>
          <w:rFonts w:hAnsi="宋体"/>
          <w:szCs w:val="18"/>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4A608F">
    <w:pPr>
      <w:pStyle w:val="27"/>
      <w:pBdr>
        <w:bottom w:val="single" w:color="auto" w:sz="4"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363CDE">
    <w:pPr>
      <w:pBdr>
        <w:bottom w:val="single" w:color="auto" w:sz="4" w:space="1"/>
      </w:pBdr>
      <w:topLinePunct/>
      <w:spacing w:line="240" w:lineRule="atLeast"/>
      <w:ind w:right="190"/>
      <w:rPr>
        <w:sz w:val="17"/>
        <w:szCs w:val="17"/>
      </w:rPr>
    </w:pPr>
    <w:r>
      <w:rPr>
        <w:rStyle w:val="64"/>
        <w:rFonts w:hint="eastAsia" w:eastAsia="黑体"/>
        <w:b w:val="0"/>
        <w:bCs w:val="0"/>
        <w:kern w:val="10"/>
        <w:sz w:val="22"/>
        <w:szCs w:val="22"/>
      </w:rPr>
      <w:t>公路工程标准施工招标文件（2018年版）</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DE556B">
    <w:pPr>
      <w:pStyle w:val="27"/>
      <w:rPr>
        <w:rFonts w:hint="eastAsia" w:eastAsia="宋体"/>
        <w:lang w:eastAsia="zh-CN"/>
      </w:rPr>
    </w:pPr>
    <w:r>
      <w:rPr>
        <w:rFonts w:hint="eastAsia" w:eastAsia="黑体" w:cs="Times New Roman"/>
        <w:sz w:val="20"/>
        <w:szCs w:val="21"/>
        <w:lang w:eastAsia="zh-CN"/>
      </w:rPr>
      <w:t>辽宁省公路建设养护工程电子招标标准施工招标文件（2024年版）</w:t>
    </w:r>
  </w:p>
  <w:p w14:paraId="609FABDA">
    <w:pPr>
      <w:pStyle w:val="27"/>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A6A833">
    <w:pPr>
      <w:pStyle w:val="27"/>
      <w:wordWrap w:val="0"/>
      <w:ind w:right="315"/>
      <w:jc w:val="right"/>
      <w:rPr>
        <w:sz w:val="17"/>
        <w:szCs w:val="17"/>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80662A">
    <w:pPr>
      <w:pBdr>
        <w:bottom w:val="single" w:color="auto" w:sz="4" w:space="1"/>
      </w:pBdr>
      <w:topLinePunct/>
      <w:spacing w:line="240" w:lineRule="atLeast"/>
      <w:ind w:right="190"/>
      <w:jc w:val="right"/>
      <w:rPr>
        <w:rFonts w:hint="default" w:eastAsia="黑体"/>
        <w:sz w:val="17"/>
        <w:szCs w:val="17"/>
        <w:lang w:val="en-US" w:eastAsia="zh-CN"/>
      </w:rPr>
    </w:pPr>
    <w:r>
      <w:rPr>
        <w:rStyle w:val="64"/>
        <w:rFonts w:hint="eastAsia" w:eastAsia="黑体"/>
        <w:b w:val="0"/>
        <w:bCs w:val="0"/>
        <w:kern w:val="10"/>
        <w:sz w:val="22"/>
        <w:szCs w:val="22"/>
      </w:rPr>
      <w:t>第</w:t>
    </w:r>
    <w:r>
      <w:rPr>
        <w:rStyle w:val="64"/>
        <w:rFonts w:hint="eastAsia" w:eastAsia="黑体"/>
        <w:b w:val="0"/>
        <w:bCs w:val="0"/>
        <w:kern w:val="10"/>
        <w:sz w:val="22"/>
        <w:szCs w:val="22"/>
        <w:lang w:val="en-US" w:eastAsia="zh-CN"/>
      </w:rPr>
      <w:t>二</w:t>
    </w:r>
    <w:r>
      <w:rPr>
        <w:rStyle w:val="64"/>
        <w:rFonts w:hint="eastAsia" w:eastAsia="黑体"/>
        <w:b w:val="0"/>
        <w:bCs w:val="0"/>
        <w:kern w:val="10"/>
        <w:sz w:val="22"/>
        <w:szCs w:val="22"/>
      </w:rPr>
      <w:t>章  投标</w:t>
    </w:r>
    <w:r>
      <w:rPr>
        <w:rStyle w:val="64"/>
        <w:rFonts w:hint="eastAsia" w:eastAsia="黑体"/>
        <w:b w:val="0"/>
        <w:bCs w:val="0"/>
        <w:kern w:val="10"/>
        <w:sz w:val="22"/>
        <w:szCs w:val="22"/>
        <w:lang w:val="en-US" w:eastAsia="zh-CN"/>
      </w:rPr>
      <w:t>人须知</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15AAD">
    <w:pPr>
      <w:pStyle w:val="27"/>
      <w:rPr>
        <w:rFonts w:hint="eastAsia" w:eastAsia="宋体"/>
        <w:lang w:eastAsia="zh-CN"/>
      </w:rPr>
    </w:pPr>
    <w:r>
      <w:rPr>
        <w:rFonts w:hint="eastAsia" w:eastAsia="黑体" w:cs="Times New Roman"/>
        <w:sz w:val="20"/>
        <w:szCs w:val="21"/>
        <w:lang w:eastAsia="zh-CN"/>
      </w:rPr>
      <w:t>辽宁省公路建设养护工程电子招标标准施工招标文件（2024年版）</w:t>
    </w:r>
  </w:p>
  <w:p w14:paraId="675A3B36">
    <w:pPr>
      <w:pStyle w:val="27"/>
    </w:pPr>
  </w:p>
  <w:p w14:paraId="24C09DFB">
    <w:pPr>
      <w:pStyle w:val="27"/>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D260CD">
    <w:pPr>
      <w:pBdr>
        <w:bottom w:val="single" w:color="auto" w:sz="4" w:space="1"/>
      </w:pBdr>
      <w:topLinePunct/>
      <w:spacing w:line="240" w:lineRule="atLeast"/>
      <w:ind w:right="190"/>
      <w:jc w:val="right"/>
      <w:rPr>
        <w:sz w:val="17"/>
        <w:szCs w:val="17"/>
      </w:rPr>
    </w:pPr>
    <w:r>
      <w:rPr>
        <w:rStyle w:val="64"/>
        <w:rFonts w:hint="eastAsia" w:eastAsia="黑体"/>
        <w:b w:val="0"/>
        <w:bCs w:val="0"/>
        <w:kern w:val="10"/>
        <w:sz w:val="22"/>
        <w:szCs w:val="22"/>
      </w:rPr>
      <w:t>第二章  投标人须知</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E87EC5">
    <w:pPr>
      <w:pStyle w:val="27"/>
      <w:rPr>
        <w:rFonts w:hint="eastAsia" w:eastAsia="宋体"/>
        <w:lang w:eastAsia="zh-CN"/>
      </w:rPr>
    </w:pPr>
    <w:r>
      <w:rPr>
        <w:rFonts w:hint="eastAsia" w:eastAsia="黑体" w:cs="Times New Roman"/>
        <w:sz w:val="20"/>
        <w:szCs w:val="21"/>
        <w:lang w:eastAsia="zh-CN"/>
      </w:rPr>
      <w:t>辽宁省公路建设养护工程电子招标标准施工招标文件（2024年版）</w:t>
    </w:r>
  </w:p>
  <w:p w14:paraId="6145DC77">
    <w:pPr>
      <w:pStyle w:val="27"/>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1A8DCD">
    <w:pPr>
      <w:pStyle w:val="27"/>
      <w:rPr>
        <w:szCs w:val="17"/>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95C336">
    <w:pPr>
      <w:pStyle w:val="27"/>
      <w:rPr>
        <w:rFonts w:hint="eastAsia" w:eastAsia="宋体"/>
        <w:lang w:eastAsia="zh-CN"/>
      </w:rPr>
    </w:pPr>
    <w:r>
      <w:rPr>
        <w:rFonts w:hint="eastAsia" w:eastAsia="黑体" w:cs="Times New Roman"/>
        <w:sz w:val="20"/>
        <w:szCs w:val="21"/>
        <w:lang w:eastAsia="zh-CN"/>
      </w:rPr>
      <w:t>辽宁省公路建设养护工程电子招标标准施工招标文件（2024年版）</w:t>
    </w:r>
  </w:p>
  <w:p w14:paraId="17B6535F">
    <w:pPr>
      <w:pStyle w:val="27"/>
    </w:pPr>
  </w:p>
  <w:p w14:paraId="3EA07F88">
    <w:pPr>
      <w:pStyle w:val="27"/>
      <w:rPr>
        <w:szCs w:val="17"/>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AB81A1">
    <w:pPr>
      <w:pBdr>
        <w:bottom w:val="single" w:color="auto" w:sz="4" w:space="1"/>
      </w:pBdr>
      <w:topLinePunct/>
      <w:spacing w:line="240" w:lineRule="atLeast"/>
      <w:ind w:right="190"/>
      <w:jc w:val="right"/>
      <w:rPr>
        <w:sz w:val="17"/>
        <w:szCs w:val="17"/>
      </w:rPr>
    </w:pPr>
    <w:r>
      <w:rPr>
        <w:rStyle w:val="64"/>
        <w:rFonts w:hint="eastAsia" w:eastAsia="黑体"/>
        <w:b w:val="0"/>
        <w:bCs w:val="0"/>
        <w:kern w:val="10"/>
        <w:sz w:val="22"/>
        <w:szCs w:val="22"/>
      </w:rPr>
      <w:t>第三章  评标办法（</w:t>
    </w:r>
    <w:r>
      <w:rPr>
        <w:rStyle w:val="64"/>
        <w:rFonts w:hint="eastAsia" w:eastAsia="黑体"/>
        <w:b w:val="0"/>
        <w:bCs w:val="0"/>
        <w:kern w:val="10"/>
        <w:sz w:val="22"/>
        <w:szCs w:val="22"/>
        <w:lang w:val="en-US" w:eastAsia="zh-CN"/>
      </w:rPr>
      <w:t>合理低价</w:t>
    </w:r>
    <w:r>
      <w:rPr>
        <w:rStyle w:val="64"/>
        <w:rFonts w:hint="eastAsia" w:eastAsia="黑体"/>
        <w:b w:val="0"/>
        <w:bCs w:val="0"/>
        <w:kern w:val="10"/>
        <w:sz w:val="22"/>
        <w:szCs w:val="22"/>
      </w:rPr>
      <w:t>法）</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1C337E">
    <w:pPr>
      <w:spacing w:line="222" w:lineRule="auto"/>
      <w:ind w:right="115"/>
      <w:jc w:val="right"/>
      <w:rPr>
        <w:rFonts w:ascii="黑体" w:hAnsi="黑体" w:eastAsia="黑体" w:cs="黑体"/>
        <w:sz w:val="22"/>
        <w:szCs w:val="22"/>
      </w:rPr>
    </w:pPr>
    <w:r>
      <mc:AlternateContent>
        <mc:Choice Requires="wps">
          <w:drawing>
            <wp:anchor distT="0" distB="0" distL="114300" distR="114300" simplePos="0" relativeHeight="251666432" behindDoc="0" locked="0" layoutInCell="0" allowOverlap="1">
              <wp:simplePos x="0" y="0"/>
              <wp:positionH relativeFrom="page">
                <wp:posOffset>899795</wp:posOffset>
              </wp:positionH>
              <wp:positionV relativeFrom="page">
                <wp:posOffset>734060</wp:posOffset>
              </wp:positionV>
              <wp:extent cx="5761355" cy="6350"/>
              <wp:effectExtent l="0" t="0" r="0" b="0"/>
              <wp:wrapNone/>
              <wp:docPr id="15" name="任意多边形 15"/>
              <wp:cNvGraphicFramePr/>
              <a:graphic xmlns:a="http://schemas.openxmlformats.org/drawingml/2006/main">
                <a:graphicData uri="http://schemas.microsoft.com/office/word/2010/wordprocessingShape">
                  <wps:wsp>
                    <wps:cNvSpPr/>
                    <wps:spPr>
                      <a:xfrm>
                        <a:off x="0" y="0"/>
                        <a:ext cx="5761355" cy="6350"/>
                      </a:xfrm>
                      <a:custGeom>
                        <a:avLst/>
                        <a:gdLst/>
                        <a:ahLst/>
                        <a:cxnLst/>
                        <a:pathLst>
                          <a:path w="9072" h="10">
                            <a:moveTo>
                              <a:pt x="0" y="0"/>
                            </a:moveTo>
                            <a:lnTo>
                              <a:pt x="9072" y="0"/>
                            </a:lnTo>
                            <a:lnTo>
                              <a:pt x="9072"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85pt;margin-top:57.8pt;height:0.5pt;width:453.65pt;mso-position-horizontal-relative:page;mso-position-vertical-relative:page;z-index:251666432;mso-width-relative:page;mso-height-relative:page;" fillcolor="#000000" filled="t" stroked="f" coordsize="9072,10" o:allowincell="f" o:gfxdata="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GVY8XdkAAAAMAQAADwAAAAAAAAAB&#10;ACAAAAAiAAAAZHJzL2Rvd25yZXYueG1sUEsBAhQAFAAAAAgAh07iQArZ3YsPAgAAewQAAA4AAAAA&#10;AAAAAQAgAAAAKAEAAGRycy9lMm9Eb2MueG1sUEsFBgAAAAAGAAYAWQEAAKkFAAAAAA==&#10;" path="m0,0l9072,0,9072,9,0,9,0,0xe">
              <v:fill on="t" focussize="0,0"/>
              <v:stroke on="f"/>
              <v:imagedata o:title=""/>
              <o:lock v:ext="edit" aspectratio="f"/>
            </v:shape>
          </w:pict>
        </mc:Fallback>
      </mc:AlternateContent>
    </w:r>
    <w:r>
      <w:rPr>
        <w:rFonts w:ascii="黑体" w:hAnsi="黑体" w:eastAsia="黑体" w:cs="黑体"/>
        <w:spacing w:val="-1"/>
        <w:sz w:val="22"/>
        <w:szCs w:val="22"/>
      </w:rPr>
      <w:t>第四章  合同</w:t>
    </w:r>
    <w:r>
      <w:rPr>
        <w:rFonts w:ascii="黑体" w:hAnsi="黑体" w:eastAsia="黑体" w:cs="黑体"/>
        <w:sz w:val="22"/>
        <w:szCs w:val="22"/>
      </w:rPr>
      <w:t>条款及格式</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9DEBA">
    <w:pPr>
      <w:spacing w:line="222" w:lineRule="auto"/>
      <w:ind w:right="115"/>
      <w:jc w:val="right"/>
      <w:rPr>
        <w:rFonts w:ascii="黑体" w:hAnsi="黑体" w:eastAsia="黑体" w:cs="黑体"/>
        <w:sz w:val="22"/>
        <w:szCs w:val="22"/>
      </w:rPr>
    </w:pPr>
    <w:r>
      <mc:AlternateContent>
        <mc:Choice Requires="wps">
          <w:drawing>
            <wp:anchor distT="0" distB="0" distL="114300" distR="114300" simplePos="0" relativeHeight="251666432" behindDoc="0" locked="0" layoutInCell="0" allowOverlap="1">
              <wp:simplePos x="0" y="0"/>
              <wp:positionH relativeFrom="page">
                <wp:posOffset>899795</wp:posOffset>
              </wp:positionH>
              <wp:positionV relativeFrom="page">
                <wp:posOffset>734060</wp:posOffset>
              </wp:positionV>
              <wp:extent cx="5761355" cy="6350"/>
              <wp:effectExtent l="0" t="0" r="0" b="0"/>
              <wp:wrapNone/>
              <wp:docPr id="13" name="任意多边形 13"/>
              <wp:cNvGraphicFramePr/>
              <a:graphic xmlns:a="http://schemas.openxmlformats.org/drawingml/2006/main">
                <a:graphicData uri="http://schemas.microsoft.com/office/word/2010/wordprocessingShape">
                  <wps:wsp>
                    <wps:cNvSpPr/>
                    <wps:spPr>
                      <a:xfrm>
                        <a:off x="0" y="0"/>
                        <a:ext cx="5761355" cy="6350"/>
                      </a:xfrm>
                      <a:custGeom>
                        <a:avLst/>
                        <a:gdLst/>
                        <a:ahLst/>
                        <a:cxnLst/>
                        <a:pathLst>
                          <a:path w="9072" h="10">
                            <a:moveTo>
                              <a:pt x="0" y="0"/>
                            </a:moveTo>
                            <a:lnTo>
                              <a:pt x="9072" y="0"/>
                            </a:lnTo>
                            <a:lnTo>
                              <a:pt x="9072"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85pt;margin-top:57.8pt;height:0.5pt;width:453.65pt;mso-position-horizontal-relative:page;mso-position-vertical-relative:page;z-index:251666432;mso-width-relative:page;mso-height-relative:page;" fillcolor="#000000" filled="t" stroked="f" coordsize="9072,10" o:allowincell="f" o:gfxdata="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GVY8XdkAAAAMAQAADwAAAAAAAAAB&#10;ACAAAAAiAAAAZHJzL2Rvd25yZXYueG1sUEsBAhQAFAAAAAgAh07iQPmc7wYPAgAAewQAAA4AAAAA&#10;AAAAAQAgAAAAKAEAAGRycy9lMm9Eb2MueG1sUEsFBgAAAAAGAAYAWQEAAKkFAAAAAA==&#10;" path="m0,0l9072,0,9072,9,0,9,0,0xe">
              <v:fill on="t" focussize="0,0"/>
              <v:stroke on="f"/>
              <v:imagedata o:title=""/>
              <o:lock v:ext="edit" aspectratio="f"/>
            </v:shape>
          </w:pict>
        </mc:Fallback>
      </mc:AlternateContent>
    </w:r>
    <w:r>
      <w:rPr>
        <w:rFonts w:ascii="黑体" w:hAnsi="黑体" w:eastAsia="黑体" w:cs="黑体"/>
        <w:spacing w:val="-1"/>
        <w:sz w:val="22"/>
        <w:szCs w:val="22"/>
      </w:rPr>
      <w:t>第四章  合同</w:t>
    </w:r>
    <w:r>
      <w:rPr>
        <w:rFonts w:ascii="黑体" w:hAnsi="黑体" w:eastAsia="黑体" w:cs="黑体"/>
        <w:sz w:val="22"/>
        <w:szCs w:val="22"/>
      </w:rPr>
      <w:t>条款及格式</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D2BF49">
    <w:pPr>
      <w:pBdr>
        <w:bottom w:val="single" w:color="auto" w:sz="4" w:space="1"/>
      </w:pBdr>
      <w:topLinePunct/>
      <w:spacing w:line="240" w:lineRule="atLeast"/>
      <w:ind w:right="190"/>
      <w:jc w:val="right"/>
      <w:rPr>
        <w:sz w:val="17"/>
        <w:szCs w:val="17"/>
      </w:rPr>
    </w:pPr>
    <w:r>
      <w:rPr>
        <w:rStyle w:val="64"/>
        <w:rFonts w:hint="eastAsia" w:eastAsia="黑体"/>
        <w:b w:val="0"/>
        <w:bCs w:val="0"/>
        <w:kern w:val="10"/>
        <w:sz w:val="22"/>
        <w:szCs w:val="22"/>
      </w:rPr>
      <w:t>第四章  合同条款及格式</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41CE1">
    <w:pPr>
      <w:pStyle w:val="27"/>
      <w:rPr>
        <w:rFonts w:hint="eastAsia" w:eastAsia="宋体"/>
        <w:lang w:eastAsia="zh-CN"/>
      </w:rPr>
    </w:pPr>
    <w:r>
      <w:rPr>
        <w:rFonts w:hint="eastAsia" w:eastAsia="黑体" w:cs="Times New Roman"/>
        <w:sz w:val="20"/>
        <w:szCs w:val="21"/>
        <w:lang w:eastAsia="zh-CN"/>
      </w:rPr>
      <w:t>辽宁省公路建设养护工程电子招标标准施工招标文件（2024年版）</w:t>
    </w:r>
  </w:p>
  <w:p w14:paraId="142164BB">
    <w:pPr>
      <w:pStyle w:val="27"/>
    </w:pPr>
  </w:p>
  <w:p w14:paraId="4A460E54">
    <w:pPr>
      <w:pStyle w:val="27"/>
      <w:rPr>
        <w:szCs w:val="17"/>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2F3563">
    <w:pPr>
      <w:pStyle w:val="27"/>
      <w:pBdr>
        <w:bottom w:val="single" w:color="auto" w:sz="4" w:space="0"/>
      </w:pBdr>
      <w:rPr>
        <w:szCs w:val="17"/>
      </w:rPr>
    </w:pPr>
    <w:r>
      <w:rPr>
        <w:rFonts w:hint="eastAsia" w:eastAsia="黑体" w:cs="Times New Roman"/>
        <w:sz w:val="20"/>
        <w:szCs w:val="21"/>
        <w:lang w:eastAsia="zh-CN"/>
      </w:rPr>
      <w:t>辽宁省公路建设养护工程电子招标标准施工招标文件（2024年版）</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ECD5A">
    <w:pPr>
      <w:pStyle w:val="27"/>
      <w:rPr>
        <w:rFonts w:hint="eastAsia" w:eastAsia="宋体"/>
        <w:lang w:eastAsia="zh-CN"/>
      </w:rPr>
    </w:pPr>
    <w:r>
      <w:rPr>
        <w:rFonts w:hint="eastAsia" w:eastAsia="黑体" w:cs="Times New Roman"/>
        <w:sz w:val="20"/>
        <w:szCs w:val="21"/>
        <w:lang w:eastAsia="zh-CN"/>
      </w:rPr>
      <w:t>辽宁省公路建设养护工程电子招标标准施工招标文件（2024年版）</w:t>
    </w:r>
  </w:p>
  <w:p w14:paraId="0AB7EC84">
    <w:pPr>
      <w:pStyle w:val="27"/>
      <w:rPr>
        <w:szCs w:val="17"/>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A4E279">
    <w:pPr>
      <w:pStyle w:val="27"/>
      <w:wordWrap w:val="0"/>
      <w:jc w:val="right"/>
      <w:rPr>
        <w:sz w:val="17"/>
        <w:szCs w:val="17"/>
      </w:rPr>
    </w:pPr>
    <w:r>
      <w:rPr>
        <w:sz w:val="19"/>
        <w:szCs w:val="19"/>
      </w:rPr>
      <mc:AlternateContent>
        <mc:Choice Requires="wps">
          <w:drawing>
            <wp:anchor distT="0" distB="0" distL="114300" distR="114300" simplePos="0" relativeHeight="251661312" behindDoc="0" locked="0" layoutInCell="1" allowOverlap="1">
              <wp:simplePos x="0" y="0"/>
              <wp:positionH relativeFrom="column">
                <wp:posOffset>-45720</wp:posOffset>
              </wp:positionH>
              <wp:positionV relativeFrom="paragraph">
                <wp:posOffset>175895</wp:posOffset>
              </wp:positionV>
              <wp:extent cx="5343525" cy="0"/>
              <wp:effectExtent l="0" t="22225" r="3175" b="28575"/>
              <wp:wrapNone/>
              <wp:docPr id="58" name="直接连接符 58"/>
              <wp:cNvGraphicFramePr/>
              <a:graphic xmlns:a="http://schemas.openxmlformats.org/drawingml/2006/main">
                <a:graphicData uri="http://schemas.microsoft.com/office/word/2010/wordprocessingShape">
                  <wps:wsp>
                    <wps:cNvCnPr/>
                    <wps:spPr>
                      <a:xfrm>
                        <a:off x="0" y="0"/>
                        <a:ext cx="5343525" cy="0"/>
                      </a:xfrm>
                      <a:prstGeom prst="line">
                        <a:avLst/>
                      </a:prstGeom>
                      <a:ln w="44450" cap="flat" cmpd="thickThin">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3.6pt;margin-top:13.85pt;height:0pt;width:420.75pt;z-index:251661312;mso-width-relative:page;mso-height-relative:page;" filled="f" stroked="t" coordsize="21600,21600" o:gfxdata="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CKVl97WAAAACAEAAA8AAAAAAAAAAQAgAAAAIgAAAGRycy9kb3ducmV2LnhtbFBL&#10;AQIUABQAAAAIAIdO4kCyjue5+AEAAO8DAAAOAAAAAAAAAAEAIAAAACUBAABkcnMvZTJvRG9jLnht&#10;bFBLBQYAAAAABgAGAFkBAACPBQAAAAA=&#10;">
              <v:fill on="f" focussize="0,0"/>
              <v:stroke weight="3.5pt" color="#000000" linestyle="thickThin" joinstyle="round"/>
              <v:imagedata o:title=""/>
              <o:lock v:ext="edit" aspectratio="f"/>
            </v:line>
          </w:pict>
        </mc:Fallback>
      </mc:AlternateContent>
    </w:r>
    <w:r>
      <w:rPr>
        <w:rFonts w:hint="eastAsia"/>
        <w:sz w:val="17"/>
        <w:szCs w:val="17"/>
      </w:rPr>
      <w:t xml:space="preserve">     </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607C22">
    <w:pPr>
      <w:pBdr>
        <w:bottom w:val="single" w:color="auto" w:sz="4" w:space="1"/>
      </w:pBdr>
      <w:wordWrap w:val="0"/>
      <w:topLinePunct/>
      <w:spacing w:line="240" w:lineRule="atLeast"/>
      <w:ind w:right="190"/>
      <w:jc w:val="right"/>
      <w:rPr>
        <w:sz w:val="17"/>
        <w:szCs w:val="17"/>
      </w:rPr>
    </w:pPr>
    <w:r>
      <w:rPr>
        <w:rStyle w:val="64"/>
        <w:rFonts w:hint="eastAsia" w:eastAsia="黑体"/>
        <w:b w:val="0"/>
        <w:bCs w:val="0"/>
        <w:kern w:val="10"/>
        <w:sz w:val="22"/>
        <w:szCs w:val="22"/>
      </w:rPr>
      <w:t>第九章  投标文件格式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37DC56"/>
    <w:multiLevelType w:val="singleLevel"/>
    <w:tmpl w:val="0437DC56"/>
    <w:lvl w:ilvl="0" w:tentative="0">
      <w:start w:val="3"/>
      <w:numFmt w:val="decimal"/>
      <w:suff w:val="space"/>
      <w:lvlText w:val="%1."/>
      <w:lvlJc w:val="left"/>
    </w:lvl>
  </w:abstractNum>
  <w:abstractNum w:abstractNumId="1">
    <w:nsid w:val="0FAF03FD"/>
    <w:multiLevelType w:val="singleLevel"/>
    <w:tmpl w:val="0FAF03FD"/>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footnotePr>
    <w:numFmt w:val="decimalEnclosedCircleChinese"/>
    <w:numRestart w:val="eachPage"/>
    <w:footnote w:id="88"/>
    <w:footnote w:id="89"/>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I0Y2FjNmViYzQyMWUxZWNhYTcyNTg0NzYxMDdmZTgifQ=="/>
  </w:docVars>
  <w:rsids>
    <w:rsidRoot w:val="00183A6E"/>
    <w:rsid w:val="0000001F"/>
    <w:rsid w:val="0000015E"/>
    <w:rsid w:val="00000524"/>
    <w:rsid w:val="0000071E"/>
    <w:rsid w:val="00000EEC"/>
    <w:rsid w:val="000027F1"/>
    <w:rsid w:val="0000303A"/>
    <w:rsid w:val="00003C39"/>
    <w:rsid w:val="00003C73"/>
    <w:rsid w:val="00003F34"/>
    <w:rsid w:val="00004004"/>
    <w:rsid w:val="0000436D"/>
    <w:rsid w:val="00005158"/>
    <w:rsid w:val="00005781"/>
    <w:rsid w:val="00005AF8"/>
    <w:rsid w:val="0000601A"/>
    <w:rsid w:val="000060FE"/>
    <w:rsid w:val="000062A9"/>
    <w:rsid w:val="00006980"/>
    <w:rsid w:val="00006E02"/>
    <w:rsid w:val="0000700D"/>
    <w:rsid w:val="00007455"/>
    <w:rsid w:val="00007E1B"/>
    <w:rsid w:val="00010F5B"/>
    <w:rsid w:val="0001202A"/>
    <w:rsid w:val="0001267B"/>
    <w:rsid w:val="00012A9E"/>
    <w:rsid w:val="00012D09"/>
    <w:rsid w:val="000135D2"/>
    <w:rsid w:val="0001364D"/>
    <w:rsid w:val="00014EA1"/>
    <w:rsid w:val="000152F7"/>
    <w:rsid w:val="00015501"/>
    <w:rsid w:val="0001594C"/>
    <w:rsid w:val="00015B67"/>
    <w:rsid w:val="00015FF0"/>
    <w:rsid w:val="00016921"/>
    <w:rsid w:val="0001738A"/>
    <w:rsid w:val="000173A0"/>
    <w:rsid w:val="0001746B"/>
    <w:rsid w:val="000175A9"/>
    <w:rsid w:val="00017876"/>
    <w:rsid w:val="00017E9C"/>
    <w:rsid w:val="00020375"/>
    <w:rsid w:val="000207C2"/>
    <w:rsid w:val="00021472"/>
    <w:rsid w:val="0002185D"/>
    <w:rsid w:val="0002204B"/>
    <w:rsid w:val="00022E41"/>
    <w:rsid w:val="00023047"/>
    <w:rsid w:val="000234C8"/>
    <w:rsid w:val="00023529"/>
    <w:rsid w:val="00023703"/>
    <w:rsid w:val="000237C3"/>
    <w:rsid w:val="0002394B"/>
    <w:rsid w:val="00023E8C"/>
    <w:rsid w:val="00024283"/>
    <w:rsid w:val="00024371"/>
    <w:rsid w:val="00024D41"/>
    <w:rsid w:val="00025A82"/>
    <w:rsid w:val="00026423"/>
    <w:rsid w:val="000265D3"/>
    <w:rsid w:val="00026D2B"/>
    <w:rsid w:val="000272D1"/>
    <w:rsid w:val="0003009E"/>
    <w:rsid w:val="0003015B"/>
    <w:rsid w:val="000302DB"/>
    <w:rsid w:val="00030850"/>
    <w:rsid w:val="00030F00"/>
    <w:rsid w:val="00031249"/>
    <w:rsid w:val="000316B1"/>
    <w:rsid w:val="000318AC"/>
    <w:rsid w:val="00031A9B"/>
    <w:rsid w:val="0003252B"/>
    <w:rsid w:val="0003369F"/>
    <w:rsid w:val="000336A8"/>
    <w:rsid w:val="000339C0"/>
    <w:rsid w:val="00033BA1"/>
    <w:rsid w:val="00033CB7"/>
    <w:rsid w:val="00034A2F"/>
    <w:rsid w:val="0003557E"/>
    <w:rsid w:val="000357A5"/>
    <w:rsid w:val="00035836"/>
    <w:rsid w:val="00035C00"/>
    <w:rsid w:val="0003643A"/>
    <w:rsid w:val="0003653D"/>
    <w:rsid w:val="00036575"/>
    <w:rsid w:val="00036605"/>
    <w:rsid w:val="00036E8E"/>
    <w:rsid w:val="00037A32"/>
    <w:rsid w:val="000406C1"/>
    <w:rsid w:val="0004141C"/>
    <w:rsid w:val="00041598"/>
    <w:rsid w:val="0004179D"/>
    <w:rsid w:val="0004186E"/>
    <w:rsid w:val="0004197A"/>
    <w:rsid w:val="00041DCF"/>
    <w:rsid w:val="000426F6"/>
    <w:rsid w:val="0004298A"/>
    <w:rsid w:val="00042A06"/>
    <w:rsid w:val="00042F0B"/>
    <w:rsid w:val="00043269"/>
    <w:rsid w:val="00043437"/>
    <w:rsid w:val="00043481"/>
    <w:rsid w:val="00043722"/>
    <w:rsid w:val="00043BA4"/>
    <w:rsid w:val="00043BB1"/>
    <w:rsid w:val="00043D44"/>
    <w:rsid w:val="00044548"/>
    <w:rsid w:val="00045307"/>
    <w:rsid w:val="00045318"/>
    <w:rsid w:val="00045474"/>
    <w:rsid w:val="00045BF8"/>
    <w:rsid w:val="00046385"/>
    <w:rsid w:val="0004688A"/>
    <w:rsid w:val="000468D7"/>
    <w:rsid w:val="00046C0C"/>
    <w:rsid w:val="00046C6C"/>
    <w:rsid w:val="000470FD"/>
    <w:rsid w:val="00047E18"/>
    <w:rsid w:val="00047F50"/>
    <w:rsid w:val="0005001E"/>
    <w:rsid w:val="0005085F"/>
    <w:rsid w:val="00050A3B"/>
    <w:rsid w:val="00050A57"/>
    <w:rsid w:val="00050ACF"/>
    <w:rsid w:val="00050C5E"/>
    <w:rsid w:val="000519C9"/>
    <w:rsid w:val="00051D76"/>
    <w:rsid w:val="000528C6"/>
    <w:rsid w:val="00052AEB"/>
    <w:rsid w:val="0005336F"/>
    <w:rsid w:val="0005350A"/>
    <w:rsid w:val="0005365E"/>
    <w:rsid w:val="00054111"/>
    <w:rsid w:val="000555D9"/>
    <w:rsid w:val="00055AB6"/>
    <w:rsid w:val="00056868"/>
    <w:rsid w:val="000572A7"/>
    <w:rsid w:val="000603C4"/>
    <w:rsid w:val="000608B3"/>
    <w:rsid w:val="000615E4"/>
    <w:rsid w:val="000616D0"/>
    <w:rsid w:val="00061BC0"/>
    <w:rsid w:val="00061E21"/>
    <w:rsid w:val="00061FA0"/>
    <w:rsid w:val="00063161"/>
    <w:rsid w:val="00063B44"/>
    <w:rsid w:val="00063B57"/>
    <w:rsid w:val="00063E83"/>
    <w:rsid w:val="00063EAB"/>
    <w:rsid w:val="000643F2"/>
    <w:rsid w:val="0006462C"/>
    <w:rsid w:val="00064857"/>
    <w:rsid w:val="0006494A"/>
    <w:rsid w:val="00065384"/>
    <w:rsid w:val="0006548E"/>
    <w:rsid w:val="00065B0A"/>
    <w:rsid w:val="00065F8D"/>
    <w:rsid w:val="0006638C"/>
    <w:rsid w:val="000667E8"/>
    <w:rsid w:val="0007022C"/>
    <w:rsid w:val="0007037D"/>
    <w:rsid w:val="00070522"/>
    <w:rsid w:val="00070656"/>
    <w:rsid w:val="000706F5"/>
    <w:rsid w:val="00070FE7"/>
    <w:rsid w:val="000715D7"/>
    <w:rsid w:val="000716AB"/>
    <w:rsid w:val="00071B4F"/>
    <w:rsid w:val="00071B8A"/>
    <w:rsid w:val="00072643"/>
    <w:rsid w:val="0007269F"/>
    <w:rsid w:val="00072E36"/>
    <w:rsid w:val="00073431"/>
    <w:rsid w:val="00073C97"/>
    <w:rsid w:val="00074090"/>
    <w:rsid w:val="000740B0"/>
    <w:rsid w:val="0007425D"/>
    <w:rsid w:val="00074972"/>
    <w:rsid w:val="00074C68"/>
    <w:rsid w:val="00074D82"/>
    <w:rsid w:val="00074FF8"/>
    <w:rsid w:val="00075B9F"/>
    <w:rsid w:val="00076473"/>
    <w:rsid w:val="00076D26"/>
    <w:rsid w:val="00076F72"/>
    <w:rsid w:val="00076FD6"/>
    <w:rsid w:val="00077029"/>
    <w:rsid w:val="00077120"/>
    <w:rsid w:val="00077713"/>
    <w:rsid w:val="00077756"/>
    <w:rsid w:val="0007778E"/>
    <w:rsid w:val="00077EAC"/>
    <w:rsid w:val="000805BB"/>
    <w:rsid w:val="000808D7"/>
    <w:rsid w:val="00080DF4"/>
    <w:rsid w:val="00080E55"/>
    <w:rsid w:val="00080E94"/>
    <w:rsid w:val="0008123A"/>
    <w:rsid w:val="000814B2"/>
    <w:rsid w:val="00081A55"/>
    <w:rsid w:val="00083415"/>
    <w:rsid w:val="00083489"/>
    <w:rsid w:val="000845C3"/>
    <w:rsid w:val="00084744"/>
    <w:rsid w:val="0008478E"/>
    <w:rsid w:val="000849ED"/>
    <w:rsid w:val="00084C06"/>
    <w:rsid w:val="00085174"/>
    <w:rsid w:val="000858F1"/>
    <w:rsid w:val="00085B7E"/>
    <w:rsid w:val="00085E0C"/>
    <w:rsid w:val="00085E67"/>
    <w:rsid w:val="00085F8E"/>
    <w:rsid w:val="00086300"/>
    <w:rsid w:val="00086CB8"/>
    <w:rsid w:val="0008716E"/>
    <w:rsid w:val="00087B78"/>
    <w:rsid w:val="00087C4A"/>
    <w:rsid w:val="00090056"/>
    <w:rsid w:val="00090245"/>
    <w:rsid w:val="00090903"/>
    <w:rsid w:val="0009131C"/>
    <w:rsid w:val="000915D5"/>
    <w:rsid w:val="00091922"/>
    <w:rsid w:val="00091EF6"/>
    <w:rsid w:val="0009214B"/>
    <w:rsid w:val="000931C5"/>
    <w:rsid w:val="0009379A"/>
    <w:rsid w:val="00093BEA"/>
    <w:rsid w:val="000947D7"/>
    <w:rsid w:val="00094875"/>
    <w:rsid w:val="00094C83"/>
    <w:rsid w:val="00094FED"/>
    <w:rsid w:val="0009547B"/>
    <w:rsid w:val="00095BA8"/>
    <w:rsid w:val="00095BD6"/>
    <w:rsid w:val="00095F22"/>
    <w:rsid w:val="000972BB"/>
    <w:rsid w:val="00097DDB"/>
    <w:rsid w:val="000A01B9"/>
    <w:rsid w:val="000A0AFA"/>
    <w:rsid w:val="000A18E2"/>
    <w:rsid w:val="000A1D8C"/>
    <w:rsid w:val="000A2246"/>
    <w:rsid w:val="000A26A9"/>
    <w:rsid w:val="000A29C7"/>
    <w:rsid w:val="000A2A4A"/>
    <w:rsid w:val="000A2ACB"/>
    <w:rsid w:val="000A2AEF"/>
    <w:rsid w:val="000A2D88"/>
    <w:rsid w:val="000A31F5"/>
    <w:rsid w:val="000A3C9C"/>
    <w:rsid w:val="000A48DA"/>
    <w:rsid w:val="000A4951"/>
    <w:rsid w:val="000A4A47"/>
    <w:rsid w:val="000A5528"/>
    <w:rsid w:val="000A567A"/>
    <w:rsid w:val="000A5935"/>
    <w:rsid w:val="000A5CF1"/>
    <w:rsid w:val="000A5EFF"/>
    <w:rsid w:val="000A610F"/>
    <w:rsid w:val="000A627F"/>
    <w:rsid w:val="000A659F"/>
    <w:rsid w:val="000A6613"/>
    <w:rsid w:val="000A6891"/>
    <w:rsid w:val="000A6913"/>
    <w:rsid w:val="000A6A4C"/>
    <w:rsid w:val="000A6C53"/>
    <w:rsid w:val="000A7442"/>
    <w:rsid w:val="000A7B25"/>
    <w:rsid w:val="000A7E78"/>
    <w:rsid w:val="000B006E"/>
    <w:rsid w:val="000B070D"/>
    <w:rsid w:val="000B09DA"/>
    <w:rsid w:val="000B0F3E"/>
    <w:rsid w:val="000B24A3"/>
    <w:rsid w:val="000B24F4"/>
    <w:rsid w:val="000B286D"/>
    <w:rsid w:val="000B34E6"/>
    <w:rsid w:val="000B35A6"/>
    <w:rsid w:val="000B388D"/>
    <w:rsid w:val="000B389E"/>
    <w:rsid w:val="000B3922"/>
    <w:rsid w:val="000B3D2C"/>
    <w:rsid w:val="000B48BB"/>
    <w:rsid w:val="000B4953"/>
    <w:rsid w:val="000B4E6F"/>
    <w:rsid w:val="000B501B"/>
    <w:rsid w:val="000B513E"/>
    <w:rsid w:val="000B55F0"/>
    <w:rsid w:val="000B5FAF"/>
    <w:rsid w:val="000B6A50"/>
    <w:rsid w:val="000B6B21"/>
    <w:rsid w:val="000B6E09"/>
    <w:rsid w:val="000B75C5"/>
    <w:rsid w:val="000C0031"/>
    <w:rsid w:val="000C04FC"/>
    <w:rsid w:val="000C18B8"/>
    <w:rsid w:val="000C2010"/>
    <w:rsid w:val="000C2160"/>
    <w:rsid w:val="000C22FD"/>
    <w:rsid w:val="000C29B6"/>
    <w:rsid w:val="000C2BAB"/>
    <w:rsid w:val="000C32FE"/>
    <w:rsid w:val="000C3341"/>
    <w:rsid w:val="000C3414"/>
    <w:rsid w:val="000C36DC"/>
    <w:rsid w:val="000C3ADC"/>
    <w:rsid w:val="000C3DF6"/>
    <w:rsid w:val="000C3EEC"/>
    <w:rsid w:val="000C40AF"/>
    <w:rsid w:val="000C4363"/>
    <w:rsid w:val="000C473F"/>
    <w:rsid w:val="000C4C93"/>
    <w:rsid w:val="000C4E3A"/>
    <w:rsid w:val="000C532C"/>
    <w:rsid w:val="000C566F"/>
    <w:rsid w:val="000C5DFE"/>
    <w:rsid w:val="000C678C"/>
    <w:rsid w:val="000C697F"/>
    <w:rsid w:val="000C6B91"/>
    <w:rsid w:val="000C6DED"/>
    <w:rsid w:val="000C74BA"/>
    <w:rsid w:val="000C7B6F"/>
    <w:rsid w:val="000D0394"/>
    <w:rsid w:val="000D0506"/>
    <w:rsid w:val="000D0946"/>
    <w:rsid w:val="000D0ABC"/>
    <w:rsid w:val="000D0F21"/>
    <w:rsid w:val="000D12D1"/>
    <w:rsid w:val="000D19D3"/>
    <w:rsid w:val="000D1A37"/>
    <w:rsid w:val="000D1B0E"/>
    <w:rsid w:val="000D1BBD"/>
    <w:rsid w:val="000D2418"/>
    <w:rsid w:val="000D25F4"/>
    <w:rsid w:val="000D2739"/>
    <w:rsid w:val="000D2880"/>
    <w:rsid w:val="000D28FA"/>
    <w:rsid w:val="000D35F3"/>
    <w:rsid w:val="000D3D94"/>
    <w:rsid w:val="000D40D1"/>
    <w:rsid w:val="000D4177"/>
    <w:rsid w:val="000D4BFB"/>
    <w:rsid w:val="000D4CCF"/>
    <w:rsid w:val="000D4D62"/>
    <w:rsid w:val="000D4E80"/>
    <w:rsid w:val="000D5115"/>
    <w:rsid w:val="000D5765"/>
    <w:rsid w:val="000D57FA"/>
    <w:rsid w:val="000D5CCF"/>
    <w:rsid w:val="000D60F8"/>
    <w:rsid w:val="000D6ABE"/>
    <w:rsid w:val="000D6B3E"/>
    <w:rsid w:val="000D6CF7"/>
    <w:rsid w:val="000D7C93"/>
    <w:rsid w:val="000E05E0"/>
    <w:rsid w:val="000E0742"/>
    <w:rsid w:val="000E087A"/>
    <w:rsid w:val="000E0F59"/>
    <w:rsid w:val="000E0F8F"/>
    <w:rsid w:val="000E14FD"/>
    <w:rsid w:val="000E15CC"/>
    <w:rsid w:val="000E1BAC"/>
    <w:rsid w:val="000E1C9D"/>
    <w:rsid w:val="000E1D39"/>
    <w:rsid w:val="000E1E2A"/>
    <w:rsid w:val="000E1F2B"/>
    <w:rsid w:val="000E2216"/>
    <w:rsid w:val="000E2955"/>
    <w:rsid w:val="000E2BBA"/>
    <w:rsid w:val="000E3659"/>
    <w:rsid w:val="000E3A5C"/>
    <w:rsid w:val="000E4159"/>
    <w:rsid w:val="000E4316"/>
    <w:rsid w:val="000E4358"/>
    <w:rsid w:val="000E58C7"/>
    <w:rsid w:val="000E5ABE"/>
    <w:rsid w:val="000E5B50"/>
    <w:rsid w:val="000E66F7"/>
    <w:rsid w:val="000E6F28"/>
    <w:rsid w:val="000E7263"/>
    <w:rsid w:val="000E7387"/>
    <w:rsid w:val="000E751B"/>
    <w:rsid w:val="000E7614"/>
    <w:rsid w:val="000E7A3F"/>
    <w:rsid w:val="000E7BC6"/>
    <w:rsid w:val="000F0614"/>
    <w:rsid w:val="000F08A1"/>
    <w:rsid w:val="000F125B"/>
    <w:rsid w:val="000F18AD"/>
    <w:rsid w:val="000F219D"/>
    <w:rsid w:val="000F23BC"/>
    <w:rsid w:val="000F2EB8"/>
    <w:rsid w:val="000F2F8A"/>
    <w:rsid w:val="000F2FBE"/>
    <w:rsid w:val="000F34B1"/>
    <w:rsid w:val="000F3BC4"/>
    <w:rsid w:val="000F3E55"/>
    <w:rsid w:val="000F3EFB"/>
    <w:rsid w:val="000F48C0"/>
    <w:rsid w:val="000F5CC3"/>
    <w:rsid w:val="000F5ED0"/>
    <w:rsid w:val="000F6B5A"/>
    <w:rsid w:val="000F6DFE"/>
    <w:rsid w:val="000F7128"/>
    <w:rsid w:val="000F79B4"/>
    <w:rsid w:val="000F7FB7"/>
    <w:rsid w:val="0010009E"/>
    <w:rsid w:val="001000F9"/>
    <w:rsid w:val="001004F4"/>
    <w:rsid w:val="00101096"/>
    <w:rsid w:val="001012B9"/>
    <w:rsid w:val="00101462"/>
    <w:rsid w:val="0010183A"/>
    <w:rsid w:val="00101CB6"/>
    <w:rsid w:val="0010238C"/>
    <w:rsid w:val="00102510"/>
    <w:rsid w:val="00102585"/>
    <w:rsid w:val="0010271E"/>
    <w:rsid w:val="0010293D"/>
    <w:rsid w:val="001029A6"/>
    <w:rsid w:val="00102DC7"/>
    <w:rsid w:val="00103696"/>
    <w:rsid w:val="0010444F"/>
    <w:rsid w:val="001045E4"/>
    <w:rsid w:val="001046F1"/>
    <w:rsid w:val="001049F2"/>
    <w:rsid w:val="001053C2"/>
    <w:rsid w:val="00105799"/>
    <w:rsid w:val="00105F4B"/>
    <w:rsid w:val="001062B7"/>
    <w:rsid w:val="001064B4"/>
    <w:rsid w:val="0010678A"/>
    <w:rsid w:val="00106927"/>
    <w:rsid w:val="00106AB6"/>
    <w:rsid w:val="00106F6C"/>
    <w:rsid w:val="00111409"/>
    <w:rsid w:val="00111797"/>
    <w:rsid w:val="001117F2"/>
    <w:rsid w:val="00111946"/>
    <w:rsid w:val="00111966"/>
    <w:rsid w:val="00111CBB"/>
    <w:rsid w:val="0011236D"/>
    <w:rsid w:val="001123D8"/>
    <w:rsid w:val="00112B4A"/>
    <w:rsid w:val="00112E6E"/>
    <w:rsid w:val="00113540"/>
    <w:rsid w:val="00113D3F"/>
    <w:rsid w:val="001140AD"/>
    <w:rsid w:val="0011496D"/>
    <w:rsid w:val="00115546"/>
    <w:rsid w:val="001157AB"/>
    <w:rsid w:val="00115D86"/>
    <w:rsid w:val="00115EFE"/>
    <w:rsid w:val="0011640B"/>
    <w:rsid w:val="0011674E"/>
    <w:rsid w:val="00116C28"/>
    <w:rsid w:val="00116E0E"/>
    <w:rsid w:val="00116F83"/>
    <w:rsid w:val="001171B1"/>
    <w:rsid w:val="00117803"/>
    <w:rsid w:val="00117A3A"/>
    <w:rsid w:val="00120BCB"/>
    <w:rsid w:val="00121D54"/>
    <w:rsid w:val="00122B32"/>
    <w:rsid w:val="00122DD3"/>
    <w:rsid w:val="00122FC9"/>
    <w:rsid w:val="00123468"/>
    <w:rsid w:val="00123772"/>
    <w:rsid w:val="00123FBF"/>
    <w:rsid w:val="00124485"/>
    <w:rsid w:val="001247DB"/>
    <w:rsid w:val="0012509C"/>
    <w:rsid w:val="001251FF"/>
    <w:rsid w:val="00125420"/>
    <w:rsid w:val="0012551E"/>
    <w:rsid w:val="00127200"/>
    <w:rsid w:val="00127689"/>
    <w:rsid w:val="00127B5C"/>
    <w:rsid w:val="00130705"/>
    <w:rsid w:val="001309EA"/>
    <w:rsid w:val="00131930"/>
    <w:rsid w:val="00131AEF"/>
    <w:rsid w:val="001320D1"/>
    <w:rsid w:val="001321CB"/>
    <w:rsid w:val="0013292B"/>
    <w:rsid w:val="00132B16"/>
    <w:rsid w:val="00132D96"/>
    <w:rsid w:val="00133B3C"/>
    <w:rsid w:val="00133B60"/>
    <w:rsid w:val="001344FC"/>
    <w:rsid w:val="001348D0"/>
    <w:rsid w:val="00134B32"/>
    <w:rsid w:val="00134C18"/>
    <w:rsid w:val="00134C27"/>
    <w:rsid w:val="0013505A"/>
    <w:rsid w:val="001365B8"/>
    <w:rsid w:val="0014008F"/>
    <w:rsid w:val="0014069F"/>
    <w:rsid w:val="001406FD"/>
    <w:rsid w:val="00140804"/>
    <w:rsid w:val="00140A61"/>
    <w:rsid w:val="00140F0E"/>
    <w:rsid w:val="0014123A"/>
    <w:rsid w:val="00141966"/>
    <w:rsid w:val="00141D5D"/>
    <w:rsid w:val="00141E3A"/>
    <w:rsid w:val="001421E7"/>
    <w:rsid w:val="00142219"/>
    <w:rsid w:val="00142B3F"/>
    <w:rsid w:val="00142E68"/>
    <w:rsid w:val="0014306A"/>
    <w:rsid w:val="001434AA"/>
    <w:rsid w:val="00143C47"/>
    <w:rsid w:val="00143C48"/>
    <w:rsid w:val="00143C68"/>
    <w:rsid w:val="00143CF7"/>
    <w:rsid w:val="00143EA5"/>
    <w:rsid w:val="00144441"/>
    <w:rsid w:val="00144B21"/>
    <w:rsid w:val="001459F8"/>
    <w:rsid w:val="00145E6D"/>
    <w:rsid w:val="0014600B"/>
    <w:rsid w:val="0014658C"/>
    <w:rsid w:val="00146710"/>
    <w:rsid w:val="0014690F"/>
    <w:rsid w:val="00146989"/>
    <w:rsid w:val="00147A6D"/>
    <w:rsid w:val="00150F4D"/>
    <w:rsid w:val="00151038"/>
    <w:rsid w:val="00151A7F"/>
    <w:rsid w:val="00151F2E"/>
    <w:rsid w:val="00151FC8"/>
    <w:rsid w:val="001527C1"/>
    <w:rsid w:val="00152861"/>
    <w:rsid w:val="001535C8"/>
    <w:rsid w:val="00153DAB"/>
    <w:rsid w:val="00153DBD"/>
    <w:rsid w:val="0015423F"/>
    <w:rsid w:val="00155293"/>
    <w:rsid w:val="00155667"/>
    <w:rsid w:val="00155FC6"/>
    <w:rsid w:val="00156AD4"/>
    <w:rsid w:val="00157151"/>
    <w:rsid w:val="00157E52"/>
    <w:rsid w:val="001600C8"/>
    <w:rsid w:val="00160277"/>
    <w:rsid w:val="00160D73"/>
    <w:rsid w:val="0016205A"/>
    <w:rsid w:val="001623CE"/>
    <w:rsid w:val="00162541"/>
    <w:rsid w:val="001631FF"/>
    <w:rsid w:val="001639C4"/>
    <w:rsid w:val="0016425B"/>
    <w:rsid w:val="00164863"/>
    <w:rsid w:val="00164893"/>
    <w:rsid w:val="00164EDC"/>
    <w:rsid w:val="0016516B"/>
    <w:rsid w:val="001655A3"/>
    <w:rsid w:val="00165E5B"/>
    <w:rsid w:val="00166BD3"/>
    <w:rsid w:val="001675B1"/>
    <w:rsid w:val="00167A32"/>
    <w:rsid w:val="00167F63"/>
    <w:rsid w:val="00167F89"/>
    <w:rsid w:val="00170071"/>
    <w:rsid w:val="001701AF"/>
    <w:rsid w:val="001701DF"/>
    <w:rsid w:val="0017098D"/>
    <w:rsid w:val="00170CF8"/>
    <w:rsid w:val="00170DD7"/>
    <w:rsid w:val="00171326"/>
    <w:rsid w:val="00171A81"/>
    <w:rsid w:val="00171EEA"/>
    <w:rsid w:val="001722A2"/>
    <w:rsid w:val="00172ECE"/>
    <w:rsid w:val="00173F8F"/>
    <w:rsid w:val="00174C65"/>
    <w:rsid w:val="0017537A"/>
    <w:rsid w:val="001755A3"/>
    <w:rsid w:val="00175C51"/>
    <w:rsid w:val="00175F34"/>
    <w:rsid w:val="00175F61"/>
    <w:rsid w:val="0017601A"/>
    <w:rsid w:val="0017609D"/>
    <w:rsid w:val="0017610F"/>
    <w:rsid w:val="00176668"/>
    <w:rsid w:val="00176EED"/>
    <w:rsid w:val="00177050"/>
    <w:rsid w:val="00177857"/>
    <w:rsid w:val="00177F61"/>
    <w:rsid w:val="001801E3"/>
    <w:rsid w:val="00180461"/>
    <w:rsid w:val="00180BD9"/>
    <w:rsid w:val="001819F4"/>
    <w:rsid w:val="00181DE7"/>
    <w:rsid w:val="0018299C"/>
    <w:rsid w:val="00182E08"/>
    <w:rsid w:val="00182EE9"/>
    <w:rsid w:val="0018342A"/>
    <w:rsid w:val="00183553"/>
    <w:rsid w:val="001836B7"/>
    <w:rsid w:val="00183A6E"/>
    <w:rsid w:val="00183AA1"/>
    <w:rsid w:val="00183B15"/>
    <w:rsid w:val="001844D0"/>
    <w:rsid w:val="00184660"/>
    <w:rsid w:val="00184741"/>
    <w:rsid w:val="00185557"/>
    <w:rsid w:val="00185C87"/>
    <w:rsid w:val="00185CA1"/>
    <w:rsid w:val="00185F3E"/>
    <w:rsid w:val="001861A7"/>
    <w:rsid w:val="001861EF"/>
    <w:rsid w:val="001867B8"/>
    <w:rsid w:val="001868CE"/>
    <w:rsid w:val="00186DA8"/>
    <w:rsid w:val="0018784D"/>
    <w:rsid w:val="00187F1D"/>
    <w:rsid w:val="00190010"/>
    <w:rsid w:val="0019028F"/>
    <w:rsid w:val="001907E8"/>
    <w:rsid w:val="00191065"/>
    <w:rsid w:val="001914A6"/>
    <w:rsid w:val="00191DE6"/>
    <w:rsid w:val="00192400"/>
    <w:rsid w:val="0019254B"/>
    <w:rsid w:val="0019378D"/>
    <w:rsid w:val="00194424"/>
    <w:rsid w:val="00195B3D"/>
    <w:rsid w:val="00195EE2"/>
    <w:rsid w:val="00196648"/>
    <w:rsid w:val="0019679B"/>
    <w:rsid w:val="0019708F"/>
    <w:rsid w:val="001970B8"/>
    <w:rsid w:val="00197173"/>
    <w:rsid w:val="00197451"/>
    <w:rsid w:val="001974F4"/>
    <w:rsid w:val="001976DF"/>
    <w:rsid w:val="001979F5"/>
    <w:rsid w:val="00197C2B"/>
    <w:rsid w:val="001A01CC"/>
    <w:rsid w:val="001A022D"/>
    <w:rsid w:val="001A040D"/>
    <w:rsid w:val="001A07DC"/>
    <w:rsid w:val="001A0AD5"/>
    <w:rsid w:val="001A1653"/>
    <w:rsid w:val="001A1705"/>
    <w:rsid w:val="001A1B7D"/>
    <w:rsid w:val="001A2072"/>
    <w:rsid w:val="001A23E6"/>
    <w:rsid w:val="001A25A2"/>
    <w:rsid w:val="001A2E89"/>
    <w:rsid w:val="001A2F26"/>
    <w:rsid w:val="001A394A"/>
    <w:rsid w:val="001A4A1E"/>
    <w:rsid w:val="001A504B"/>
    <w:rsid w:val="001A5437"/>
    <w:rsid w:val="001A60BC"/>
    <w:rsid w:val="001A657E"/>
    <w:rsid w:val="001A7133"/>
    <w:rsid w:val="001A7519"/>
    <w:rsid w:val="001B0287"/>
    <w:rsid w:val="001B0400"/>
    <w:rsid w:val="001B08C8"/>
    <w:rsid w:val="001B095D"/>
    <w:rsid w:val="001B12B3"/>
    <w:rsid w:val="001B1532"/>
    <w:rsid w:val="001B156A"/>
    <w:rsid w:val="001B1621"/>
    <w:rsid w:val="001B1665"/>
    <w:rsid w:val="001B1C37"/>
    <w:rsid w:val="001B2591"/>
    <w:rsid w:val="001B2724"/>
    <w:rsid w:val="001B296B"/>
    <w:rsid w:val="001B3077"/>
    <w:rsid w:val="001B32C4"/>
    <w:rsid w:val="001B3A92"/>
    <w:rsid w:val="001B42CF"/>
    <w:rsid w:val="001B4551"/>
    <w:rsid w:val="001B4C52"/>
    <w:rsid w:val="001B5962"/>
    <w:rsid w:val="001B5C46"/>
    <w:rsid w:val="001B709E"/>
    <w:rsid w:val="001B7600"/>
    <w:rsid w:val="001B7645"/>
    <w:rsid w:val="001B7ADE"/>
    <w:rsid w:val="001B7F6B"/>
    <w:rsid w:val="001B7FAA"/>
    <w:rsid w:val="001C03EC"/>
    <w:rsid w:val="001C0798"/>
    <w:rsid w:val="001C0E0C"/>
    <w:rsid w:val="001C118A"/>
    <w:rsid w:val="001C1F0F"/>
    <w:rsid w:val="001C2569"/>
    <w:rsid w:val="001C2706"/>
    <w:rsid w:val="001C2806"/>
    <w:rsid w:val="001C2F08"/>
    <w:rsid w:val="001C371D"/>
    <w:rsid w:val="001C392F"/>
    <w:rsid w:val="001C3B66"/>
    <w:rsid w:val="001C3FC6"/>
    <w:rsid w:val="001C4D94"/>
    <w:rsid w:val="001C515C"/>
    <w:rsid w:val="001C63CB"/>
    <w:rsid w:val="001C65FC"/>
    <w:rsid w:val="001C6637"/>
    <w:rsid w:val="001D02B6"/>
    <w:rsid w:val="001D052F"/>
    <w:rsid w:val="001D0A38"/>
    <w:rsid w:val="001D0C48"/>
    <w:rsid w:val="001D10E6"/>
    <w:rsid w:val="001D1199"/>
    <w:rsid w:val="001D11C3"/>
    <w:rsid w:val="001D12E4"/>
    <w:rsid w:val="001D152C"/>
    <w:rsid w:val="001D15E8"/>
    <w:rsid w:val="001D167A"/>
    <w:rsid w:val="001D18FC"/>
    <w:rsid w:val="001D1E44"/>
    <w:rsid w:val="001D20FC"/>
    <w:rsid w:val="001D3C52"/>
    <w:rsid w:val="001D4235"/>
    <w:rsid w:val="001D4307"/>
    <w:rsid w:val="001D4407"/>
    <w:rsid w:val="001D4565"/>
    <w:rsid w:val="001D4A24"/>
    <w:rsid w:val="001D53FE"/>
    <w:rsid w:val="001D54A2"/>
    <w:rsid w:val="001D5866"/>
    <w:rsid w:val="001D6EE0"/>
    <w:rsid w:val="001D6FAE"/>
    <w:rsid w:val="001D70E5"/>
    <w:rsid w:val="001D741C"/>
    <w:rsid w:val="001D7D69"/>
    <w:rsid w:val="001D7EDD"/>
    <w:rsid w:val="001E0669"/>
    <w:rsid w:val="001E0B04"/>
    <w:rsid w:val="001E115B"/>
    <w:rsid w:val="001E12A8"/>
    <w:rsid w:val="001E1714"/>
    <w:rsid w:val="001E1824"/>
    <w:rsid w:val="001E1832"/>
    <w:rsid w:val="001E19EB"/>
    <w:rsid w:val="001E1B30"/>
    <w:rsid w:val="001E2042"/>
    <w:rsid w:val="001E373B"/>
    <w:rsid w:val="001E3A60"/>
    <w:rsid w:val="001E4157"/>
    <w:rsid w:val="001E495F"/>
    <w:rsid w:val="001E49AB"/>
    <w:rsid w:val="001E4B2C"/>
    <w:rsid w:val="001E58DE"/>
    <w:rsid w:val="001E5AF5"/>
    <w:rsid w:val="001E5CBA"/>
    <w:rsid w:val="001E5D85"/>
    <w:rsid w:val="001E6663"/>
    <w:rsid w:val="001E6754"/>
    <w:rsid w:val="001E679A"/>
    <w:rsid w:val="001E6FFE"/>
    <w:rsid w:val="001E7AC9"/>
    <w:rsid w:val="001F0C8E"/>
    <w:rsid w:val="001F10F7"/>
    <w:rsid w:val="001F239A"/>
    <w:rsid w:val="001F24D2"/>
    <w:rsid w:val="001F2CFE"/>
    <w:rsid w:val="001F3230"/>
    <w:rsid w:val="001F3253"/>
    <w:rsid w:val="001F358E"/>
    <w:rsid w:val="001F36DC"/>
    <w:rsid w:val="001F3F62"/>
    <w:rsid w:val="001F42BD"/>
    <w:rsid w:val="001F43A5"/>
    <w:rsid w:val="001F5509"/>
    <w:rsid w:val="001F583B"/>
    <w:rsid w:val="001F5A6D"/>
    <w:rsid w:val="001F5A72"/>
    <w:rsid w:val="001F617F"/>
    <w:rsid w:val="001F61A4"/>
    <w:rsid w:val="001F6978"/>
    <w:rsid w:val="001F6AF8"/>
    <w:rsid w:val="001F6C09"/>
    <w:rsid w:val="001F6CCF"/>
    <w:rsid w:val="001F7CBA"/>
    <w:rsid w:val="00200308"/>
    <w:rsid w:val="00200443"/>
    <w:rsid w:val="00200867"/>
    <w:rsid w:val="00200ECF"/>
    <w:rsid w:val="00201064"/>
    <w:rsid w:val="0020150A"/>
    <w:rsid w:val="0020179E"/>
    <w:rsid w:val="00201AC4"/>
    <w:rsid w:val="00201AE1"/>
    <w:rsid w:val="002021E7"/>
    <w:rsid w:val="00202688"/>
    <w:rsid w:val="002028BE"/>
    <w:rsid w:val="00202C8B"/>
    <w:rsid w:val="00202E5F"/>
    <w:rsid w:val="0020303F"/>
    <w:rsid w:val="00203537"/>
    <w:rsid w:val="002039EA"/>
    <w:rsid w:val="00203B2C"/>
    <w:rsid w:val="00204216"/>
    <w:rsid w:val="00204671"/>
    <w:rsid w:val="002046F4"/>
    <w:rsid w:val="00204811"/>
    <w:rsid w:val="002054A7"/>
    <w:rsid w:val="002057AD"/>
    <w:rsid w:val="00205D23"/>
    <w:rsid w:val="00205FD8"/>
    <w:rsid w:val="00206515"/>
    <w:rsid w:val="002065A4"/>
    <w:rsid w:val="002065E5"/>
    <w:rsid w:val="00206837"/>
    <w:rsid w:val="00206911"/>
    <w:rsid w:val="00207070"/>
    <w:rsid w:val="00210137"/>
    <w:rsid w:val="00210261"/>
    <w:rsid w:val="002108B3"/>
    <w:rsid w:val="00210A9D"/>
    <w:rsid w:val="00211F2E"/>
    <w:rsid w:val="00212112"/>
    <w:rsid w:val="0021229E"/>
    <w:rsid w:val="00212EEE"/>
    <w:rsid w:val="002130F9"/>
    <w:rsid w:val="002142C1"/>
    <w:rsid w:val="002144BD"/>
    <w:rsid w:val="00214840"/>
    <w:rsid w:val="00215256"/>
    <w:rsid w:val="002154B6"/>
    <w:rsid w:val="002154BD"/>
    <w:rsid w:val="00215715"/>
    <w:rsid w:val="00215AF8"/>
    <w:rsid w:val="002160BA"/>
    <w:rsid w:val="002165D8"/>
    <w:rsid w:val="0021666A"/>
    <w:rsid w:val="00216E27"/>
    <w:rsid w:val="00216E7F"/>
    <w:rsid w:val="00217257"/>
    <w:rsid w:val="00217A95"/>
    <w:rsid w:val="0022109F"/>
    <w:rsid w:val="00221594"/>
    <w:rsid w:val="0022195C"/>
    <w:rsid w:val="002219FC"/>
    <w:rsid w:val="0022318A"/>
    <w:rsid w:val="002232FA"/>
    <w:rsid w:val="002234BF"/>
    <w:rsid w:val="00223842"/>
    <w:rsid w:val="0022391D"/>
    <w:rsid w:val="00223B1E"/>
    <w:rsid w:val="00223B68"/>
    <w:rsid w:val="00223C5E"/>
    <w:rsid w:val="0022409B"/>
    <w:rsid w:val="002244A4"/>
    <w:rsid w:val="0022468C"/>
    <w:rsid w:val="0022479F"/>
    <w:rsid w:val="00224EA5"/>
    <w:rsid w:val="00225054"/>
    <w:rsid w:val="002250A2"/>
    <w:rsid w:val="00225152"/>
    <w:rsid w:val="002252C2"/>
    <w:rsid w:val="002264C5"/>
    <w:rsid w:val="00226CFF"/>
    <w:rsid w:val="00227584"/>
    <w:rsid w:val="002275FD"/>
    <w:rsid w:val="00227A17"/>
    <w:rsid w:val="00227FD0"/>
    <w:rsid w:val="0023000B"/>
    <w:rsid w:val="00230711"/>
    <w:rsid w:val="00230CC1"/>
    <w:rsid w:val="00230E1A"/>
    <w:rsid w:val="00231924"/>
    <w:rsid w:val="00231BEF"/>
    <w:rsid w:val="00232E38"/>
    <w:rsid w:val="00233041"/>
    <w:rsid w:val="002331CB"/>
    <w:rsid w:val="00233430"/>
    <w:rsid w:val="0023365A"/>
    <w:rsid w:val="00233816"/>
    <w:rsid w:val="00233BA2"/>
    <w:rsid w:val="00233F0A"/>
    <w:rsid w:val="00234046"/>
    <w:rsid w:val="0023437D"/>
    <w:rsid w:val="00234492"/>
    <w:rsid w:val="002359BB"/>
    <w:rsid w:val="00235B31"/>
    <w:rsid w:val="0023617C"/>
    <w:rsid w:val="00236466"/>
    <w:rsid w:val="00237420"/>
    <w:rsid w:val="0023753D"/>
    <w:rsid w:val="0023753F"/>
    <w:rsid w:val="002375FD"/>
    <w:rsid w:val="00237600"/>
    <w:rsid w:val="002378C0"/>
    <w:rsid w:val="002378E0"/>
    <w:rsid w:val="0023798D"/>
    <w:rsid w:val="00237AC6"/>
    <w:rsid w:val="00240277"/>
    <w:rsid w:val="00240294"/>
    <w:rsid w:val="002402B6"/>
    <w:rsid w:val="0024089F"/>
    <w:rsid w:val="00240FFC"/>
    <w:rsid w:val="00241377"/>
    <w:rsid w:val="0024141E"/>
    <w:rsid w:val="00241641"/>
    <w:rsid w:val="002418BA"/>
    <w:rsid w:val="00241A25"/>
    <w:rsid w:val="00241CF9"/>
    <w:rsid w:val="00241F5A"/>
    <w:rsid w:val="00242399"/>
    <w:rsid w:val="002425C2"/>
    <w:rsid w:val="00242C8C"/>
    <w:rsid w:val="00242E9C"/>
    <w:rsid w:val="00242F46"/>
    <w:rsid w:val="00243153"/>
    <w:rsid w:val="0024330C"/>
    <w:rsid w:val="00243CE1"/>
    <w:rsid w:val="0024401D"/>
    <w:rsid w:val="0024448F"/>
    <w:rsid w:val="00245539"/>
    <w:rsid w:val="0024573D"/>
    <w:rsid w:val="00245B13"/>
    <w:rsid w:val="00245B4A"/>
    <w:rsid w:val="00246087"/>
    <w:rsid w:val="002462F5"/>
    <w:rsid w:val="00246467"/>
    <w:rsid w:val="00246A6B"/>
    <w:rsid w:val="00246F4C"/>
    <w:rsid w:val="0024754E"/>
    <w:rsid w:val="00247C28"/>
    <w:rsid w:val="00247E30"/>
    <w:rsid w:val="002504A3"/>
    <w:rsid w:val="002508CE"/>
    <w:rsid w:val="00250B12"/>
    <w:rsid w:val="00251054"/>
    <w:rsid w:val="0025110B"/>
    <w:rsid w:val="0025166D"/>
    <w:rsid w:val="00251817"/>
    <w:rsid w:val="00251CAE"/>
    <w:rsid w:val="00251F0B"/>
    <w:rsid w:val="00252CCC"/>
    <w:rsid w:val="00253008"/>
    <w:rsid w:val="00253015"/>
    <w:rsid w:val="0025381B"/>
    <w:rsid w:val="002538A3"/>
    <w:rsid w:val="00253C13"/>
    <w:rsid w:val="00254698"/>
    <w:rsid w:val="00254F66"/>
    <w:rsid w:val="002551C1"/>
    <w:rsid w:val="00255397"/>
    <w:rsid w:val="002557AD"/>
    <w:rsid w:val="00255950"/>
    <w:rsid w:val="00255EA5"/>
    <w:rsid w:val="00255F7D"/>
    <w:rsid w:val="002560D1"/>
    <w:rsid w:val="00256B38"/>
    <w:rsid w:val="00256E0A"/>
    <w:rsid w:val="002576FA"/>
    <w:rsid w:val="00260B83"/>
    <w:rsid w:val="00260C2E"/>
    <w:rsid w:val="00260CED"/>
    <w:rsid w:val="00260E20"/>
    <w:rsid w:val="00261214"/>
    <w:rsid w:val="00261345"/>
    <w:rsid w:val="00262680"/>
    <w:rsid w:val="00262BD1"/>
    <w:rsid w:val="00262BEA"/>
    <w:rsid w:val="00262FF8"/>
    <w:rsid w:val="00263183"/>
    <w:rsid w:val="00263A33"/>
    <w:rsid w:val="002645C4"/>
    <w:rsid w:val="00264A64"/>
    <w:rsid w:val="00264BDF"/>
    <w:rsid w:val="00264E78"/>
    <w:rsid w:val="002659F2"/>
    <w:rsid w:val="00265EA7"/>
    <w:rsid w:val="00266923"/>
    <w:rsid w:val="00266DC2"/>
    <w:rsid w:val="00267C08"/>
    <w:rsid w:val="00270595"/>
    <w:rsid w:val="00270AEF"/>
    <w:rsid w:val="00270D76"/>
    <w:rsid w:val="00270F3F"/>
    <w:rsid w:val="0027103D"/>
    <w:rsid w:val="002711B5"/>
    <w:rsid w:val="00271294"/>
    <w:rsid w:val="002716E5"/>
    <w:rsid w:val="0027179D"/>
    <w:rsid w:val="002717DC"/>
    <w:rsid w:val="00273222"/>
    <w:rsid w:val="00274630"/>
    <w:rsid w:val="00274C9D"/>
    <w:rsid w:val="0027590F"/>
    <w:rsid w:val="00275CB1"/>
    <w:rsid w:val="00276F9A"/>
    <w:rsid w:val="002776CE"/>
    <w:rsid w:val="0028018D"/>
    <w:rsid w:val="00280D65"/>
    <w:rsid w:val="0028154B"/>
    <w:rsid w:val="002818E7"/>
    <w:rsid w:val="00281C4D"/>
    <w:rsid w:val="0028205E"/>
    <w:rsid w:val="00282120"/>
    <w:rsid w:val="002827B0"/>
    <w:rsid w:val="00282B9A"/>
    <w:rsid w:val="00282CC6"/>
    <w:rsid w:val="00282CE9"/>
    <w:rsid w:val="00283A57"/>
    <w:rsid w:val="00283AD7"/>
    <w:rsid w:val="00283E11"/>
    <w:rsid w:val="0028427F"/>
    <w:rsid w:val="00284410"/>
    <w:rsid w:val="00284557"/>
    <w:rsid w:val="00284B3B"/>
    <w:rsid w:val="00285158"/>
    <w:rsid w:val="00285553"/>
    <w:rsid w:val="002857E8"/>
    <w:rsid w:val="002860C8"/>
    <w:rsid w:val="00286646"/>
    <w:rsid w:val="002867AF"/>
    <w:rsid w:val="00286EE8"/>
    <w:rsid w:val="00286F27"/>
    <w:rsid w:val="002870FA"/>
    <w:rsid w:val="00287DBC"/>
    <w:rsid w:val="00287FA5"/>
    <w:rsid w:val="002904C2"/>
    <w:rsid w:val="00290590"/>
    <w:rsid w:val="002907FE"/>
    <w:rsid w:val="0029091B"/>
    <w:rsid w:val="00290C6D"/>
    <w:rsid w:val="00291290"/>
    <w:rsid w:val="002912BB"/>
    <w:rsid w:val="00291E84"/>
    <w:rsid w:val="0029264B"/>
    <w:rsid w:val="00292868"/>
    <w:rsid w:val="00292C9F"/>
    <w:rsid w:val="00292CBA"/>
    <w:rsid w:val="00292CF2"/>
    <w:rsid w:val="0029313E"/>
    <w:rsid w:val="00294316"/>
    <w:rsid w:val="00294C70"/>
    <w:rsid w:val="00295361"/>
    <w:rsid w:val="0029631E"/>
    <w:rsid w:val="00296D16"/>
    <w:rsid w:val="00296DFF"/>
    <w:rsid w:val="002973CE"/>
    <w:rsid w:val="002975F0"/>
    <w:rsid w:val="002A0882"/>
    <w:rsid w:val="002A092D"/>
    <w:rsid w:val="002A12FA"/>
    <w:rsid w:val="002A1845"/>
    <w:rsid w:val="002A19AC"/>
    <w:rsid w:val="002A1E56"/>
    <w:rsid w:val="002A2BAF"/>
    <w:rsid w:val="002A31B3"/>
    <w:rsid w:val="002A33CE"/>
    <w:rsid w:val="002A36E1"/>
    <w:rsid w:val="002A3A20"/>
    <w:rsid w:val="002A43B7"/>
    <w:rsid w:val="002A4544"/>
    <w:rsid w:val="002A481F"/>
    <w:rsid w:val="002A4928"/>
    <w:rsid w:val="002A4B4C"/>
    <w:rsid w:val="002A572F"/>
    <w:rsid w:val="002A6594"/>
    <w:rsid w:val="002A65EE"/>
    <w:rsid w:val="002A694F"/>
    <w:rsid w:val="002A698F"/>
    <w:rsid w:val="002A6E6F"/>
    <w:rsid w:val="002A6F1D"/>
    <w:rsid w:val="002A71DB"/>
    <w:rsid w:val="002A799E"/>
    <w:rsid w:val="002A7B59"/>
    <w:rsid w:val="002A7D63"/>
    <w:rsid w:val="002B00AF"/>
    <w:rsid w:val="002B077D"/>
    <w:rsid w:val="002B0F88"/>
    <w:rsid w:val="002B12D2"/>
    <w:rsid w:val="002B1C38"/>
    <w:rsid w:val="002B26A2"/>
    <w:rsid w:val="002B35BE"/>
    <w:rsid w:val="002B35CA"/>
    <w:rsid w:val="002B362B"/>
    <w:rsid w:val="002B3A08"/>
    <w:rsid w:val="002B3D00"/>
    <w:rsid w:val="002B46BC"/>
    <w:rsid w:val="002B51B7"/>
    <w:rsid w:val="002B52FB"/>
    <w:rsid w:val="002B5F2B"/>
    <w:rsid w:val="002B5F92"/>
    <w:rsid w:val="002B6389"/>
    <w:rsid w:val="002B6EB0"/>
    <w:rsid w:val="002B7884"/>
    <w:rsid w:val="002C04C4"/>
    <w:rsid w:val="002C074C"/>
    <w:rsid w:val="002C0774"/>
    <w:rsid w:val="002C07D6"/>
    <w:rsid w:val="002C0E9E"/>
    <w:rsid w:val="002C1978"/>
    <w:rsid w:val="002C1B69"/>
    <w:rsid w:val="002C255D"/>
    <w:rsid w:val="002C2F03"/>
    <w:rsid w:val="002C382F"/>
    <w:rsid w:val="002C5279"/>
    <w:rsid w:val="002C57DB"/>
    <w:rsid w:val="002C5ECE"/>
    <w:rsid w:val="002C66A4"/>
    <w:rsid w:val="002C695C"/>
    <w:rsid w:val="002C6C43"/>
    <w:rsid w:val="002C6D70"/>
    <w:rsid w:val="002C6EF3"/>
    <w:rsid w:val="002C6FD8"/>
    <w:rsid w:val="002C745C"/>
    <w:rsid w:val="002C7DC5"/>
    <w:rsid w:val="002D06A7"/>
    <w:rsid w:val="002D0B49"/>
    <w:rsid w:val="002D136C"/>
    <w:rsid w:val="002D1882"/>
    <w:rsid w:val="002D1BBD"/>
    <w:rsid w:val="002D1CEF"/>
    <w:rsid w:val="002D2D6A"/>
    <w:rsid w:val="002D2FCF"/>
    <w:rsid w:val="002D3271"/>
    <w:rsid w:val="002D3343"/>
    <w:rsid w:val="002D3953"/>
    <w:rsid w:val="002D39DD"/>
    <w:rsid w:val="002D3E80"/>
    <w:rsid w:val="002D419F"/>
    <w:rsid w:val="002D45D8"/>
    <w:rsid w:val="002D461D"/>
    <w:rsid w:val="002D479D"/>
    <w:rsid w:val="002D48A5"/>
    <w:rsid w:val="002D502C"/>
    <w:rsid w:val="002D5771"/>
    <w:rsid w:val="002D5838"/>
    <w:rsid w:val="002D5B4D"/>
    <w:rsid w:val="002D680E"/>
    <w:rsid w:val="002D703D"/>
    <w:rsid w:val="002D7532"/>
    <w:rsid w:val="002D7F4A"/>
    <w:rsid w:val="002E0209"/>
    <w:rsid w:val="002E074A"/>
    <w:rsid w:val="002E0889"/>
    <w:rsid w:val="002E09B3"/>
    <w:rsid w:val="002E0ADE"/>
    <w:rsid w:val="002E0C80"/>
    <w:rsid w:val="002E0E6A"/>
    <w:rsid w:val="002E0FAE"/>
    <w:rsid w:val="002E1611"/>
    <w:rsid w:val="002E18BB"/>
    <w:rsid w:val="002E1922"/>
    <w:rsid w:val="002E1A96"/>
    <w:rsid w:val="002E20D6"/>
    <w:rsid w:val="002E3058"/>
    <w:rsid w:val="002E34CA"/>
    <w:rsid w:val="002E47F0"/>
    <w:rsid w:val="002E4888"/>
    <w:rsid w:val="002E4900"/>
    <w:rsid w:val="002E49D5"/>
    <w:rsid w:val="002E4BB3"/>
    <w:rsid w:val="002E4DDE"/>
    <w:rsid w:val="002E517A"/>
    <w:rsid w:val="002E57A7"/>
    <w:rsid w:val="002E58B9"/>
    <w:rsid w:val="002E58D0"/>
    <w:rsid w:val="002E5C0F"/>
    <w:rsid w:val="002E5CE5"/>
    <w:rsid w:val="002E634D"/>
    <w:rsid w:val="002E7071"/>
    <w:rsid w:val="002E7166"/>
    <w:rsid w:val="002F07D4"/>
    <w:rsid w:val="002F0D32"/>
    <w:rsid w:val="002F1006"/>
    <w:rsid w:val="002F14E5"/>
    <w:rsid w:val="002F14E7"/>
    <w:rsid w:val="002F15CE"/>
    <w:rsid w:val="002F172C"/>
    <w:rsid w:val="002F1F70"/>
    <w:rsid w:val="002F36FE"/>
    <w:rsid w:val="002F3979"/>
    <w:rsid w:val="002F3CB3"/>
    <w:rsid w:val="002F3CE3"/>
    <w:rsid w:val="002F3D41"/>
    <w:rsid w:val="002F45BC"/>
    <w:rsid w:val="002F4B12"/>
    <w:rsid w:val="002F53BA"/>
    <w:rsid w:val="002F58B0"/>
    <w:rsid w:val="002F5EB5"/>
    <w:rsid w:val="002F6395"/>
    <w:rsid w:val="002F6598"/>
    <w:rsid w:val="002F681C"/>
    <w:rsid w:val="002F6F71"/>
    <w:rsid w:val="002F7756"/>
    <w:rsid w:val="002F785A"/>
    <w:rsid w:val="002F788C"/>
    <w:rsid w:val="002F79F8"/>
    <w:rsid w:val="00300146"/>
    <w:rsid w:val="00300B2E"/>
    <w:rsid w:val="00300B50"/>
    <w:rsid w:val="00300BE1"/>
    <w:rsid w:val="00300D79"/>
    <w:rsid w:val="00300EE0"/>
    <w:rsid w:val="0030157A"/>
    <w:rsid w:val="003017C5"/>
    <w:rsid w:val="00301D28"/>
    <w:rsid w:val="00301F70"/>
    <w:rsid w:val="003028CB"/>
    <w:rsid w:val="00302A44"/>
    <w:rsid w:val="00302CED"/>
    <w:rsid w:val="00303B96"/>
    <w:rsid w:val="0030464A"/>
    <w:rsid w:val="00304FBF"/>
    <w:rsid w:val="003054A7"/>
    <w:rsid w:val="00305986"/>
    <w:rsid w:val="003067C8"/>
    <w:rsid w:val="00306EF6"/>
    <w:rsid w:val="00307F11"/>
    <w:rsid w:val="003103D6"/>
    <w:rsid w:val="00310B0A"/>
    <w:rsid w:val="0031105E"/>
    <w:rsid w:val="003111CE"/>
    <w:rsid w:val="0031154C"/>
    <w:rsid w:val="00311722"/>
    <w:rsid w:val="003119EE"/>
    <w:rsid w:val="00311B2A"/>
    <w:rsid w:val="00311C97"/>
    <w:rsid w:val="003120AC"/>
    <w:rsid w:val="00312230"/>
    <w:rsid w:val="0031284C"/>
    <w:rsid w:val="00312914"/>
    <w:rsid w:val="00312EEA"/>
    <w:rsid w:val="003134CD"/>
    <w:rsid w:val="00313BA2"/>
    <w:rsid w:val="00313FFC"/>
    <w:rsid w:val="0031441C"/>
    <w:rsid w:val="003145E2"/>
    <w:rsid w:val="00314F2A"/>
    <w:rsid w:val="003152FA"/>
    <w:rsid w:val="00316AB5"/>
    <w:rsid w:val="00316D72"/>
    <w:rsid w:val="00317875"/>
    <w:rsid w:val="0032034D"/>
    <w:rsid w:val="00320940"/>
    <w:rsid w:val="003209BE"/>
    <w:rsid w:val="00320A94"/>
    <w:rsid w:val="00320BD3"/>
    <w:rsid w:val="00321196"/>
    <w:rsid w:val="003211A3"/>
    <w:rsid w:val="00321684"/>
    <w:rsid w:val="00321988"/>
    <w:rsid w:val="00321A10"/>
    <w:rsid w:val="00322872"/>
    <w:rsid w:val="003228F1"/>
    <w:rsid w:val="00322A99"/>
    <w:rsid w:val="00322E8C"/>
    <w:rsid w:val="0032306E"/>
    <w:rsid w:val="00323A0A"/>
    <w:rsid w:val="00323B36"/>
    <w:rsid w:val="003242D3"/>
    <w:rsid w:val="00324910"/>
    <w:rsid w:val="0032505F"/>
    <w:rsid w:val="003261F6"/>
    <w:rsid w:val="00326B81"/>
    <w:rsid w:val="00327062"/>
    <w:rsid w:val="003271C1"/>
    <w:rsid w:val="00327756"/>
    <w:rsid w:val="00330C1D"/>
    <w:rsid w:val="00331598"/>
    <w:rsid w:val="003318DE"/>
    <w:rsid w:val="00331C54"/>
    <w:rsid w:val="00331CF7"/>
    <w:rsid w:val="0033218E"/>
    <w:rsid w:val="0033235F"/>
    <w:rsid w:val="0033237D"/>
    <w:rsid w:val="003324D5"/>
    <w:rsid w:val="003325C4"/>
    <w:rsid w:val="0033260F"/>
    <w:rsid w:val="00332AC5"/>
    <w:rsid w:val="00332EA0"/>
    <w:rsid w:val="00332F54"/>
    <w:rsid w:val="0033354C"/>
    <w:rsid w:val="00333865"/>
    <w:rsid w:val="003349C8"/>
    <w:rsid w:val="003354E9"/>
    <w:rsid w:val="00335C08"/>
    <w:rsid w:val="00335D91"/>
    <w:rsid w:val="00335DB8"/>
    <w:rsid w:val="00335E1C"/>
    <w:rsid w:val="00335E38"/>
    <w:rsid w:val="00336371"/>
    <w:rsid w:val="00336526"/>
    <w:rsid w:val="003366F0"/>
    <w:rsid w:val="00336E0B"/>
    <w:rsid w:val="00337ABE"/>
    <w:rsid w:val="00337AE0"/>
    <w:rsid w:val="00337E74"/>
    <w:rsid w:val="003411DE"/>
    <w:rsid w:val="0034176D"/>
    <w:rsid w:val="00341D3B"/>
    <w:rsid w:val="003420D2"/>
    <w:rsid w:val="003422A7"/>
    <w:rsid w:val="003426CA"/>
    <w:rsid w:val="00342E44"/>
    <w:rsid w:val="00343320"/>
    <w:rsid w:val="003437DA"/>
    <w:rsid w:val="00343DD3"/>
    <w:rsid w:val="003442B0"/>
    <w:rsid w:val="00344435"/>
    <w:rsid w:val="003446AE"/>
    <w:rsid w:val="003449AB"/>
    <w:rsid w:val="00344CA8"/>
    <w:rsid w:val="00344F5F"/>
    <w:rsid w:val="003450A7"/>
    <w:rsid w:val="00345192"/>
    <w:rsid w:val="00345382"/>
    <w:rsid w:val="00345CAD"/>
    <w:rsid w:val="00346124"/>
    <w:rsid w:val="0034615D"/>
    <w:rsid w:val="00346770"/>
    <w:rsid w:val="003469BC"/>
    <w:rsid w:val="00346DE8"/>
    <w:rsid w:val="003474E5"/>
    <w:rsid w:val="00347C54"/>
    <w:rsid w:val="003501DE"/>
    <w:rsid w:val="003503C9"/>
    <w:rsid w:val="003505CC"/>
    <w:rsid w:val="00350B9A"/>
    <w:rsid w:val="00352B43"/>
    <w:rsid w:val="00353498"/>
    <w:rsid w:val="0035354D"/>
    <w:rsid w:val="00353ED8"/>
    <w:rsid w:val="00354126"/>
    <w:rsid w:val="00354D5A"/>
    <w:rsid w:val="00354D89"/>
    <w:rsid w:val="00354EB9"/>
    <w:rsid w:val="003553E6"/>
    <w:rsid w:val="0035543F"/>
    <w:rsid w:val="00355BC2"/>
    <w:rsid w:val="00355CB4"/>
    <w:rsid w:val="00357162"/>
    <w:rsid w:val="0035763B"/>
    <w:rsid w:val="003601DD"/>
    <w:rsid w:val="00360F69"/>
    <w:rsid w:val="00361452"/>
    <w:rsid w:val="00361FEE"/>
    <w:rsid w:val="00362CAE"/>
    <w:rsid w:val="00362CC1"/>
    <w:rsid w:val="00362DE3"/>
    <w:rsid w:val="00363015"/>
    <w:rsid w:val="00364210"/>
    <w:rsid w:val="0036437B"/>
    <w:rsid w:val="00364502"/>
    <w:rsid w:val="00364B09"/>
    <w:rsid w:val="00364B32"/>
    <w:rsid w:val="00365029"/>
    <w:rsid w:val="00365C66"/>
    <w:rsid w:val="00365CD8"/>
    <w:rsid w:val="00365D9F"/>
    <w:rsid w:val="00366397"/>
    <w:rsid w:val="00366A85"/>
    <w:rsid w:val="003675AB"/>
    <w:rsid w:val="003676FA"/>
    <w:rsid w:val="00367C29"/>
    <w:rsid w:val="00367EE6"/>
    <w:rsid w:val="00370083"/>
    <w:rsid w:val="003701AF"/>
    <w:rsid w:val="003702A1"/>
    <w:rsid w:val="00371088"/>
    <w:rsid w:val="003714E8"/>
    <w:rsid w:val="00371C3C"/>
    <w:rsid w:val="00371E9B"/>
    <w:rsid w:val="00372165"/>
    <w:rsid w:val="003728BF"/>
    <w:rsid w:val="00372B64"/>
    <w:rsid w:val="00372B66"/>
    <w:rsid w:val="00372D45"/>
    <w:rsid w:val="00372DF3"/>
    <w:rsid w:val="00372DF4"/>
    <w:rsid w:val="0037306A"/>
    <w:rsid w:val="00373A02"/>
    <w:rsid w:val="003741EB"/>
    <w:rsid w:val="003742E2"/>
    <w:rsid w:val="00374AB2"/>
    <w:rsid w:val="00374E9B"/>
    <w:rsid w:val="00375522"/>
    <w:rsid w:val="003756E1"/>
    <w:rsid w:val="003759A2"/>
    <w:rsid w:val="00375A72"/>
    <w:rsid w:val="00375B25"/>
    <w:rsid w:val="003762A4"/>
    <w:rsid w:val="003766E6"/>
    <w:rsid w:val="00376A2E"/>
    <w:rsid w:val="00376BC6"/>
    <w:rsid w:val="00376CA3"/>
    <w:rsid w:val="003772C0"/>
    <w:rsid w:val="00377E55"/>
    <w:rsid w:val="003802FF"/>
    <w:rsid w:val="00380674"/>
    <w:rsid w:val="00380B17"/>
    <w:rsid w:val="00380BC4"/>
    <w:rsid w:val="00381B78"/>
    <w:rsid w:val="003822FB"/>
    <w:rsid w:val="003825EF"/>
    <w:rsid w:val="00382686"/>
    <w:rsid w:val="00383352"/>
    <w:rsid w:val="00383B6F"/>
    <w:rsid w:val="00383D62"/>
    <w:rsid w:val="00383F32"/>
    <w:rsid w:val="00384164"/>
    <w:rsid w:val="003842D6"/>
    <w:rsid w:val="003843D8"/>
    <w:rsid w:val="003848D5"/>
    <w:rsid w:val="00384E7E"/>
    <w:rsid w:val="00385CA1"/>
    <w:rsid w:val="00385E29"/>
    <w:rsid w:val="00385F95"/>
    <w:rsid w:val="003861C1"/>
    <w:rsid w:val="00386377"/>
    <w:rsid w:val="00386418"/>
    <w:rsid w:val="00390092"/>
    <w:rsid w:val="003911CA"/>
    <w:rsid w:val="003916E0"/>
    <w:rsid w:val="0039180F"/>
    <w:rsid w:val="00391DD7"/>
    <w:rsid w:val="00391E4C"/>
    <w:rsid w:val="00391EA1"/>
    <w:rsid w:val="003920A8"/>
    <w:rsid w:val="00392853"/>
    <w:rsid w:val="003931CC"/>
    <w:rsid w:val="003936B9"/>
    <w:rsid w:val="00393EAA"/>
    <w:rsid w:val="003945D9"/>
    <w:rsid w:val="00394826"/>
    <w:rsid w:val="0039512F"/>
    <w:rsid w:val="00395452"/>
    <w:rsid w:val="003955F3"/>
    <w:rsid w:val="00395BB7"/>
    <w:rsid w:val="003961E1"/>
    <w:rsid w:val="0039708B"/>
    <w:rsid w:val="003970AF"/>
    <w:rsid w:val="00397240"/>
    <w:rsid w:val="00397FC6"/>
    <w:rsid w:val="003A0B84"/>
    <w:rsid w:val="003A0CE7"/>
    <w:rsid w:val="003A0D2E"/>
    <w:rsid w:val="003A1020"/>
    <w:rsid w:val="003A1689"/>
    <w:rsid w:val="003A1CB4"/>
    <w:rsid w:val="003A1E22"/>
    <w:rsid w:val="003A2CBF"/>
    <w:rsid w:val="003A2E95"/>
    <w:rsid w:val="003A2F3E"/>
    <w:rsid w:val="003A31D9"/>
    <w:rsid w:val="003A368E"/>
    <w:rsid w:val="003A3B5A"/>
    <w:rsid w:val="003A3E83"/>
    <w:rsid w:val="003A3EC5"/>
    <w:rsid w:val="003A47C2"/>
    <w:rsid w:val="003A4AF9"/>
    <w:rsid w:val="003A4EDC"/>
    <w:rsid w:val="003A5761"/>
    <w:rsid w:val="003A5EF8"/>
    <w:rsid w:val="003A610B"/>
    <w:rsid w:val="003A6751"/>
    <w:rsid w:val="003A6D0E"/>
    <w:rsid w:val="003A6EC9"/>
    <w:rsid w:val="003A7119"/>
    <w:rsid w:val="003A7582"/>
    <w:rsid w:val="003A7642"/>
    <w:rsid w:val="003B0065"/>
    <w:rsid w:val="003B12D1"/>
    <w:rsid w:val="003B1DEA"/>
    <w:rsid w:val="003B249C"/>
    <w:rsid w:val="003B24A5"/>
    <w:rsid w:val="003B3126"/>
    <w:rsid w:val="003B38E9"/>
    <w:rsid w:val="003B3CDF"/>
    <w:rsid w:val="003B3FE6"/>
    <w:rsid w:val="003B440A"/>
    <w:rsid w:val="003B44D7"/>
    <w:rsid w:val="003B46AA"/>
    <w:rsid w:val="003B4820"/>
    <w:rsid w:val="003B4CAF"/>
    <w:rsid w:val="003B5262"/>
    <w:rsid w:val="003B5308"/>
    <w:rsid w:val="003B5503"/>
    <w:rsid w:val="003B5581"/>
    <w:rsid w:val="003B6514"/>
    <w:rsid w:val="003B665E"/>
    <w:rsid w:val="003B6FA8"/>
    <w:rsid w:val="003B741A"/>
    <w:rsid w:val="003B763E"/>
    <w:rsid w:val="003B7D81"/>
    <w:rsid w:val="003B7E96"/>
    <w:rsid w:val="003B7EE7"/>
    <w:rsid w:val="003C0284"/>
    <w:rsid w:val="003C0515"/>
    <w:rsid w:val="003C11A6"/>
    <w:rsid w:val="003C148E"/>
    <w:rsid w:val="003C199A"/>
    <w:rsid w:val="003C2730"/>
    <w:rsid w:val="003C30F9"/>
    <w:rsid w:val="003C365A"/>
    <w:rsid w:val="003C369E"/>
    <w:rsid w:val="003C41DE"/>
    <w:rsid w:val="003C4C15"/>
    <w:rsid w:val="003C4DA7"/>
    <w:rsid w:val="003C544B"/>
    <w:rsid w:val="003C5992"/>
    <w:rsid w:val="003C5B5D"/>
    <w:rsid w:val="003C6031"/>
    <w:rsid w:val="003C6202"/>
    <w:rsid w:val="003C6A36"/>
    <w:rsid w:val="003C6D13"/>
    <w:rsid w:val="003C70BF"/>
    <w:rsid w:val="003D0570"/>
    <w:rsid w:val="003D0A1C"/>
    <w:rsid w:val="003D0C03"/>
    <w:rsid w:val="003D0D30"/>
    <w:rsid w:val="003D103E"/>
    <w:rsid w:val="003D213A"/>
    <w:rsid w:val="003D2635"/>
    <w:rsid w:val="003D2985"/>
    <w:rsid w:val="003D2C1F"/>
    <w:rsid w:val="003D3331"/>
    <w:rsid w:val="003D33EA"/>
    <w:rsid w:val="003D35E1"/>
    <w:rsid w:val="003D3DEB"/>
    <w:rsid w:val="003D3EC0"/>
    <w:rsid w:val="003D4341"/>
    <w:rsid w:val="003D4474"/>
    <w:rsid w:val="003D46DF"/>
    <w:rsid w:val="003D489F"/>
    <w:rsid w:val="003D4E0E"/>
    <w:rsid w:val="003D5A84"/>
    <w:rsid w:val="003D6D8A"/>
    <w:rsid w:val="003D760C"/>
    <w:rsid w:val="003D76EE"/>
    <w:rsid w:val="003E0605"/>
    <w:rsid w:val="003E08CC"/>
    <w:rsid w:val="003E0907"/>
    <w:rsid w:val="003E0BA6"/>
    <w:rsid w:val="003E0E31"/>
    <w:rsid w:val="003E10C3"/>
    <w:rsid w:val="003E1145"/>
    <w:rsid w:val="003E118B"/>
    <w:rsid w:val="003E25AC"/>
    <w:rsid w:val="003E26C1"/>
    <w:rsid w:val="003E2DB1"/>
    <w:rsid w:val="003E3BA5"/>
    <w:rsid w:val="003E3C39"/>
    <w:rsid w:val="003E4BED"/>
    <w:rsid w:val="003E5177"/>
    <w:rsid w:val="003E64C5"/>
    <w:rsid w:val="003E73D3"/>
    <w:rsid w:val="003E776A"/>
    <w:rsid w:val="003E7FDB"/>
    <w:rsid w:val="003F014D"/>
    <w:rsid w:val="003F0488"/>
    <w:rsid w:val="003F0751"/>
    <w:rsid w:val="003F07EA"/>
    <w:rsid w:val="003F09A0"/>
    <w:rsid w:val="003F1366"/>
    <w:rsid w:val="003F15D3"/>
    <w:rsid w:val="003F2702"/>
    <w:rsid w:val="003F2CDC"/>
    <w:rsid w:val="003F32E3"/>
    <w:rsid w:val="003F3365"/>
    <w:rsid w:val="003F35F8"/>
    <w:rsid w:val="003F45BE"/>
    <w:rsid w:val="003F4987"/>
    <w:rsid w:val="003F4BA3"/>
    <w:rsid w:val="003F514A"/>
    <w:rsid w:val="003F5530"/>
    <w:rsid w:val="003F58B9"/>
    <w:rsid w:val="003F59C0"/>
    <w:rsid w:val="003F5E5C"/>
    <w:rsid w:val="003F63FF"/>
    <w:rsid w:val="003F64C7"/>
    <w:rsid w:val="003F6522"/>
    <w:rsid w:val="003F6917"/>
    <w:rsid w:val="003F71DC"/>
    <w:rsid w:val="003F798F"/>
    <w:rsid w:val="003F7AD3"/>
    <w:rsid w:val="003F7EF5"/>
    <w:rsid w:val="00400384"/>
    <w:rsid w:val="0040044D"/>
    <w:rsid w:val="00400769"/>
    <w:rsid w:val="00400874"/>
    <w:rsid w:val="00400AA1"/>
    <w:rsid w:val="00400F42"/>
    <w:rsid w:val="004014D5"/>
    <w:rsid w:val="004015E3"/>
    <w:rsid w:val="00401841"/>
    <w:rsid w:val="00402FBA"/>
    <w:rsid w:val="004035E3"/>
    <w:rsid w:val="00403C6A"/>
    <w:rsid w:val="0040412B"/>
    <w:rsid w:val="0040423B"/>
    <w:rsid w:val="0040437F"/>
    <w:rsid w:val="00404B61"/>
    <w:rsid w:val="00404BFD"/>
    <w:rsid w:val="00404D26"/>
    <w:rsid w:val="00404EF8"/>
    <w:rsid w:val="00404F0B"/>
    <w:rsid w:val="00405982"/>
    <w:rsid w:val="00405C49"/>
    <w:rsid w:val="004060DE"/>
    <w:rsid w:val="0040649F"/>
    <w:rsid w:val="00406AD5"/>
    <w:rsid w:val="00406C43"/>
    <w:rsid w:val="00406CE9"/>
    <w:rsid w:val="00406D0B"/>
    <w:rsid w:val="00406D99"/>
    <w:rsid w:val="00406EB1"/>
    <w:rsid w:val="00406FD8"/>
    <w:rsid w:val="004105E4"/>
    <w:rsid w:val="00410643"/>
    <w:rsid w:val="00411189"/>
    <w:rsid w:val="004128A9"/>
    <w:rsid w:val="004138F7"/>
    <w:rsid w:val="00413CBF"/>
    <w:rsid w:val="0041412C"/>
    <w:rsid w:val="004151DA"/>
    <w:rsid w:val="004151FA"/>
    <w:rsid w:val="00415BDB"/>
    <w:rsid w:val="004163D1"/>
    <w:rsid w:val="00416C6E"/>
    <w:rsid w:val="00416E0E"/>
    <w:rsid w:val="004174E8"/>
    <w:rsid w:val="00417703"/>
    <w:rsid w:val="00420398"/>
    <w:rsid w:val="00420828"/>
    <w:rsid w:val="00420B88"/>
    <w:rsid w:val="00420D50"/>
    <w:rsid w:val="004217F9"/>
    <w:rsid w:val="00421A17"/>
    <w:rsid w:val="00421C18"/>
    <w:rsid w:val="00421D40"/>
    <w:rsid w:val="00421E45"/>
    <w:rsid w:val="00421E5F"/>
    <w:rsid w:val="004222DC"/>
    <w:rsid w:val="004227E5"/>
    <w:rsid w:val="00425F8F"/>
    <w:rsid w:val="00426080"/>
    <w:rsid w:val="00426335"/>
    <w:rsid w:val="0042678E"/>
    <w:rsid w:val="004269CF"/>
    <w:rsid w:val="00426AA6"/>
    <w:rsid w:val="00426CEC"/>
    <w:rsid w:val="00426DAE"/>
    <w:rsid w:val="00426F13"/>
    <w:rsid w:val="0042701C"/>
    <w:rsid w:val="00427223"/>
    <w:rsid w:val="00427530"/>
    <w:rsid w:val="00430AA0"/>
    <w:rsid w:val="0043202D"/>
    <w:rsid w:val="00432C07"/>
    <w:rsid w:val="00432D33"/>
    <w:rsid w:val="00433008"/>
    <w:rsid w:val="004339C8"/>
    <w:rsid w:val="00433D3E"/>
    <w:rsid w:val="00434726"/>
    <w:rsid w:val="0043492D"/>
    <w:rsid w:val="00435000"/>
    <w:rsid w:val="004352E7"/>
    <w:rsid w:val="004357B9"/>
    <w:rsid w:val="00435A81"/>
    <w:rsid w:val="00436BFC"/>
    <w:rsid w:val="00437B32"/>
    <w:rsid w:val="00437FDD"/>
    <w:rsid w:val="004410AA"/>
    <w:rsid w:val="00441931"/>
    <w:rsid w:val="00441C30"/>
    <w:rsid w:val="00441F02"/>
    <w:rsid w:val="00441F3B"/>
    <w:rsid w:val="00442374"/>
    <w:rsid w:val="00442497"/>
    <w:rsid w:val="00442C76"/>
    <w:rsid w:val="00442FD7"/>
    <w:rsid w:val="00442FF3"/>
    <w:rsid w:val="004436DB"/>
    <w:rsid w:val="0044461A"/>
    <w:rsid w:val="00444D6A"/>
    <w:rsid w:val="00445116"/>
    <w:rsid w:val="00445131"/>
    <w:rsid w:val="0044522F"/>
    <w:rsid w:val="00445384"/>
    <w:rsid w:val="004456E5"/>
    <w:rsid w:val="00445B35"/>
    <w:rsid w:val="004462F4"/>
    <w:rsid w:val="00446676"/>
    <w:rsid w:val="00446D47"/>
    <w:rsid w:val="00446E17"/>
    <w:rsid w:val="00446E9F"/>
    <w:rsid w:val="004470AC"/>
    <w:rsid w:val="004477EE"/>
    <w:rsid w:val="0045032D"/>
    <w:rsid w:val="004503D5"/>
    <w:rsid w:val="00450BE5"/>
    <w:rsid w:val="00450CC3"/>
    <w:rsid w:val="00450D34"/>
    <w:rsid w:val="00450FA9"/>
    <w:rsid w:val="0045116B"/>
    <w:rsid w:val="00451A2D"/>
    <w:rsid w:val="00452AB5"/>
    <w:rsid w:val="00452BC4"/>
    <w:rsid w:val="00452E6A"/>
    <w:rsid w:val="004531C9"/>
    <w:rsid w:val="004534FA"/>
    <w:rsid w:val="00453996"/>
    <w:rsid w:val="004544AA"/>
    <w:rsid w:val="0045458E"/>
    <w:rsid w:val="004545AD"/>
    <w:rsid w:val="00454618"/>
    <w:rsid w:val="00454634"/>
    <w:rsid w:val="00454804"/>
    <w:rsid w:val="0045486F"/>
    <w:rsid w:val="00454EFE"/>
    <w:rsid w:val="00454FCD"/>
    <w:rsid w:val="0045554D"/>
    <w:rsid w:val="004557EC"/>
    <w:rsid w:val="00456422"/>
    <w:rsid w:val="004566E6"/>
    <w:rsid w:val="00456E02"/>
    <w:rsid w:val="004570E7"/>
    <w:rsid w:val="00457E09"/>
    <w:rsid w:val="00460163"/>
    <w:rsid w:val="00460300"/>
    <w:rsid w:val="00460332"/>
    <w:rsid w:val="0046067C"/>
    <w:rsid w:val="004606E6"/>
    <w:rsid w:val="004609C4"/>
    <w:rsid w:val="00460F3F"/>
    <w:rsid w:val="00461B4B"/>
    <w:rsid w:val="00461D43"/>
    <w:rsid w:val="00461E14"/>
    <w:rsid w:val="00463979"/>
    <w:rsid w:val="00464302"/>
    <w:rsid w:val="00465029"/>
    <w:rsid w:val="0046548A"/>
    <w:rsid w:val="004656B8"/>
    <w:rsid w:val="00465C92"/>
    <w:rsid w:val="00465EF9"/>
    <w:rsid w:val="00465F5A"/>
    <w:rsid w:val="004663A9"/>
    <w:rsid w:val="00466685"/>
    <w:rsid w:val="00466F9D"/>
    <w:rsid w:val="00467427"/>
    <w:rsid w:val="00467A8D"/>
    <w:rsid w:val="004700B4"/>
    <w:rsid w:val="00470A7A"/>
    <w:rsid w:val="00470DD6"/>
    <w:rsid w:val="00471F8B"/>
    <w:rsid w:val="00472204"/>
    <w:rsid w:val="00472B57"/>
    <w:rsid w:val="00473207"/>
    <w:rsid w:val="00473301"/>
    <w:rsid w:val="0047333E"/>
    <w:rsid w:val="00473442"/>
    <w:rsid w:val="00473D74"/>
    <w:rsid w:val="004742D3"/>
    <w:rsid w:val="00474921"/>
    <w:rsid w:val="00474AC9"/>
    <w:rsid w:val="0047520D"/>
    <w:rsid w:val="004752A8"/>
    <w:rsid w:val="00475756"/>
    <w:rsid w:val="0047576E"/>
    <w:rsid w:val="00476228"/>
    <w:rsid w:val="00476343"/>
    <w:rsid w:val="004768FA"/>
    <w:rsid w:val="00477291"/>
    <w:rsid w:val="00480424"/>
    <w:rsid w:val="00480C2C"/>
    <w:rsid w:val="00480C99"/>
    <w:rsid w:val="0048190D"/>
    <w:rsid w:val="00481D5F"/>
    <w:rsid w:val="004823D6"/>
    <w:rsid w:val="00482801"/>
    <w:rsid w:val="00482DA1"/>
    <w:rsid w:val="00482F8A"/>
    <w:rsid w:val="00483258"/>
    <w:rsid w:val="004833EE"/>
    <w:rsid w:val="00483464"/>
    <w:rsid w:val="0048365D"/>
    <w:rsid w:val="004836E5"/>
    <w:rsid w:val="00483C13"/>
    <w:rsid w:val="00483EC8"/>
    <w:rsid w:val="00484149"/>
    <w:rsid w:val="0048468D"/>
    <w:rsid w:val="0048497F"/>
    <w:rsid w:val="00484EB3"/>
    <w:rsid w:val="0048505C"/>
    <w:rsid w:val="00485300"/>
    <w:rsid w:val="004855D4"/>
    <w:rsid w:val="00485B35"/>
    <w:rsid w:val="00485DB1"/>
    <w:rsid w:val="00485F6B"/>
    <w:rsid w:val="00486019"/>
    <w:rsid w:val="00486D08"/>
    <w:rsid w:val="00487578"/>
    <w:rsid w:val="004877B3"/>
    <w:rsid w:val="00490DDF"/>
    <w:rsid w:val="00491E4A"/>
    <w:rsid w:val="00492156"/>
    <w:rsid w:val="004922EB"/>
    <w:rsid w:val="0049273C"/>
    <w:rsid w:val="00492BDA"/>
    <w:rsid w:val="00492D16"/>
    <w:rsid w:val="00492DED"/>
    <w:rsid w:val="004933DC"/>
    <w:rsid w:val="00493C24"/>
    <w:rsid w:val="00493CA6"/>
    <w:rsid w:val="00493D49"/>
    <w:rsid w:val="00493E57"/>
    <w:rsid w:val="00494DD5"/>
    <w:rsid w:val="004951DC"/>
    <w:rsid w:val="00495734"/>
    <w:rsid w:val="00495786"/>
    <w:rsid w:val="00495AC1"/>
    <w:rsid w:val="00495C83"/>
    <w:rsid w:val="00495F8D"/>
    <w:rsid w:val="004962AD"/>
    <w:rsid w:val="004966FB"/>
    <w:rsid w:val="00496B87"/>
    <w:rsid w:val="00496D71"/>
    <w:rsid w:val="00497165"/>
    <w:rsid w:val="00497F76"/>
    <w:rsid w:val="004A01F9"/>
    <w:rsid w:val="004A03AB"/>
    <w:rsid w:val="004A0AF5"/>
    <w:rsid w:val="004A0E13"/>
    <w:rsid w:val="004A147F"/>
    <w:rsid w:val="004A1661"/>
    <w:rsid w:val="004A1ED8"/>
    <w:rsid w:val="004A227D"/>
    <w:rsid w:val="004A30AF"/>
    <w:rsid w:val="004A31CC"/>
    <w:rsid w:val="004A3577"/>
    <w:rsid w:val="004A3FD6"/>
    <w:rsid w:val="004A4222"/>
    <w:rsid w:val="004A42C6"/>
    <w:rsid w:val="004A482A"/>
    <w:rsid w:val="004A485C"/>
    <w:rsid w:val="004A4D09"/>
    <w:rsid w:val="004A4E33"/>
    <w:rsid w:val="004A5065"/>
    <w:rsid w:val="004A5FB1"/>
    <w:rsid w:val="004A609E"/>
    <w:rsid w:val="004A631A"/>
    <w:rsid w:val="004A6972"/>
    <w:rsid w:val="004A6CE6"/>
    <w:rsid w:val="004A7371"/>
    <w:rsid w:val="004A74E2"/>
    <w:rsid w:val="004B01DD"/>
    <w:rsid w:val="004B0A53"/>
    <w:rsid w:val="004B0CEC"/>
    <w:rsid w:val="004B1927"/>
    <w:rsid w:val="004B1B5C"/>
    <w:rsid w:val="004B1CE6"/>
    <w:rsid w:val="004B1E02"/>
    <w:rsid w:val="004B2285"/>
    <w:rsid w:val="004B2EFD"/>
    <w:rsid w:val="004B36ED"/>
    <w:rsid w:val="004B3BE4"/>
    <w:rsid w:val="004B3CB0"/>
    <w:rsid w:val="004B455A"/>
    <w:rsid w:val="004B4A5F"/>
    <w:rsid w:val="004B4DCC"/>
    <w:rsid w:val="004B4F53"/>
    <w:rsid w:val="004B4FEF"/>
    <w:rsid w:val="004B5550"/>
    <w:rsid w:val="004B567C"/>
    <w:rsid w:val="004B57F7"/>
    <w:rsid w:val="004B583B"/>
    <w:rsid w:val="004B5CA1"/>
    <w:rsid w:val="004B649F"/>
    <w:rsid w:val="004B66D4"/>
    <w:rsid w:val="004B69DF"/>
    <w:rsid w:val="004B6A69"/>
    <w:rsid w:val="004B7196"/>
    <w:rsid w:val="004B73A9"/>
    <w:rsid w:val="004B78DA"/>
    <w:rsid w:val="004B78EB"/>
    <w:rsid w:val="004B7BEC"/>
    <w:rsid w:val="004C049B"/>
    <w:rsid w:val="004C0626"/>
    <w:rsid w:val="004C0EDF"/>
    <w:rsid w:val="004C1919"/>
    <w:rsid w:val="004C19F7"/>
    <w:rsid w:val="004C1D8B"/>
    <w:rsid w:val="004C1DA8"/>
    <w:rsid w:val="004C210B"/>
    <w:rsid w:val="004C21B8"/>
    <w:rsid w:val="004C238E"/>
    <w:rsid w:val="004C2551"/>
    <w:rsid w:val="004C2EEA"/>
    <w:rsid w:val="004C326B"/>
    <w:rsid w:val="004C3E6F"/>
    <w:rsid w:val="004C4195"/>
    <w:rsid w:val="004C438E"/>
    <w:rsid w:val="004C5E9F"/>
    <w:rsid w:val="004C6EEE"/>
    <w:rsid w:val="004C76A2"/>
    <w:rsid w:val="004C7B09"/>
    <w:rsid w:val="004C7C90"/>
    <w:rsid w:val="004C7CD8"/>
    <w:rsid w:val="004D039B"/>
    <w:rsid w:val="004D0DA1"/>
    <w:rsid w:val="004D0F80"/>
    <w:rsid w:val="004D1560"/>
    <w:rsid w:val="004D195B"/>
    <w:rsid w:val="004D1A4B"/>
    <w:rsid w:val="004D1B94"/>
    <w:rsid w:val="004D1E2C"/>
    <w:rsid w:val="004D221E"/>
    <w:rsid w:val="004D256D"/>
    <w:rsid w:val="004D2793"/>
    <w:rsid w:val="004D2CBC"/>
    <w:rsid w:val="004D2F12"/>
    <w:rsid w:val="004D4135"/>
    <w:rsid w:val="004D565F"/>
    <w:rsid w:val="004D5793"/>
    <w:rsid w:val="004D5B19"/>
    <w:rsid w:val="004D5BC1"/>
    <w:rsid w:val="004D5F90"/>
    <w:rsid w:val="004D688C"/>
    <w:rsid w:val="004D6CF4"/>
    <w:rsid w:val="004D6D0C"/>
    <w:rsid w:val="004D7A55"/>
    <w:rsid w:val="004E0095"/>
    <w:rsid w:val="004E095F"/>
    <w:rsid w:val="004E0B7F"/>
    <w:rsid w:val="004E0DD0"/>
    <w:rsid w:val="004E0F30"/>
    <w:rsid w:val="004E110B"/>
    <w:rsid w:val="004E15C5"/>
    <w:rsid w:val="004E1991"/>
    <w:rsid w:val="004E245C"/>
    <w:rsid w:val="004E252A"/>
    <w:rsid w:val="004E2786"/>
    <w:rsid w:val="004E28E1"/>
    <w:rsid w:val="004E2D6E"/>
    <w:rsid w:val="004E3423"/>
    <w:rsid w:val="004E3823"/>
    <w:rsid w:val="004E387F"/>
    <w:rsid w:val="004E3C80"/>
    <w:rsid w:val="004E4122"/>
    <w:rsid w:val="004E4440"/>
    <w:rsid w:val="004E4825"/>
    <w:rsid w:val="004E516B"/>
    <w:rsid w:val="004E5504"/>
    <w:rsid w:val="004E5A75"/>
    <w:rsid w:val="004E5E8E"/>
    <w:rsid w:val="004E6347"/>
    <w:rsid w:val="004E6357"/>
    <w:rsid w:val="004E6943"/>
    <w:rsid w:val="004E72B9"/>
    <w:rsid w:val="004E759C"/>
    <w:rsid w:val="004E7ADA"/>
    <w:rsid w:val="004E7D13"/>
    <w:rsid w:val="004E7FAF"/>
    <w:rsid w:val="004F004B"/>
    <w:rsid w:val="004F0171"/>
    <w:rsid w:val="004F03E0"/>
    <w:rsid w:val="004F08D9"/>
    <w:rsid w:val="004F0909"/>
    <w:rsid w:val="004F0DE3"/>
    <w:rsid w:val="004F0FCC"/>
    <w:rsid w:val="004F1C39"/>
    <w:rsid w:val="004F1D9F"/>
    <w:rsid w:val="004F2390"/>
    <w:rsid w:val="004F24B0"/>
    <w:rsid w:val="004F27D5"/>
    <w:rsid w:val="004F2ADF"/>
    <w:rsid w:val="004F36AE"/>
    <w:rsid w:val="004F39C0"/>
    <w:rsid w:val="004F3C95"/>
    <w:rsid w:val="004F4492"/>
    <w:rsid w:val="004F45B3"/>
    <w:rsid w:val="004F50D0"/>
    <w:rsid w:val="004F5188"/>
    <w:rsid w:val="004F5827"/>
    <w:rsid w:val="004F5A80"/>
    <w:rsid w:val="004F5B61"/>
    <w:rsid w:val="004F606D"/>
    <w:rsid w:val="004F66D1"/>
    <w:rsid w:val="004F6A6D"/>
    <w:rsid w:val="004F6C18"/>
    <w:rsid w:val="004F6C2D"/>
    <w:rsid w:val="004F6E2D"/>
    <w:rsid w:val="004F6E32"/>
    <w:rsid w:val="004F7461"/>
    <w:rsid w:val="0050020B"/>
    <w:rsid w:val="005002F3"/>
    <w:rsid w:val="00500548"/>
    <w:rsid w:val="005008EC"/>
    <w:rsid w:val="00500D4E"/>
    <w:rsid w:val="00500E47"/>
    <w:rsid w:val="00501493"/>
    <w:rsid w:val="0050191C"/>
    <w:rsid w:val="00502A4B"/>
    <w:rsid w:val="00502AE8"/>
    <w:rsid w:val="00502F64"/>
    <w:rsid w:val="005036D3"/>
    <w:rsid w:val="005039F1"/>
    <w:rsid w:val="00504773"/>
    <w:rsid w:val="00504C63"/>
    <w:rsid w:val="00505052"/>
    <w:rsid w:val="00505C75"/>
    <w:rsid w:val="00506745"/>
    <w:rsid w:val="0050693F"/>
    <w:rsid w:val="00506A55"/>
    <w:rsid w:val="00506A72"/>
    <w:rsid w:val="00506EAB"/>
    <w:rsid w:val="00506F43"/>
    <w:rsid w:val="00507446"/>
    <w:rsid w:val="00507849"/>
    <w:rsid w:val="00507E80"/>
    <w:rsid w:val="00510236"/>
    <w:rsid w:val="00510AF5"/>
    <w:rsid w:val="00510F70"/>
    <w:rsid w:val="00511047"/>
    <w:rsid w:val="005113F3"/>
    <w:rsid w:val="00511C56"/>
    <w:rsid w:val="00511FA9"/>
    <w:rsid w:val="005124C9"/>
    <w:rsid w:val="0051323D"/>
    <w:rsid w:val="00513BBF"/>
    <w:rsid w:val="00513CC1"/>
    <w:rsid w:val="005144DB"/>
    <w:rsid w:val="00514E87"/>
    <w:rsid w:val="00514F08"/>
    <w:rsid w:val="00515F7A"/>
    <w:rsid w:val="005168BE"/>
    <w:rsid w:val="00516AE1"/>
    <w:rsid w:val="00516C80"/>
    <w:rsid w:val="00516DA4"/>
    <w:rsid w:val="005172FD"/>
    <w:rsid w:val="00517540"/>
    <w:rsid w:val="00520DBC"/>
    <w:rsid w:val="00520F15"/>
    <w:rsid w:val="00520F24"/>
    <w:rsid w:val="00521296"/>
    <w:rsid w:val="00521583"/>
    <w:rsid w:val="00521B2F"/>
    <w:rsid w:val="00521C45"/>
    <w:rsid w:val="00522077"/>
    <w:rsid w:val="00522AC0"/>
    <w:rsid w:val="00522CD0"/>
    <w:rsid w:val="00523195"/>
    <w:rsid w:val="0052344E"/>
    <w:rsid w:val="0052376A"/>
    <w:rsid w:val="005237F3"/>
    <w:rsid w:val="00523CEB"/>
    <w:rsid w:val="00523EEF"/>
    <w:rsid w:val="00525843"/>
    <w:rsid w:val="00525864"/>
    <w:rsid w:val="00525B8C"/>
    <w:rsid w:val="00525F80"/>
    <w:rsid w:val="005260D2"/>
    <w:rsid w:val="00526108"/>
    <w:rsid w:val="00527971"/>
    <w:rsid w:val="00527B6F"/>
    <w:rsid w:val="00530440"/>
    <w:rsid w:val="00530800"/>
    <w:rsid w:val="00531B2B"/>
    <w:rsid w:val="00532CE3"/>
    <w:rsid w:val="005336FE"/>
    <w:rsid w:val="005338BD"/>
    <w:rsid w:val="005343BC"/>
    <w:rsid w:val="00534B00"/>
    <w:rsid w:val="005358FA"/>
    <w:rsid w:val="00535F07"/>
    <w:rsid w:val="00536625"/>
    <w:rsid w:val="00536A9E"/>
    <w:rsid w:val="00536B59"/>
    <w:rsid w:val="00536F35"/>
    <w:rsid w:val="0053732D"/>
    <w:rsid w:val="0053751E"/>
    <w:rsid w:val="005375D5"/>
    <w:rsid w:val="00537DC1"/>
    <w:rsid w:val="0054023C"/>
    <w:rsid w:val="005404B7"/>
    <w:rsid w:val="0054113D"/>
    <w:rsid w:val="00541756"/>
    <w:rsid w:val="005418F9"/>
    <w:rsid w:val="00542B4C"/>
    <w:rsid w:val="00542CA3"/>
    <w:rsid w:val="00542F2C"/>
    <w:rsid w:val="005432B2"/>
    <w:rsid w:val="00543709"/>
    <w:rsid w:val="005437B3"/>
    <w:rsid w:val="005439FE"/>
    <w:rsid w:val="005444D6"/>
    <w:rsid w:val="00544BE5"/>
    <w:rsid w:val="00545060"/>
    <w:rsid w:val="005453C9"/>
    <w:rsid w:val="00545400"/>
    <w:rsid w:val="0054571D"/>
    <w:rsid w:val="005459F7"/>
    <w:rsid w:val="00545BE6"/>
    <w:rsid w:val="00545E1F"/>
    <w:rsid w:val="0054637E"/>
    <w:rsid w:val="00546973"/>
    <w:rsid w:val="00546D10"/>
    <w:rsid w:val="00547043"/>
    <w:rsid w:val="00547348"/>
    <w:rsid w:val="005477C4"/>
    <w:rsid w:val="0054791E"/>
    <w:rsid w:val="00547D91"/>
    <w:rsid w:val="00547EA0"/>
    <w:rsid w:val="00550001"/>
    <w:rsid w:val="0055082D"/>
    <w:rsid w:val="00550893"/>
    <w:rsid w:val="00550986"/>
    <w:rsid w:val="00550DE1"/>
    <w:rsid w:val="00551129"/>
    <w:rsid w:val="00551135"/>
    <w:rsid w:val="00551296"/>
    <w:rsid w:val="005514FB"/>
    <w:rsid w:val="005515A8"/>
    <w:rsid w:val="00551983"/>
    <w:rsid w:val="0055208D"/>
    <w:rsid w:val="005526BE"/>
    <w:rsid w:val="00552D06"/>
    <w:rsid w:val="00553022"/>
    <w:rsid w:val="0055305D"/>
    <w:rsid w:val="00553082"/>
    <w:rsid w:val="00553350"/>
    <w:rsid w:val="005539F1"/>
    <w:rsid w:val="00553EF6"/>
    <w:rsid w:val="00554B2B"/>
    <w:rsid w:val="00554E70"/>
    <w:rsid w:val="0055598A"/>
    <w:rsid w:val="00555B2A"/>
    <w:rsid w:val="00555CEE"/>
    <w:rsid w:val="00555D4F"/>
    <w:rsid w:val="0055630A"/>
    <w:rsid w:val="00556535"/>
    <w:rsid w:val="00556842"/>
    <w:rsid w:val="00556D65"/>
    <w:rsid w:val="00557518"/>
    <w:rsid w:val="00557979"/>
    <w:rsid w:val="00557B37"/>
    <w:rsid w:val="00557CAA"/>
    <w:rsid w:val="00557D78"/>
    <w:rsid w:val="0056002D"/>
    <w:rsid w:val="005603BC"/>
    <w:rsid w:val="005604D9"/>
    <w:rsid w:val="00560FAC"/>
    <w:rsid w:val="0056107B"/>
    <w:rsid w:val="00561AFF"/>
    <w:rsid w:val="00562797"/>
    <w:rsid w:val="00563D9B"/>
    <w:rsid w:val="005641F8"/>
    <w:rsid w:val="00565C3B"/>
    <w:rsid w:val="00566C7E"/>
    <w:rsid w:val="0056719E"/>
    <w:rsid w:val="00567497"/>
    <w:rsid w:val="00567E44"/>
    <w:rsid w:val="005708CC"/>
    <w:rsid w:val="00570958"/>
    <w:rsid w:val="00570C56"/>
    <w:rsid w:val="00570ED5"/>
    <w:rsid w:val="00571056"/>
    <w:rsid w:val="00572F6F"/>
    <w:rsid w:val="005730DB"/>
    <w:rsid w:val="00573368"/>
    <w:rsid w:val="00574AD4"/>
    <w:rsid w:val="00574C42"/>
    <w:rsid w:val="0057565B"/>
    <w:rsid w:val="005756FC"/>
    <w:rsid w:val="00576244"/>
    <w:rsid w:val="005763B0"/>
    <w:rsid w:val="00576593"/>
    <w:rsid w:val="00576B3A"/>
    <w:rsid w:val="00576B63"/>
    <w:rsid w:val="005770C6"/>
    <w:rsid w:val="00580182"/>
    <w:rsid w:val="00580698"/>
    <w:rsid w:val="005812E7"/>
    <w:rsid w:val="0058140B"/>
    <w:rsid w:val="00582471"/>
    <w:rsid w:val="0058290B"/>
    <w:rsid w:val="005832B5"/>
    <w:rsid w:val="0058337B"/>
    <w:rsid w:val="005839BA"/>
    <w:rsid w:val="005846CF"/>
    <w:rsid w:val="00584BFC"/>
    <w:rsid w:val="005853FB"/>
    <w:rsid w:val="00585661"/>
    <w:rsid w:val="005857E4"/>
    <w:rsid w:val="005859CA"/>
    <w:rsid w:val="00585F75"/>
    <w:rsid w:val="00586878"/>
    <w:rsid w:val="00586E76"/>
    <w:rsid w:val="00587085"/>
    <w:rsid w:val="0058721F"/>
    <w:rsid w:val="00587453"/>
    <w:rsid w:val="0058759D"/>
    <w:rsid w:val="00587671"/>
    <w:rsid w:val="00587A4E"/>
    <w:rsid w:val="00587EBE"/>
    <w:rsid w:val="00590297"/>
    <w:rsid w:val="005902AE"/>
    <w:rsid w:val="005917E6"/>
    <w:rsid w:val="00591848"/>
    <w:rsid w:val="005922CA"/>
    <w:rsid w:val="005934A4"/>
    <w:rsid w:val="00593503"/>
    <w:rsid w:val="00593653"/>
    <w:rsid w:val="00593655"/>
    <w:rsid w:val="00593CF2"/>
    <w:rsid w:val="00593DE5"/>
    <w:rsid w:val="0059446D"/>
    <w:rsid w:val="00594A62"/>
    <w:rsid w:val="00594ABB"/>
    <w:rsid w:val="00594FF5"/>
    <w:rsid w:val="00595786"/>
    <w:rsid w:val="00595956"/>
    <w:rsid w:val="00595C88"/>
    <w:rsid w:val="00595D93"/>
    <w:rsid w:val="00595ECD"/>
    <w:rsid w:val="00596745"/>
    <w:rsid w:val="005968A9"/>
    <w:rsid w:val="0059694F"/>
    <w:rsid w:val="00596FB9"/>
    <w:rsid w:val="00597359"/>
    <w:rsid w:val="005A0671"/>
    <w:rsid w:val="005A0F9E"/>
    <w:rsid w:val="005A129A"/>
    <w:rsid w:val="005A177A"/>
    <w:rsid w:val="005A27D9"/>
    <w:rsid w:val="005A3336"/>
    <w:rsid w:val="005A33E0"/>
    <w:rsid w:val="005A383A"/>
    <w:rsid w:val="005A3B75"/>
    <w:rsid w:val="005A46FC"/>
    <w:rsid w:val="005A4A30"/>
    <w:rsid w:val="005A4B2C"/>
    <w:rsid w:val="005A4E64"/>
    <w:rsid w:val="005A51F2"/>
    <w:rsid w:val="005A553D"/>
    <w:rsid w:val="005A5970"/>
    <w:rsid w:val="005A5BE0"/>
    <w:rsid w:val="005A6290"/>
    <w:rsid w:val="005A6334"/>
    <w:rsid w:val="005A779F"/>
    <w:rsid w:val="005A78F8"/>
    <w:rsid w:val="005B077F"/>
    <w:rsid w:val="005B0860"/>
    <w:rsid w:val="005B0865"/>
    <w:rsid w:val="005B0A0C"/>
    <w:rsid w:val="005B0C27"/>
    <w:rsid w:val="005B1945"/>
    <w:rsid w:val="005B1AA5"/>
    <w:rsid w:val="005B1B44"/>
    <w:rsid w:val="005B1C7D"/>
    <w:rsid w:val="005B1E98"/>
    <w:rsid w:val="005B325A"/>
    <w:rsid w:val="005B329A"/>
    <w:rsid w:val="005B3F6E"/>
    <w:rsid w:val="005B4054"/>
    <w:rsid w:val="005B44F6"/>
    <w:rsid w:val="005B4EA2"/>
    <w:rsid w:val="005B4F90"/>
    <w:rsid w:val="005B5860"/>
    <w:rsid w:val="005B5B67"/>
    <w:rsid w:val="005B5C46"/>
    <w:rsid w:val="005B609C"/>
    <w:rsid w:val="005B6287"/>
    <w:rsid w:val="005B6386"/>
    <w:rsid w:val="005B65A5"/>
    <w:rsid w:val="005B6870"/>
    <w:rsid w:val="005B689C"/>
    <w:rsid w:val="005B6B70"/>
    <w:rsid w:val="005B6E09"/>
    <w:rsid w:val="005B74F3"/>
    <w:rsid w:val="005B79E5"/>
    <w:rsid w:val="005C045C"/>
    <w:rsid w:val="005C0F7C"/>
    <w:rsid w:val="005C10D8"/>
    <w:rsid w:val="005C1461"/>
    <w:rsid w:val="005C22CE"/>
    <w:rsid w:val="005C2684"/>
    <w:rsid w:val="005C2688"/>
    <w:rsid w:val="005C289E"/>
    <w:rsid w:val="005C2C1D"/>
    <w:rsid w:val="005C2D58"/>
    <w:rsid w:val="005C3542"/>
    <w:rsid w:val="005C422A"/>
    <w:rsid w:val="005C4492"/>
    <w:rsid w:val="005C4716"/>
    <w:rsid w:val="005C4912"/>
    <w:rsid w:val="005C4BE6"/>
    <w:rsid w:val="005C4E5F"/>
    <w:rsid w:val="005C577B"/>
    <w:rsid w:val="005C5C94"/>
    <w:rsid w:val="005C658B"/>
    <w:rsid w:val="005D0034"/>
    <w:rsid w:val="005D0464"/>
    <w:rsid w:val="005D0DF1"/>
    <w:rsid w:val="005D0FBC"/>
    <w:rsid w:val="005D1B8F"/>
    <w:rsid w:val="005D29DA"/>
    <w:rsid w:val="005D2CE7"/>
    <w:rsid w:val="005D2E2D"/>
    <w:rsid w:val="005D2F7D"/>
    <w:rsid w:val="005D3007"/>
    <w:rsid w:val="005D3A42"/>
    <w:rsid w:val="005D3B65"/>
    <w:rsid w:val="005D3EEA"/>
    <w:rsid w:val="005D4057"/>
    <w:rsid w:val="005D469F"/>
    <w:rsid w:val="005D4946"/>
    <w:rsid w:val="005D49C8"/>
    <w:rsid w:val="005D4A03"/>
    <w:rsid w:val="005D4E4E"/>
    <w:rsid w:val="005D5165"/>
    <w:rsid w:val="005D5CE6"/>
    <w:rsid w:val="005D657F"/>
    <w:rsid w:val="005D694E"/>
    <w:rsid w:val="005D69AB"/>
    <w:rsid w:val="005D6B06"/>
    <w:rsid w:val="005D6C1B"/>
    <w:rsid w:val="005D7144"/>
    <w:rsid w:val="005D7462"/>
    <w:rsid w:val="005D751E"/>
    <w:rsid w:val="005D7D89"/>
    <w:rsid w:val="005D7FC5"/>
    <w:rsid w:val="005E038C"/>
    <w:rsid w:val="005E0B7C"/>
    <w:rsid w:val="005E0E3D"/>
    <w:rsid w:val="005E16DE"/>
    <w:rsid w:val="005E1C85"/>
    <w:rsid w:val="005E1FDF"/>
    <w:rsid w:val="005E2271"/>
    <w:rsid w:val="005E2DFB"/>
    <w:rsid w:val="005E3265"/>
    <w:rsid w:val="005E3300"/>
    <w:rsid w:val="005E3667"/>
    <w:rsid w:val="005E38B6"/>
    <w:rsid w:val="005E3D05"/>
    <w:rsid w:val="005E432B"/>
    <w:rsid w:val="005E447C"/>
    <w:rsid w:val="005E475B"/>
    <w:rsid w:val="005E50E3"/>
    <w:rsid w:val="005E5795"/>
    <w:rsid w:val="005E57D3"/>
    <w:rsid w:val="005E5AE5"/>
    <w:rsid w:val="005E608F"/>
    <w:rsid w:val="005E62B0"/>
    <w:rsid w:val="005E6D8D"/>
    <w:rsid w:val="005E70E4"/>
    <w:rsid w:val="005E76E9"/>
    <w:rsid w:val="005E76EA"/>
    <w:rsid w:val="005E777D"/>
    <w:rsid w:val="005E7F7F"/>
    <w:rsid w:val="005F0438"/>
    <w:rsid w:val="005F07C4"/>
    <w:rsid w:val="005F085A"/>
    <w:rsid w:val="005F086D"/>
    <w:rsid w:val="005F0A3E"/>
    <w:rsid w:val="005F0A3F"/>
    <w:rsid w:val="005F0C81"/>
    <w:rsid w:val="005F0DC1"/>
    <w:rsid w:val="005F10DB"/>
    <w:rsid w:val="005F116D"/>
    <w:rsid w:val="005F1530"/>
    <w:rsid w:val="005F1A20"/>
    <w:rsid w:val="005F1B03"/>
    <w:rsid w:val="005F391F"/>
    <w:rsid w:val="005F4561"/>
    <w:rsid w:val="005F4B62"/>
    <w:rsid w:val="005F4BAE"/>
    <w:rsid w:val="005F4D7E"/>
    <w:rsid w:val="005F51A2"/>
    <w:rsid w:val="005F5402"/>
    <w:rsid w:val="005F5604"/>
    <w:rsid w:val="005F58D6"/>
    <w:rsid w:val="005F5A1B"/>
    <w:rsid w:val="005F5C4D"/>
    <w:rsid w:val="005F5DC4"/>
    <w:rsid w:val="005F6523"/>
    <w:rsid w:val="005F6EDE"/>
    <w:rsid w:val="005F734B"/>
    <w:rsid w:val="005F77A3"/>
    <w:rsid w:val="005F7FC5"/>
    <w:rsid w:val="00600B55"/>
    <w:rsid w:val="00600EA6"/>
    <w:rsid w:val="0060173A"/>
    <w:rsid w:val="00601807"/>
    <w:rsid w:val="006020E7"/>
    <w:rsid w:val="006028FC"/>
    <w:rsid w:val="006028FD"/>
    <w:rsid w:val="00602996"/>
    <w:rsid w:val="00602E81"/>
    <w:rsid w:val="00603706"/>
    <w:rsid w:val="006037A8"/>
    <w:rsid w:val="00603AAA"/>
    <w:rsid w:val="00603C92"/>
    <w:rsid w:val="00603D69"/>
    <w:rsid w:val="00603DA0"/>
    <w:rsid w:val="006042FA"/>
    <w:rsid w:val="0060450B"/>
    <w:rsid w:val="0060491C"/>
    <w:rsid w:val="0060493B"/>
    <w:rsid w:val="006051FA"/>
    <w:rsid w:val="0060533A"/>
    <w:rsid w:val="006067AB"/>
    <w:rsid w:val="00606C2A"/>
    <w:rsid w:val="00606D70"/>
    <w:rsid w:val="00607350"/>
    <w:rsid w:val="00607FFE"/>
    <w:rsid w:val="0061030D"/>
    <w:rsid w:val="00610417"/>
    <w:rsid w:val="0061094A"/>
    <w:rsid w:val="00610A54"/>
    <w:rsid w:val="00610F45"/>
    <w:rsid w:val="00610F8F"/>
    <w:rsid w:val="006111D2"/>
    <w:rsid w:val="00611984"/>
    <w:rsid w:val="00611F71"/>
    <w:rsid w:val="00612AFE"/>
    <w:rsid w:val="0061330D"/>
    <w:rsid w:val="00613BDC"/>
    <w:rsid w:val="006142AD"/>
    <w:rsid w:val="006144F9"/>
    <w:rsid w:val="00614550"/>
    <w:rsid w:val="00614C14"/>
    <w:rsid w:val="006150E6"/>
    <w:rsid w:val="00616991"/>
    <w:rsid w:val="00616DE0"/>
    <w:rsid w:val="006170F0"/>
    <w:rsid w:val="00617454"/>
    <w:rsid w:val="006203D3"/>
    <w:rsid w:val="0062096D"/>
    <w:rsid w:val="0062111A"/>
    <w:rsid w:val="006212A2"/>
    <w:rsid w:val="00621661"/>
    <w:rsid w:val="00621C9C"/>
    <w:rsid w:val="006223CC"/>
    <w:rsid w:val="00622610"/>
    <w:rsid w:val="0062296B"/>
    <w:rsid w:val="00623013"/>
    <w:rsid w:val="00623100"/>
    <w:rsid w:val="00623886"/>
    <w:rsid w:val="00623C21"/>
    <w:rsid w:val="006247B9"/>
    <w:rsid w:val="00624972"/>
    <w:rsid w:val="006250D6"/>
    <w:rsid w:val="0062561A"/>
    <w:rsid w:val="0062579F"/>
    <w:rsid w:val="006257D1"/>
    <w:rsid w:val="00625994"/>
    <w:rsid w:val="00625C2D"/>
    <w:rsid w:val="00625CA4"/>
    <w:rsid w:val="00626D2F"/>
    <w:rsid w:val="00627046"/>
    <w:rsid w:val="006275F4"/>
    <w:rsid w:val="006277E2"/>
    <w:rsid w:val="00627CA8"/>
    <w:rsid w:val="00627E1A"/>
    <w:rsid w:val="00630271"/>
    <w:rsid w:val="00630369"/>
    <w:rsid w:val="0063062D"/>
    <w:rsid w:val="00630D40"/>
    <w:rsid w:val="0063179E"/>
    <w:rsid w:val="006317EE"/>
    <w:rsid w:val="00632575"/>
    <w:rsid w:val="00632C1A"/>
    <w:rsid w:val="00632D2F"/>
    <w:rsid w:val="00632D3D"/>
    <w:rsid w:val="00632DD5"/>
    <w:rsid w:val="00633172"/>
    <w:rsid w:val="00633327"/>
    <w:rsid w:val="006336F6"/>
    <w:rsid w:val="006337E4"/>
    <w:rsid w:val="0063393B"/>
    <w:rsid w:val="00633945"/>
    <w:rsid w:val="00633B33"/>
    <w:rsid w:val="006345C3"/>
    <w:rsid w:val="006346A3"/>
    <w:rsid w:val="0063480C"/>
    <w:rsid w:val="00634D0C"/>
    <w:rsid w:val="00634ED0"/>
    <w:rsid w:val="00634FE8"/>
    <w:rsid w:val="00635753"/>
    <w:rsid w:val="0063622F"/>
    <w:rsid w:val="006366FE"/>
    <w:rsid w:val="00636749"/>
    <w:rsid w:val="0063685A"/>
    <w:rsid w:val="0063696D"/>
    <w:rsid w:val="00636F07"/>
    <w:rsid w:val="00637002"/>
    <w:rsid w:val="006378EF"/>
    <w:rsid w:val="0064051A"/>
    <w:rsid w:val="006407B4"/>
    <w:rsid w:val="00640D4E"/>
    <w:rsid w:val="006414A8"/>
    <w:rsid w:val="006414FF"/>
    <w:rsid w:val="006416F3"/>
    <w:rsid w:val="00641752"/>
    <w:rsid w:val="00641DA0"/>
    <w:rsid w:val="00641E99"/>
    <w:rsid w:val="006420EA"/>
    <w:rsid w:val="006421BA"/>
    <w:rsid w:val="006421D4"/>
    <w:rsid w:val="00642288"/>
    <w:rsid w:val="00642533"/>
    <w:rsid w:val="00643EFF"/>
    <w:rsid w:val="00644DC5"/>
    <w:rsid w:val="00644F89"/>
    <w:rsid w:val="006457BF"/>
    <w:rsid w:val="006458C3"/>
    <w:rsid w:val="00645F0D"/>
    <w:rsid w:val="0064756D"/>
    <w:rsid w:val="00647714"/>
    <w:rsid w:val="0064782C"/>
    <w:rsid w:val="00647B83"/>
    <w:rsid w:val="00647F04"/>
    <w:rsid w:val="0065094D"/>
    <w:rsid w:val="00650A4E"/>
    <w:rsid w:val="00650B65"/>
    <w:rsid w:val="00650DDE"/>
    <w:rsid w:val="00651039"/>
    <w:rsid w:val="0065104A"/>
    <w:rsid w:val="006515D7"/>
    <w:rsid w:val="00651A4C"/>
    <w:rsid w:val="006521C7"/>
    <w:rsid w:val="0065220F"/>
    <w:rsid w:val="006525C9"/>
    <w:rsid w:val="006526AD"/>
    <w:rsid w:val="0065349D"/>
    <w:rsid w:val="006540F9"/>
    <w:rsid w:val="00654128"/>
    <w:rsid w:val="006542A1"/>
    <w:rsid w:val="006543ED"/>
    <w:rsid w:val="006544D9"/>
    <w:rsid w:val="006548E3"/>
    <w:rsid w:val="00654B38"/>
    <w:rsid w:val="00655280"/>
    <w:rsid w:val="00655E5F"/>
    <w:rsid w:val="00656A63"/>
    <w:rsid w:val="006571F4"/>
    <w:rsid w:val="006575F7"/>
    <w:rsid w:val="00657B11"/>
    <w:rsid w:val="00657D25"/>
    <w:rsid w:val="00657E65"/>
    <w:rsid w:val="006600DF"/>
    <w:rsid w:val="006601D7"/>
    <w:rsid w:val="00660497"/>
    <w:rsid w:val="00660ABC"/>
    <w:rsid w:val="00660EA3"/>
    <w:rsid w:val="00661D53"/>
    <w:rsid w:val="00661F5D"/>
    <w:rsid w:val="006627D2"/>
    <w:rsid w:val="00662AF4"/>
    <w:rsid w:val="00663069"/>
    <w:rsid w:val="006635BD"/>
    <w:rsid w:val="00664117"/>
    <w:rsid w:val="006642FA"/>
    <w:rsid w:val="00664449"/>
    <w:rsid w:val="00664E8A"/>
    <w:rsid w:val="00665500"/>
    <w:rsid w:val="0066581A"/>
    <w:rsid w:val="0066592A"/>
    <w:rsid w:val="00665E9F"/>
    <w:rsid w:val="006663A0"/>
    <w:rsid w:val="00666729"/>
    <w:rsid w:val="00666861"/>
    <w:rsid w:val="00666AC1"/>
    <w:rsid w:val="00666D1D"/>
    <w:rsid w:val="0066740C"/>
    <w:rsid w:val="0066747A"/>
    <w:rsid w:val="00667BE1"/>
    <w:rsid w:val="006704CF"/>
    <w:rsid w:val="006706BD"/>
    <w:rsid w:val="00670C38"/>
    <w:rsid w:val="00671107"/>
    <w:rsid w:val="00671B7E"/>
    <w:rsid w:val="00672059"/>
    <w:rsid w:val="00672339"/>
    <w:rsid w:val="00672666"/>
    <w:rsid w:val="00672811"/>
    <w:rsid w:val="00672843"/>
    <w:rsid w:val="006728F0"/>
    <w:rsid w:val="00672D41"/>
    <w:rsid w:val="00672DE4"/>
    <w:rsid w:val="00673A87"/>
    <w:rsid w:val="00673AD9"/>
    <w:rsid w:val="00675391"/>
    <w:rsid w:val="0067545D"/>
    <w:rsid w:val="00675644"/>
    <w:rsid w:val="006758F5"/>
    <w:rsid w:val="00675D83"/>
    <w:rsid w:val="00675D95"/>
    <w:rsid w:val="00675EDE"/>
    <w:rsid w:val="006763CA"/>
    <w:rsid w:val="006764FF"/>
    <w:rsid w:val="00676788"/>
    <w:rsid w:val="006767FE"/>
    <w:rsid w:val="00676FEE"/>
    <w:rsid w:val="006771B5"/>
    <w:rsid w:val="00677856"/>
    <w:rsid w:val="00677DE0"/>
    <w:rsid w:val="00680C27"/>
    <w:rsid w:val="00680FAB"/>
    <w:rsid w:val="006816F2"/>
    <w:rsid w:val="00681952"/>
    <w:rsid w:val="00681CD6"/>
    <w:rsid w:val="00681D62"/>
    <w:rsid w:val="00681E17"/>
    <w:rsid w:val="0068260C"/>
    <w:rsid w:val="00682B47"/>
    <w:rsid w:val="00682B86"/>
    <w:rsid w:val="00682BED"/>
    <w:rsid w:val="00682DF6"/>
    <w:rsid w:val="00682FD5"/>
    <w:rsid w:val="0068339E"/>
    <w:rsid w:val="006835AE"/>
    <w:rsid w:val="006836D5"/>
    <w:rsid w:val="00684023"/>
    <w:rsid w:val="00684541"/>
    <w:rsid w:val="0068487E"/>
    <w:rsid w:val="00684D31"/>
    <w:rsid w:val="00684E65"/>
    <w:rsid w:val="00684F02"/>
    <w:rsid w:val="0068506F"/>
    <w:rsid w:val="006856BD"/>
    <w:rsid w:val="006859B5"/>
    <w:rsid w:val="00685A4C"/>
    <w:rsid w:val="00685D34"/>
    <w:rsid w:val="00685EAD"/>
    <w:rsid w:val="006861E8"/>
    <w:rsid w:val="0068633C"/>
    <w:rsid w:val="006863EA"/>
    <w:rsid w:val="0068652B"/>
    <w:rsid w:val="00686A99"/>
    <w:rsid w:val="00686CD3"/>
    <w:rsid w:val="00687638"/>
    <w:rsid w:val="0068785A"/>
    <w:rsid w:val="00687B77"/>
    <w:rsid w:val="006907D8"/>
    <w:rsid w:val="0069094A"/>
    <w:rsid w:val="00690F8C"/>
    <w:rsid w:val="006918F5"/>
    <w:rsid w:val="00692180"/>
    <w:rsid w:val="00692274"/>
    <w:rsid w:val="0069257A"/>
    <w:rsid w:val="006927D1"/>
    <w:rsid w:val="00692A1C"/>
    <w:rsid w:val="00692A5E"/>
    <w:rsid w:val="00692BA6"/>
    <w:rsid w:val="00692FD4"/>
    <w:rsid w:val="006930D3"/>
    <w:rsid w:val="00693F46"/>
    <w:rsid w:val="00693FC2"/>
    <w:rsid w:val="0069423F"/>
    <w:rsid w:val="006945BF"/>
    <w:rsid w:val="00695983"/>
    <w:rsid w:val="00695A56"/>
    <w:rsid w:val="00695C21"/>
    <w:rsid w:val="006965BF"/>
    <w:rsid w:val="006975BE"/>
    <w:rsid w:val="0069760C"/>
    <w:rsid w:val="00697655"/>
    <w:rsid w:val="00697A9A"/>
    <w:rsid w:val="00697C62"/>
    <w:rsid w:val="00697DF2"/>
    <w:rsid w:val="00697F96"/>
    <w:rsid w:val="00697FD7"/>
    <w:rsid w:val="006A03E0"/>
    <w:rsid w:val="006A04F5"/>
    <w:rsid w:val="006A0AC4"/>
    <w:rsid w:val="006A0B0B"/>
    <w:rsid w:val="006A0B7E"/>
    <w:rsid w:val="006A1079"/>
    <w:rsid w:val="006A1AC8"/>
    <w:rsid w:val="006A22C6"/>
    <w:rsid w:val="006A2CD3"/>
    <w:rsid w:val="006A338A"/>
    <w:rsid w:val="006A3791"/>
    <w:rsid w:val="006A45A7"/>
    <w:rsid w:val="006A49FF"/>
    <w:rsid w:val="006A4D7C"/>
    <w:rsid w:val="006A5420"/>
    <w:rsid w:val="006A5774"/>
    <w:rsid w:val="006A58E8"/>
    <w:rsid w:val="006A599E"/>
    <w:rsid w:val="006A59CE"/>
    <w:rsid w:val="006A5AB5"/>
    <w:rsid w:val="006A5C64"/>
    <w:rsid w:val="006A5D68"/>
    <w:rsid w:val="006A60AD"/>
    <w:rsid w:val="006A64FF"/>
    <w:rsid w:val="006A7562"/>
    <w:rsid w:val="006B0224"/>
    <w:rsid w:val="006B0457"/>
    <w:rsid w:val="006B1D01"/>
    <w:rsid w:val="006B246B"/>
    <w:rsid w:val="006B2F9C"/>
    <w:rsid w:val="006B3F9B"/>
    <w:rsid w:val="006B4091"/>
    <w:rsid w:val="006B44FD"/>
    <w:rsid w:val="006B4C72"/>
    <w:rsid w:val="006B6B9F"/>
    <w:rsid w:val="006B70DD"/>
    <w:rsid w:val="006B734B"/>
    <w:rsid w:val="006B739D"/>
    <w:rsid w:val="006B74C1"/>
    <w:rsid w:val="006B7AEF"/>
    <w:rsid w:val="006B7DBB"/>
    <w:rsid w:val="006B7E03"/>
    <w:rsid w:val="006C051A"/>
    <w:rsid w:val="006C0949"/>
    <w:rsid w:val="006C198E"/>
    <w:rsid w:val="006C1F3C"/>
    <w:rsid w:val="006C2699"/>
    <w:rsid w:val="006C290D"/>
    <w:rsid w:val="006C2A13"/>
    <w:rsid w:val="006C2FE0"/>
    <w:rsid w:val="006C3618"/>
    <w:rsid w:val="006C4D07"/>
    <w:rsid w:val="006C4F7C"/>
    <w:rsid w:val="006C5675"/>
    <w:rsid w:val="006C5CA3"/>
    <w:rsid w:val="006C65DF"/>
    <w:rsid w:val="006C6860"/>
    <w:rsid w:val="006C6B2B"/>
    <w:rsid w:val="006C6C71"/>
    <w:rsid w:val="006C70BC"/>
    <w:rsid w:val="006C7BF7"/>
    <w:rsid w:val="006D00F5"/>
    <w:rsid w:val="006D021F"/>
    <w:rsid w:val="006D04E7"/>
    <w:rsid w:val="006D09F0"/>
    <w:rsid w:val="006D0D9A"/>
    <w:rsid w:val="006D0E10"/>
    <w:rsid w:val="006D1085"/>
    <w:rsid w:val="006D155D"/>
    <w:rsid w:val="006D1997"/>
    <w:rsid w:val="006D1CA1"/>
    <w:rsid w:val="006D1FEF"/>
    <w:rsid w:val="006D2155"/>
    <w:rsid w:val="006D238D"/>
    <w:rsid w:val="006D26DC"/>
    <w:rsid w:val="006D2818"/>
    <w:rsid w:val="006D2AA9"/>
    <w:rsid w:val="006D400F"/>
    <w:rsid w:val="006D4922"/>
    <w:rsid w:val="006D4D9A"/>
    <w:rsid w:val="006D4EB5"/>
    <w:rsid w:val="006D5034"/>
    <w:rsid w:val="006D54CD"/>
    <w:rsid w:val="006D562F"/>
    <w:rsid w:val="006D5A95"/>
    <w:rsid w:val="006D5B54"/>
    <w:rsid w:val="006D5DE1"/>
    <w:rsid w:val="006D6660"/>
    <w:rsid w:val="006D66C7"/>
    <w:rsid w:val="006D6EBE"/>
    <w:rsid w:val="006D7866"/>
    <w:rsid w:val="006E03B4"/>
    <w:rsid w:val="006E0772"/>
    <w:rsid w:val="006E0E3A"/>
    <w:rsid w:val="006E1315"/>
    <w:rsid w:val="006E1A1E"/>
    <w:rsid w:val="006E1B7C"/>
    <w:rsid w:val="006E2214"/>
    <w:rsid w:val="006E251B"/>
    <w:rsid w:val="006E292E"/>
    <w:rsid w:val="006E2A2C"/>
    <w:rsid w:val="006E3360"/>
    <w:rsid w:val="006E3927"/>
    <w:rsid w:val="006E39E3"/>
    <w:rsid w:val="006E3CBF"/>
    <w:rsid w:val="006E4AFD"/>
    <w:rsid w:val="006E52D8"/>
    <w:rsid w:val="006E598C"/>
    <w:rsid w:val="006E5BA3"/>
    <w:rsid w:val="006E5DD8"/>
    <w:rsid w:val="006E68D4"/>
    <w:rsid w:val="006E6E50"/>
    <w:rsid w:val="006E6FC8"/>
    <w:rsid w:val="006E7454"/>
    <w:rsid w:val="006E7827"/>
    <w:rsid w:val="006E782C"/>
    <w:rsid w:val="006F018F"/>
    <w:rsid w:val="006F02E2"/>
    <w:rsid w:val="006F0537"/>
    <w:rsid w:val="006F0582"/>
    <w:rsid w:val="006F0AFE"/>
    <w:rsid w:val="006F0BFA"/>
    <w:rsid w:val="006F0FA1"/>
    <w:rsid w:val="006F1536"/>
    <w:rsid w:val="006F28EB"/>
    <w:rsid w:val="006F2EA4"/>
    <w:rsid w:val="006F3425"/>
    <w:rsid w:val="006F3806"/>
    <w:rsid w:val="006F3C37"/>
    <w:rsid w:val="006F3DAA"/>
    <w:rsid w:val="006F45D7"/>
    <w:rsid w:val="006F4BD2"/>
    <w:rsid w:val="006F4C8C"/>
    <w:rsid w:val="006F4EDA"/>
    <w:rsid w:val="006F5C36"/>
    <w:rsid w:val="006F6A21"/>
    <w:rsid w:val="006F6F3F"/>
    <w:rsid w:val="006F7CD4"/>
    <w:rsid w:val="006F7D98"/>
    <w:rsid w:val="0070026A"/>
    <w:rsid w:val="00700604"/>
    <w:rsid w:val="00700833"/>
    <w:rsid w:val="00700CF5"/>
    <w:rsid w:val="0070119D"/>
    <w:rsid w:val="00701534"/>
    <w:rsid w:val="00701913"/>
    <w:rsid w:val="00701E01"/>
    <w:rsid w:val="0070216B"/>
    <w:rsid w:val="00702EC6"/>
    <w:rsid w:val="00703590"/>
    <w:rsid w:val="007035A7"/>
    <w:rsid w:val="00703E8E"/>
    <w:rsid w:val="00704483"/>
    <w:rsid w:val="00704B04"/>
    <w:rsid w:val="00704C28"/>
    <w:rsid w:val="00704D4B"/>
    <w:rsid w:val="007050CB"/>
    <w:rsid w:val="00705303"/>
    <w:rsid w:val="007054A7"/>
    <w:rsid w:val="00705A71"/>
    <w:rsid w:val="00705C21"/>
    <w:rsid w:val="00706E3D"/>
    <w:rsid w:val="00706E58"/>
    <w:rsid w:val="007077F9"/>
    <w:rsid w:val="00707F0B"/>
    <w:rsid w:val="0071024C"/>
    <w:rsid w:val="00710460"/>
    <w:rsid w:val="00710748"/>
    <w:rsid w:val="007108DE"/>
    <w:rsid w:val="00710906"/>
    <w:rsid w:val="00710B3E"/>
    <w:rsid w:val="00710F95"/>
    <w:rsid w:val="007110E0"/>
    <w:rsid w:val="007117F9"/>
    <w:rsid w:val="00711AB3"/>
    <w:rsid w:val="00711B61"/>
    <w:rsid w:val="00711E60"/>
    <w:rsid w:val="00712363"/>
    <w:rsid w:val="007123A6"/>
    <w:rsid w:val="007127DA"/>
    <w:rsid w:val="00712A62"/>
    <w:rsid w:val="00713757"/>
    <w:rsid w:val="00713965"/>
    <w:rsid w:val="00713DD2"/>
    <w:rsid w:val="00713FFA"/>
    <w:rsid w:val="00714376"/>
    <w:rsid w:val="00714852"/>
    <w:rsid w:val="007159C7"/>
    <w:rsid w:val="00716402"/>
    <w:rsid w:val="0071666F"/>
    <w:rsid w:val="007167A1"/>
    <w:rsid w:val="00716877"/>
    <w:rsid w:val="00716CAC"/>
    <w:rsid w:val="0071763B"/>
    <w:rsid w:val="00717A1F"/>
    <w:rsid w:val="0072059B"/>
    <w:rsid w:val="007208F7"/>
    <w:rsid w:val="007209F0"/>
    <w:rsid w:val="00721933"/>
    <w:rsid w:val="007226B4"/>
    <w:rsid w:val="00723825"/>
    <w:rsid w:val="00723D68"/>
    <w:rsid w:val="0072464C"/>
    <w:rsid w:val="00724BEA"/>
    <w:rsid w:val="00724D65"/>
    <w:rsid w:val="007255D8"/>
    <w:rsid w:val="0072593A"/>
    <w:rsid w:val="00725FF0"/>
    <w:rsid w:val="007264F6"/>
    <w:rsid w:val="00726762"/>
    <w:rsid w:val="00726F54"/>
    <w:rsid w:val="007271A4"/>
    <w:rsid w:val="00727655"/>
    <w:rsid w:val="007276B9"/>
    <w:rsid w:val="00727837"/>
    <w:rsid w:val="00727C2B"/>
    <w:rsid w:val="00730373"/>
    <w:rsid w:val="007305F3"/>
    <w:rsid w:val="00730BE6"/>
    <w:rsid w:val="00730CD3"/>
    <w:rsid w:val="00732237"/>
    <w:rsid w:val="00732254"/>
    <w:rsid w:val="00732417"/>
    <w:rsid w:val="007324A2"/>
    <w:rsid w:val="007328F6"/>
    <w:rsid w:val="00732FD8"/>
    <w:rsid w:val="00733110"/>
    <w:rsid w:val="007338E1"/>
    <w:rsid w:val="007342F7"/>
    <w:rsid w:val="00734FFB"/>
    <w:rsid w:val="00735536"/>
    <w:rsid w:val="00735EA1"/>
    <w:rsid w:val="00736A29"/>
    <w:rsid w:val="00736C0C"/>
    <w:rsid w:val="00736E03"/>
    <w:rsid w:val="00736F98"/>
    <w:rsid w:val="00737012"/>
    <w:rsid w:val="007371E4"/>
    <w:rsid w:val="00737214"/>
    <w:rsid w:val="007372AA"/>
    <w:rsid w:val="0073748A"/>
    <w:rsid w:val="007378BF"/>
    <w:rsid w:val="00737AEA"/>
    <w:rsid w:val="00737E34"/>
    <w:rsid w:val="00737F2A"/>
    <w:rsid w:val="0074019B"/>
    <w:rsid w:val="00740236"/>
    <w:rsid w:val="00740F31"/>
    <w:rsid w:val="0074127E"/>
    <w:rsid w:val="007417D7"/>
    <w:rsid w:val="00741B27"/>
    <w:rsid w:val="007424D2"/>
    <w:rsid w:val="00742B0B"/>
    <w:rsid w:val="00742BE5"/>
    <w:rsid w:val="00742CFC"/>
    <w:rsid w:val="00742E96"/>
    <w:rsid w:val="00743382"/>
    <w:rsid w:val="0074422A"/>
    <w:rsid w:val="007446C3"/>
    <w:rsid w:val="00744951"/>
    <w:rsid w:val="00744952"/>
    <w:rsid w:val="007456E8"/>
    <w:rsid w:val="0074595D"/>
    <w:rsid w:val="00745C16"/>
    <w:rsid w:val="00745DD1"/>
    <w:rsid w:val="00745EF4"/>
    <w:rsid w:val="007464BD"/>
    <w:rsid w:val="0074671F"/>
    <w:rsid w:val="00746905"/>
    <w:rsid w:val="007471A7"/>
    <w:rsid w:val="007472AA"/>
    <w:rsid w:val="0074730E"/>
    <w:rsid w:val="00747332"/>
    <w:rsid w:val="00747476"/>
    <w:rsid w:val="0074760F"/>
    <w:rsid w:val="00747D1F"/>
    <w:rsid w:val="0075012F"/>
    <w:rsid w:val="007505D9"/>
    <w:rsid w:val="007506C3"/>
    <w:rsid w:val="007508DA"/>
    <w:rsid w:val="00751713"/>
    <w:rsid w:val="00751E1F"/>
    <w:rsid w:val="007521B9"/>
    <w:rsid w:val="007521F2"/>
    <w:rsid w:val="00752794"/>
    <w:rsid w:val="00752C4C"/>
    <w:rsid w:val="007530D1"/>
    <w:rsid w:val="00753CA1"/>
    <w:rsid w:val="007547BF"/>
    <w:rsid w:val="00754994"/>
    <w:rsid w:val="00754C12"/>
    <w:rsid w:val="00754F19"/>
    <w:rsid w:val="00755152"/>
    <w:rsid w:val="0075569A"/>
    <w:rsid w:val="0075571A"/>
    <w:rsid w:val="00755ED2"/>
    <w:rsid w:val="007562A6"/>
    <w:rsid w:val="0075664F"/>
    <w:rsid w:val="007567C1"/>
    <w:rsid w:val="00756CB5"/>
    <w:rsid w:val="00757333"/>
    <w:rsid w:val="00757517"/>
    <w:rsid w:val="007575E9"/>
    <w:rsid w:val="007577D2"/>
    <w:rsid w:val="007578C3"/>
    <w:rsid w:val="00757C2E"/>
    <w:rsid w:val="00760E2A"/>
    <w:rsid w:val="007611BB"/>
    <w:rsid w:val="007615FC"/>
    <w:rsid w:val="00761DC8"/>
    <w:rsid w:val="00761DDD"/>
    <w:rsid w:val="00762D1C"/>
    <w:rsid w:val="0076364F"/>
    <w:rsid w:val="00763D4B"/>
    <w:rsid w:val="007647C8"/>
    <w:rsid w:val="00764E19"/>
    <w:rsid w:val="007657B2"/>
    <w:rsid w:val="00765807"/>
    <w:rsid w:val="00765C33"/>
    <w:rsid w:val="00765F9E"/>
    <w:rsid w:val="0076686F"/>
    <w:rsid w:val="00767803"/>
    <w:rsid w:val="00767A36"/>
    <w:rsid w:val="00767CA6"/>
    <w:rsid w:val="007701F5"/>
    <w:rsid w:val="0077167D"/>
    <w:rsid w:val="00771DCD"/>
    <w:rsid w:val="007721DE"/>
    <w:rsid w:val="007726D4"/>
    <w:rsid w:val="00772B22"/>
    <w:rsid w:val="00772B26"/>
    <w:rsid w:val="007737EF"/>
    <w:rsid w:val="00773C3D"/>
    <w:rsid w:val="00773DDA"/>
    <w:rsid w:val="00775080"/>
    <w:rsid w:val="00775505"/>
    <w:rsid w:val="00775994"/>
    <w:rsid w:val="007759BA"/>
    <w:rsid w:val="00775D59"/>
    <w:rsid w:val="00776660"/>
    <w:rsid w:val="0077682B"/>
    <w:rsid w:val="00776856"/>
    <w:rsid w:val="0077717B"/>
    <w:rsid w:val="0077775B"/>
    <w:rsid w:val="0077788F"/>
    <w:rsid w:val="00777A23"/>
    <w:rsid w:val="00777D8F"/>
    <w:rsid w:val="007804D5"/>
    <w:rsid w:val="00780650"/>
    <w:rsid w:val="00780A34"/>
    <w:rsid w:val="00780BE0"/>
    <w:rsid w:val="00781057"/>
    <w:rsid w:val="00781231"/>
    <w:rsid w:val="00781726"/>
    <w:rsid w:val="00781B8F"/>
    <w:rsid w:val="00781CDE"/>
    <w:rsid w:val="00782ACF"/>
    <w:rsid w:val="00783173"/>
    <w:rsid w:val="007831B2"/>
    <w:rsid w:val="00783910"/>
    <w:rsid w:val="00783A25"/>
    <w:rsid w:val="00783D87"/>
    <w:rsid w:val="00784B30"/>
    <w:rsid w:val="00784BBD"/>
    <w:rsid w:val="00784D1D"/>
    <w:rsid w:val="007857AF"/>
    <w:rsid w:val="00785E5C"/>
    <w:rsid w:val="00785E7F"/>
    <w:rsid w:val="00785FEA"/>
    <w:rsid w:val="007861C1"/>
    <w:rsid w:val="00786326"/>
    <w:rsid w:val="007863C9"/>
    <w:rsid w:val="00786874"/>
    <w:rsid w:val="00786889"/>
    <w:rsid w:val="00786E63"/>
    <w:rsid w:val="00787102"/>
    <w:rsid w:val="00790538"/>
    <w:rsid w:val="00790A4E"/>
    <w:rsid w:val="00790DB5"/>
    <w:rsid w:val="00791009"/>
    <w:rsid w:val="00791D0D"/>
    <w:rsid w:val="00791E27"/>
    <w:rsid w:val="007924C8"/>
    <w:rsid w:val="0079266C"/>
    <w:rsid w:val="00793D15"/>
    <w:rsid w:val="00795136"/>
    <w:rsid w:val="007959B0"/>
    <w:rsid w:val="00796037"/>
    <w:rsid w:val="00796129"/>
    <w:rsid w:val="0079682B"/>
    <w:rsid w:val="00796E41"/>
    <w:rsid w:val="007970A4"/>
    <w:rsid w:val="0079755D"/>
    <w:rsid w:val="00797AD0"/>
    <w:rsid w:val="00797B5C"/>
    <w:rsid w:val="00797BA9"/>
    <w:rsid w:val="00797C0A"/>
    <w:rsid w:val="007A0244"/>
    <w:rsid w:val="007A02A2"/>
    <w:rsid w:val="007A0BE8"/>
    <w:rsid w:val="007A0CD6"/>
    <w:rsid w:val="007A1651"/>
    <w:rsid w:val="007A17CD"/>
    <w:rsid w:val="007A1B51"/>
    <w:rsid w:val="007A1E9E"/>
    <w:rsid w:val="007A2D4A"/>
    <w:rsid w:val="007A2E82"/>
    <w:rsid w:val="007A37BA"/>
    <w:rsid w:val="007A3A16"/>
    <w:rsid w:val="007A3AE6"/>
    <w:rsid w:val="007A4627"/>
    <w:rsid w:val="007A4BA9"/>
    <w:rsid w:val="007A4D95"/>
    <w:rsid w:val="007A512B"/>
    <w:rsid w:val="007A5830"/>
    <w:rsid w:val="007A5F75"/>
    <w:rsid w:val="007A654C"/>
    <w:rsid w:val="007A6AF1"/>
    <w:rsid w:val="007A7C2C"/>
    <w:rsid w:val="007B0347"/>
    <w:rsid w:val="007B059E"/>
    <w:rsid w:val="007B073E"/>
    <w:rsid w:val="007B1518"/>
    <w:rsid w:val="007B1B0F"/>
    <w:rsid w:val="007B1B31"/>
    <w:rsid w:val="007B1B3C"/>
    <w:rsid w:val="007B20D7"/>
    <w:rsid w:val="007B26E4"/>
    <w:rsid w:val="007B29A5"/>
    <w:rsid w:val="007B3673"/>
    <w:rsid w:val="007B3895"/>
    <w:rsid w:val="007B3F22"/>
    <w:rsid w:val="007B4174"/>
    <w:rsid w:val="007B46C1"/>
    <w:rsid w:val="007B4D86"/>
    <w:rsid w:val="007B5398"/>
    <w:rsid w:val="007B5A51"/>
    <w:rsid w:val="007B5DC0"/>
    <w:rsid w:val="007B6019"/>
    <w:rsid w:val="007B6032"/>
    <w:rsid w:val="007B69C5"/>
    <w:rsid w:val="007B6CB7"/>
    <w:rsid w:val="007B70C4"/>
    <w:rsid w:val="007B7138"/>
    <w:rsid w:val="007B758C"/>
    <w:rsid w:val="007B79ED"/>
    <w:rsid w:val="007B7E0B"/>
    <w:rsid w:val="007C0470"/>
    <w:rsid w:val="007C0B4E"/>
    <w:rsid w:val="007C1CDD"/>
    <w:rsid w:val="007C29DB"/>
    <w:rsid w:val="007C2F54"/>
    <w:rsid w:val="007C35F3"/>
    <w:rsid w:val="007C3B0F"/>
    <w:rsid w:val="007C3E2B"/>
    <w:rsid w:val="007C423A"/>
    <w:rsid w:val="007C4B69"/>
    <w:rsid w:val="007C4CCB"/>
    <w:rsid w:val="007C4D2B"/>
    <w:rsid w:val="007C512E"/>
    <w:rsid w:val="007C55DF"/>
    <w:rsid w:val="007C5C54"/>
    <w:rsid w:val="007C5CEE"/>
    <w:rsid w:val="007C5F41"/>
    <w:rsid w:val="007C620E"/>
    <w:rsid w:val="007C6C59"/>
    <w:rsid w:val="007C742B"/>
    <w:rsid w:val="007D0128"/>
    <w:rsid w:val="007D0F23"/>
    <w:rsid w:val="007D16FD"/>
    <w:rsid w:val="007D2787"/>
    <w:rsid w:val="007D2A4B"/>
    <w:rsid w:val="007D2CCF"/>
    <w:rsid w:val="007D2DF5"/>
    <w:rsid w:val="007D2EA0"/>
    <w:rsid w:val="007D369B"/>
    <w:rsid w:val="007D36EE"/>
    <w:rsid w:val="007D3859"/>
    <w:rsid w:val="007D3A89"/>
    <w:rsid w:val="007D3BDC"/>
    <w:rsid w:val="007D413C"/>
    <w:rsid w:val="007D44B5"/>
    <w:rsid w:val="007D467A"/>
    <w:rsid w:val="007D4B2C"/>
    <w:rsid w:val="007D4F11"/>
    <w:rsid w:val="007D520E"/>
    <w:rsid w:val="007D5BAC"/>
    <w:rsid w:val="007D609D"/>
    <w:rsid w:val="007D6418"/>
    <w:rsid w:val="007E06EE"/>
    <w:rsid w:val="007E0B98"/>
    <w:rsid w:val="007E1307"/>
    <w:rsid w:val="007E1B1F"/>
    <w:rsid w:val="007E1B2D"/>
    <w:rsid w:val="007E2A2F"/>
    <w:rsid w:val="007E2E2C"/>
    <w:rsid w:val="007E316C"/>
    <w:rsid w:val="007E35F5"/>
    <w:rsid w:val="007E3C43"/>
    <w:rsid w:val="007E3DC7"/>
    <w:rsid w:val="007E4291"/>
    <w:rsid w:val="007E42AF"/>
    <w:rsid w:val="007E496C"/>
    <w:rsid w:val="007E4D52"/>
    <w:rsid w:val="007E5104"/>
    <w:rsid w:val="007E567E"/>
    <w:rsid w:val="007E5C0A"/>
    <w:rsid w:val="007E5D82"/>
    <w:rsid w:val="007E5E73"/>
    <w:rsid w:val="007E62BE"/>
    <w:rsid w:val="007E62CE"/>
    <w:rsid w:val="007E62EB"/>
    <w:rsid w:val="007E6385"/>
    <w:rsid w:val="007E70BC"/>
    <w:rsid w:val="007F010F"/>
    <w:rsid w:val="007F06E9"/>
    <w:rsid w:val="007F1012"/>
    <w:rsid w:val="007F178F"/>
    <w:rsid w:val="007F1C49"/>
    <w:rsid w:val="007F2081"/>
    <w:rsid w:val="007F20D5"/>
    <w:rsid w:val="007F28AC"/>
    <w:rsid w:val="007F28BC"/>
    <w:rsid w:val="007F2AFB"/>
    <w:rsid w:val="007F2E5D"/>
    <w:rsid w:val="007F367A"/>
    <w:rsid w:val="007F3AC4"/>
    <w:rsid w:val="007F411A"/>
    <w:rsid w:val="007F4293"/>
    <w:rsid w:val="007F4376"/>
    <w:rsid w:val="007F457E"/>
    <w:rsid w:val="007F46FF"/>
    <w:rsid w:val="007F5018"/>
    <w:rsid w:val="007F54A2"/>
    <w:rsid w:val="007F58D3"/>
    <w:rsid w:val="007F62B6"/>
    <w:rsid w:val="007F6395"/>
    <w:rsid w:val="007F66C3"/>
    <w:rsid w:val="007F69A5"/>
    <w:rsid w:val="007F6D9B"/>
    <w:rsid w:val="007F734F"/>
    <w:rsid w:val="007F77E8"/>
    <w:rsid w:val="007F7B7F"/>
    <w:rsid w:val="007F7FCE"/>
    <w:rsid w:val="00800583"/>
    <w:rsid w:val="00800D65"/>
    <w:rsid w:val="0080109D"/>
    <w:rsid w:val="00801636"/>
    <w:rsid w:val="008017C4"/>
    <w:rsid w:val="00801897"/>
    <w:rsid w:val="008023EB"/>
    <w:rsid w:val="0080263C"/>
    <w:rsid w:val="00802A33"/>
    <w:rsid w:val="00803BCB"/>
    <w:rsid w:val="0080434C"/>
    <w:rsid w:val="0080533D"/>
    <w:rsid w:val="008058D0"/>
    <w:rsid w:val="008058D2"/>
    <w:rsid w:val="00805AE5"/>
    <w:rsid w:val="00805BBE"/>
    <w:rsid w:val="00806635"/>
    <w:rsid w:val="00806C56"/>
    <w:rsid w:val="00807543"/>
    <w:rsid w:val="0080774F"/>
    <w:rsid w:val="0080786A"/>
    <w:rsid w:val="008079B2"/>
    <w:rsid w:val="00807A25"/>
    <w:rsid w:val="00807CDE"/>
    <w:rsid w:val="008101D8"/>
    <w:rsid w:val="00810567"/>
    <w:rsid w:val="00810A54"/>
    <w:rsid w:val="008119FC"/>
    <w:rsid w:val="00811CEC"/>
    <w:rsid w:val="00812206"/>
    <w:rsid w:val="00812383"/>
    <w:rsid w:val="008123BD"/>
    <w:rsid w:val="008127A1"/>
    <w:rsid w:val="00812A2F"/>
    <w:rsid w:val="00812F3B"/>
    <w:rsid w:val="00812FF9"/>
    <w:rsid w:val="008135EC"/>
    <w:rsid w:val="00813FFF"/>
    <w:rsid w:val="008141F6"/>
    <w:rsid w:val="00814436"/>
    <w:rsid w:val="00814A50"/>
    <w:rsid w:val="00814D9B"/>
    <w:rsid w:val="00814E42"/>
    <w:rsid w:val="00815043"/>
    <w:rsid w:val="008158E7"/>
    <w:rsid w:val="00815FBE"/>
    <w:rsid w:val="00816333"/>
    <w:rsid w:val="00816440"/>
    <w:rsid w:val="00816511"/>
    <w:rsid w:val="008168E0"/>
    <w:rsid w:val="00816EAE"/>
    <w:rsid w:val="008171A4"/>
    <w:rsid w:val="00817378"/>
    <w:rsid w:val="00817581"/>
    <w:rsid w:val="0081765D"/>
    <w:rsid w:val="0081770D"/>
    <w:rsid w:val="00817723"/>
    <w:rsid w:val="008178DE"/>
    <w:rsid w:val="008200AC"/>
    <w:rsid w:val="00820661"/>
    <w:rsid w:val="00820E1A"/>
    <w:rsid w:val="00821091"/>
    <w:rsid w:val="00821542"/>
    <w:rsid w:val="0082163D"/>
    <w:rsid w:val="008221CD"/>
    <w:rsid w:val="008221EA"/>
    <w:rsid w:val="00822565"/>
    <w:rsid w:val="00822620"/>
    <w:rsid w:val="0082284D"/>
    <w:rsid w:val="008230B7"/>
    <w:rsid w:val="00823159"/>
    <w:rsid w:val="00823631"/>
    <w:rsid w:val="008238A7"/>
    <w:rsid w:val="00823E83"/>
    <w:rsid w:val="008245BF"/>
    <w:rsid w:val="008249C1"/>
    <w:rsid w:val="00825009"/>
    <w:rsid w:val="00825710"/>
    <w:rsid w:val="00825897"/>
    <w:rsid w:val="00826E92"/>
    <w:rsid w:val="00827079"/>
    <w:rsid w:val="0082742F"/>
    <w:rsid w:val="00827C4B"/>
    <w:rsid w:val="00827C5F"/>
    <w:rsid w:val="00827E56"/>
    <w:rsid w:val="00830700"/>
    <w:rsid w:val="00830808"/>
    <w:rsid w:val="008309A8"/>
    <w:rsid w:val="00830A39"/>
    <w:rsid w:val="00831034"/>
    <w:rsid w:val="008312E4"/>
    <w:rsid w:val="00831FA5"/>
    <w:rsid w:val="0083220E"/>
    <w:rsid w:val="0083237C"/>
    <w:rsid w:val="0083271A"/>
    <w:rsid w:val="00833FF4"/>
    <w:rsid w:val="008341AA"/>
    <w:rsid w:val="008343C3"/>
    <w:rsid w:val="00834475"/>
    <w:rsid w:val="00834F71"/>
    <w:rsid w:val="00835502"/>
    <w:rsid w:val="008355FD"/>
    <w:rsid w:val="00835832"/>
    <w:rsid w:val="00835B4D"/>
    <w:rsid w:val="00835ECC"/>
    <w:rsid w:val="00835EE9"/>
    <w:rsid w:val="008361FC"/>
    <w:rsid w:val="00836602"/>
    <w:rsid w:val="00836F88"/>
    <w:rsid w:val="0083743B"/>
    <w:rsid w:val="0083764D"/>
    <w:rsid w:val="00837E4D"/>
    <w:rsid w:val="00837E79"/>
    <w:rsid w:val="00837ECD"/>
    <w:rsid w:val="00840085"/>
    <w:rsid w:val="00840648"/>
    <w:rsid w:val="00840CF3"/>
    <w:rsid w:val="00840D4D"/>
    <w:rsid w:val="00842415"/>
    <w:rsid w:val="0084245B"/>
    <w:rsid w:val="0084261B"/>
    <w:rsid w:val="00842BAF"/>
    <w:rsid w:val="00842C34"/>
    <w:rsid w:val="0084345D"/>
    <w:rsid w:val="00843554"/>
    <w:rsid w:val="00843CB1"/>
    <w:rsid w:val="0084454E"/>
    <w:rsid w:val="008446A6"/>
    <w:rsid w:val="0084482A"/>
    <w:rsid w:val="008457A7"/>
    <w:rsid w:val="0084589C"/>
    <w:rsid w:val="008458E5"/>
    <w:rsid w:val="0084699E"/>
    <w:rsid w:val="00846AFB"/>
    <w:rsid w:val="00846BFA"/>
    <w:rsid w:val="00846C8E"/>
    <w:rsid w:val="00846E9B"/>
    <w:rsid w:val="008470C9"/>
    <w:rsid w:val="008471FF"/>
    <w:rsid w:val="0084783C"/>
    <w:rsid w:val="00850668"/>
    <w:rsid w:val="00851B8E"/>
    <w:rsid w:val="0085254F"/>
    <w:rsid w:val="008529D2"/>
    <w:rsid w:val="008529E7"/>
    <w:rsid w:val="00852CDB"/>
    <w:rsid w:val="008533C0"/>
    <w:rsid w:val="00853BFC"/>
    <w:rsid w:val="008545A5"/>
    <w:rsid w:val="008548B6"/>
    <w:rsid w:val="008549AE"/>
    <w:rsid w:val="00854D05"/>
    <w:rsid w:val="00854E8B"/>
    <w:rsid w:val="008556C2"/>
    <w:rsid w:val="00855E6F"/>
    <w:rsid w:val="0085640F"/>
    <w:rsid w:val="0085658F"/>
    <w:rsid w:val="00856D0E"/>
    <w:rsid w:val="008570E2"/>
    <w:rsid w:val="00860751"/>
    <w:rsid w:val="00860BD7"/>
    <w:rsid w:val="00861182"/>
    <w:rsid w:val="008611B3"/>
    <w:rsid w:val="00861B55"/>
    <w:rsid w:val="00861D67"/>
    <w:rsid w:val="00861FDC"/>
    <w:rsid w:val="008625B4"/>
    <w:rsid w:val="00862C3F"/>
    <w:rsid w:val="00863365"/>
    <w:rsid w:val="008637C9"/>
    <w:rsid w:val="00863DB7"/>
    <w:rsid w:val="00863E28"/>
    <w:rsid w:val="00863FDC"/>
    <w:rsid w:val="00864543"/>
    <w:rsid w:val="00864C7A"/>
    <w:rsid w:val="008656FD"/>
    <w:rsid w:val="00865A24"/>
    <w:rsid w:val="00865ECE"/>
    <w:rsid w:val="008660C6"/>
    <w:rsid w:val="008662E0"/>
    <w:rsid w:val="0086635B"/>
    <w:rsid w:val="008666C7"/>
    <w:rsid w:val="0086681E"/>
    <w:rsid w:val="008669E6"/>
    <w:rsid w:val="00867894"/>
    <w:rsid w:val="00867F24"/>
    <w:rsid w:val="00870212"/>
    <w:rsid w:val="00870648"/>
    <w:rsid w:val="00870BC2"/>
    <w:rsid w:val="00870E9F"/>
    <w:rsid w:val="00870ED8"/>
    <w:rsid w:val="008713E3"/>
    <w:rsid w:val="008714ED"/>
    <w:rsid w:val="00871615"/>
    <w:rsid w:val="00871A00"/>
    <w:rsid w:val="00871E51"/>
    <w:rsid w:val="008725A7"/>
    <w:rsid w:val="008732FD"/>
    <w:rsid w:val="00873401"/>
    <w:rsid w:val="0087358B"/>
    <w:rsid w:val="0087389D"/>
    <w:rsid w:val="00873DB7"/>
    <w:rsid w:val="008742FB"/>
    <w:rsid w:val="00874982"/>
    <w:rsid w:val="00875267"/>
    <w:rsid w:val="008755E4"/>
    <w:rsid w:val="0087572C"/>
    <w:rsid w:val="0087658B"/>
    <w:rsid w:val="00876A9C"/>
    <w:rsid w:val="00876AB4"/>
    <w:rsid w:val="00876E59"/>
    <w:rsid w:val="008775B8"/>
    <w:rsid w:val="00877A8A"/>
    <w:rsid w:val="00877E73"/>
    <w:rsid w:val="008802F4"/>
    <w:rsid w:val="00880426"/>
    <w:rsid w:val="008805C8"/>
    <w:rsid w:val="00880881"/>
    <w:rsid w:val="00880AFE"/>
    <w:rsid w:val="00880F88"/>
    <w:rsid w:val="00881305"/>
    <w:rsid w:val="008813C7"/>
    <w:rsid w:val="00881979"/>
    <w:rsid w:val="00881D9E"/>
    <w:rsid w:val="00881EE3"/>
    <w:rsid w:val="00882E7C"/>
    <w:rsid w:val="00883143"/>
    <w:rsid w:val="0088388B"/>
    <w:rsid w:val="00884072"/>
    <w:rsid w:val="00884567"/>
    <w:rsid w:val="00884E38"/>
    <w:rsid w:val="00884E62"/>
    <w:rsid w:val="00884EFE"/>
    <w:rsid w:val="008853A0"/>
    <w:rsid w:val="008859C7"/>
    <w:rsid w:val="00885B14"/>
    <w:rsid w:val="00885BE0"/>
    <w:rsid w:val="00885DFD"/>
    <w:rsid w:val="008860A4"/>
    <w:rsid w:val="00886217"/>
    <w:rsid w:val="008863E2"/>
    <w:rsid w:val="00886516"/>
    <w:rsid w:val="00886661"/>
    <w:rsid w:val="008867ED"/>
    <w:rsid w:val="008871C0"/>
    <w:rsid w:val="008873E4"/>
    <w:rsid w:val="00887958"/>
    <w:rsid w:val="00887A61"/>
    <w:rsid w:val="00890040"/>
    <w:rsid w:val="00890415"/>
    <w:rsid w:val="008906AD"/>
    <w:rsid w:val="00890C2E"/>
    <w:rsid w:val="00890F3D"/>
    <w:rsid w:val="00891358"/>
    <w:rsid w:val="008915C1"/>
    <w:rsid w:val="00891CC2"/>
    <w:rsid w:val="008929F5"/>
    <w:rsid w:val="00892A24"/>
    <w:rsid w:val="00892D49"/>
    <w:rsid w:val="00893082"/>
    <w:rsid w:val="00893280"/>
    <w:rsid w:val="00893D0E"/>
    <w:rsid w:val="00893ED0"/>
    <w:rsid w:val="0089402A"/>
    <w:rsid w:val="0089411E"/>
    <w:rsid w:val="008943FB"/>
    <w:rsid w:val="00894AD6"/>
    <w:rsid w:val="00894DF3"/>
    <w:rsid w:val="0089576F"/>
    <w:rsid w:val="008959E7"/>
    <w:rsid w:val="00896734"/>
    <w:rsid w:val="008975FF"/>
    <w:rsid w:val="008A054C"/>
    <w:rsid w:val="008A0707"/>
    <w:rsid w:val="008A0865"/>
    <w:rsid w:val="008A0870"/>
    <w:rsid w:val="008A08FD"/>
    <w:rsid w:val="008A0B2E"/>
    <w:rsid w:val="008A2954"/>
    <w:rsid w:val="008A2F1B"/>
    <w:rsid w:val="008A3596"/>
    <w:rsid w:val="008A35BD"/>
    <w:rsid w:val="008A368E"/>
    <w:rsid w:val="008A37E9"/>
    <w:rsid w:val="008A38EE"/>
    <w:rsid w:val="008A3B07"/>
    <w:rsid w:val="008A3D4E"/>
    <w:rsid w:val="008A47CA"/>
    <w:rsid w:val="008A4803"/>
    <w:rsid w:val="008A4A3A"/>
    <w:rsid w:val="008A50C1"/>
    <w:rsid w:val="008A55B0"/>
    <w:rsid w:val="008A5C34"/>
    <w:rsid w:val="008A5F72"/>
    <w:rsid w:val="008A61B6"/>
    <w:rsid w:val="008A6C3B"/>
    <w:rsid w:val="008A72E6"/>
    <w:rsid w:val="008A7EA1"/>
    <w:rsid w:val="008B0698"/>
    <w:rsid w:val="008B06DF"/>
    <w:rsid w:val="008B0876"/>
    <w:rsid w:val="008B0AEA"/>
    <w:rsid w:val="008B0D49"/>
    <w:rsid w:val="008B1170"/>
    <w:rsid w:val="008B1A9B"/>
    <w:rsid w:val="008B1EBE"/>
    <w:rsid w:val="008B2716"/>
    <w:rsid w:val="008B28AE"/>
    <w:rsid w:val="008B2ED3"/>
    <w:rsid w:val="008B3F60"/>
    <w:rsid w:val="008B4149"/>
    <w:rsid w:val="008B4A57"/>
    <w:rsid w:val="008B4EAC"/>
    <w:rsid w:val="008B4FE3"/>
    <w:rsid w:val="008B52E0"/>
    <w:rsid w:val="008B5711"/>
    <w:rsid w:val="008B5781"/>
    <w:rsid w:val="008B5C72"/>
    <w:rsid w:val="008B657A"/>
    <w:rsid w:val="008B6E6D"/>
    <w:rsid w:val="008B70A6"/>
    <w:rsid w:val="008B7128"/>
    <w:rsid w:val="008B725C"/>
    <w:rsid w:val="008B736F"/>
    <w:rsid w:val="008C0321"/>
    <w:rsid w:val="008C043D"/>
    <w:rsid w:val="008C0878"/>
    <w:rsid w:val="008C0FCE"/>
    <w:rsid w:val="008C148B"/>
    <w:rsid w:val="008C1678"/>
    <w:rsid w:val="008C1999"/>
    <w:rsid w:val="008C2446"/>
    <w:rsid w:val="008C266D"/>
    <w:rsid w:val="008C27DE"/>
    <w:rsid w:val="008C31FD"/>
    <w:rsid w:val="008C3582"/>
    <w:rsid w:val="008C3741"/>
    <w:rsid w:val="008C39FE"/>
    <w:rsid w:val="008C3FAD"/>
    <w:rsid w:val="008C4116"/>
    <w:rsid w:val="008C4531"/>
    <w:rsid w:val="008C4746"/>
    <w:rsid w:val="008C4CE2"/>
    <w:rsid w:val="008C4DBC"/>
    <w:rsid w:val="008C4DBF"/>
    <w:rsid w:val="008C5A41"/>
    <w:rsid w:val="008C5B92"/>
    <w:rsid w:val="008C5EE7"/>
    <w:rsid w:val="008C6519"/>
    <w:rsid w:val="008C69D2"/>
    <w:rsid w:val="008C73A8"/>
    <w:rsid w:val="008C75DE"/>
    <w:rsid w:val="008C7B5C"/>
    <w:rsid w:val="008D03AE"/>
    <w:rsid w:val="008D07EA"/>
    <w:rsid w:val="008D0858"/>
    <w:rsid w:val="008D089A"/>
    <w:rsid w:val="008D0CE8"/>
    <w:rsid w:val="008D1D19"/>
    <w:rsid w:val="008D278D"/>
    <w:rsid w:val="008D299B"/>
    <w:rsid w:val="008D2A2E"/>
    <w:rsid w:val="008D3200"/>
    <w:rsid w:val="008D33E2"/>
    <w:rsid w:val="008D3CDA"/>
    <w:rsid w:val="008D53C0"/>
    <w:rsid w:val="008D5474"/>
    <w:rsid w:val="008D5626"/>
    <w:rsid w:val="008D59E3"/>
    <w:rsid w:val="008D5B9D"/>
    <w:rsid w:val="008D626D"/>
    <w:rsid w:val="008D674F"/>
    <w:rsid w:val="008D680D"/>
    <w:rsid w:val="008D77BD"/>
    <w:rsid w:val="008D7F1D"/>
    <w:rsid w:val="008E027E"/>
    <w:rsid w:val="008E07CC"/>
    <w:rsid w:val="008E0BCA"/>
    <w:rsid w:val="008E1298"/>
    <w:rsid w:val="008E273E"/>
    <w:rsid w:val="008E32C0"/>
    <w:rsid w:val="008E33B3"/>
    <w:rsid w:val="008E3D66"/>
    <w:rsid w:val="008E40AD"/>
    <w:rsid w:val="008E44F7"/>
    <w:rsid w:val="008E4F84"/>
    <w:rsid w:val="008E5564"/>
    <w:rsid w:val="008E5648"/>
    <w:rsid w:val="008E57CC"/>
    <w:rsid w:val="008E57CF"/>
    <w:rsid w:val="008E644A"/>
    <w:rsid w:val="008E7056"/>
    <w:rsid w:val="008E76A2"/>
    <w:rsid w:val="008E7758"/>
    <w:rsid w:val="008E7931"/>
    <w:rsid w:val="008E7B37"/>
    <w:rsid w:val="008E7EC3"/>
    <w:rsid w:val="008F0D7A"/>
    <w:rsid w:val="008F1005"/>
    <w:rsid w:val="008F1081"/>
    <w:rsid w:val="008F12A9"/>
    <w:rsid w:val="008F1434"/>
    <w:rsid w:val="008F20B9"/>
    <w:rsid w:val="008F2A3E"/>
    <w:rsid w:val="008F2EE0"/>
    <w:rsid w:val="008F2FBA"/>
    <w:rsid w:val="008F3212"/>
    <w:rsid w:val="008F330F"/>
    <w:rsid w:val="008F34A7"/>
    <w:rsid w:val="008F3DD3"/>
    <w:rsid w:val="008F4262"/>
    <w:rsid w:val="008F4EB7"/>
    <w:rsid w:val="008F50B6"/>
    <w:rsid w:val="008F5351"/>
    <w:rsid w:val="008F5911"/>
    <w:rsid w:val="008F59FF"/>
    <w:rsid w:val="008F5B6E"/>
    <w:rsid w:val="008F6B77"/>
    <w:rsid w:val="008F6D53"/>
    <w:rsid w:val="008F72ED"/>
    <w:rsid w:val="008F74CF"/>
    <w:rsid w:val="008F76C5"/>
    <w:rsid w:val="008F798F"/>
    <w:rsid w:val="008F7BDB"/>
    <w:rsid w:val="008F7BDD"/>
    <w:rsid w:val="00900018"/>
    <w:rsid w:val="00900543"/>
    <w:rsid w:val="009007A9"/>
    <w:rsid w:val="00900876"/>
    <w:rsid w:val="00900D0A"/>
    <w:rsid w:val="0090106F"/>
    <w:rsid w:val="0090134F"/>
    <w:rsid w:val="00901807"/>
    <w:rsid w:val="00901F9E"/>
    <w:rsid w:val="00901FDA"/>
    <w:rsid w:val="00901FDD"/>
    <w:rsid w:val="009022CC"/>
    <w:rsid w:val="00902457"/>
    <w:rsid w:val="00903342"/>
    <w:rsid w:val="0090358C"/>
    <w:rsid w:val="00903A30"/>
    <w:rsid w:val="00903B65"/>
    <w:rsid w:val="00903C6D"/>
    <w:rsid w:val="00903F6B"/>
    <w:rsid w:val="0090479E"/>
    <w:rsid w:val="009047CE"/>
    <w:rsid w:val="00905057"/>
    <w:rsid w:val="00905A68"/>
    <w:rsid w:val="00906377"/>
    <w:rsid w:val="009068DA"/>
    <w:rsid w:val="00906AB2"/>
    <w:rsid w:val="00907482"/>
    <w:rsid w:val="00907C06"/>
    <w:rsid w:val="00910B9E"/>
    <w:rsid w:val="00910F4A"/>
    <w:rsid w:val="00911214"/>
    <w:rsid w:val="00911244"/>
    <w:rsid w:val="00911576"/>
    <w:rsid w:val="00911FF8"/>
    <w:rsid w:val="00912642"/>
    <w:rsid w:val="00912B05"/>
    <w:rsid w:val="00912E35"/>
    <w:rsid w:val="0091387A"/>
    <w:rsid w:val="009139D1"/>
    <w:rsid w:val="00913A61"/>
    <w:rsid w:val="00913B4E"/>
    <w:rsid w:val="00913B70"/>
    <w:rsid w:val="00913DC8"/>
    <w:rsid w:val="0091428C"/>
    <w:rsid w:val="00914FAA"/>
    <w:rsid w:val="00914FFC"/>
    <w:rsid w:val="00915414"/>
    <w:rsid w:val="009156F8"/>
    <w:rsid w:val="00915752"/>
    <w:rsid w:val="009158EB"/>
    <w:rsid w:val="0091592A"/>
    <w:rsid w:val="00916234"/>
    <w:rsid w:val="00916387"/>
    <w:rsid w:val="00917A36"/>
    <w:rsid w:val="00917B4E"/>
    <w:rsid w:val="00917F3D"/>
    <w:rsid w:val="009203E2"/>
    <w:rsid w:val="00920429"/>
    <w:rsid w:val="0092080F"/>
    <w:rsid w:val="009208BE"/>
    <w:rsid w:val="00920C65"/>
    <w:rsid w:val="00920E3D"/>
    <w:rsid w:val="00920F57"/>
    <w:rsid w:val="009213B0"/>
    <w:rsid w:val="0092192C"/>
    <w:rsid w:val="00922745"/>
    <w:rsid w:val="00922AA4"/>
    <w:rsid w:val="0092321E"/>
    <w:rsid w:val="00923F43"/>
    <w:rsid w:val="0092488F"/>
    <w:rsid w:val="00924A6D"/>
    <w:rsid w:val="00924DA6"/>
    <w:rsid w:val="00924E5D"/>
    <w:rsid w:val="00925451"/>
    <w:rsid w:val="0092555A"/>
    <w:rsid w:val="009255C6"/>
    <w:rsid w:val="00925C45"/>
    <w:rsid w:val="00926485"/>
    <w:rsid w:val="00926E22"/>
    <w:rsid w:val="00927149"/>
    <w:rsid w:val="0092746A"/>
    <w:rsid w:val="00927E88"/>
    <w:rsid w:val="009300ED"/>
    <w:rsid w:val="00930528"/>
    <w:rsid w:val="00930E51"/>
    <w:rsid w:val="00930FDE"/>
    <w:rsid w:val="00931574"/>
    <w:rsid w:val="00931F4E"/>
    <w:rsid w:val="009324C2"/>
    <w:rsid w:val="00932ACD"/>
    <w:rsid w:val="00932C25"/>
    <w:rsid w:val="00932F15"/>
    <w:rsid w:val="00933175"/>
    <w:rsid w:val="00933410"/>
    <w:rsid w:val="00934046"/>
    <w:rsid w:val="00935501"/>
    <w:rsid w:val="009356A0"/>
    <w:rsid w:val="009357C7"/>
    <w:rsid w:val="009358B2"/>
    <w:rsid w:val="00935956"/>
    <w:rsid w:val="00935ECE"/>
    <w:rsid w:val="009369AD"/>
    <w:rsid w:val="00936BB8"/>
    <w:rsid w:val="00936F28"/>
    <w:rsid w:val="009372D5"/>
    <w:rsid w:val="0093773C"/>
    <w:rsid w:val="00937BDA"/>
    <w:rsid w:val="00937D0E"/>
    <w:rsid w:val="00937E85"/>
    <w:rsid w:val="009409B5"/>
    <w:rsid w:val="00940E33"/>
    <w:rsid w:val="009410F5"/>
    <w:rsid w:val="00941226"/>
    <w:rsid w:val="009425A4"/>
    <w:rsid w:val="0094268B"/>
    <w:rsid w:val="00942C9C"/>
    <w:rsid w:val="00942EBB"/>
    <w:rsid w:val="009430E0"/>
    <w:rsid w:val="009433BF"/>
    <w:rsid w:val="009437D0"/>
    <w:rsid w:val="009439DC"/>
    <w:rsid w:val="00943AA5"/>
    <w:rsid w:val="00943CDD"/>
    <w:rsid w:val="00943DD8"/>
    <w:rsid w:val="009447BF"/>
    <w:rsid w:val="00945516"/>
    <w:rsid w:val="009455D2"/>
    <w:rsid w:val="009478B8"/>
    <w:rsid w:val="00947ECC"/>
    <w:rsid w:val="009507AD"/>
    <w:rsid w:val="00950BFD"/>
    <w:rsid w:val="00951146"/>
    <w:rsid w:val="00951D0D"/>
    <w:rsid w:val="00951D79"/>
    <w:rsid w:val="00951FF6"/>
    <w:rsid w:val="00952533"/>
    <w:rsid w:val="009526D7"/>
    <w:rsid w:val="009529E5"/>
    <w:rsid w:val="00952DC9"/>
    <w:rsid w:val="00952F38"/>
    <w:rsid w:val="009530B9"/>
    <w:rsid w:val="00953509"/>
    <w:rsid w:val="009535FA"/>
    <w:rsid w:val="0095388B"/>
    <w:rsid w:val="00953C55"/>
    <w:rsid w:val="00954BB7"/>
    <w:rsid w:val="009550CA"/>
    <w:rsid w:val="0095532A"/>
    <w:rsid w:val="00955909"/>
    <w:rsid w:val="009559E6"/>
    <w:rsid w:val="00955CB4"/>
    <w:rsid w:val="009562DC"/>
    <w:rsid w:val="00956AAF"/>
    <w:rsid w:val="0095709B"/>
    <w:rsid w:val="00957496"/>
    <w:rsid w:val="00957643"/>
    <w:rsid w:val="00957886"/>
    <w:rsid w:val="009578EB"/>
    <w:rsid w:val="00960179"/>
    <w:rsid w:val="00960346"/>
    <w:rsid w:val="00960861"/>
    <w:rsid w:val="00961562"/>
    <w:rsid w:val="009615B3"/>
    <w:rsid w:val="00961918"/>
    <w:rsid w:val="00961AFC"/>
    <w:rsid w:val="00961B03"/>
    <w:rsid w:val="00961CF7"/>
    <w:rsid w:val="009620A2"/>
    <w:rsid w:val="009621F1"/>
    <w:rsid w:val="009624E5"/>
    <w:rsid w:val="00962783"/>
    <w:rsid w:val="009631C9"/>
    <w:rsid w:val="009633D4"/>
    <w:rsid w:val="009633EE"/>
    <w:rsid w:val="009633FB"/>
    <w:rsid w:val="009634CD"/>
    <w:rsid w:val="00963A8E"/>
    <w:rsid w:val="00963BBB"/>
    <w:rsid w:val="009642BC"/>
    <w:rsid w:val="009644E6"/>
    <w:rsid w:val="0096475D"/>
    <w:rsid w:val="00964A98"/>
    <w:rsid w:val="0096524A"/>
    <w:rsid w:val="00965548"/>
    <w:rsid w:val="009655A1"/>
    <w:rsid w:val="009661B9"/>
    <w:rsid w:val="00966718"/>
    <w:rsid w:val="0096671E"/>
    <w:rsid w:val="009668F4"/>
    <w:rsid w:val="00966931"/>
    <w:rsid w:val="00967B85"/>
    <w:rsid w:val="009708B5"/>
    <w:rsid w:val="00970AFB"/>
    <w:rsid w:val="00970F0E"/>
    <w:rsid w:val="00970F6C"/>
    <w:rsid w:val="00970FCE"/>
    <w:rsid w:val="00971663"/>
    <w:rsid w:val="00971735"/>
    <w:rsid w:val="009720C0"/>
    <w:rsid w:val="0097252F"/>
    <w:rsid w:val="00972FCD"/>
    <w:rsid w:val="0097348D"/>
    <w:rsid w:val="00973AF6"/>
    <w:rsid w:val="00973C69"/>
    <w:rsid w:val="00973E5F"/>
    <w:rsid w:val="00974064"/>
    <w:rsid w:val="009740E8"/>
    <w:rsid w:val="00974751"/>
    <w:rsid w:val="00974C4F"/>
    <w:rsid w:val="00974C81"/>
    <w:rsid w:val="00974FAA"/>
    <w:rsid w:val="009754CC"/>
    <w:rsid w:val="00975AC3"/>
    <w:rsid w:val="00975BAE"/>
    <w:rsid w:val="00976027"/>
    <w:rsid w:val="009764EE"/>
    <w:rsid w:val="009765C6"/>
    <w:rsid w:val="00976748"/>
    <w:rsid w:val="00976CE4"/>
    <w:rsid w:val="0097745C"/>
    <w:rsid w:val="009803EF"/>
    <w:rsid w:val="00980633"/>
    <w:rsid w:val="00980900"/>
    <w:rsid w:val="00980B62"/>
    <w:rsid w:val="00981B25"/>
    <w:rsid w:val="00982163"/>
    <w:rsid w:val="0098218F"/>
    <w:rsid w:val="009821B6"/>
    <w:rsid w:val="0098248B"/>
    <w:rsid w:val="00982D5F"/>
    <w:rsid w:val="00982DBA"/>
    <w:rsid w:val="00983A41"/>
    <w:rsid w:val="00983D9F"/>
    <w:rsid w:val="00984789"/>
    <w:rsid w:val="009854A4"/>
    <w:rsid w:val="00986214"/>
    <w:rsid w:val="009862F8"/>
    <w:rsid w:val="00986A47"/>
    <w:rsid w:val="0098726E"/>
    <w:rsid w:val="00987C8A"/>
    <w:rsid w:val="00987FC9"/>
    <w:rsid w:val="00990E39"/>
    <w:rsid w:val="00990FAE"/>
    <w:rsid w:val="00991142"/>
    <w:rsid w:val="009921FE"/>
    <w:rsid w:val="009925B6"/>
    <w:rsid w:val="00992C33"/>
    <w:rsid w:val="00992F36"/>
    <w:rsid w:val="00993040"/>
    <w:rsid w:val="009930AD"/>
    <w:rsid w:val="009934BE"/>
    <w:rsid w:val="0099392B"/>
    <w:rsid w:val="00993B39"/>
    <w:rsid w:val="00993BA0"/>
    <w:rsid w:val="00993D7F"/>
    <w:rsid w:val="00993E99"/>
    <w:rsid w:val="00994275"/>
    <w:rsid w:val="0099448B"/>
    <w:rsid w:val="0099480E"/>
    <w:rsid w:val="00994A3D"/>
    <w:rsid w:val="00995105"/>
    <w:rsid w:val="009953E6"/>
    <w:rsid w:val="009957A3"/>
    <w:rsid w:val="00995D80"/>
    <w:rsid w:val="009966F5"/>
    <w:rsid w:val="00996F46"/>
    <w:rsid w:val="00997420"/>
    <w:rsid w:val="00997846"/>
    <w:rsid w:val="00997EB5"/>
    <w:rsid w:val="009A006C"/>
    <w:rsid w:val="009A021A"/>
    <w:rsid w:val="009A02B0"/>
    <w:rsid w:val="009A07A6"/>
    <w:rsid w:val="009A0A08"/>
    <w:rsid w:val="009A0A65"/>
    <w:rsid w:val="009A0E54"/>
    <w:rsid w:val="009A0EA5"/>
    <w:rsid w:val="009A0EFF"/>
    <w:rsid w:val="009A1268"/>
    <w:rsid w:val="009A1B16"/>
    <w:rsid w:val="009A21A2"/>
    <w:rsid w:val="009A286B"/>
    <w:rsid w:val="009A2C41"/>
    <w:rsid w:val="009A32C6"/>
    <w:rsid w:val="009A3872"/>
    <w:rsid w:val="009A3B30"/>
    <w:rsid w:val="009A3FCE"/>
    <w:rsid w:val="009A415B"/>
    <w:rsid w:val="009A4369"/>
    <w:rsid w:val="009A4B61"/>
    <w:rsid w:val="009A5142"/>
    <w:rsid w:val="009A5530"/>
    <w:rsid w:val="009A56D0"/>
    <w:rsid w:val="009A5710"/>
    <w:rsid w:val="009A5B14"/>
    <w:rsid w:val="009A5C2A"/>
    <w:rsid w:val="009A5DD4"/>
    <w:rsid w:val="009A6477"/>
    <w:rsid w:val="009A6658"/>
    <w:rsid w:val="009A67F0"/>
    <w:rsid w:val="009A6975"/>
    <w:rsid w:val="009A70B6"/>
    <w:rsid w:val="009A7F37"/>
    <w:rsid w:val="009A7F60"/>
    <w:rsid w:val="009B048C"/>
    <w:rsid w:val="009B05C5"/>
    <w:rsid w:val="009B0803"/>
    <w:rsid w:val="009B0DFD"/>
    <w:rsid w:val="009B1314"/>
    <w:rsid w:val="009B1B5E"/>
    <w:rsid w:val="009B20C0"/>
    <w:rsid w:val="009B21BB"/>
    <w:rsid w:val="009B2279"/>
    <w:rsid w:val="009B2941"/>
    <w:rsid w:val="009B29BA"/>
    <w:rsid w:val="009B3863"/>
    <w:rsid w:val="009B3E76"/>
    <w:rsid w:val="009B3F3D"/>
    <w:rsid w:val="009B4471"/>
    <w:rsid w:val="009B5226"/>
    <w:rsid w:val="009B52DD"/>
    <w:rsid w:val="009B5A85"/>
    <w:rsid w:val="009B5C5C"/>
    <w:rsid w:val="009B63BB"/>
    <w:rsid w:val="009B696A"/>
    <w:rsid w:val="009B7551"/>
    <w:rsid w:val="009B7A4D"/>
    <w:rsid w:val="009B7E2D"/>
    <w:rsid w:val="009C04C3"/>
    <w:rsid w:val="009C04CD"/>
    <w:rsid w:val="009C0ABD"/>
    <w:rsid w:val="009C0BFE"/>
    <w:rsid w:val="009C159A"/>
    <w:rsid w:val="009C16D0"/>
    <w:rsid w:val="009C1E2D"/>
    <w:rsid w:val="009C21A1"/>
    <w:rsid w:val="009C2875"/>
    <w:rsid w:val="009C2968"/>
    <w:rsid w:val="009C2E19"/>
    <w:rsid w:val="009C302B"/>
    <w:rsid w:val="009C316E"/>
    <w:rsid w:val="009C3687"/>
    <w:rsid w:val="009C4019"/>
    <w:rsid w:val="009C409C"/>
    <w:rsid w:val="009C43F9"/>
    <w:rsid w:val="009C477A"/>
    <w:rsid w:val="009C47F6"/>
    <w:rsid w:val="009C4AD9"/>
    <w:rsid w:val="009C4B80"/>
    <w:rsid w:val="009C4E27"/>
    <w:rsid w:val="009C4F1A"/>
    <w:rsid w:val="009C53FA"/>
    <w:rsid w:val="009C585B"/>
    <w:rsid w:val="009C5F7B"/>
    <w:rsid w:val="009C62CD"/>
    <w:rsid w:val="009C6458"/>
    <w:rsid w:val="009C648D"/>
    <w:rsid w:val="009C7543"/>
    <w:rsid w:val="009C78FB"/>
    <w:rsid w:val="009D015F"/>
    <w:rsid w:val="009D028D"/>
    <w:rsid w:val="009D0CAA"/>
    <w:rsid w:val="009D1092"/>
    <w:rsid w:val="009D11EE"/>
    <w:rsid w:val="009D177B"/>
    <w:rsid w:val="009D1843"/>
    <w:rsid w:val="009D18C1"/>
    <w:rsid w:val="009D204F"/>
    <w:rsid w:val="009D27F6"/>
    <w:rsid w:val="009D2F51"/>
    <w:rsid w:val="009D41B5"/>
    <w:rsid w:val="009D41DB"/>
    <w:rsid w:val="009D476C"/>
    <w:rsid w:val="009D4AE4"/>
    <w:rsid w:val="009D4E92"/>
    <w:rsid w:val="009D53B6"/>
    <w:rsid w:val="009D5E7D"/>
    <w:rsid w:val="009D63CE"/>
    <w:rsid w:val="009D7126"/>
    <w:rsid w:val="009D784F"/>
    <w:rsid w:val="009E02BD"/>
    <w:rsid w:val="009E05ED"/>
    <w:rsid w:val="009E0792"/>
    <w:rsid w:val="009E0D64"/>
    <w:rsid w:val="009E121E"/>
    <w:rsid w:val="009E1378"/>
    <w:rsid w:val="009E1FB0"/>
    <w:rsid w:val="009E2711"/>
    <w:rsid w:val="009E2E21"/>
    <w:rsid w:val="009E2E2C"/>
    <w:rsid w:val="009E3060"/>
    <w:rsid w:val="009E331B"/>
    <w:rsid w:val="009E3371"/>
    <w:rsid w:val="009E341F"/>
    <w:rsid w:val="009E3494"/>
    <w:rsid w:val="009E3670"/>
    <w:rsid w:val="009E3DD7"/>
    <w:rsid w:val="009E4C98"/>
    <w:rsid w:val="009E4E50"/>
    <w:rsid w:val="009E510E"/>
    <w:rsid w:val="009E5D9C"/>
    <w:rsid w:val="009E66EC"/>
    <w:rsid w:val="009E6AB7"/>
    <w:rsid w:val="009E6CF7"/>
    <w:rsid w:val="009E70ED"/>
    <w:rsid w:val="009E7123"/>
    <w:rsid w:val="009E7154"/>
    <w:rsid w:val="009E7228"/>
    <w:rsid w:val="009E7688"/>
    <w:rsid w:val="009E785A"/>
    <w:rsid w:val="009E7E9B"/>
    <w:rsid w:val="009F0AFA"/>
    <w:rsid w:val="009F0B4D"/>
    <w:rsid w:val="009F1768"/>
    <w:rsid w:val="009F1B55"/>
    <w:rsid w:val="009F1EEA"/>
    <w:rsid w:val="009F27B5"/>
    <w:rsid w:val="009F289D"/>
    <w:rsid w:val="009F2B45"/>
    <w:rsid w:val="009F3262"/>
    <w:rsid w:val="009F3738"/>
    <w:rsid w:val="009F39A5"/>
    <w:rsid w:val="009F3E48"/>
    <w:rsid w:val="009F4723"/>
    <w:rsid w:val="009F4E35"/>
    <w:rsid w:val="009F4F16"/>
    <w:rsid w:val="009F54B6"/>
    <w:rsid w:val="009F5A7D"/>
    <w:rsid w:val="009F5CCF"/>
    <w:rsid w:val="009F5E19"/>
    <w:rsid w:val="009F6481"/>
    <w:rsid w:val="009F650C"/>
    <w:rsid w:val="009F660B"/>
    <w:rsid w:val="009F6658"/>
    <w:rsid w:val="009F6899"/>
    <w:rsid w:val="009F699E"/>
    <w:rsid w:val="009F6C60"/>
    <w:rsid w:val="009F6EE0"/>
    <w:rsid w:val="009F7A8B"/>
    <w:rsid w:val="009F7BD0"/>
    <w:rsid w:val="009F7D60"/>
    <w:rsid w:val="009F7E58"/>
    <w:rsid w:val="00A000E1"/>
    <w:rsid w:val="00A00162"/>
    <w:rsid w:val="00A00F00"/>
    <w:rsid w:val="00A013A6"/>
    <w:rsid w:val="00A01759"/>
    <w:rsid w:val="00A02732"/>
    <w:rsid w:val="00A02E7C"/>
    <w:rsid w:val="00A02F6E"/>
    <w:rsid w:val="00A02F90"/>
    <w:rsid w:val="00A03461"/>
    <w:rsid w:val="00A0356A"/>
    <w:rsid w:val="00A039E6"/>
    <w:rsid w:val="00A03E7D"/>
    <w:rsid w:val="00A042AB"/>
    <w:rsid w:val="00A046F5"/>
    <w:rsid w:val="00A04AB1"/>
    <w:rsid w:val="00A055E4"/>
    <w:rsid w:val="00A05832"/>
    <w:rsid w:val="00A05A18"/>
    <w:rsid w:val="00A05A95"/>
    <w:rsid w:val="00A060C9"/>
    <w:rsid w:val="00A06370"/>
    <w:rsid w:val="00A067A0"/>
    <w:rsid w:val="00A06D5F"/>
    <w:rsid w:val="00A06D97"/>
    <w:rsid w:val="00A06E09"/>
    <w:rsid w:val="00A0727F"/>
    <w:rsid w:val="00A075FD"/>
    <w:rsid w:val="00A07B75"/>
    <w:rsid w:val="00A07F4A"/>
    <w:rsid w:val="00A10DA9"/>
    <w:rsid w:val="00A11065"/>
    <w:rsid w:val="00A11933"/>
    <w:rsid w:val="00A12726"/>
    <w:rsid w:val="00A127B8"/>
    <w:rsid w:val="00A1289F"/>
    <w:rsid w:val="00A12DB9"/>
    <w:rsid w:val="00A12EF2"/>
    <w:rsid w:val="00A13024"/>
    <w:rsid w:val="00A1313E"/>
    <w:rsid w:val="00A13284"/>
    <w:rsid w:val="00A13531"/>
    <w:rsid w:val="00A136C7"/>
    <w:rsid w:val="00A13C77"/>
    <w:rsid w:val="00A13D30"/>
    <w:rsid w:val="00A13D73"/>
    <w:rsid w:val="00A142B4"/>
    <w:rsid w:val="00A14CCF"/>
    <w:rsid w:val="00A15D17"/>
    <w:rsid w:val="00A1613C"/>
    <w:rsid w:val="00A1676A"/>
    <w:rsid w:val="00A172CD"/>
    <w:rsid w:val="00A17C1F"/>
    <w:rsid w:val="00A17F30"/>
    <w:rsid w:val="00A200E2"/>
    <w:rsid w:val="00A202D4"/>
    <w:rsid w:val="00A204CD"/>
    <w:rsid w:val="00A20DDA"/>
    <w:rsid w:val="00A2102D"/>
    <w:rsid w:val="00A211FB"/>
    <w:rsid w:val="00A21FC6"/>
    <w:rsid w:val="00A22143"/>
    <w:rsid w:val="00A221C9"/>
    <w:rsid w:val="00A221DB"/>
    <w:rsid w:val="00A23065"/>
    <w:rsid w:val="00A23645"/>
    <w:rsid w:val="00A23F00"/>
    <w:rsid w:val="00A2426A"/>
    <w:rsid w:val="00A24D8C"/>
    <w:rsid w:val="00A25191"/>
    <w:rsid w:val="00A2593D"/>
    <w:rsid w:val="00A25CD7"/>
    <w:rsid w:val="00A271C6"/>
    <w:rsid w:val="00A27572"/>
    <w:rsid w:val="00A2785D"/>
    <w:rsid w:val="00A27A60"/>
    <w:rsid w:val="00A27B59"/>
    <w:rsid w:val="00A27C8C"/>
    <w:rsid w:val="00A30411"/>
    <w:rsid w:val="00A307C9"/>
    <w:rsid w:val="00A30E5D"/>
    <w:rsid w:val="00A30ED0"/>
    <w:rsid w:val="00A316C3"/>
    <w:rsid w:val="00A318E3"/>
    <w:rsid w:val="00A31A09"/>
    <w:rsid w:val="00A31C73"/>
    <w:rsid w:val="00A325E3"/>
    <w:rsid w:val="00A325F6"/>
    <w:rsid w:val="00A32808"/>
    <w:rsid w:val="00A328AB"/>
    <w:rsid w:val="00A32B4A"/>
    <w:rsid w:val="00A32B68"/>
    <w:rsid w:val="00A33106"/>
    <w:rsid w:val="00A33AE6"/>
    <w:rsid w:val="00A33D02"/>
    <w:rsid w:val="00A33F51"/>
    <w:rsid w:val="00A3430F"/>
    <w:rsid w:val="00A34553"/>
    <w:rsid w:val="00A3504E"/>
    <w:rsid w:val="00A350AB"/>
    <w:rsid w:val="00A353FF"/>
    <w:rsid w:val="00A35863"/>
    <w:rsid w:val="00A35AC8"/>
    <w:rsid w:val="00A35E7E"/>
    <w:rsid w:val="00A360E1"/>
    <w:rsid w:val="00A36A65"/>
    <w:rsid w:val="00A36E1D"/>
    <w:rsid w:val="00A374B4"/>
    <w:rsid w:val="00A374D7"/>
    <w:rsid w:val="00A37921"/>
    <w:rsid w:val="00A37DF2"/>
    <w:rsid w:val="00A40406"/>
    <w:rsid w:val="00A40B26"/>
    <w:rsid w:val="00A41435"/>
    <w:rsid w:val="00A41816"/>
    <w:rsid w:val="00A41A3E"/>
    <w:rsid w:val="00A41C29"/>
    <w:rsid w:val="00A429AF"/>
    <w:rsid w:val="00A42CB0"/>
    <w:rsid w:val="00A42FDD"/>
    <w:rsid w:val="00A43517"/>
    <w:rsid w:val="00A43979"/>
    <w:rsid w:val="00A43C7B"/>
    <w:rsid w:val="00A43D5A"/>
    <w:rsid w:val="00A43F66"/>
    <w:rsid w:val="00A43F92"/>
    <w:rsid w:val="00A43FE9"/>
    <w:rsid w:val="00A4449D"/>
    <w:rsid w:val="00A44688"/>
    <w:rsid w:val="00A448E6"/>
    <w:rsid w:val="00A44C2A"/>
    <w:rsid w:val="00A44D10"/>
    <w:rsid w:val="00A44F15"/>
    <w:rsid w:val="00A45023"/>
    <w:rsid w:val="00A451D7"/>
    <w:rsid w:val="00A45D34"/>
    <w:rsid w:val="00A4634F"/>
    <w:rsid w:val="00A46705"/>
    <w:rsid w:val="00A468AD"/>
    <w:rsid w:val="00A469CE"/>
    <w:rsid w:val="00A46A6C"/>
    <w:rsid w:val="00A471A9"/>
    <w:rsid w:val="00A501C4"/>
    <w:rsid w:val="00A504E1"/>
    <w:rsid w:val="00A505DA"/>
    <w:rsid w:val="00A50FA7"/>
    <w:rsid w:val="00A5248E"/>
    <w:rsid w:val="00A524C3"/>
    <w:rsid w:val="00A52DFF"/>
    <w:rsid w:val="00A52F89"/>
    <w:rsid w:val="00A53A67"/>
    <w:rsid w:val="00A542FB"/>
    <w:rsid w:val="00A543A0"/>
    <w:rsid w:val="00A54957"/>
    <w:rsid w:val="00A54A6D"/>
    <w:rsid w:val="00A54CB1"/>
    <w:rsid w:val="00A5505A"/>
    <w:rsid w:val="00A55071"/>
    <w:rsid w:val="00A55612"/>
    <w:rsid w:val="00A5598A"/>
    <w:rsid w:val="00A55B6A"/>
    <w:rsid w:val="00A56942"/>
    <w:rsid w:val="00A57179"/>
    <w:rsid w:val="00A57441"/>
    <w:rsid w:val="00A600BD"/>
    <w:rsid w:val="00A60360"/>
    <w:rsid w:val="00A6070E"/>
    <w:rsid w:val="00A60A53"/>
    <w:rsid w:val="00A60FCB"/>
    <w:rsid w:val="00A610BA"/>
    <w:rsid w:val="00A612C9"/>
    <w:rsid w:val="00A61D43"/>
    <w:rsid w:val="00A61E4C"/>
    <w:rsid w:val="00A61EB9"/>
    <w:rsid w:val="00A6207A"/>
    <w:rsid w:val="00A628DE"/>
    <w:rsid w:val="00A62B0D"/>
    <w:rsid w:val="00A62C92"/>
    <w:rsid w:val="00A62DEF"/>
    <w:rsid w:val="00A63251"/>
    <w:rsid w:val="00A63309"/>
    <w:rsid w:val="00A6357C"/>
    <w:rsid w:val="00A63F7B"/>
    <w:rsid w:val="00A644EB"/>
    <w:rsid w:val="00A64BBD"/>
    <w:rsid w:val="00A64D9E"/>
    <w:rsid w:val="00A65625"/>
    <w:rsid w:val="00A6576D"/>
    <w:rsid w:val="00A65B30"/>
    <w:rsid w:val="00A65C29"/>
    <w:rsid w:val="00A661B8"/>
    <w:rsid w:val="00A6631F"/>
    <w:rsid w:val="00A6688A"/>
    <w:rsid w:val="00A66BEC"/>
    <w:rsid w:val="00A67041"/>
    <w:rsid w:val="00A67257"/>
    <w:rsid w:val="00A67507"/>
    <w:rsid w:val="00A678E6"/>
    <w:rsid w:val="00A67B27"/>
    <w:rsid w:val="00A70462"/>
    <w:rsid w:val="00A70F2F"/>
    <w:rsid w:val="00A70F4C"/>
    <w:rsid w:val="00A7112C"/>
    <w:rsid w:val="00A71CAE"/>
    <w:rsid w:val="00A7279D"/>
    <w:rsid w:val="00A727D1"/>
    <w:rsid w:val="00A72AB7"/>
    <w:rsid w:val="00A7376D"/>
    <w:rsid w:val="00A737E9"/>
    <w:rsid w:val="00A73C91"/>
    <w:rsid w:val="00A74324"/>
    <w:rsid w:val="00A74486"/>
    <w:rsid w:val="00A7496A"/>
    <w:rsid w:val="00A75CAD"/>
    <w:rsid w:val="00A760BA"/>
    <w:rsid w:val="00A7619A"/>
    <w:rsid w:val="00A7678D"/>
    <w:rsid w:val="00A76994"/>
    <w:rsid w:val="00A77D83"/>
    <w:rsid w:val="00A8019D"/>
    <w:rsid w:val="00A8019F"/>
    <w:rsid w:val="00A808D6"/>
    <w:rsid w:val="00A80AAA"/>
    <w:rsid w:val="00A81881"/>
    <w:rsid w:val="00A81BF8"/>
    <w:rsid w:val="00A81C0C"/>
    <w:rsid w:val="00A81C47"/>
    <w:rsid w:val="00A8241B"/>
    <w:rsid w:val="00A83231"/>
    <w:rsid w:val="00A83692"/>
    <w:rsid w:val="00A83906"/>
    <w:rsid w:val="00A83A0A"/>
    <w:rsid w:val="00A84A56"/>
    <w:rsid w:val="00A84BD0"/>
    <w:rsid w:val="00A84F73"/>
    <w:rsid w:val="00A85358"/>
    <w:rsid w:val="00A85B3E"/>
    <w:rsid w:val="00A85DE5"/>
    <w:rsid w:val="00A86A57"/>
    <w:rsid w:val="00A86ECE"/>
    <w:rsid w:val="00A8724C"/>
    <w:rsid w:val="00A87343"/>
    <w:rsid w:val="00A8759D"/>
    <w:rsid w:val="00A87C72"/>
    <w:rsid w:val="00A87ED9"/>
    <w:rsid w:val="00A9015A"/>
    <w:rsid w:val="00A90AE7"/>
    <w:rsid w:val="00A913CB"/>
    <w:rsid w:val="00A92515"/>
    <w:rsid w:val="00A9273F"/>
    <w:rsid w:val="00A9309F"/>
    <w:rsid w:val="00A938D2"/>
    <w:rsid w:val="00A93930"/>
    <w:rsid w:val="00A93C39"/>
    <w:rsid w:val="00A93C76"/>
    <w:rsid w:val="00A93ECD"/>
    <w:rsid w:val="00A946EB"/>
    <w:rsid w:val="00A950C0"/>
    <w:rsid w:val="00A95B4F"/>
    <w:rsid w:val="00A95C95"/>
    <w:rsid w:val="00A95DD4"/>
    <w:rsid w:val="00A96B30"/>
    <w:rsid w:val="00A96FF5"/>
    <w:rsid w:val="00A97164"/>
    <w:rsid w:val="00A9745A"/>
    <w:rsid w:val="00A97517"/>
    <w:rsid w:val="00A97828"/>
    <w:rsid w:val="00A97C47"/>
    <w:rsid w:val="00AA03AD"/>
    <w:rsid w:val="00AA0B88"/>
    <w:rsid w:val="00AA0BDF"/>
    <w:rsid w:val="00AA103C"/>
    <w:rsid w:val="00AA16AB"/>
    <w:rsid w:val="00AA1854"/>
    <w:rsid w:val="00AA1B34"/>
    <w:rsid w:val="00AA2B65"/>
    <w:rsid w:val="00AA3350"/>
    <w:rsid w:val="00AA350F"/>
    <w:rsid w:val="00AA38B3"/>
    <w:rsid w:val="00AA4058"/>
    <w:rsid w:val="00AA47D4"/>
    <w:rsid w:val="00AA4F34"/>
    <w:rsid w:val="00AA507F"/>
    <w:rsid w:val="00AA57BA"/>
    <w:rsid w:val="00AA5F02"/>
    <w:rsid w:val="00AA6832"/>
    <w:rsid w:val="00AA6966"/>
    <w:rsid w:val="00AA6ADB"/>
    <w:rsid w:val="00AA6DDE"/>
    <w:rsid w:val="00AA72B8"/>
    <w:rsid w:val="00AA73F0"/>
    <w:rsid w:val="00AA7EB6"/>
    <w:rsid w:val="00AB0340"/>
    <w:rsid w:val="00AB097B"/>
    <w:rsid w:val="00AB1335"/>
    <w:rsid w:val="00AB13BE"/>
    <w:rsid w:val="00AB17FB"/>
    <w:rsid w:val="00AB1A12"/>
    <w:rsid w:val="00AB2621"/>
    <w:rsid w:val="00AB27B0"/>
    <w:rsid w:val="00AB2C57"/>
    <w:rsid w:val="00AB2F0E"/>
    <w:rsid w:val="00AB3876"/>
    <w:rsid w:val="00AB3BCB"/>
    <w:rsid w:val="00AB3E2F"/>
    <w:rsid w:val="00AB4C74"/>
    <w:rsid w:val="00AB4C76"/>
    <w:rsid w:val="00AB4DEF"/>
    <w:rsid w:val="00AB528A"/>
    <w:rsid w:val="00AB5752"/>
    <w:rsid w:val="00AB616B"/>
    <w:rsid w:val="00AB6216"/>
    <w:rsid w:val="00AB68D3"/>
    <w:rsid w:val="00AB6C91"/>
    <w:rsid w:val="00AB6E42"/>
    <w:rsid w:val="00AB78D2"/>
    <w:rsid w:val="00AB7E1A"/>
    <w:rsid w:val="00AC0462"/>
    <w:rsid w:val="00AC0920"/>
    <w:rsid w:val="00AC10C3"/>
    <w:rsid w:val="00AC1399"/>
    <w:rsid w:val="00AC1575"/>
    <w:rsid w:val="00AC15F7"/>
    <w:rsid w:val="00AC1DD4"/>
    <w:rsid w:val="00AC1E13"/>
    <w:rsid w:val="00AC1E36"/>
    <w:rsid w:val="00AC2331"/>
    <w:rsid w:val="00AC2702"/>
    <w:rsid w:val="00AC2A24"/>
    <w:rsid w:val="00AC2AB9"/>
    <w:rsid w:val="00AC2B3C"/>
    <w:rsid w:val="00AC2E5A"/>
    <w:rsid w:val="00AC3475"/>
    <w:rsid w:val="00AC34C9"/>
    <w:rsid w:val="00AC36BB"/>
    <w:rsid w:val="00AC3766"/>
    <w:rsid w:val="00AC436C"/>
    <w:rsid w:val="00AC4816"/>
    <w:rsid w:val="00AC5047"/>
    <w:rsid w:val="00AC564D"/>
    <w:rsid w:val="00AC5DD6"/>
    <w:rsid w:val="00AC623F"/>
    <w:rsid w:val="00AC7241"/>
    <w:rsid w:val="00AC7392"/>
    <w:rsid w:val="00AD0059"/>
    <w:rsid w:val="00AD016E"/>
    <w:rsid w:val="00AD0612"/>
    <w:rsid w:val="00AD0B96"/>
    <w:rsid w:val="00AD0DB7"/>
    <w:rsid w:val="00AD104A"/>
    <w:rsid w:val="00AD112C"/>
    <w:rsid w:val="00AD1280"/>
    <w:rsid w:val="00AD34A9"/>
    <w:rsid w:val="00AD3951"/>
    <w:rsid w:val="00AD420F"/>
    <w:rsid w:val="00AD437C"/>
    <w:rsid w:val="00AD4494"/>
    <w:rsid w:val="00AD4ACD"/>
    <w:rsid w:val="00AD4E54"/>
    <w:rsid w:val="00AD5A57"/>
    <w:rsid w:val="00AD5CB5"/>
    <w:rsid w:val="00AD5D13"/>
    <w:rsid w:val="00AD5EA8"/>
    <w:rsid w:val="00AD7001"/>
    <w:rsid w:val="00AD7389"/>
    <w:rsid w:val="00AD7411"/>
    <w:rsid w:val="00AD793F"/>
    <w:rsid w:val="00AD7B53"/>
    <w:rsid w:val="00AD7BB5"/>
    <w:rsid w:val="00AD7DA3"/>
    <w:rsid w:val="00AE0D31"/>
    <w:rsid w:val="00AE0E28"/>
    <w:rsid w:val="00AE205A"/>
    <w:rsid w:val="00AE222C"/>
    <w:rsid w:val="00AE2AB4"/>
    <w:rsid w:val="00AE32E6"/>
    <w:rsid w:val="00AE36EB"/>
    <w:rsid w:val="00AE397D"/>
    <w:rsid w:val="00AE3AFE"/>
    <w:rsid w:val="00AE42E0"/>
    <w:rsid w:val="00AE4E6A"/>
    <w:rsid w:val="00AE545B"/>
    <w:rsid w:val="00AE6480"/>
    <w:rsid w:val="00AE6613"/>
    <w:rsid w:val="00AE6F0C"/>
    <w:rsid w:val="00AE6FB5"/>
    <w:rsid w:val="00AE7B63"/>
    <w:rsid w:val="00AE7FA2"/>
    <w:rsid w:val="00AF004D"/>
    <w:rsid w:val="00AF09B4"/>
    <w:rsid w:val="00AF1158"/>
    <w:rsid w:val="00AF13C0"/>
    <w:rsid w:val="00AF14C0"/>
    <w:rsid w:val="00AF17DC"/>
    <w:rsid w:val="00AF1C4E"/>
    <w:rsid w:val="00AF271E"/>
    <w:rsid w:val="00AF28F5"/>
    <w:rsid w:val="00AF30A6"/>
    <w:rsid w:val="00AF40C7"/>
    <w:rsid w:val="00AF46A5"/>
    <w:rsid w:val="00AF4CDC"/>
    <w:rsid w:val="00AF4E36"/>
    <w:rsid w:val="00AF505F"/>
    <w:rsid w:val="00AF5094"/>
    <w:rsid w:val="00AF5D66"/>
    <w:rsid w:val="00AF5EEA"/>
    <w:rsid w:val="00AF721E"/>
    <w:rsid w:val="00AF77C4"/>
    <w:rsid w:val="00AF7A11"/>
    <w:rsid w:val="00AF7F39"/>
    <w:rsid w:val="00B0032C"/>
    <w:rsid w:val="00B00825"/>
    <w:rsid w:val="00B00925"/>
    <w:rsid w:val="00B01639"/>
    <w:rsid w:val="00B017F8"/>
    <w:rsid w:val="00B02262"/>
    <w:rsid w:val="00B03DCE"/>
    <w:rsid w:val="00B03F47"/>
    <w:rsid w:val="00B04559"/>
    <w:rsid w:val="00B0467F"/>
    <w:rsid w:val="00B04EFE"/>
    <w:rsid w:val="00B05195"/>
    <w:rsid w:val="00B05789"/>
    <w:rsid w:val="00B05F20"/>
    <w:rsid w:val="00B05FBF"/>
    <w:rsid w:val="00B06033"/>
    <w:rsid w:val="00B06074"/>
    <w:rsid w:val="00B060F4"/>
    <w:rsid w:val="00B068A3"/>
    <w:rsid w:val="00B06D5F"/>
    <w:rsid w:val="00B06EB4"/>
    <w:rsid w:val="00B0701A"/>
    <w:rsid w:val="00B07086"/>
    <w:rsid w:val="00B072E1"/>
    <w:rsid w:val="00B076D0"/>
    <w:rsid w:val="00B078F5"/>
    <w:rsid w:val="00B07B43"/>
    <w:rsid w:val="00B10BAA"/>
    <w:rsid w:val="00B1153D"/>
    <w:rsid w:val="00B123BF"/>
    <w:rsid w:val="00B124BB"/>
    <w:rsid w:val="00B12606"/>
    <w:rsid w:val="00B127FC"/>
    <w:rsid w:val="00B13299"/>
    <w:rsid w:val="00B137F1"/>
    <w:rsid w:val="00B137F5"/>
    <w:rsid w:val="00B13AFA"/>
    <w:rsid w:val="00B13B84"/>
    <w:rsid w:val="00B13D7F"/>
    <w:rsid w:val="00B13DC1"/>
    <w:rsid w:val="00B13DC4"/>
    <w:rsid w:val="00B14133"/>
    <w:rsid w:val="00B14261"/>
    <w:rsid w:val="00B159EE"/>
    <w:rsid w:val="00B16071"/>
    <w:rsid w:val="00B1682E"/>
    <w:rsid w:val="00B168FF"/>
    <w:rsid w:val="00B17061"/>
    <w:rsid w:val="00B17E5C"/>
    <w:rsid w:val="00B202EA"/>
    <w:rsid w:val="00B20916"/>
    <w:rsid w:val="00B20A69"/>
    <w:rsid w:val="00B20F3E"/>
    <w:rsid w:val="00B21432"/>
    <w:rsid w:val="00B21A84"/>
    <w:rsid w:val="00B21B97"/>
    <w:rsid w:val="00B21D72"/>
    <w:rsid w:val="00B21F7D"/>
    <w:rsid w:val="00B221A1"/>
    <w:rsid w:val="00B22404"/>
    <w:rsid w:val="00B224F8"/>
    <w:rsid w:val="00B2299C"/>
    <w:rsid w:val="00B22DB7"/>
    <w:rsid w:val="00B23384"/>
    <w:rsid w:val="00B23666"/>
    <w:rsid w:val="00B245A9"/>
    <w:rsid w:val="00B24AC7"/>
    <w:rsid w:val="00B250BC"/>
    <w:rsid w:val="00B2516B"/>
    <w:rsid w:val="00B256A1"/>
    <w:rsid w:val="00B25842"/>
    <w:rsid w:val="00B25F66"/>
    <w:rsid w:val="00B260F0"/>
    <w:rsid w:val="00B26502"/>
    <w:rsid w:val="00B26561"/>
    <w:rsid w:val="00B265F1"/>
    <w:rsid w:val="00B26705"/>
    <w:rsid w:val="00B26762"/>
    <w:rsid w:val="00B26C5B"/>
    <w:rsid w:val="00B27159"/>
    <w:rsid w:val="00B27858"/>
    <w:rsid w:val="00B27B88"/>
    <w:rsid w:val="00B27C5C"/>
    <w:rsid w:val="00B27F9C"/>
    <w:rsid w:val="00B3035A"/>
    <w:rsid w:val="00B30C5A"/>
    <w:rsid w:val="00B30DB7"/>
    <w:rsid w:val="00B30DF2"/>
    <w:rsid w:val="00B312BA"/>
    <w:rsid w:val="00B31A1B"/>
    <w:rsid w:val="00B31E91"/>
    <w:rsid w:val="00B32159"/>
    <w:rsid w:val="00B32321"/>
    <w:rsid w:val="00B3246E"/>
    <w:rsid w:val="00B331F5"/>
    <w:rsid w:val="00B333D8"/>
    <w:rsid w:val="00B35838"/>
    <w:rsid w:val="00B36077"/>
    <w:rsid w:val="00B36129"/>
    <w:rsid w:val="00B36744"/>
    <w:rsid w:val="00B3773C"/>
    <w:rsid w:val="00B3797E"/>
    <w:rsid w:val="00B37D72"/>
    <w:rsid w:val="00B37E69"/>
    <w:rsid w:val="00B40305"/>
    <w:rsid w:val="00B40DD9"/>
    <w:rsid w:val="00B40E53"/>
    <w:rsid w:val="00B41021"/>
    <w:rsid w:val="00B41433"/>
    <w:rsid w:val="00B4176A"/>
    <w:rsid w:val="00B417CD"/>
    <w:rsid w:val="00B41B51"/>
    <w:rsid w:val="00B41BA8"/>
    <w:rsid w:val="00B42128"/>
    <w:rsid w:val="00B42398"/>
    <w:rsid w:val="00B43277"/>
    <w:rsid w:val="00B43CA6"/>
    <w:rsid w:val="00B44392"/>
    <w:rsid w:val="00B44B48"/>
    <w:rsid w:val="00B44D69"/>
    <w:rsid w:val="00B44F4F"/>
    <w:rsid w:val="00B45452"/>
    <w:rsid w:val="00B4553C"/>
    <w:rsid w:val="00B46884"/>
    <w:rsid w:val="00B46D9E"/>
    <w:rsid w:val="00B470BF"/>
    <w:rsid w:val="00B47153"/>
    <w:rsid w:val="00B47FD4"/>
    <w:rsid w:val="00B519D2"/>
    <w:rsid w:val="00B519ED"/>
    <w:rsid w:val="00B51B7C"/>
    <w:rsid w:val="00B5244C"/>
    <w:rsid w:val="00B5295E"/>
    <w:rsid w:val="00B5310E"/>
    <w:rsid w:val="00B532D4"/>
    <w:rsid w:val="00B534B0"/>
    <w:rsid w:val="00B53894"/>
    <w:rsid w:val="00B53B26"/>
    <w:rsid w:val="00B53CF5"/>
    <w:rsid w:val="00B54CCC"/>
    <w:rsid w:val="00B54CFA"/>
    <w:rsid w:val="00B5528B"/>
    <w:rsid w:val="00B55527"/>
    <w:rsid w:val="00B55AC9"/>
    <w:rsid w:val="00B55D0B"/>
    <w:rsid w:val="00B55E9D"/>
    <w:rsid w:val="00B55F39"/>
    <w:rsid w:val="00B56520"/>
    <w:rsid w:val="00B60306"/>
    <w:rsid w:val="00B6031E"/>
    <w:rsid w:val="00B6055E"/>
    <w:rsid w:val="00B61093"/>
    <w:rsid w:val="00B611C9"/>
    <w:rsid w:val="00B616A7"/>
    <w:rsid w:val="00B61FF3"/>
    <w:rsid w:val="00B6361A"/>
    <w:rsid w:val="00B63B25"/>
    <w:rsid w:val="00B63B29"/>
    <w:rsid w:val="00B63E92"/>
    <w:rsid w:val="00B6442F"/>
    <w:rsid w:val="00B64850"/>
    <w:rsid w:val="00B64B0A"/>
    <w:rsid w:val="00B65666"/>
    <w:rsid w:val="00B660C0"/>
    <w:rsid w:val="00B66321"/>
    <w:rsid w:val="00B663A1"/>
    <w:rsid w:val="00B6657A"/>
    <w:rsid w:val="00B668CE"/>
    <w:rsid w:val="00B66BD8"/>
    <w:rsid w:val="00B66DDF"/>
    <w:rsid w:val="00B67BE3"/>
    <w:rsid w:val="00B67EBF"/>
    <w:rsid w:val="00B7090F"/>
    <w:rsid w:val="00B70BF6"/>
    <w:rsid w:val="00B70FA7"/>
    <w:rsid w:val="00B715E7"/>
    <w:rsid w:val="00B71B6C"/>
    <w:rsid w:val="00B721AF"/>
    <w:rsid w:val="00B7270C"/>
    <w:rsid w:val="00B72C9E"/>
    <w:rsid w:val="00B730B5"/>
    <w:rsid w:val="00B73265"/>
    <w:rsid w:val="00B733C5"/>
    <w:rsid w:val="00B73A99"/>
    <w:rsid w:val="00B741B3"/>
    <w:rsid w:val="00B745CF"/>
    <w:rsid w:val="00B7490D"/>
    <w:rsid w:val="00B75334"/>
    <w:rsid w:val="00B755D4"/>
    <w:rsid w:val="00B76221"/>
    <w:rsid w:val="00B76802"/>
    <w:rsid w:val="00B769E1"/>
    <w:rsid w:val="00B770A5"/>
    <w:rsid w:val="00B775A5"/>
    <w:rsid w:val="00B777A6"/>
    <w:rsid w:val="00B77DF6"/>
    <w:rsid w:val="00B77E44"/>
    <w:rsid w:val="00B77F51"/>
    <w:rsid w:val="00B8002A"/>
    <w:rsid w:val="00B80253"/>
    <w:rsid w:val="00B80455"/>
    <w:rsid w:val="00B80E6E"/>
    <w:rsid w:val="00B80F60"/>
    <w:rsid w:val="00B8102A"/>
    <w:rsid w:val="00B816E3"/>
    <w:rsid w:val="00B81793"/>
    <w:rsid w:val="00B81E99"/>
    <w:rsid w:val="00B82263"/>
    <w:rsid w:val="00B82B29"/>
    <w:rsid w:val="00B82E87"/>
    <w:rsid w:val="00B8381A"/>
    <w:rsid w:val="00B8402F"/>
    <w:rsid w:val="00B84A85"/>
    <w:rsid w:val="00B859F6"/>
    <w:rsid w:val="00B85F09"/>
    <w:rsid w:val="00B8638C"/>
    <w:rsid w:val="00B86513"/>
    <w:rsid w:val="00B86921"/>
    <w:rsid w:val="00B8692C"/>
    <w:rsid w:val="00B86C00"/>
    <w:rsid w:val="00B87543"/>
    <w:rsid w:val="00B879BA"/>
    <w:rsid w:val="00B87F83"/>
    <w:rsid w:val="00B90391"/>
    <w:rsid w:val="00B9098F"/>
    <w:rsid w:val="00B910DE"/>
    <w:rsid w:val="00B91127"/>
    <w:rsid w:val="00B911F8"/>
    <w:rsid w:val="00B915DC"/>
    <w:rsid w:val="00B91744"/>
    <w:rsid w:val="00B91AF1"/>
    <w:rsid w:val="00B930AF"/>
    <w:rsid w:val="00B93714"/>
    <w:rsid w:val="00B93B64"/>
    <w:rsid w:val="00B9435C"/>
    <w:rsid w:val="00B951A9"/>
    <w:rsid w:val="00B9544F"/>
    <w:rsid w:val="00B95E40"/>
    <w:rsid w:val="00B960F4"/>
    <w:rsid w:val="00B96A83"/>
    <w:rsid w:val="00B96D38"/>
    <w:rsid w:val="00B96D9C"/>
    <w:rsid w:val="00B96FFE"/>
    <w:rsid w:val="00B97064"/>
    <w:rsid w:val="00B972CC"/>
    <w:rsid w:val="00B974C1"/>
    <w:rsid w:val="00B9763D"/>
    <w:rsid w:val="00B976DF"/>
    <w:rsid w:val="00B97B51"/>
    <w:rsid w:val="00BA0427"/>
    <w:rsid w:val="00BA0732"/>
    <w:rsid w:val="00BA0BF0"/>
    <w:rsid w:val="00BA0FC6"/>
    <w:rsid w:val="00BA1F77"/>
    <w:rsid w:val="00BA23A4"/>
    <w:rsid w:val="00BA2CA9"/>
    <w:rsid w:val="00BA2EC7"/>
    <w:rsid w:val="00BA2F27"/>
    <w:rsid w:val="00BA31B1"/>
    <w:rsid w:val="00BA33B9"/>
    <w:rsid w:val="00BA39B3"/>
    <w:rsid w:val="00BA3F93"/>
    <w:rsid w:val="00BA42D5"/>
    <w:rsid w:val="00BA4871"/>
    <w:rsid w:val="00BA4D64"/>
    <w:rsid w:val="00BA5097"/>
    <w:rsid w:val="00BA5712"/>
    <w:rsid w:val="00BA5FB9"/>
    <w:rsid w:val="00BA6A50"/>
    <w:rsid w:val="00BA7283"/>
    <w:rsid w:val="00BA7508"/>
    <w:rsid w:val="00BA7A67"/>
    <w:rsid w:val="00BA7A8D"/>
    <w:rsid w:val="00BA7AF8"/>
    <w:rsid w:val="00BB00C5"/>
    <w:rsid w:val="00BB0B4D"/>
    <w:rsid w:val="00BB0C6C"/>
    <w:rsid w:val="00BB1294"/>
    <w:rsid w:val="00BB130A"/>
    <w:rsid w:val="00BB133F"/>
    <w:rsid w:val="00BB20A0"/>
    <w:rsid w:val="00BB2784"/>
    <w:rsid w:val="00BB28FF"/>
    <w:rsid w:val="00BB2D5B"/>
    <w:rsid w:val="00BB2D66"/>
    <w:rsid w:val="00BB31AE"/>
    <w:rsid w:val="00BB440C"/>
    <w:rsid w:val="00BB4DB9"/>
    <w:rsid w:val="00BB7E98"/>
    <w:rsid w:val="00BB7F58"/>
    <w:rsid w:val="00BC0256"/>
    <w:rsid w:val="00BC04C1"/>
    <w:rsid w:val="00BC069A"/>
    <w:rsid w:val="00BC09B9"/>
    <w:rsid w:val="00BC0AD6"/>
    <w:rsid w:val="00BC0B3C"/>
    <w:rsid w:val="00BC0CCD"/>
    <w:rsid w:val="00BC0D37"/>
    <w:rsid w:val="00BC0EF8"/>
    <w:rsid w:val="00BC12FD"/>
    <w:rsid w:val="00BC1D9A"/>
    <w:rsid w:val="00BC1E15"/>
    <w:rsid w:val="00BC1EDC"/>
    <w:rsid w:val="00BC245B"/>
    <w:rsid w:val="00BC299F"/>
    <w:rsid w:val="00BC2B91"/>
    <w:rsid w:val="00BC2D9C"/>
    <w:rsid w:val="00BC2F4B"/>
    <w:rsid w:val="00BC3F75"/>
    <w:rsid w:val="00BC3FEA"/>
    <w:rsid w:val="00BC546A"/>
    <w:rsid w:val="00BC56A6"/>
    <w:rsid w:val="00BC56EC"/>
    <w:rsid w:val="00BC596C"/>
    <w:rsid w:val="00BC5BE3"/>
    <w:rsid w:val="00BC5DB8"/>
    <w:rsid w:val="00BC68A2"/>
    <w:rsid w:val="00BC6B00"/>
    <w:rsid w:val="00BC7028"/>
    <w:rsid w:val="00BC7029"/>
    <w:rsid w:val="00BD0068"/>
    <w:rsid w:val="00BD0645"/>
    <w:rsid w:val="00BD0F63"/>
    <w:rsid w:val="00BD1C53"/>
    <w:rsid w:val="00BD25F0"/>
    <w:rsid w:val="00BD286C"/>
    <w:rsid w:val="00BD2D89"/>
    <w:rsid w:val="00BD2E20"/>
    <w:rsid w:val="00BD30E1"/>
    <w:rsid w:val="00BD31B8"/>
    <w:rsid w:val="00BD361C"/>
    <w:rsid w:val="00BD372E"/>
    <w:rsid w:val="00BD3BB1"/>
    <w:rsid w:val="00BD46FD"/>
    <w:rsid w:val="00BD55E9"/>
    <w:rsid w:val="00BD5927"/>
    <w:rsid w:val="00BD68B0"/>
    <w:rsid w:val="00BD6CF9"/>
    <w:rsid w:val="00BD6D4A"/>
    <w:rsid w:val="00BD762D"/>
    <w:rsid w:val="00BD76FF"/>
    <w:rsid w:val="00BD7BCA"/>
    <w:rsid w:val="00BD7C07"/>
    <w:rsid w:val="00BD7FE5"/>
    <w:rsid w:val="00BE04ED"/>
    <w:rsid w:val="00BE1A73"/>
    <w:rsid w:val="00BE1C36"/>
    <w:rsid w:val="00BE21DA"/>
    <w:rsid w:val="00BE2220"/>
    <w:rsid w:val="00BE2511"/>
    <w:rsid w:val="00BE2567"/>
    <w:rsid w:val="00BE265D"/>
    <w:rsid w:val="00BE27D5"/>
    <w:rsid w:val="00BE3438"/>
    <w:rsid w:val="00BE3925"/>
    <w:rsid w:val="00BE3DD0"/>
    <w:rsid w:val="00BE41D7"/>
    <w:rsid w:val="00BE556C"/>
    <w:rsid w:val="00BE5AE5"/>
    <w:rsid w:val="00BE5CD8"/>
    <w:rsid w:val="00BE5F98"/>
    <w:rsid w:val="00BE60BE"/>
    <w:rsid w:val="00BE7193"/>
    <w:rsid w:val="00BE7B73"/>
    <w:rsid w:val="00BE7F23"/>
    <w:rsid w:val="00BF0AB0"/>
    <w:rsid w:val="00BF0ADC"/>
    <w:rsid w:val="00BF0EF9"/>
    <w:rsid w:val="00BF1003"/>
    <w:rsid w:val="00BF181E"/>
    <w:rsid w:val="00BF1F45"/>
    <w:rsid w:val="00BF1F77"/>
    <w:rsid w:val="00BF2503"/>
    <w:rsid w:val="00BF2926"/>
    <w:rsid w:val="00BF2A17"/>
    <w:rsid w:val="00BF30EA"/>
    <w:rsid w:val="00BF383A"/>
    <w:rsid w:val="00BF39C5"/>
    <w:rsid w:val="00BF3AE3"/>
    <w:rsid w:val="00BF41C3"/>
    <w:rsid w:val="00BF462E"/>
    <w:rsid w:val="00BF46E6"/>
    <w:rsid w:val="00BF491E"/>
    <w:rsid w:val="00BF4C5A"/>
    <w:rsid w:val="00BF4D1D"/>
    <w:rsid w:val="00BF54C4"/>
    <w:rsid w:val="00BF5BCD"/>
    <w:rsid w:val="00BF5C9F"/>
    <w:rsid w:val="00BF5D30"/>
    <w:rsid w:val="00BF615F"/>
    <w:rsid w:val="00BF628E"/>
    <w:rsid w:val="00BF64CE"/>
    <w:rsid w:val="00BF75E5"/>
    <w:rsid w:val="00BF77F2"/>
    <w:rsid w:val="00BF7807"/>
    <w:rsid w:val="00BF7F30"/>
    <w:rsid w:val="00C000C8"/>
    <w:rsid w:val="00C00111"/>
    <w:rsid w:val="00C006AF"/>
    <w:rsid w:val="00C00DC6"/>
    <w:rsid w:val="00C00F44"/>
    <w:rsid w:val="00C012CD"/>
    <w:rsid w:val="00C01548"/>
    <w:rsid w:val="00C0180B"/>
    <w:rsid w:val="00C02900"/>
    <w:rsid w:val="00C03455"/>
    <w:rsid w:val="00C03483"/>
    <w:rsid w:val="00C036F4"/>
    <w:rsid w:val="00C03908"/>
    <w:rsid w:val="00C03EDB"/>
    <w:rsid w:val="00C044F3"/>
    <w:rsid w:val="00C079C3"/>
    <w:rsid w:val="00C079DE"/>
    <w:rsid w:val="00C111C9"/>
    <w:rsid w:val="00C11BEE"/>
    <w:rsid w:val="00C11E92"/>
    <w:rsid w:val="00C12C8E"/>
    <w:rsid w:val="00C12CCD"/>
    <w:rsid w:val="00C13B94"/>
    <w:rsid w:val="00C14F3F"/>
    <w:rsid w:val="00C15203"/>
    <w:rsid w:val="00C15498"/>
    <w:rsid w:val="00C161A9"/>
    <w:rsid w:val="00C16D84"/>
    <w:rsid w:val="00C17142"/>
    <w:rsid w:val="00C174C3"/>
    <w:rsid w:val="00C17DDE"/>
    <w:rsid w:val="00C17E4E"/>
    <w:rsid w:val="00C20C2E"/>
    <w:rsid w:val="00C20ECA"/>
    <w:rsid w:val="00C21532"/>
    <w:rsid w:val="00C21843"/>
    <w:rsid w:val="00C218CD"/>
    <w:rsid w:val="00C21F1C"/>
    <w:rsid w:val="00C22AC7"/>
    <w:rsid w:val="00C22DA4"/>
    <w:rsid w:val="00C22F65"/>
    <w:rsid w:val="00C23A39"/>
    <w:rsid w:val="00C23ABD"/>
    <w:rsid w:val="00C23BFB"/>
    <w:rsid w:val="00C23E41"/>
    <w:rsid w:val="00C23EB2"/>
    <w:rsid w:val="00C243C8"/>
    <w:rsid w:val="00C244F4"/>
    <w:rsid w:val="00C24566"/>
    <w:rsid w:val="00C24582"/>
    <w:rsid w:val="00C25855"/>
    <w:rsid w:val="00C25C5A"/>
    <w:rsid w:val="00C262D7"/>
    <w:rsid w:val="00C26363"/>
    <w:rsid w:val="00C263AB"/>
    <w:rsid w:val="00C26CC0"/>
    <w:rsid w:val="00C26DAF"/>
    <w:rsid w:val="00C26DD0"/>
    <w:rsid w:val="00C2702B"/>
    <w:rsid w:val="00C270B0"/>
    <w:rsid w:val="00C27199"/>
    <w:rsid w:val="00C30753"/>
    <w:rsid w:val="00C308E6"/>
    <w:rsid w:val="00C30C33"/>
    <w:rsid w:val="00C311AA"/>
    <w:rsid w:val="00C31791"/>
    <w:rsid w:val="00C31C9F"/>
    <w:rsid w:val="00C33121"/>
    <w:rsid w:val="00C33457"/>
    <w:rsid w:val="00C335B7"/>
    <w:rsid w:val="00C335FC"/>
    <w:rsid w:val="00C3380F"/>
    <w:rsid w:val="00C33970"/>
    <w:rsid w:val="00C33D9B"/>
    <w:rsid w:val="00C33E85"/>
    <w:rsid w:val="00C3406D"/>
    <w:rsid w:val="00C341B4"/>
    <w:rsid w:val="00C34A6F"/>
    <w:rsid w:val="00C35117"/>
    <w:rsid w:val="00C354BB"/>
    <w:rsid w:val="00C35E2D"/>
    <w:rsid w:val="00C361A4"/>
    <w:rsid w:val="00C3717B"/>
    <w:rsid w:val="00C3725B"/>
    <w:rsid w:val="00C3729A"/>
    <w:rsid w:val="00C37314"/>
    <w:rsid w:val="00C37C03"/>
    <w:rsid w:val="00C37F79"/>
    <w:rsid w:val="00C408DC"/>
    <w:rsid w:val="00C410AE"/>
    <w:rsid w:val="00C41938"/>
    <w:rsid w:val="00C41939"/>
    <w:rsid w:val="00C41D80"/>
    <w:rsid w:val="00C4223F"/>
    <w:rsid w:val="00C42C69"/>
    <w:rsid w:val="00C438BA"/>
    <w:rsid w:val="00C451D5"/>
    <w:rsid w:val="00C45A85"/>
    <w:rsid w:val="00C4669A"/>
    <w:rsid w:val="00C47567"/>
    <w:rsid w:val="00C479C2"/>
    <w:rsid w:val="00C515E2"/>
    <w:rsid w:val="00C51AB6"/>
    <w:rsid w:val="00C526E3"/>
    <w:rsid w:val="00C52BB7"/>
    <w:rsid w:val="00C52C63"/>
    <w:rsid w:val="00C534BA"/>
    <w:rsid w:val="00C534CF"/>
    <w:rsid w:val="00C53640"/>
    <w:rsid w:val="00C5373F"/>
    <w:rsid w:val="00C53E33"/>
    <w:rsid w:val="00C540CC"/>
    <w:rsid w:val="00C54530"/>
    <w:rsid w:val="00C54A43"/>
    <w:rsid w:val="00C54EAA"/>
    <w:rsid w:val="00C552BB"/>
    <w:rsid w:val="00C5696A"/>
    <w:rsid w:val="00C56DD4"/>
    <w:rsid w:val="00C572B0"/>
    <w:rsid w:val="00C574C4"/>
    <w:rsid w:val="00C57724"/>
    <w:rsid w:val="00C60A23"/>
    <w:rsid w:val="00C60DF6"/>
    <w:rsid w:val="00C6140F"/>
    <w:rsid w:val="00C61D0B"/>
    <w:rsid w:val="00C62163"/>
    <w:rsid w:val="00C630F4"/>
    <w:rsid w:val="00C63480"/>
    <w:rsid w:val="00C63604"/>
    <w:rsid w:val="00C63838"/>
    <w:rsid w:val="00C64775"/>
    <w:rsid w:val="00C653D9"/>
    <w:rsid w:val="00C656D3"/>
    <w:rsid w:val="00C65B4C"/>
    <w:rsid w:val="00C65C1A"/>
    <w:rsid w:val="00C6633A"/>
    <w:rsid w:val="00C66389"/>
    <w:rsid w:val="00C66B4B"/>
    <w:rsid w:val="00C66D49"/>
    <w:rsid w:val="00C6715A"/>
    <w:rsid w:val="00C677E7"/>
    <w:rsid w:val="00C67DD6"/>
    <w:rsid w:val="00C70362"/>
    <w:rsid w:val="00C7160E"/>
    <w:rsid w:val="00C71C4A"/>
    <w:rsid w:val="00C72125"/>
    <w:rsid w:val="00C722B0"/>
    <w:rsid w:val="00C7266E"/>
    <w:rsid w:val="00C73D3D"/>
    <w:rsid w:val="00C740B0"/>
    <w:rsid w:val="00C74C01"/>
    <w:rsid w:val="00C75767"/>
    <w:rsid w:val="00C76540"/>
    <w:rsid w:val="00C7672B"/>
    <w:rsid w:val="00C76763"/>
    <w:rsid w:val="00C76816"/>
    <w:rsid w:val="00C76ADC"/>
    <w:rsid w:val="00C76DDF"/>
    <w:rsid w:val="00C7793F"/>
    <w:rsid w:val="00C77C85"/>
    <w:rsid w:val="00C8026B"/>
    <w:rsid w:val="00C80599"/>
    <w:rsid w:val="00C8067D"/>
    <w:rsid w:val="00C812A0"/>
    <w:rsid w:val="00C81472"/>
    <w:rsid w:val="00C8151C"/>
    <w:rsid w:val="00C81EB1"/>
    <w:rsid w:val="00C825F1"/>
    <w:rsid w:val="00C82D0D"/>
    <w:rsid w:val="00C83888"/>
    <w:rsid w:val="00C83A69"/>
    <w:rsid w:val="00C83E1F"/>
    <w:rsid w:val="00C8460C"/>
    <w:rsid w:val="00C8475B"/>
    <w:rsid w:val="00C8481F"/>
    <w:rsid w:val="00C8492A"/>
    <w:rsid w:val="00C84DF5"/>
    <w:rsid w:val="00C85196"/>
    <w:rsid w:val="00C853F2"/>
    <w:rsid w:val="00C85991"/>
    <w:rsid w:val="00C866BC"/>
    <w:rsid w:val="00C86ADF"/>
    <w:rsid w:val="00C872B6"/>
    <w:rsid w:val="00C87A2F"/>
    <w:rsid w:val="00C87F03"/>
    <w:rsid w:val="00C90372"/>
    <w:rsid w:val="00C90807"/>
    <w:rsid w:val="00C90F36"/>
    <w:rsid w:val="00C912A2"/>
    <w:rsid w:val="00C91427"/>
    <w:rsid w:val="00C9192D"/>
    <w:rsid w:val="00C91D4F"/>
    <w:rsid w:val="00C926C1"/>
    <w:rsid w:val="00C92F89"/>
    <w:rsid w:val="00C931CD"/>
    <w:rsid w:val="00C93F28"/>
    <w:rsid w:val="00C94356"/>
    <w:rsid w:val="00C94641"/>
    <w:rsid w:val="00C94FA6"/>
    <w:rsid w:val="00C958B6"/>
    <w:rsid w:val="00C95F4C"/>
    <w:rsid w:val="00C968F6"/>
    <w:rsid w:val="00C96965"/>
    <w:rsid w:val="00C96AC7"/>
    <w:rsid w:val="00C96B24"/>
    <w:rsid w:val="00C97780"/>
    <w:rsid w:val="00C97B6A"/>
    <w:rsid w:val="00CA0EA4"/>
    <w:rsid w:val="00CA1018"/>
    <w:rsid w:val="00CA11CA"/>
    <w:rsid w:val="00CA136C"/>
    <w:rsid w:val="00CA1CB8"/>
    <w:rsid w:val="00CA2593"/>
    <w:rsid w:val="00CA276B"/>
    <w:rsid w:val="00CA31E8"/>
    <w:rsid w:val="00CA3851"/>
    <w:rsid w:val="00CA3B81"/>
    <w:rsid w:val="00CA4231"/>
    <w:rsid w:val="00CA43A9"/>
    <w:rsid w:val="00CA46D3"/>
    <w:rsid w:val="00CA479C"/>
    <w:rsid w:val="00CA4841"/>
    <w:rsid w:val="00CA52F0"/>
    <w:rsid w:val="00CA5736"/>
    <w:rsid w:val="00CA5787"/>
    <w:rsid w:val="00CA5A6C"/>
    <w:rsid w:val="00CA5D0C"/>
    <w:rsid w:val="00CA5F67"/>
    <w:rsid w:val="00CA6192"/>
    <w:rsid w:val="00CA63B4"/>
    <w:rsid w:val="00CA64E9"/>
    <w:rsid w:val="00CA6837"/>
    <w:rsid w:val="00CA7145"/>
    <w:rsid w:val="00CA731E"/>
    <w:rsid w:val="00CA7436"/>
    <w:rsid w:val="00CA76A6"/>
    <w:rsid w:val="00CA789C"/>
    <w:rsid w:val="00CA7942"/>
    <w:rsid w:val="00CA7E97"/>
    <w:rsid w:val="00CB06AF"/>
    <w:rsid w:val="00CB0A60"/>
    <w:rsid w:val="00CB1416"/>
    <w:rsid w:val="00CB15A1"/>
    <w:rsid w:val="00CB1D48"/>
    <w:rsid w:val="00CB1F01"/>
    <w:rsid w:val="00CB2107"/>
    <w:rsid w:val="00CB2320"/>
    <w:rsid w:val="00CB262C"/>
    <w:rsid w:val="00CB2881"/>
    <w:rsid w:val="00CB2D32"/>
    <w:rsid w:val="00CB303C"/>
    <w:rsid w:val="00CB356D"/>
    <w:rsid w:val="00CB35A1"/>
    <w:rsid w:val="00CB3658"/>
    <w:rsid w:val="00CB3904"/>
    <w:rsid w:val="00CB3B12"/>
    <w:rsid w:val="00CB3E21"/>
    <w:rsid w:val="00CB3E45"/>
    <w:rsid w:val="00CB4C25"/>
    <w:rsid w:val="00CB4F4C"/>
    <w:rsid w:val="00CB57F8"/>
    <w:rsid w:val="00CB5B67"/>
    <w:rsid w:val="00CB6D03"/>
    <w:rsid w:val="00CB7620"/>
    <w:rsid w:val="00CB7813"/>
    <w:rsid w:val="00CB783C"/>
    <w:rsid w:val="00CB7ACB"/>
    <w:rsid w:val="00CB7CB5"/>
    <w:rsid w:val="00CC0B2F"/>
    <w:rsid w:val="00CC0C06"/>
    <w:rsid w:val="00CC1E00"/>
    <w:rsid w:val="00CC2F77"/>
    <w:rsid w:val="00CC33F0"/>
    <w:rsid w:val="00CC3D00"/>
    <w:rsid w:val="00CC3D03"/>
    <w:rsid w:val="00CC3D92"/>
    <w:rsid w:val="00CC4051"/>
    <w:rsid w:val="00CC4DE6"/>
    <w:rsid w:val="00CC52B2"/>
    <w:rsid w:val="00CC594B"/>
    <w:rsid w:val="00CC5D5A"/>
    <w:rsid w:val="00CC6064"/>
    <w:rsid w:val="00CC61B2"/>
    <w:rsid w:val="00CC6313"/>
    <w:rsid w:val="00CC659F"/>
    <w:rsid w:val="00CC6D5B"/>
    <w:rsid w:val="00CC736C"/>
    <w:rsid w:val="00CC766C"/>
    <w:rsid w:val="00CC7772"/>
    <w:rsid w:val="00CC789B"/>
    <w:rsid w:val="00CC7DA4"/>
    <w:rsid w:val="00CD02E2"/>
    <w:rsid w:val="00CD050B"/>
    <w:rsid w:val="00CD05AC"/>
    <w:rsid w:val="00CD0D97"/>
    <w:rsid w:val="00CD1060"/>
    <w:rsid w:val="00CD11DF"/>
    <w:rsid w:val="00CD13B7"/>
    <w:rsid w:val="00CD1636"/>
    <w:rsid w:val="00CD1918"/>
    <w:rsid w:val="00CD199F"/>
    <w:rsid w:val="00CD1A48"/>
    <w:rsid w:val="00CD1F7B"/>
    <w:rsid w:val="00CD2016"/>
    <w:rsid w:val="00CD2544"/>
    <w:rsid w:val="00CD297C"/>
    <w:rsid w:val="00CD2CC9"/>
    <w:rsid w:val="00CD2F86"/>
    <w:rsid w:val="00CD3D8D"/>
    <w:rsid w:val="00CD3E22"/>
    <w:rsid w:val="00CD3E60"/>
    <w:rsid w:val="00CD4099"/>
    <w:rsid w:val="00CD40F3"/>
    <w:rsid w:val="00CD45AF"/>
    <w:rsid w:val="00CD4868"/>
    <w:rsid w:val="00CD4962"/>
    <w:rsid w:val="00CD4CA5"/>
    <w:rsid w:val="00CD4DC8"/>
    <w:rsid w:val="00CD5080"/>
    <w:rsid w:val="00CD5240"/>
    <w:rsid w:val="00CD531F"/>
    <w:rsid w:val="00CD5898"/>
    <w:rsid w:val="00CD5AB7"/>
    <w:rsid w:val="00CD62C0"/>
    <w:rsid w:val="00CD75CC"/>
    <w:rsid w:val="00CD7954"/>
    <w:rsid w:val="00CD7F91"/>
    <w:rsid w:val="00CE0619"/>
    <w:rsid w:val="00CE0B35"/>
    <w:rsid w:val="00CE0B9A"/>
    <w:rsid w:val="00CE0D42"/>
    <w:rsid w:val="00CE0E75"/>
    <w:rsid w:val="00CE0F6F"/>
    <w:rsid w:val="00CE1915"/>
    <w:rsid w:val="00CE1C54"/>
    <w:rsid w:val="00CE1E49"/>
    <w:rsid w:val="00CE1FCF"/>
    <w:rsid w:val="00CE24FF"/>
    <w:rsid w:val="00CE2926"/>
    <w:rsid w:val="00CE2C92"/>
    <w:rsid w:val="00CE2D36"/>
    <w:rsid w:val="00CE3ADB"/>
    <w:rsid w:val="00CE3F9B"/>
    <w:rsid w:val="00CE40CB"/>
    <w:rsid w:val="00CE4D27"/>
    <w:rsid w:val="00CE4DAD"/>
    <w:rsid w:val="00CE51D1"/>
    <w:rsid w:val="00CE59D3"/>
    <w:rsid w:val="00CE695F"/>
    <w:rsid w:val="00CE6980"/>
    <w:rsid w:val="00CE6ADF"/>
    <w:rsid w:val="00CE6B51"/>
    <w:rsid w:val="00CE6E2E"/>
    <w:rsid w:val="00CE70B2"/>
    <w:rsid w:val="00CE7429"/>
    <w:rsid w:val="00CE7597"/>
    <w:rsid w:val="00CE76DC"/>
    <w:rsid w:val="00CE7DCB"/>
    <w:rsid w:val="00CF0830"/>
    <w:rsid w:val="00CF0DC7"/>
    <w:rsid w:val="00CF1AE2"/>
    <w:rsid w:val="00CF3596"/>
    <w:rsid w:val="00CF36A7"/>
    <w:rsid w:val="00CF406A"/>
    <w:rsid w:val="00CF492B"/>
    <w:rsid w:val="00CF49EB"/>
    <w:rsid w:val="00CF49F2"/>
    <w:rsid w:val="00CF5CAA"/>
    <w:rsid w:val="00CF66C0"/>
    <w:rsid w:val="00CF67B8"/>
    <w:rsid w:val="00CF68AF"/>
    <w:rsid w:val="00CF6CE0"/>
    <w:rsid w:val="00CF6D77"/>
    <w:rsid w:val="00CF7E81"/>
    <w:rsid w:val="00CF7E9C"/>
    <w:rsid w:val="00D00189"/>
    <w:rsid w:val="00D00391"/>
    <w:rsid w:val="00D00701"/>
    <w:rsid w:val="00D00852"/>
    <w:rsid w:val="00D012D5"/>
    <w:rsid w:val="00D020A2"/>
    <w:rsid w:val="00D026DF"/>
    <w:rsid w:val="00D02B3B"/>
    <w:rsid w:val="00D031C5"/>
    <w:rsid w:val="00D032A0"/>
    <w:rsid w:val="00D03470"/>
    <w:rsid w:val="00D034F7"/>
    <w:rsid w:val="00D0351E"/>
    <w:rsid w:val="00D03A70"/>
    <w:rsid w:val="00D042A9"/>
    <w:rsid w:val="00D0469C"/>
    <w:rsid w:val="00D04E9F"/>
    <w:rsid w:val="00D04F7A"/>
    <w:rsid w:val="00D05B5A"/>
    <w:rsid w:val="00D06A8E"/>
    <w:rsid w:val="00D06BD1"/>
    <w:rsid w:val="00D06EB4"/>
    <w:rsid w:val="00D06EDE"/>
    <w:rsid w:val="00D07658"/>
    <w:rsid w:val="00D07BE3"/>
    <w:rsid w:val="00D07F8F"/>
    <w:rsid w:val="00D102C8"/>
    <w:rsid w:val="00D10626"/>
    <w:rsid w:val="00D114B3"/>
    <w:rsid w:val="00D118CA"/>
    <w:rsid w:val="00D12029"/>
    <w:rsid w:val="00D12971"/>
    <w:rsid w:val="00D13022"/>
    <w:rsid w:val="00D13A8E"/>
    <w:rsid w:val="00D13BF6"/>
    <w:rsid w:val="00D1445C"/>
    <w:rsid w:val="00D149B1"/>
    <w:rsid w:val="00D149B7"/>
    <w:rsid w:val="00D154CC"/>
    <w:rsid w:val="00D15513"/>
    <w:rsid w:val="00D15768"/>
    <w:rsid w:val="00D15949"/>
    <w:rsid w:val="00D16110"/>
    <w:rsid w:val="00D16BD3"/>
    <w:rsid w:val="00D16D00"/>
    <w:rsid w:val="00D17173"/>
    <w:rsid w:val="00D172B1"/>
    <w:rsid w:val="00D1768C"/>
    <w:rsid w:val="00D176A3"/>
    <w:rsid w:val="00D17CD1"/>
    <w:rsid w:val="00D202F3"/>
    <w:rsid w:val="00D205B6"/>
    <w:rsid w:val="00D20846"/>
    <w:rsid w:val="00D209A7"/>
    <w:rsid w:val="00D20E62"/>
    <w:rsid w:val="00D21357"/>
    <w:rsid w:val="00D21B44"/>
    <w:rsid w:val="00D21BB6"/>
    <w:rsid w:val="00D220CE"/>
    <w:rsid w:val="00D226B6"/>
    <w:rsid w:val="00D22A51"/>
    <w:rsid w:val="00D22D65"/>
    <w:rsid w:val="00D234D7"/>
    <w:rsid w:val="00D23AEE"/>
    <w:rsid w:val="00D23AEF"/>
    <w:rsid w:val="00D23CE5"/>
    <w:rsid w:val="00D2445C"/>
    <w:rsid w:val="00D2448A"/>
    <w:rsid w:val="00D248B0"/>
    <w:rsid w:val="00D24B18"/>
    <w:rsid w:val="00D24CEC"/>
    <w:rsid w:val="00D24DCF"/>
    <w:rsid w:val="00D255B7"/>
    <w:rsid w:val="00D25613"/>
    <w:rsid w:val="00D2587C"/>
    <w:rsid w:val="00D258B0"/>
    <w:rsid w:val="00D25D20"/>
    <w:rsid w:val="00D25FB2"/>
    <w:rsid w:val="00D26404"/>
    <w:rsid w:val="00D26479"/>
    <w:rsid w:val="00D264A0"/>
    <w:rsid w:val="00D26B43"/>
    <w:rsid w:val="00D26D31"/>
    <w:rsid w:val="00D27A34"/>
    <w:rsid w:val="00D30719"/>
    <w:rsid w:val="00D30984"/>
    <w:rsid w:val="00D30DF5"/>
    <w:rsid w:val="00D3173F"/>
    <w:rsid w:val="00D31943"/>
    <w:rsid w:val="00D31B97"/>
    <w:rsid w:val="00D31DE0"/>
    <w:rsid w:val="00D31DF0"/>
    <w:rsid w:val="00D32554"/>
    <w:rsid w:val="00D32F93"/>
    <w:rsid w:val="00D32FD3"/>
    <w:rsid w:val="00D32FE1"/>
    <w:rsid w:val="00D333CE"/>
    <w:rsid w:val="00D333EA"/>
    <w:rsid w:val="00D337B7"/>
    <w:rsid w:val="00D33F4A"/>
    <w:rsid w:val="00D3440A"/>
    <w:rsid w:val="00D344B5"/>
    <w:rsid w:val="00D35313"/>
    <w:rsid w:val="00D3570C"/>
    <w:rsid w:val="00D35947"/>
    <w:rsid w:val="00D359C6"/>
    <w:rsid w:val="00D3601D"/>
    <w:rsid w:val="00D36201"/>
    <w:rsid w:val="00D3646A"/>
    <w:rsid w:val="00D36F7B"/>
    <w:rsid w:val="00D36FAC"/>
    <w:rsid w:val="00D36FB4"/>
    <w:rsid w:val="00D37078"/>
    <w:rsid w:val="00D3790C"/>
    <w:rsid w:val="00D37AA2"/>
    <w:rsid w:val="00D4090E"/>
    <w:rsid w:val="00D41AC1"/>
    <w:rsid w:val="00D424E8"/>
    <w:rsid w:val="00D425A3"/>
    <w:rsid w:val="00D4265B"/>
    <w:rsid w:val="00D4282C"/>
    <w:rsid w:val="00D42E4F"/>
    <w:rsid w:val="00D42EEC"/>
    <w:rsid w:val="00D4314D"/>
    <w:rsid w:val="00D43AD5"/>
    <w:rsid w:val="00D44106"/>
    <w:rsid w:val="00D441D1"/>
    <w:rsid w:val="00D44503"/>
    <w:rsid w:val="00D44DAF"/>
    <w:rsid w:val="00D452F4"/>
    <w:rsid w:val="00D45475"/>
    <w:rsid w:val="00D45983"/>
    <w:rsid w:val="00D45A14"/>
    <w:rsid w:val="00D460CD"/>
    <w:rsid w:val="00D464DC"/>
    <w:rsid w:val="00D474C0"/>
    <w:rsid w:val="00D47611"/>
    <w:rsid w:val="00D479D9"/>
    <w:rsid w:val="00D47B7D"/>
    <w:rsid w:val="00D50352"/>
    <w:rsid w:val="00D503B4"/>
    <w:rsid w:val="00D505AB"/>
    <w:rsid w:val="00D5075A"/>
    <w:rsid w:val="00D5092A"/>
    <w:rsid w:val="00D50A75"/>
    <w:rsid w:val="00D50AF2"/>
    <w:rsid w:val="00D50DBB"/>
    <w:rsid w:val="00D5117A"/>
    <w:rsid w:val="00D512D0"/>
    <w:rsid w:val="00D51722"/>
    <w:rsid w:val="00D51B17"/>
    <w:rsid w:val="00D52F05"/>
    <w:rsid w:val="00D532D0"/>
    <w:rsid w:val="00D54790"/>
    <w:rsid w:val="00D55067"/>
    <w:rsid w:val="00D55677"/>
    <w:rsid w:val="00D55FB1"/>
    <w:rsid w:val="00D56471"/>
    <w:rsid w:val="00D564ED"/>
    <w:rsid w:val="00D5653F"/>
    <w:rsid w:val="00D568A3"/>
    <w:rsid w:val="00D56999"/>
    <w:rsid w:val="00D56EA9"/>
    <w:rsid w:val="00D56F3F"/>
    <w:rsid w:val="00D571A1"/>
    <w:rsid w:val="00D57454"/>
    <w:rsid w:val="00D574AD"/>
    <w:rsid w:val="00D57546"/>
    <w:rsid w:val="00D57CC7"/>
    <w:rsid w:val="00D57EFC"/>
    <w:rsid w:val="00D60B6A"/>
    <w:rsid w:val="00D61640"/>
    <w:rsid w:val="00D61682"/>
    <w:rsid w:val="00D61962"/>
    <w:rsid w:val="00D619BA"/>
    <w:rsid w:val="00D61D26"/>
    <w:rsid w:val="00D63B95"/>
    <w:rsid w:val="00D63BC8"/>
    <w:rsid w:val="00D64467"/>
    <w:rsid w:val="00D64623"/>
    <w:rsid w:val="00D64A78"/>
    <w:rsid w:val="00D64AA8"/>
    <w:rsid w:val="00D64DA9"/>
    <w:rsid w:val="00D6529A"/>
    <w:rsid w:val="00D6535C"/>
    <w:rsid w:val="00D65786"/>
    <w:rsid w:val="00D65801"/>
    <w:rsid w:val="00D6580B"/>
    <w:rsid w:val="00D65CDB"/>
    <w:rsid w:val="00D66278"/>
    <w:rsid w:val="00D66B45"/>
    <w:rsid w:val="00D66F49"/>
    <w:rsid w:val="00D678FD"/>
    <w:rsid w:val="00D70111"/>
    <w:rsid w:val="00D7059D"/>
    <w:rsid w:val="00D70CC3"/>
    <w:rsid w:val="00D713BE"/>
    <w:rsid w:val="00D7151F"/>
    <w:rsid w:val="00D71679"/>
    <w:rsid w:val="00D718E2"/>
    <w:rsid w:val="00D72185"/>
    <w:rsid w:val="00D729B6"/>
    <w:rsid w:val="00D7480D"/>
    <w:rsid w:val="00D75345"/>
    <w:rsid w:val="00D75854"/>
    <w:rsid w:val="00D75897"/>
    <w:rsid w:val="00D75BB8"/>
    <w:rsid w:val="00D76236"/>
    <w:rsid w:val="00D76401"/>
    <w:rsid w:val="00D7647A"/>
    <w:rsid w:val="00D76917"/>
    <w:rsid w:val="00D776C5"/>
    <w:rsid w:val="00D778CE"/>
    <w:rsid w:val="00D804BF"/>
    <w:rsid w:val="00D805A3"/>
    <w:rsid w:val="00D80B8B"/>
    <w:rsid w:val="00D810F4"/>
    <w:rsid w:val="00D81B88"/>
    <w:rsid w:val="00D82100"/>
    <w:rsid w:val="00D822CA"/>
    <w:rsid w:val="00D82312"/>
    <w:rsid w:val="00D82320"/>
    <w:rsid w:val="00D8237B"/>
    <w:rsid w:val="00D823DB"/>
    <w:rsid w:val="00D82678"/>
    <w:rsid w:val="00D8271C"/>
    <w:rsid w:val="00D828DB"/>
    <w:rsid w:val="00D82908"/>
    <w:rsid w:val="00D82938"/>
    <w:rsid w:val="00D82C80"/>
    <w:rsid w:val="00D82D98"/>
    <w:rsid w:val="00D8300D"/>
    <w:rsid w:val="00D84711"/>
    <w:rsid w:val="00D84821"/>
    <w:rsid w:val="00D84B1E"/>
    <w:rsid w:val="00D858B1"/>
    <w:rsid w:val="00D85F18"/>
    <w:rsid w:val="00D86184"/>
    <w:rsid w:val="00D8649C"/>
    <w:rsid w:val="00D8673F"/>
    <w:rsid w:val="00D86BAD"/>
    <w:rsid w:val="00D86D10"/>
    <w:rsid w:val="00D86E71"/>
    <w:rsid w:val="00D87AF8"/>
    <w:rsid w:val="00D87BDC"/>
    <w:rsid w:val="00D87D86"/>
    <w:rsid w:val="00D87E0C"/>
    <w:rsid w:val="00D904C6"/>
    <w:rsid w:val="00D90CDD"/>
    <w:rsid w:val="00D91479"/>
    <w:rsid w:val="00D91C23"/>
    <w:rsid w:val="00D91FED"/>
    <w:rsid w:val="00D9253B"/>
    <w:rsid w:val="00D93DF3"/>
    <w:rsid w:val="00D9440A"/>
    <w:rsid w:val="00D9451E"/>
    <w:rsid w:val="00D9470D"/>
    <w:rsid w:val="00D94D28"/>
    <w:rsid w:val="00D94F3C"/>
    <w:rsid w:val="00D956EE"/>
    <w:rsid w:val="00D95A47"/>
    <w:rsid w:val="00D95EC3"/>
    <w:rsid w:val="00D960BD"/>
    <w:rsid w:val="00D962EC"/>
    <w:rsid w:val="00D96645"/>
    <w:rsid w:val="00D96937"/>
    <w:rsid w:val="00D96A76"/>
    <w:rsid w:val="00D96E50"/>
    <w:rsid w:val="00D971E0"/>
    <w:rsid w:val="00D97433"/>
    <w:rsid w:val="00D97C5D"/>
    <w:rsid w:val="00DA0323"/>
    <w:rsid w:val="00DA04D3"/>
    <w:rsid w:val="00DA04DF"/>
    <w:rsid w:val="00DA0AC5"/>
    <w:rsid w:val="00DA11B7"/>
    <w:rsid w:val="00DA1BA1"/>
    <w:rsid w:val="00DA23AB"/>
    <w:rsid w:val="00DA25B0"/>
    <w:rsid w:val="00DA2BBD"/>
    <w:rsid w:val="00DA389F"/>
    <w:rsid w:val="00DA39BC"/>
    <w:rsid w:val="00DA3A59"/>
    <w:rsid w:val="00DA44CF"/>
    <w:rsid w:val="00DA48C7"/>
    <w:rsid w:val="00DA4DED"/>
    <w:rsid w:val="00DA5203"/>
    <w:rsid w:val="00DA5C53"/>
    <w:rsid w:val="00DA5F5F"/>
    <w:rsid w:val="00DA6024"/>
    <w:rsid w:val="00DA6150"/>
    <w:rsid w:val="00DA66F0"/>
    <w:rsid w:val="00DA7165"/>
    <w:rsid w:val="00DA7F57"/>
    <w:rsid w:val="00DB0012"/>
    <w:rsid w:val="00DB00A0"/>
    <w:rsid w:val="00DB015A"/>
    <w:rsid w:val="00DB04C4"/>
    <w:rsid w:val="00DB066A"/>
    <w:rsid w:val="00DB0F11"/>
    <w:rsid w:val="00DB1520"/>
    <w:rsid w:val="00DB1841"/>
    <w:rsid w:val="00DB1ABB"/>
    <w:rsid w:val="00DB1D6D"/>
    <w:rsid w:val="00DB2382"/>
    <w:rsid w:val="00DB2F30"/>
    <w:rsid w:val="00DB3D7C"/>
    <w:rsid w:val="00DB3E08"/>
    <w:rsid w:val="00DB451E"/>
    <w:rsid w:val="00DB476E"/>
    <w:rsid w:val="00DB5608"/>
    <w:rsid w:val="00DB56F5"/>
    <w:rsid w:val="00DB62AF"/>
    <w:rsid w:val="00DB673A"/>
    <w:rsid w:val="00DB7D44"/>
    <w:rsid w:val="00DB7E19"/>
    <w:rsid w:val="00DC0017"/>
    <w:rsid w:val="00DC01DE"/>
    <w:rsid w:val="00DC0404"/>
    <w:rsid w:val="00DC0907"/>
    <w:rsid w:val="00DC0C7F"/>
    <w:rsid w:val="00DC1045"/>
    <w:rsid w:val="00DC133B"/>
    <w:rsid w:val="00DC14E0"/>
    <w:rsid w:val="00DC165D"/>
    <w:rsid w:val="00DC19A3"/>
    <w:rsid w:val="00DC19B0"/>
    <w:rsid w:val="00DC2295"/>
    <w:rsid w:val="00DC24E8"/>
    <w:rsid w:val="00DC2A29"/>
    <w:rsid w:val="00DC36C9"/>
    <w:rsid w:val="00DC3D81"/>
    <w:rsid w:val="00DC491A"/>
    <w:rsid w:val="00DC601E"/>
    <w:rsid w:val="00DC61F3"/>
    <w:rsid w:val="00DC6F85"/>
    <w:rsid w:val="00DC71F8"/>
    <w:rsid w:val="00DC72F8"/>
    <w:rsid w:val="00DC7919"/>
    <w:rsid w:val="00DC7BA3"/>
    <w:rsid w:val="00DC7DA5"/>
    <w:rsid w:val="00DD0B86"/>
    <w:rsid w:val="00DD1422"/>
    <w:rsid w:val="00DD1463"/>
    <w:rsid w:val="00DD18A6"/>
    <w:rsid w:val="00DD1949"/>
    <w:rsid w:val="00DD21E1"/>
    <w:rsid w:val="00DD261B"/>
    <w:rsid w:val="00DD261E"/>
    <w:rsid w:val="00DD2AC6"/>
    <w:rsid w:val="00DD2C8F"/>
    <w:rsid w:val="00DD348B"/>
    <w:rsid w:val="00DD3865"/>
    <w:rsid w:val="00DD3C54"/>
    <w:rsid w:val="00DD3C7D"/>
    <w:rsid w:val="00DD45D4"/>
    <w:rsid w:val="00DD489F"/>
    <w:rsid w:val="00DD4A21"/>
    <w:rsid w:val="00DD5343"/>
    <w:rsid w:val="00DD5A7E"/>
    <w:rsid w:val="00DD6159"/>
    <w:rsid w:val="00DD6C14"/>
    <w:rsid w:val="00DD6CEB"/>
    <w:rsid w:val="00DD6DAB"/>
    <w:rsid w:val="00DD6FE9"/>
    <w:rsid w:val="00DD71D0"/>
    <w:rsid w:val="00DD71D8"/>
    <w:rsid w:val="00DD724C"/>
    <w:rsid w:val="00DD733B"/>
    <w:rsid w:val="00DD77EA"/>
    <w:rsid w:val="00DD785A"/>
    <w:rsid w:val="00DE02AF"/>
    <w:rsid w:val="00DE03AF"/>
    <w:rsid w:val="00DE0C86"/>
    <w:rsid w:val="00DE0CC4"/>
    <w:rsid w:val="00DE42EA"/>
    <w:rsid w:val="00DE42FC"/>
    <w:rsid w:val="00DE4BDF"/>
    <w:rsid w:val="00DE4F61"/>
    <w:rsid w:val="00DE66F5"/>
    <w:rsid w:val="00DE6874"/>
    <w:rsid w:val="00DE6B30"/>
    <w:rsid w:val="00DE6D70"/>
    <w:rsid w:val="00DE7866"/>
    <w:rsid w:val="00DE7AA4"/>
    <w:rsid w:val="00DE7FF1"/>
    <w:rsid w:val="00DF006A"/>
    <w:rsid w:val="00DF0844"/>
    <w:rsid w:val="00DF0B87"/>
    <w:rsid w:val="00DF0F72"/>
    <w:rsid w:val="00DF1556"/>
    <w:rsid w:val="00DF16C0"/>
    <w:rsid w:val="00DF1745"/>
    <w:rsid w:val="00DF1D6F"/>
    <w:rsid w:val="00DF1F60"/>
    <w:rsid w:val="00DF2238"/>
    <w:rsid w:val="00DF2600"/>
    <w:rsid w:val="00DF26FF"/>
    <w:rsid w:val="00DF27C3"/>
    <w:rsid w:val="00DF2F37"/>
    <w:rsid w:val="00DF301B"/>
    <w:rsid w:val="00DF375F"/>
    <w:rsid w:val="00DF3960"/>
    <w:rsid w:val="00DF3B40"/>
    <w:rsid w:val="00DF3D5A"/>
    <w:rsid w:val="00DF410D"/>
    <w:rsid w:val="00DF432A"/>
    <w:rsid w:val="00DF4468"/>
    <w:rsid w:val="00DF470B"/>
    <w:rsid w:val="00DF5355"/>
    <w:rsid w:val="00DF5412"/>
    <w:rsid w:val="00DF5984"/>
    <w:rsid w:val="00DF5DF2"/>
    <w:rsid w:val="00DF66CB"/>
    <w:rsid w:val="00DF6A35"/>
    <w:rsid w:val="00DF6D1E"/>
    <w:rsid w:val="00DF7020"/>
    <w:rsid w:val="00DF70C3"/>
    <w:rsid w:val="00DF7501"/>
    <w:rsid w:val="00DF78AA"/>
    <w:rsid w:val="00DF7934"/>
    <w:rsid w:val="00DF7F8F"/>
    <w:rsid w:val="00E001CE"/>
    <w:rsid w:val="00E005DC"/>
    <w:rsid w:val="00E00C7E"/>
    <w:rsid w:val="00E017DD"/>
    <w:rsid w:val="00E01C21"/>
    <w:rsid w:val="00E020F7"/>
    <w:rsid w:val="00E026E1"/>
    <w:rsid w:val="00E02E82"/>
    <w:rsid w:val="00E035EC"/>
    <w:rsid w:val="00E03CA4"/>
    <w:rsid w:val="00E03D42"/>
    <w:rsid w:val="00E03E51"/>
    <w:rsid w:val="00E0402B"/>
    <w:rsid w:val="00E04249"/>
    <w:rsid w:val="00E043E5"/>
    <w:rsid w:val="00E045BF"/>
    <w:rsid w:val="00E046C6"/>
    <w:rsid w:val="00E047A5"/>
    <w:rsid w:val="00E04818"/>
    <w:rsid w:val="00E04A1D"/>
    <w:rsid w:val="00E04F68"/>
    <w:rsid w:val="00E05036"/>
    <w:rsid w:val="00E051CE"/>
    <w:rsid w:val="00E052C2"/>
    <w:rsid w:val="00E05553"/>
    <w:rsid w:val="00E057F7"/>
    <w:rsid w:val="00E06167"/>
    <w:rsid w:val="00E06285"/>
    <w:rsid w:val="00E06619"/>
    <w:rsid w:val="00E066AD"/>
    <w:rsid w:val="00E0685E"/>
    <w:rsid w:val="00E0711D"/>
    <w:rsid w:val="00E07969"/>
    <w:rsid w:val="00E07DD3"/>
    <w:rsid w:val="00E07F9C"/>
    <w:rsid w:val="00E10B56"/>
    <w:rsid w:val="00E11497"/>
    <w:rsid w:val="00E11F3E"/>
    <w:rsid w:val="00E11F41"/>
    <w:rsid w:val="00E11F6E"/>
    <w:rsid w:val="00E12306"/>
    <w:rsid w:val="00E124BD"/>
    <w:rsid w:val="00E137D4"/>
    <w:rsid w:val="00E13A85"/>
    <w:rsid w:val="00E14106"/>
    <w:rsid w:val="00E141C1"/>
    <w:rsid w:val="00E1483C"/>
    <w:rsid w:val="00E14B39"/>
    <w:rsid w:val="00E14D9E"/>
    <w:rsid w:val="00E14F90"/>
    <w:rsid w:val="00E1511F"/>
    <w:rsid w:val="00E1568A"/>
    <w:rsid w:val="00E15AA2"/>
    <w:rsid w:val="00E165AD"/>
    <w:rsid w:val="00E165E3"/>
    <w:rsid w:val="00E171C7"/>
    <w:rsid w:val="00E17B0F"/>
    <w:rsid w:val="00E17D42"/>
    <w:rsid w:val="00E20003"/>
    <w:rsid w:val="00E200F5"/>
    <w:rsid w:val="00E2034D"/>
    <w:rsid w:val="00E21B10"/>
    <w:rsid w:val="00E21FD9"/>
    <w:rsid w:val="00E221C2"/>
    <w:rsid w:val="00E222D4"/>
    <w:rsid w:val="00E22366"/>
    <w:rsid w:val="00E225DC"/>
    <w:rsid w:val="00E22FDD"/>
    <w:rsid w:val="00E23F14"/>
    <w:rsid w:val="00E241C3"/>
    <w:rsid w:val="00E24430"/>
    <w:rsid w:val="00E24555"/>
    <w:rsid w:val="00E24969"/>
    <w:rsid w:val="00E24BFF"/>
    <w:rsid w:val="00E25609"/>
    <w:rsid w:val="00E25E3F"/>
    <w:rsid w:val="00E25F63"/>
    <w:rsid w:val="00E264C4"/>
    <w:rsid w:val="00E26896"/>
    <w:rsid w:val="00E275BE"/>
    <w:rsid w:val="00E27CCD"/>
    <w:rsid w:val="00E307FD"/>
    <w:rsid w:val="00E30899"/>
    <w:rsid w:val="00E30D8F"/>
    <w:rsid w:val="00E31FD0"/>
    <w:rsid w:val="00E3287B"/>
    <w:rsid w:val="00E32F59"/>
    <w:rsid w:val="00E330A5"/>
    <w:rsid w:val="00E33393"/>
    <w:rsid w:val="00E33930"/>
    <w:rsid w:val="00E3407A"/>
    <w:rsid w:val="00E340C2"/>
    <w:rsid w:val="00E345F1"/>
    <w:rsid w:val="00E3494E"/>
    <w:rsid w:val="00E34A7D"/>
    <w:rsid w:val="00E34CE3"/>
    <w:rsid w:val="00E34F24"/>
    <w:rsid w:val="00E3527A"/>
    <w:rsid w:val="00E3576E"/>
    <w:rsid w:val="00E35873"/>
    <w:rsid w:val="00E35BF4"/>
    <w:rsid w:val="00E36A47"/>
    <w:rsid w:val="00E36AF0"/>
    <w:rsid w:val="00E36B48"/>
    <w:rsid w:val="00E3792D"/>
    <w:rsid w:val="00E37C65"/>
    <w:rsid w:val="00E40261"/>
    <w:rsid w:val="00E4032C"/>
    <w:rsid w:val="00E4036B"/>
    <w:rsid w:val="00E40967"/>
    <w:rsid w:val="00E40D65"/>
    <w:rsid w:val="00E40DE8"/>
    <w:rsid w:val="00E418A3"/>
    <w:rsid w:val="00E41B8C"/>
    <w:rsid w:val="00E422CB"/>
    <w:rsid w:val="00E4287B"/>
    <w:rsid w:val="00E42938"/>
    <w:rsid w:val="00E42A34"/>
    <w:rsid w:val="00E42DC8"/>
    <w:rsid w:val="00E432CF"/>
    <w:rsid w:val="00E4339C"/>
    <w:rsid w:val="00E43460"/>
    <w:rsid w:val="00E43494"/>
    <w:rsid w:val="00E43EC0"/>
    <w:rsid w:val="00E441A9"/>
    <w:rsid w:val="00E44463"/>
    <w:rsid w:val="00E44558"/>
    <w:rsid w:val="00E45090"/>
    <w:rsid w:val="00E4510E"/>
    <w:rsid w:val="00E4568A"/>
    <w:rsid w:val="00E45893"/>
    <w:rsid w:val="00E459F6"/>
    <w:rsid w:val="00E45F16"/>
    <w:rsid w:val="00E45F8F"/>
    <w:rsid w:val="00E469CD"/>
    <w:rsid w:val="00E4751E"/>
    <w:rsid w:val="00E47BB7"/>
    <w:rsid w:val="00E50200"/>
    <w:rsid w:val="00E504F1"/>
    <w:rsid w:val="00E5062C"/>
    <w:rsid w:val="00E50A6C"/>
    <w:rsid w:val="00E50C02"/>
    <w:rsid w:val="00E50F93"/>
    <w:rsid w:val="00E515B9"/>
    <w:rsid w:val="00E51A70"/>
    <w:rsid w:val="00E5228A"/>
    <w:rsid w:val="00E52410"/>
    <w:rsid w:val="00E52CD8"/>
    <w:rsid w:val="00E530BF"/>
    <w:rsid w:val="00E5335A"/>
    <w:rsid w:val="00E5357D"/>
    <w:rsid w:val="00E54212"/>
    <w:rsid w:val="00E54423"/>
    <w:rsid w:val="00E54760"/>
    <w:rsid w:val="00E5505D"/>
    <w:rsid w:val="00E5547D"/>
    <w:rsid w:val="00E55592"/>
    <w:rsid w:val="00E556AB"/>
    <w:rsid w:val="00E5596E"/>
    <w:rsid w:val="00E560DF"/>
    <w:rsid w:val="00E56108"/>
    <w:rsid w:val="00E56414"/>
    <w:rsid w:val="00E56722"/>
    <w:rsid w:val="00E568B4"/>
    <w:rsid w:val="00E56B9C"/>
    <w:rsid w:val="00E571B4"/>
    <w:rsid w:val="00E57482"/>
    <w:rsid w:val="00E574CA"/>
    <w:rsid w:val="00E578B5"/>
    <w:rsid w:val="00E57904"/>
    <w:rsid w:val="00E6004C"/>
    <w:rsid w:val="00E600F1"/>
    <w:rsid w:val="00E61552"/>
    <w:rsid w:val="00E6191E"/>
    <w:rsid w:val="00E61D8F"/>
    <w:rsid w:val="00E6225D"/>
    <w:rsid w:val="00E623BC"/>
    <w:rsid w:val="00E62B4B"/>
    <w:rsid w:val="00E631C9"/>
    <w:rsid w:val="00E63222"/>
    <w:rsid w:val="00E6387F"/>
    <w:rsid w:val="00E63954"/>
    <w:rsid w:val="00E63CFE"/>
    <w:rsid w:val="00E63E6B"/>
    <w:rsid w:val="00E63F03"/>
    <w:rsid w:val="00E65070"/>
    <w:rsid w:val="00E659E0"/>
    <w:rsid w:val="00E66418"/>
    <w:rsid w:val="00E66618"/>
    <w:rsid w:val="00E66786"/>
    <w:rsid w:val="00E671F5"/>
    <w:rsid w:val="00E67247"/>
    <w:rsid w:val="00E67675"/>
    <w:rsid w:val="00E67B1C"/>
    <w:rsid w:val="00E70887"/>
    <w:rsid w:val="00E7089F"/>
    <w:rsid w:val="00E708B5"/>
    <w:rsid w:val="00E70B59"/>
    <w:rsid w:val="00E70CFB"/>
    <w:rsid w:val="00E718AF"/>
    <w:rsid w:val="00E718D6"/>
    <w:rsid w:val="00E71AE4"/>
    <w:rsid w:val="00E71CE9"/>
    <w:rsid w:val="00E71F85"/>
    <w:rsid w:val="00E72151"/>
    <w:rsid w:val="00E72432"/>
    <w:rsid w:val="00E72855"/>
    <w:rsid w:val="00E72A0C"/>
    <w:rsid w:val="00E73098"/>
    <w:rsid w:val="00E73365"/>
    <w:rsid w:val="00E73E95"/>
    <w:rsid w:val="00E740AB"/>
    <w:rsid w:val="00E740FB"/>
    <w:rsid w:val="00E74590"/>
    <w:rsid w:val="00E7470C"/>
    <w:rsid w:val="00E748C7"/>
    <w:rsid w:val="00E74B38"/>
    <w:rsid w:val="00E74FE2"/>
    <w:rsid w:val="00E75137"/>
    <w:rsid w:val="00E752E9"/>
    <w:rsid w:val="00E75452"/>
    <w:rsid w:val="00E763AF"/>
    <w:rsid w:val="00E769C5"/>
    <w:rsid w:val="00E76BF2"/>
    <w:rsid w:val="00E76D1A"/>
    <w:rsid w:val="00E771B4"/>
    <w:rsid w:val="00E7739B"/>
    <w:rsid w:val="00E77450"/>
    <w:rsid w:val="00E777D9"/>
    <w:rsid w:val="00E77F76"/>
    <w:rsid w:val="00E80D30"/>
    <w:rsid w:val="00E817CF"/>
    <w:rsid w:val="00E81D9F"/>
    <w:rsid w:val="00E81FB9"/>
    <w:rsid w:val="00E82841"/>
    <w:rsid w:val="00E82B95"/>
    <w:rsid w:val="00E82EA6"/>
    <w:rsid w:val="00E83FBF"/>
    <w:rsid w:val="00E846FC"/>
    <w:rsid w:val="00E84779"/>
    <w:rsid w:val="00E847E4"/>
    <w:rsid w:val="00E84A6E"/>
    <w:rsid w:val="00E84FDC"/>
    <w:rsid w:val="00E85DA7"/>
    <w:rsid w:val="00E86C4F"/>
    <w:rsid w:val="00E86E60"/>
    <w:rsid w:val="00E86F5B"/>
    <w:rsid w:val="00E87EC5"/>
    <w:rsid w:val="00E9011B"/>
    <w:rsid w:val="00E908BE"/>
    <w:rsid w:val="00E90F5D"/>
    <w:rsid w:val="00E912AC"/>
    <w:rsid w:val="00E9137B"/>
    <w:rsid w:val="00E9275F"/>
    <w:rsid w:val="00E92E77"/>
    <w:rsid w:val="00E9333E"/>
    <w:rsid w:val="00E9366A"/>
    <w:rsid w:val="00E93AA4"/>
    <w:rsid w:val="00E94145"/>
    <w:rsid w:val="00E94C2E"/>
    <w:rsid w:val="00E9526D"/>
    <w:rsid w:val="00E95398"/>
    <w:rsid w:val="00E95552"/>
    <w:rsid w:val="00E95AC0"/>
    <w:rsid w:val="00E95FDE"/>
    <w:rsid w:val="00E9632E"/>
    <w:rsid w:val="00E96792"/>
    <w:rsid w:val="00E96F14"/>
    <w:rsid w:val="00E970A0"/>
    <w:rsid w:val="00E9719B"/>
    <w:rsid w:val="00E97422"/>
    <w:rsid w:val="00E978F9"/>
    <w:rsid w:val="00E9794D"/>
    <w:rsid w:val="00E979CC"/>
    <w:rsid w:val="00E97A25"/>
    <w:rsid w:val="00EA0290"/>
    <w:rsid w:val="00EA052A"/>
    <w:rsid w:val="00EA0AC2"/>
    <w:rsid w:val="00EA0BD1"/>
    <w:rsid w:val="00EA0C25"/>
    <w:rsid w:val="00EA14F1"/>
    <w:rsid w:val="00EA1C97"/>
    <w:rsid w:val="00EA1F38"/>
    <w:rsid w:val="00EA2A13"/>
    <w:rsid w:val="00EA2A83"/>
    <w:rsid w:val="00EA41CA"/>
    <w:rsid w:val="00EA45F4"/>
    <w:rsid w:val="00EA4692"/>
    <w:rsid w:val="00EA46CD"/>
    <w:rsid w:val="00EA4858"/>
    <w:rsid w:val="00EA4CA1"/>
    <w:rsid w:val="00EA5838"/>
    <w:rsid w:val="00EA5E31"/>
    <w:rsid w:val="00EA6447"/>
    <w:rsid w:val="00EA666F"/>
    <w:rsid w:val="00EA6840"/>
    <w:rsid w:val="00EA69C2"/>
    <w:rsid w:val="00EA6BD2"/>
    <w:rsid w:val="00EA7771"/>
    <w:rsid w:val="00EA7961"/>
    <w:rsid w:val="00EB0C8C"/>
    <w:rsid w:val="00EB1252"/>
    <w:rsid w:val="00EB2604"/>
    <w:rsid w:val="00EB2766"/>
    <w:rsid w:val="00EB2D35"/>
    <w:rsid w:val="00EB3529"/>
    <w:rsid w:val="00EB357C"/>
    <w:rsid w:val="00EB37E9"/>
    <w:rsid w:val="00EB39A2"/>
    <w:rsid w:val="00EB39C2"/>
    <w:rsid w:val="00EB3A94"/>
    <w:rsid w:val="00EB3F10"/>
    <w:rsid w:val="00EB4017"/>
    <w:rsid w:val="00EB45F3"/>
    <w:rsid w:val="00EB4D29"/>
    <w:rsid w:val="00EB4E79"/>
    <w:rsid w:val="00EB51E7"/>
    <w:rsid w:val="00EB54C5"/>
    <w:rsid w:val="00EB6183"/>
    <w:rsid w:val="00EB72E4"/>
    <w:rsid w:val="00EB7DB8"/>
    <w:rsid w:val="00EC0500"/>
    <w:rsid w:val="00EC0D95"/>
    <w:rsid w:val="00EC0E85"/>
    <w:rsid w:val="00EC12A5"/>
    <w:rsid w:val="00EC14DB"/>
    <w:rsid w:val="00EC1DFC"/>
    <w:rsid w:val="00EC238A"/>
    <w:rsid w:val="00EC2409"/>
    <w:rsid w:val="00EC26BC"/>
    <w:rsid w:val="00EC2FF5"/>
    <w:rsid w:val="00EC314F"/>
    <w:rsid w:val="00EC3383"/>
    <w:rsid w:val="00EC3745"/>
    <w:rsid w:val="00EC39C2"/>
    <w:rsid w:val="00EC4241"/>
    <w:rsid w:val="00EC429A"/>
    <w:rsid w:val="00EC4361"/>
    <w:rsid w:val="00EC4618"/>
    <w:rsid w:val="00EC4A95"/>
    <w:rsid w:val="00EC5289"/>
    <w:rsid w:val="00EC6ADB"/>
    <w:rsid w:val="00EC6C33"/>
    <w:rsid w:val="00EC6ECE"/>
    <w:rsid w:val="00EC7035"/>
    <w:rsid w:val="00EC704B"/>
    <w:rsid w:val="00EC779B"/>
    <w:rsid w:val="00EC7839"/>
    <w:rsid w:val="00EC7B38"/>
    <w:rsid w:val="00EC7C96"/>
    <w:rsid w:val="00ED003E"/>
    <w:rsid w:val="00ED0760"/>
    <w:rsid w:val="00ED09F5"/>
    <w:rsid w:val="00ED15BA"/>
    <w:rsid w:val="00ED1643"/>
    <w:rsid w:val="00ED1802"/>
    <w:rsid w:val="00ED1D52"/>
    <w:rsid w:val="00ED217A"/>
    <w:rsid w:val="00ED238C"/>
    <w:rsid w:val="00ED2638"/>
    <w:rsid w:val="00ED29E7"/>
    <w:rsid w:val="00ED2D2A"/>
    <w:rsid w:val="00ED3586"/>
    <w:rsid w:val="00ED35BB"/>
    <w:rsid w:val="00ED3BD6"/>
    <w:rsid w:val="00ED435D"/>
    <w:rsid w:val="00ED5061"/>
    <w:rsid w:val="00ED52BB"/>
    <w:rsid w:val="00ED66D8"/>
    <w:rsid w:val="00ED69C8"/>
    <w:rsid w:val="00ED6B0B"/>
    <w:rsid w:val="00ED6C59"/>
    <w:rsid w:val="00ED7238"/>
    <w:rsid w:val="00ED730E"/>
    <w:rsid w:val="00ED7B69"/>
    <w:rsid w:val="00ED7FC0"/>
    <w:rsid w:val="00EE0382"/>
    <w:rsid w:val="00EE0389"/>
    <w:rsid w:val="00EE05E5"/>
    <w:rsid w:val="00EE0A44"/>
    <w:rsid w:val="00EE0B81"/>
    <w:rsid w:val="00EE0CA9"/>
    <w:rsid w:val="00EE0DD4"/>
    <w:rsid w:val="00EE14EC"/>
    <w:rsid w:val="00EE1AEF"/>
    <w:rsid w:val="00EE1E0F"/>
    <w:rsid w:val="00EE1E9A"/>
    <w:rsid w:val="00EE2AB8"/>
    <w:rsid w:val="00EE33B8"/>
    <w:rsid w:val="00EE39E8"/>
    <w:rsid w:val="00EE4B33"/>
    <w:rsid w:val="00EE502F"/>
    <w:rsid w:val="00EE505A"/>
    <w:rsid w:val="00EE54E9"/>
    <w:rsid w:val="00EE5DA8"/>
    <w:rsid w:val="00EE62F6"/>
    <w:rsid w:val="00EE6C22"/>
    <w:rsid w:val="00EE780C"/>
    <w:rsid w:val="00EE7E7F"/>
    <w:rsid w:val="00EF0081"/>
    <w:rsid w:val="00EF01CD"/>
    <w:rsid w:val="00EF0753"/>
    <w:rsid w:val="00EF08B6"/>
    <w:rsid w:val="00EF135E"/>
    <w:rsid w:val="00EF14CF"/>
    <w:rsid w:val="00EF1D90"/>
    <w:rsid w:val="00EF3754"/>
    <w:rsid w:val="00EF3B78"/>
    <w:rsid w:val="00EF3C0A"/>
    <w:rsid w:val="00EF4691"/>
    <w:rsid w:val="00EF5199"/>
    <w:rsid w:val="00EF53B8"/>
    <w:rsid w:val="00EF57D6"/>
    <w:rsid w:val="00EF58DA"/>
    <w:rsid w:val="00EF5996"/>
    <w:rsid w:val="00EF5B66"/>
    <w:rsid w:val="00EF6F8D"/>
    <w:rsid w:val="00EF7740"/>
    <w:rsid w:val="00EF7A98"/>
    <w:rsid w:val="00EF7E6B"/>
    <w:rsid w:val="00F004F9"/>
    <w:rsid w:val="00F005CB"/>
    <w:rsid w:val="00F00D22"/>
    <w:rsid w:val="00F00D62"/>
    <w:rsid w:val="00F00F7A"/>
    <w:rsid w:val="00F0121A"/>
    <w:rsid w:val="00F01543"/>
    <w:rsid w:val="00F01874"/>
    <w:rsid w:val="00F01CB5"/>
    <w:rsid w:val="00F0228C"/>
    <w:rsid w:val="00F02307"/>
    <w:rsid w:val="00F0243F"/>
    <w:rsid w:val="00F02823"/>
    <w:rsid w:val="00F038CB"/>
    <w:rsid w:val="00F04D9B"/>
    <w:rsid w:val="00F055F8"/>
    <w:rsid w:val="00F05792"/>
    <w:rsid w:val="00F057E7"/>
    <w:rsid w:val="00F05873"/>
    <w:rsid w:val="00F06038"/>
    <w:rsid w:val="00F0633C"/>
    <w:rsid w:val="00F066C4"/>
    <w:rsid w:val="00F06CEE"/>
    <w:rsid w:val="00F078BC"/>
    <w:rsid w:val="00F07D68"/>
    <w:rsid w:val="00F1002D"/>
    <w:rsid w:val="00F10308"/>
    <w:rsid w:val="00F110F3"/>
    <w:rsid w:val="00F112C3"/>
    <w:rsid w:val="00F11F96"/>
    <w:rsid w:val="00F1252A"/>
    <w:rsid w:val="00F12945"/>
    <w:rsid w:val="00F12E02"/>
    <w:rsid w:val="00F1325A"/>
    <w:rsid w:val="00F135D3"/>
    <w:rsid w:val="00F1395E"/>
    <w:rsid w:val="00F14DD6"/>
    <w:rsid w:val="00F15481"/>
    <w:rsid w:val="00F15882"/>
    <w:rsid w:val="00F1589E"/>
    <w:rsid w:val="00F15A8D"/>
    <w:rsid w:val="00F15E38"/>
    <w:rsid w:val="00F16B9A"/>
    <w:rsid w:val="00F16CB2"/>
    <w:rsid w:val="00F17042"/>
    <w:rsid w:val="00F17260"/>
    <w:rsid w:val="00F17D7C"/>
    <w:rsid w:val="00F17F8A"/>
    <w:rsid w:val="00F2019E"/>
    <w:rsid w:val="00F20FCF"/>
    <w:rsid w:val="00F21260"/>
    <w:rsid w:val="00F215B6"/>
    <w:rsid w:val="00F21A6D"/>
    <w:rsid w:val="00F21CB9"/>
    <w:rsid w:val="00F224C1"/>
    <w:rsid w:val="00F2279E"/>
    <w:rsid w:val="00F22F99"/>
    <w:rsid w:val="00F2304A"/>
    <w:rsid w:val="00F23109"/>
    <w:rsid w:val="00F23684"/>
    <w:rsid w:val="00F23B9C"/>
    <w:rsid w:val="00F23D9A"/>
    <w:rsid w:val="00F23F43"/>
    <w:rsid w:val="00F24BEF"/>
    <w:rsid w:val="00F253F1"/>
    <w:rsid w:val="00F25739"/>
    <w:rsid w:val="00F26203"/>
    <w:rsid w:val="00F2633A"/>
    <w:rsid w:val="00F26D62"/>
    <w:rsid w:val="00F272CD"/>
    <w:rsid w:val="00F2732F"/>
    <w:rsid w:val="00F279C6"/>
    <w:rsid w:val="00F27DDE"/>
    <w:rsid w:val="00F302DF"/>
    <w:rsid w:val="00F305C7"/>
    <w:rsid w:val="00F308D9"/>
    <w:rsid w:val="00F30EAC"/>
    <w:rsid w:val="00F3120E"/>
    <w:rsid w:val="00F31262"/>
    <w:rsid w:val="00F31B3B"/>
    <w:rsid w:val="00F31B60"/>
    <w:rsid w:val="00F32091"/>
    <w:rsid w:val="00F32394"/>
    <w:rsid w:val="00F33026"/>
    <w:rsid w:val="00F332CE"/>
    <w:rsid w:val="00F335EF"/>
    <w:rsid w:val="00F33B9E"/>
    <w:rsid w:val="00F34218"/>
    <w:rsid w:val="00F345F3"/>
    <w:rsid w:val="00F34FFA"/>
    <w:rsid w:val="00F350C9"/>
    <w:rsid w:val="00F3608D"/>
    <w:rsid w:val="00F364B5"/>
    <w:rsid w:val="00F36D51"/>
    <w:rsid w:val="00F373E0"/>
    <w:rsid w:val="00F375E5"/>
    <w:rsid w:val="00F376D2"/>
    <w:rsid w:val="00F37ACE"/>
    <w:rsid w:val="00F37E1A"/>
    <w:rsid w:val="00F40637"/>
    <w:rsid w:val="00F4106A"/>
    <w:rsid w:val="00F41113"/>
    <w:rsid w:val="00F41288"/>
    <w:rsid w:val="00F415D8"/>
    <w:rsid w:val="00F41A24"/>
    <w:rsid w:val="00F41E73"/>
    <w:rsid w:val="00F42226"/>
    <w:rsid w:val="00F42DEA"/>
    <w:rsid w:val="00F42E51"/>
    <w:rsid w:val="00F42F96"/>
    <w:rsid w:val="00F4376C"/>
    <w:rsid w:val="00F43DD4"/>
    <w:rsid w:val="00F43E24"/>
    <w:rsid w:val="00F44833"/>
    <w:rsid w:val="00F44E8F"/>
    <w:rsid w:val="00F44F55"/>
    <w:rsid w:val="00F45035"/>
    <w:rsid w:val="00F453B1"/>
    <w:rsid w:val="00F456DF"/>
    <w:rsid w:val="00F459E3"/>
    <w:rsid w:val="00F45C69"/>
    <w:rsid w:val="00F462EA"/>
    <w:rsid w:val="00F46442"/>
    <w:rsid w:val="00F47242"/>
    <w:rsid w:val="00F47244"/>
    <w:rsid w:val="00F47503"/>
    <w:rsid w:val="00F47CE5"/>
    <w:rsid w:val="00F47E00"/>
    <w:rsid w:val="00F5030E"/>
    <w:rsid w:val="00F503B9"/>
    <w:rsid w:val="00F506C6"/>
    <w:rsid w:val="00F5110D"/>
    <w:rsid w:val="00F51FE5"/>
    <w:rsid w:val="00F523B5"/>
    <w:rsid w:val="00F52775"/>
    <w:rsid w:val="00F52AFA"/>
    <w:rsid w:val="00F52DCC"/>
    <w:rsid w:val="00F53B79"/>
    <w:rsid w:val="00F54243"/>
    <w:rsid w:val="00F54597"/>
    <w:rsid w:val="00F54CF9"/>
    <w:rsid w:val="00F55104"/>
    <w:rsid w:val="00F5513C"/>
    <w:rsid w:val="00F5537C"/>
    <w:rsid w:val="00F55E08"/>
    <w:rsid w:val="00F56129"/>
    <w:rsid w:val="00F57042"/>
    <w:rsid w:val="00F57224"/>
    <w:rsid w:val="00F57936"/>
    <w:rsid w:val="00F57C05"/>
    <w:rsid w:val="00F57EF4"/>
    <w:rsid w:val="00F57FEE"/>
    <w:rsid w:val="00F60582"/>
    <w:rsid w:val="00F60EDC"/>
    <w:rsid w:val="00F61219"/>
    <w:rsid w:val="00F61979"/>
    <w:rsid w:val="00F61B62"/>
    <w:rsid w:val="00F61C22"/>
    <w:rsid w:val="00F62102"/>
    <w:rsid w:val="00F6264A"/>
    <w:rsid w:val="00F6278B"/>
    <w:rsid w:val="00F62C13"/>
    <w:rsid w:val="00F62C41"/>
    <w:rsid w:val="00F630FC"/>
    <w:rsid w:val="00F6335D"/>
    <w:rsid w:val="00F6350B"/>
    <w:rsid w:val="00F63A37"/>
    <w:rsid w:val="00F63CC1"/>
    <w:rsid w:val="00F640E4"/>
    <w:rsid w:val="00F64367"/>
    <w:rsid w:val="00F65130"/>
    <w:rsid w:val="00F662F8"/>
    <w:rsid w:val="00F66300"/>
    <w:rsid w:val="00F668F6"/>
    <w:rsid w:val="00F670B8"/>
    <w:rsid w:val="00F6710B"/>
    <w:rsid w:val="00F6723B"/>
    <w:rsid w:val="00F67BFF"/>
    <w:rsid w:val="00F67CE0"/>
    <w:rsid w:val="00F67DF5"/>
    <w:rsid w:val="00F67E41"/>
    <w:rsid w:val="00F67ECD"/>
    <w:rsid w:val="00F7003F"/>
    <w:rsid w:val="00F701F0"/>
    <w:rsid w:val="00F7062F"/>
    <w:rsid w:val="00F710CE"/>
    <w:rsid w:val="00F7160D"/>
    <w:rsid w:val="00F71BAC"/>
    <w:rsid w:val="00F71CD9"/>
    <w:rsid w:val="00F7264B"/>
    <w:rsid w:val="00F72F88"/>
    <w:rsid w:val="00F736A3"/>
    <w:rsid w:val="00F73B06"/>
    <w:rsid w:val="00F74055"/>
    <w:rsid w:val="00F742C3"/>
    <w:rsid w:val="00F74E7F"/>
    <w:rsid w:val="00F75568"/>
    <w:rsid w:val="00F76394"/>
    <w:rsid w:val="00F76CB1"/>
    <w:rsid w:val="00F76FB9"/>
    <w:rsid w:val="00F77294"/>
    <w:rsid w:val="00F7782D"/>
    <w:rsid w:val="00F77A75"/>
    <w:rsid w:val="00F77F5A"/>
    <w:rsid w:val="00F804E3"/>
    <w:rsid w:val="00F80683"/>
    <w:rsid w:val="00F80E84"/>
    <w:rsid w:val="00F810DC"/>
    <w:rsid w:val="00F82203"/>
    <w:rsid w:val="00F82B69"/>
    <w:rsid w:val="00F82DDE"/>
    <w:rsid w:val="00F82DEB"/>
    <w:rsid w:val="00F82DFE"/>
    <w:rsid w:val="00F836EB"/>
    <w:rsid w:val="00F83EE1"/>
    <w:rsid w:val="00F83F94"/>
    <w:rsid w:val="00F8427A"/>
    <w:rsid w:val="00F8478F"/>
    <w:rsid w:val="00F847D9"/>
    <w:rsid w:val="00F84968"/>
    <w:rsid w:val="00F851A5"/>
    <w:rsid w:val="00F861CF"/>
    <w:rsid w:val="00F86BA0"/>
    <w:rsid w:val="00F8708F"/>
    <w:rsid w:val="00F87A5F"/>
    <w:rsid w:val="00F87FC0"/>
    <w:rsid w:val="00F90092"/>
    <w:rsid w:val="00F902B5"/>
    <w:rsid w:val="00F902E5"/>
    <w:rsid w:val="00F908EE"/>
    <w:rsid w:val="00F90A59"/>
    <w:rsid w:val="00F90CE3"/>
    <w:rsid w:val="00F9136B"/>
    <w:rsid w:val="00F91506"/>
    <w:rsid w:val="00F9192E"/>
    <w:rsid w:val="00F9194A"/>
    <w:rsid w:val="00F9199D"/>
    <w:rsid w:val="00F91B27"/>
    <w:rsid w:val="00F91C2B"/>
    <w:rsid w:val="00F91D87"/>
    <w:rsid w:val="00F92397"/>
    <w:rsid w:val="00F92846"/>
    <w:rsid w:val="00F92FC4"/>
    <w:rsid w:val="00F93465"/>
    <w:rsid w:val="00F9362D"/>
    <w:rsid w:val="00F93664"/>
    <w:rsid w:val="00F9383F"/>
    <w:rsid w:val="00F944CA"/>
    <w:rsid w:val="00F94E05"/>
    <w:rsid w:val="00F95109"/>
    <w:rsid w:val="00F95972"/>
    <w:rsid w:val="00F96593"/>
    <w:rsid w:val="00F96C80"/>
    <w:rsid w:val="00F96D89"/>
    <w:rsid w:val="00F9732D"/>
    <w:rsid w:val="00F9776D"/>
    <w:rsid w:val="00F979C1"/>
    <w:rsid w:val="00FA036C"/>
    <w:rsid w:val="00FA0C6B"/>
    <w:rsid w:val="00FA1C95"/>
    <w:rsid w:val="00FA2110"/>
    <w:rsid w:val="00FA25BD"/>
    <w:rsid w:val="00FA281A"/>
    <w:rsid w:val="00FA2DA2"/>
    <w:rsid w:val="00FA3ADA"/>
    <w:rsid w:val="00FA3CC2"/>
    <w:rsid w:val="00FA3DDA"/>
    <w:rsid w:val="00FA3F53"/>
    <w:rsid w:val="00FA453E"/>
    <w:rsid w:val="00FA4AFD"/>
    <w:rsid w:val="00FA4CB2"/>
    <w:rsid w:val="00FA5344"/>
    <w:rsid w:val="00FA55C0"/>
    <w:rsid w:val="00FA56E2"/>
    <w:rsid w:val="00FA5BB4"/>
    <w:rsid w:val="00FA64E7"/>
    <w:rsid w:val="00FA6841"/>
    <w:rsid w:val="00FA6E92"/>
    <w:rsid w:val="00FA770C"/>
    <w:rsid w:val="00FA780A"/>
    <w:rsid w:val="00FA7B6F"/>
    <w:rsid w:val="00FB096D"/>
    <w:rsid w:val="00FB0D82"/>
    <w:rsid w:val="00FB1820"/>
    <w:rsid w:val="00FB1BA0"/>
    <w:rsid w:val="00FB1C95"/>
    <w:rsid w:val="00FB3543"/>
    <w:rsid w:val="00FB381E"/>
    <w:rsid w:val="00FB39E2"/>
    <w:rsid w:val="00FB3D41"/>
    <w:rsid w:val="00FB5858"/>
    <w:rsid w:val="00FB58BA"/>
    <w:rsid w:val="00FB5D49"/>
    <w:rsid w:val="00FB74E7"/>
    <w:rsid w:val="00FB7D53"/>
    <w:rsid w:val="00FC0035"/>
    <w:rsid w:val="00FC1127"/>
    <w:rsid w:val="00FC140B"/>
    <w:rsid w:val="00FC1E6C"/>
    <w:rsid w:val="00FC1EA6"/>
    <w:rsid w:val="00FC2A54"/>
    <w:rsid w:val="00FC2D99"/>
    <w:rsid w:val="00FC32B8"/>
    <w:rsid w:val="00FC38C6"/>
    <w:rsid w:val="00FC38D8"/>
    <w:rsid w:val="00FC3C1C"/>
    <w:rsid w:val="00FC44C2"/>
    <w:rsid w:val="00FC50DC"/>
    <w:rsid w:val="00FC5552"/>
    <w:rsid w:val="00FC5B64"/>
    <w:rsid w:val="00FC6108"/>
    <w:rsid w:val="00FC672E"/>
    <w:rsid w:val="00FC6811"/>
    <w:rsid w:val="00FC6914"/>
    <w:rsid w:val="00FC6A57"/>
    <w:rsid w:val="00FC6C07"/>
    <w:rsid w:val="00FC761F"/>
    <w:rsid w:val="00FD0715"/>
    <w:rsid w:val="00FD0A5E"/>
    <w:rsid w:val="00FD1639"/>
    <w:rsid w:val="00FD18B9"/>
    <w:rsid w:val="00FD1B83"/>
    <w:rsid w:val="00FD26F8"/>
    <w:rsid w:val="00FD291C"/>
    <w:rsid w:val="00FD2AB7"/>
    <w:rsid w:val="00FD2FAE"/>
    <w:rsid w:val="00FD2FF7"/>
    <w:rsid w:val="00FD3F63"/>
    <w:rsid w:val="00FD468F"/>
    <w:rsid w:val="00FD55FC"/>
    <w:rsid w:val="00FD60A0"/>
    <w:rsid w:val="00FD6ABE"/>
    <w:rsid w:val="00FD6B98"/>
    <w:rsid w:val="00FD707A"/>
    <w:rsid w:val="00FD72C4"/>
    <w:rsid w:val="00FD7324"/>
    <w:rsid w:val="00FD7662"/>
    <w:rsid w:val="00FD7B1B"/>
    <w:rsid w:val="00FD7CF5"/>
    <w:rsid w:val="00FD7E5C"/>
    <w:rsid w:val="00FE0649"/>
    <w:rsid w:val="00FE090C"/>
    <w:rsid w:val="00FE091E"/>
    <w:rsid w:val="00FE0FE0"/>
    <w:rsid w:val="00FE1046"/>
    <w:rsid w:val="00FE1D08"/>
    <w:rsid w:val="00FE1E2B"/>
    <w:rsid w:val="00FE1F4A"/>
    <w:rsid w:val="00FE24FE"/>
    <w:rsid w:val="00FE27F5"/>
    <w:rsid w:val="00FE3309"/>
    <w:rsid w:val="00FE34BE"/>
    <w:rsid w:val="00FE393F"/>
    <w:rsid w:val="00FE3EE0"/>
    <w:rsid w:val="00FE44C1"/>
    <w:rsid w:val="00FE4C48"/>
    <w:rsid w:val="00FE4CCE"/>
    <w:rsid w:val="00FE4E33"/>
    <w:rsid w:val="00FE5456"/>
    <w:rsid w:val="00FE5E8A"/>
    <w:rsid w:val="00FE6533"/>
    <w:rsid w:val="00FE6FB8"/>
    <w:rsid w:val="00FE7492"/>
    <w:rsid w:val="00FE76D8"/>
    <w:rsid w:val="00FE7B1D"/>
    <w:rsid w:val="00FE7D78"/>
    <w:rsid w:val="00FE7E1E"/>
    <w:rsid w:val="00FF02DB"/>
    <w:rsid w:val="00FF079B"/>
    <w:rsid w:val="00FF0BF6"/>
    <w:rsid w:val="00FF0C66"/>
    <w:rsid w:val="00FF0EA1"/>
    <w:rsid w:val="00FF107B"/>
    <w:rsid w:val="00FF1247"/>
    <w:rsid w:val="00FF1343"/>
    <w:rsid w:val="00FF1378"/>
    <w:rsid w:val="00FF1696"/>
    <w:rsid w:val="00FF1949"/>
    <w:rsid w:val="00FF1CAF"/>
    <w:rsid w:val="00FF2072"/>
    <w:rsid w:val="00FF3773"/>
    <w:rsid w:val="00FF397B"/>
    <w:rsid w:val="00FF4283"/>
    <w:rsid w:val="00FF44AB"/>
    <w:rsid w:val="00FF4B9C"/>
    <w:rsid w:val="00FF5209"/>
    <w:rsid w:val="00FF5615"/>
    <w:rsid w:val="00FF5A00"/>
    <w:rsid w:val="00FF5EF1"/>
    <w:rsid w:val="00FF6124"/>
    <w:rsid w:val="00FF6738"/>
    <w:rsid w:val="00FF67F2"/>
    <w:rsid w:val="00FF6C4E"/>
    <w:rsid w:val="00FF6D57"/>
    <w:rsid w:val="00FF6D82"/>
    <w:rsid w:val="00FF6F90"/>
    <w:rsid w:val="00FF7E50"/>
    <w:rsid w:val="014A14D6"/>
    <w:rsid w:val="016A43E1"/>
    <w:rsid w:val="01761461"/>
    <w:rsid w:val="01A44864"/>
    <w:rsid w:val="01CF0D89"/>
    <w:rsid w:val="01CF1E11"/>
    <w:rsid w:val="01F76A8E"/>
    <w:rsid w:val="020D657A"/>
    <w:rsid w:val="0223236F"/>
    <w:rsid w:val="022624E7"/>
    <w:rsid w:val="02952C5E"/>
    <w:rsid w:val="02E465FD"/>
    <w:rsid w:val="02FB5F01"/>
    <w:rsid w:val="037F4EBC"/>
    <w:rsid w:val="03C863FD"/>
    <w:rsid w:val="03CA0201"/>
    <w:rsid w:val="03DB68E1"/>
    <w:rsid w:val="03E23C5B"/>
    <w:rsid w:val="04250D9C"/>
    <w:rsid w:val="047C774D"/>
    <w:rsid w:val="04CC1D57"/>
    <w:rsid w:val="05850883"/>
    <w:rsid w:val="059A5C98"/>
    <w:rsid w:val="05E41A1D"/>
    <w:rsid w:val="06636FB2"/>
    <w:rsid w:val="06A64F55"/>
    <w:rsid w:val="06B24C6F"/>
    <w:rsid w:val="06B50CF4"/>
    <w:rsid w:val="06B55198"/>
    <w:rsid w:val="06B86837"/>
    <w:rsid w:val="06C66471"/>
    <w:rsid w:val="07041C7C"/>
    <w:rsid w:val="07222102"/>
    <w:rsid w:val="073B6441"/>
    <w:rsid w:val="07874527"/>
    <w:rsid w:val="07F25F78"/>
    <w:rsid w:val="07F461D2"/>
    <w:rsid w:val="08365E65"/>
    <w:rsid w:val="089B2A84"/>
    <w:rsid w:val="092142EF"/>
    <w:rsid w:val="09442803"/>
    <w:rsid w:val="09525099"/>
    <w:rsid w:val="09774987"/>
    <w:rsid w:val="09C92247"/>
    <w:rsid w:val="0A294445"/>
    <w:rsid w:val="0A456833"/>
    <w:rsid w:val="0AA92922"/>
    <w:rsid w:val="0B3444EF"/>
    <w:rsid w:val="0B5A4560"/>
    <w:rsid w:val="0BA12BF3"/>
    <w:rsid w:val="0BD648CC"/>
    <w:rsid w:val="0CB8497B"/>
    <w:rsid w:val="0CEE78D1"/>
    <w:rsid w:val="0CF555B7"/>
    <w:rsid w:val="0CF57E91"/>
    <w:rsid w:val="0D011087"/>
    <w:rsid w:val="0D305579"/>
    <w:rsid w:val="0D5867A2"/>
    <w:rsid w:val="0D9642F0"/>
    <w:rsid w:val="0ED87C76"/>
    <w:rsid w:val="0EE53CAA"/>
    <w:rsid w:val="0F342827"/>
    <w:rsid w:val="0F630EB1"/>
    <w:rsid w:val="0F6A1754"/>
    <w:rsid w:val="0F6B6962"/>
    <w:rsid w:val="0FA22032"/>
    <w:rsid w:val="0FBE2456"/>
    <w:rsid w:val="0FCF7A0F"/>
    <w:rsid w:val="0FE443F8"/>
    <w:rsid w:val="0FE53F92"/>
    <w:rsid w:val="0FED5C57"/>
    <w:rsid w:val="10075607"/>
    <w:rsid w:val="10165B1A"/>
    <w:rsid w:val="106F0518"/>
    <w:rsid w:val="107838CD"/>
    <w:rsid w:val="10807302"/>
    <w:rsid w:val="109D378E"/>
    <w:rsid w:val="112A6783"/>
    <w:rsid w:val="11313480"/>
    <w:rsid w:val="113349F9"/>
    <w:rsid w:val="118539B9"/>
    <w:rsid w:val="11CC17D1"/>
    <w:rsid w:val="124E0238"/>
    <w:rsid w:val="12530A8A"/>
    <w:rsid w:val="129E4D82"/>
    <w:rsid w:val="12AC31BF"/>
    <w:rsid w:val="12AE29A3"/>
    <w:rsid w:val="12D84F2E"/>
    <w:rsid w:val="12D940DE"/>
    <w:rsid w:val="12F6691D"/>
    <w:rsid w:val="1379754E"/>
    <w:rsid w:val="138937CB"/>
    <w:rsid w:val="13BF31B2"/>
    <w:rsid w:val="13D01FEE"/>
    <w:rsid w:val="13FA2E27"/>
    <w:rsid w:val="140212F1"/>
    <w:rsid w:val="14172834"/>
    <w:rsid w:val="14382F65"/>
    <w:rsid w:val="14717445"/>
    <w:rsid w:val="14787805"/>
    <w:rsid w:val="14A012B1"/>
    <w:rsid w:val="1539787D"/>
    <w:rsid w:val="15752784"/>
    <w:rsid w:val="15B11221"/>
    <w:rsid w:val="15D46D50"/>
    <w:rsid w:val="15F34711"/>
    <w:rsid w:val="16077093"/>
    <w:rsid w:val="160F7CF5"/>
    <w:rsid w:val="162166CB"/>
    <w:rsid w:val="16573B76"/>
    <w:rsid w:val="165D6CB3"/>
    <w:rsid w:val="16604466"/>
    <w:rsid w:val="16B20DAC"/>
    <w:rsid w:val="16C968FB"/>
    <w:rsid w:val="1705493D"/>
    <w:rsid w:val="1736653A"/>
    <w:rsid w:val="177479BF"/>
    <w:rsid w:val="17B46CFB"/>
    <w:rsid w:val="17D8243D"/>
    <w:rsid w:val="18367024"/>
    <w:rsid w:val="18624A54"/>
    <w:rsid w:val="18851D55"/>
    <w:rsid w:val="1898505F"/>
    <w:rsid w:val="18C13618"/>
    <w:rsid w:val="18F460C2"/>
    <w:rsid w:val="19051B6A"/>
    <w:rsid w:val="190D47E2"/>
    <w:rsid w:val="19150E7F"/>
    <w:rsid w:val="19287A4C"/>
    <w:rsid w:val="19622356"/>
    <w:rsid w:val="19802244"/>
    <w:rsid w:val="19930475"/>
    <w:rsid w:val="19A96604"/>
    <w:rsid w:val="19E0564B"/>
    <w:rsid w:val="1A352354"/>
    <w:rsid w:val="1A3A6D38"/>
    <w:rsid w:val="1A47372A"/>
    <w:rsid w:val="1B3452EB"/>
    <w:rsid w:val="1B8013F7"/>
    <w:rsid w:val="1BB13295"/>
    <w:rsid w:val="1BB9498B"/>
    <w:rsid w:val="1C6B61A8"/>
    <w:rsid w:val="1CF63BC0"/>
    <w:rsid w:val="1D0A0FEB"/>
    <w:rsid w:val="1D9F3C04"/>
    <w:rsid w:val="1DB91B5D"/>
    <w:rsid w:val="1DFC3698"/>
    <w:rsid w:val="1E0647C5"/>
    <w:rsid w:val="1EB11737"/>
    <w:rsid w:val="1ED85A70"/>
    <w:rsid w:val="1F200154"/>
    <w:rsid w:val="1F417171"/>
    <w:rsid w:val="1F8C2A73"/>
    <w:rsid w:val="1FCD2AA2"/>
    <w:rsid w:val="200B7C2C"/>
    <w:rsid w:val="20165509"/>
    <w:rsid w:val="20453774"/>
    <w:rsid w:val="205A2A93"/>
    <w:rsid w:val="207A2C89"/>
    <w:rsid w:val="209E2481"/>
    <w:rsid w:val="20EE6936"/>
    <w:rsid w:val="213D0D46"/>
    <w:rsid w:val="21462ADE"/>
    <w:rsid w:val="218B501C"/>
    <w:rsid w:val="21D818E3"/>
    <w:rsid w:val="21EF7359"/>
    <w:rsid w:val="22206454"/>
    <w:rsid w:val="22241AE3"/>
    <w:rsid w:val="22244B28"/>
    <w:rsid w:val="225B3EBB"/>
    <w:rsid w:val="22920A1B"/>
    <w:rsid w:val="22CC29AA"/>
    <w:rsid w:val="22DB0789"/>
    <w:rsid w:val="231F117D"/>
    <w:rsid w:val="234500A6"/>
    <w:rsid w:val="23640EA6"/>
    <w:rsid w:val="23CA2319"/>
    <w:rsid w:val="23F24EDE"/>
    <w:rsid w:val="24352EBB"/>
    <w:rsid w:val="2443573A"/>
    <w:rsid w:val="247719A1"/>
    <w:rsid w:val="24E85830"/>
    <w:rsid w:val="2500391B"/>
    <w:rsid w:val="25043B62"/>
    <w:rsid w:val="252A328F"/>
    <w:rsid w:val="253E1313"/>
    <w:rsid w:val="25494923"/>
    <w:rsid w:val="25836BA8"/>
    <w:rsid w:val="25CF3ED6"/>
    <w:rsid w:val="25D725DE"/>
    <w:rsid w:val="260F7EE8"/>
    <w:rsid w:val="26341C2C"/>
    <w:rsid w:val="263961BD"/>
    <w:rsid w:val="264677D2"/>
    <w:rsid w:val="26E21CEE"/>
    <w:rsid w:val="272938E6"/>
    <w:rsid w:val="273713E4"/>
    <w:rsid w:val="274769D1"/>
    <w:rsid w:val="27B00DEC"/>
    <w:rsid w:val="27BD3A55"/>
    <w:rsid w:val="28056DA0"/>
    <w:rsid w:val="282E0A77"/>
    <w:rsid w:val="283261F1"/>
    <w:rsid w:val="28A041F3"/>
    <w:rsid w:val="2908745E"/>
    <w:rsid w:val="29D84B76"/>
    <w:rsid w:val="2A1262DA"/>
    <w:rsid w:val="2A367F13"/>
    <w:rsid w:val="2A6571D9"/>
    <w:rsid w:val="2AA077A9"/>
    <w:rsid w:val="2ABE7682"/>
    <w:rsid w:val="2AD87923"/>
    <w:rsid w:val="2AF459E0"/>
    <w:rsid w:val="2B3E7332"/>
    <w:rsid w:val="2B9F589A"/>
    <w:rsid w:val="2C7F52AD"/>
    <w:rsid w:val="2CE4003B"/>
    <w:rsid w:val="2D5B7F98"/>
    <w:rsid w:val="2D817051"/>
    <w:rsid w:val="2D8868B3"/>
    <w:rsid w:val="2D957CF5"/>
    <w:rsid w:val="2DDD37EA"/>
    <w:rsid w:val="2DEF2F2B"/>
    <w:rsid w:val="2DF13843"/>
    <w:rsid w:val="2E026172"/>
    <w:rsid w:val="2E301F0A"/>
    <w:rsid w:val="2E642359"/>
    <w:rsid w:val="2EFE144D"/>
    <w:rsid w:val="2F707DE9"/>
    <w:rsid w:val="2F96757E"/>
    <w:rsid w:val="2FD72080"/>
    <w:rsid w:val="30330D58"/>
    <w:rsid w:val="30345A24"/>
    <w:rsid w:val="30AA4E20"/>
    <w:rsid w:val="30B5232B"/>
    <w:rsid w:val="30D9774B"/>
    <w:rsid w:val="30E1255B"/>
    <w:rsid w:val="30E12562"/>
    <w:rsid w:val="314F1BC2"/>
    <w:rsid w:val="31666628"/>
    <w:rsid w:val="3172765E"/>
    <w:rsid w:val="317E24A7"/>
    <w:rsid w:val="31CB0666"/>
    <w:rsid w:val="31E30425"/>
    <w:rsid w:val="320266E5"/>
    <w:rsid w:val="32565DF7"/>
    <w:rsid w:val="3298050A"/>
    <w:rsid w:val="33613FFE"/>
    <w:rsid w:val="336143E6"/>
    <w:rsid w:val="337445BC"/>
    <w:rsid w:val="338D236A"/>
    <w:rsid w:val="34331392"/>
    <w:rsid w:val="34621C0C"/>
    <w:rsid w:val="3481071B"/>
    <w:rsid w:val="348C6C89"/>
    <w:rsid w:val="349618B6"/>
    <w:rsid w:val="349D3EFE"/>
    <w:rsid w:val="34ED4490"/>
    <w:rsid w:val="34EF4842"/>
    <w:rsid w:val="34F521EE"/>
    <w:rsid w:val="34F66FC6"/>
    <w:rsid w:val="35201F61"/>
    <w:rsid w:val="354A47F5"/>
    <w:rsid w:val="357A2DF7"/>
    <w:rsid w:val="362463F3"/>
    <w:rsid w:val="36314D74"/>
    <w:rsid w:val="36320DCE"/>
    <w:rsid w:val="36940077"/>
    <w:rsid w:val="36993E75"/>
    <w:rsid w:val="36B978C7"/>
    <w:rsid w:val="36BB7708"/>
    <w:rsid w:val="36D3445E"/>
    <w:rsid w:val="36D546CB"/>
    <w:rsid w:val="37075C97"/>
    <w:rsid w:val="374817BC"/>
    <w:rsid w:val="374B13F0"/>
    <w:rsid w:val="3756191A"/>
    <w:rsid w:val="37671737"/>
    <w:rsid w:val="37B704C1"/>
    <w:rsid w:val="37D75647"/>
    <w:rsid w:val="37E62B54"/>
    <w:rsid w:val="38141101"/>
    <w:rsid w:val="384C15E7"/>
    <w:rsid w:val="3862042D"/>
    <w:rsid w:val="38C01602"/>
    <w:rsid w:val="39243B3D"/>
    <w:rsid w:val="396B3311"/>
    <w:rsid w:val="39A14223"/>
    <w:rsid w:val="39A828A4"/>
    <w:rsid w:val="39AC2C36"/>
    <w:rsid w:val="3A0E1EEE"/>
    <w:rsid w:val="3A346490"/>
    <w:rsid w:val="3A9E3272"/>
    <w:rsid w:val="3AC56C4A"/>
    <w:rsid w:val="3AE73B09"/>
    <w:rsid w:val="3B6B584A"/>
    <w:rsid w:val="3BEB40E5"/>
    <w:rsid w:val="3C3B43CE"/>
    <w:rsid w:val="3CC2593E"/>
    <w:rsid w:val="3D1433A2"/>
    <w:rsid w:val="3D29758D"/>
    <w:rsid w:val="3D7429A3"/>
    <w:rsid w:val="3D9C2ADA"/>
    <w:rsid w:val="3DC93E69"/>
    <w:rsid w:val="3E2724E7"/>
    <w:rsid w:val="3E27676D"/>
    <w:rsid w:val="3E6B3DB3"/>
    <w:rsid w:val="3E89587D"/>
    <w:rsid w:val="3E907376"/>
    <w:rsid w:val="3EB03CC5"/>
    <w:rsid w:val="3ECB4852"/>
    <w:rsid w:val="3EE93386"/>
    <w:rsid w:val="3F177A97"/>
    <w:rsid w:val="3F213F04"/>
    <w:rsid w:val="3F421D64"/>
    <w:rsid w:val="3F471BAA"/>
    <w:rsid w:val="3F951D52"/>
    <w:rsid w:val="40C1415E"/>
    <w:rsid w:val="410D4CAE"/>
    <w:rsid w:val="41112B20"/>
    <w:rsid w:val="415914C1"/>
    <w:rsid w:val="41766CF7"/>
    <w:rsid w:val="418677AA"/>
    <w:rsid w:val="41B25855"/>
    <w:rsid w:val="41BC374E"/>
    <w:rsid w:val="41C90103"/>
    <w:rsid w:val="420F7471"/>
    <w:rsid w:val="42497F67"/>
    <w:rsid w:val="43034482"/>
    <w:rsid w:val="434846C3"/>
    <w:rsid w:val="438870AF"/>
    <w:rsid w:val="43BA2B9E"/>
    <w:rsid w:val="43CC3903"/>
    <w:rsid w:val="43D877F5"/>
    <w:rsid w:val="43E80323"/>
    <w:rsid w:val="43FA5FE2"/>
    <w:rsid w:val="44322D4A"/>
    <w:rsid w:val="444A6219"/>
    <w:rsid w:val="44D06B35"/>
    <w:rsid w:val="44F77F05"/>
    <w:rsid w:val="45560475"/>
    <w:rsid w:val="45737BDF"/>
    <w:rsid w:val="45D46C5B"/>
    <w:rsid w:val="469D4D26"/>
    <w:rsid w:val="46AB6703"/>
    <w:rsid w:val="46BB6B82"/>
    <w:rsid w:val="46EB7AE7"/>
    <w:rsid w:val="4736312B"/>
    <w:rsid w:val="476602F6"/>
    <w:rsid w:val="478F0B12"/>
    <w:rsid w:val="47A869D1"/>
    <w:rsid w:val="47BC742D"/>
    <w:rsid w:val="47C02B27"/>
    <w:rsid w:val="47C031D6"/>
    <w:rsid w:val="47FF5F01"/>
    <w:rsid w:val="481B23A3"/>
    <w:rsid w:val="484E49C7"/>
    <w:rsid w:val="485B2011"/>
    <w:rsid w:val="489F24E0"/>
    <w:rsid w:val="48AC1C02"/>
    <w:rsid w:val="48FA645F"/>
    <w:rsid w:val="4948005A"/>
    <w:rsid w:val="498E6BA8"/>
    <w:rsid w:val="49924E7D"/>
    <w:rsid w:val="49A104EC"/>
    <w:rsid w:val="49D74501"/>
    <w:rsid w:val="49D767A1"/>
    <w:rsid w:val="4A3634C7"/>
    <w:rsid w:val="4A3B4A5C"/>
    <w:rsid w:val="4B533C05"/>
    <w:rsid w:val="4C241635"/>
    <w:rsid w:val="4C4A14AC"/>
    <w:rsid w:val="4C725F03"/>
    <w:rsid w:val="4D081D6E"/>
    <w:rsid w:val="4D1203A4"/>
    <w:rsid w:val="4D3B0DF4"/>
    <w:rsid w:val="4D4C3002"/>
    <w:rsid w:val="4D5214EF"/>
    <w:rsid w:val="4D555522"/>
    <w:rsid w:val="4DD82969"/>
    <w:rsid w:val="4E025A20"/>
    <w:rsid w:val="4E4C43BA"/>
    <w:rsid w:val="4E737ACA"/>
    <w:rsid w:val="4E7B0D91"/>
    <w:rsid w:val="4E7C3473"/>
    <w:rsid w:val="4E997359"/>
    <w:rsid w:val="4F0D3938"/>
    <w:rsid w:val="4F3E57BE"/>
    <w:rsid w:val="4F61710E"/>
    <w:rsid w:val="4FFF6735"/>
    <w:rsid w:val="50224539"/>
    <w:rsid w:val="5062076C"/>
    <w:rsid w:val="51275C89"/>
    <w:rsid w:val="512962D7"/>
    <w:rsid w:val="51477D68"/>
    <w:rsid w:val="516C7FEE"/>
    <w:rsid w:val="518D4B89"/>
    <w:rsid w:val="519059F2"/>
    <w:rsid w:val="51956D25"/>
    <w:rsid w:val="51A72DA3"/>
    <w:rsid w:val="51A74466"/>
    <w:rsid w:val="51D718C7"/>
    <w:rsid w:val="51EC4EEC"/>
    <w:rsid w:val="51FB0B52"/>
    <w:rsid w:val="52345E4A"/>
    <w:rsid w:val="52483D98"/>
    <w:rsid w:val="524E2F31"/>
    <w:rsid w:val="52CF44B9"/>
    <w:rsid w:val="52E863D3"/>
    <w:rsid w:val="532A2A4A"/>
    <w:rsid w:val="536426E8"/>
    <w:rsid w:val="53C71634"/>
    <w:rsid w:val="54256A35"/>
    <w:rsid w:val="547D2C1A"/>
    <w:rsid w:val="548B2C7E"/>
    <w:rsid w:val="54D83366"/>
    <w:rsid w:val="54F324F8"/>
    <w:rsid w:val="55381ED8"/>
    <w:rsid w:val="5543788A"/>
    <w:rsid w:val="554F18E1"/>
    <w:rsid w:val="563E7AA9"/>
    <w:rsid w:val="568850AA"/>
    <w:rsid w:val="56C25B6C"/>
    <w:rsid w:val="57140367"/>
    <w:rsid w:val="57154464"/>
    <w:rsid w:val="57832EE3"/>
    <w:rsid w:val="57A35F14"/>
    <w:rsid w:val="5805272B"/>
    <w:rsid w:val="58207C04"/>
    <w:rsid w:val="582B03E3"/>
    <w:rsid w:val="585A4F2F"/>
    <w:rsid w:val="58F97C5B"/>
    <w:rsid w:val="59012EF2"/>
    <w:rsid w:val="595765E7"/>
    <w:rsid w:val="597638E0"/>
    <w:rsid w:val="59A349B6"/>
    <w:rsid w:val="59E1204C"/>
    <w:rsid w:val="5A0A04CC"/>
    <w:rsid w:val="5A9658BC"/>
    <w:rsid w:val="5B0F5D9A"/>
    <w:rsid w:val="5B1F079D"/>
    <w:rsid w:val="5B526733"/>
    <w:rsid w:val="5B5F03A4"/>
    <w:rsid w:val="5B7379CF"/>
    <w:rsid w:val="5BCE7785"/>
    <w:rsid w:val="5BF1122A"/>
    <w:rsid w:val="5C140B03"/>
    <w:rsid w:val="5C283EC9"/>
    <w:rsid w:val="5C437174"/>
    <w:rsid w:val="5C6E4D42"/>
    <w:rsid w:val="5D30559F"/>
    <w:rsid w:val="5D51434E"/>
    <w:rsid w:val="5D881E34"/>
    <w:rsid w:val="5DC866D4"/>
    <w:rsid w:val="5E50108F"/>
    <w:rsid w:val="5E5D506F"/>
    <w:rsid w:val="5E7F192B"/>
    <w:rsid w:val="5F2416FD"/>
    <w:rsid w:val="5F29531B"/>
    <w:rsid w:val="5F2D2C93"/>
    <w:rsid w:val="603077A1"/>
    <w:rsid w:val="606968D4"/>
    <w:rsid w:val="612B7408"/>
    <w:rsid w:val="616D6A24"/>
    <w:rsid w:val="617B7D81"/>
    <w:rsid w:val="61B70402"/>
    <w:rsid w:val="61FB55A6"/>
    <w:rsid w:val="62610F56"/>
    <w:rsid w:val="62EE44E7"/>
    <w:rsid w:val="630B0D25"/>
    <w:rsid w:val="633B5253"/>
    <w:rsid w:val="63941F07"/>
    <w:rsid w:val="63EC3E4B"/>
    <w:rsid w:val="645A71EA"/>
    <w:rsid w:val="65742EC7"/>
    <w:rsid w:val="65FC0F4D"/>
    <w:rsid w:val="660E7CE2"/>
    <w:rsid w:val="666D68AF"/>
    <w:rsid w:val="669E7BD0"/>
    <w:rsid w:val="66C8504F"/>
    <w:rsid w:val="66CC3556"/>
    <w:rsid w:val="66E638C0"/>
    <w:rsid w:val="66E95763"/>
    <w:rsid w:val="676C20F3"/>
    <w:rsid w:val="676C45F3"/>
    <w:rsid w:val="67801DCE"/>
    <w:rsid w:val="67F53618"/>
    <w:rsid w:val="6804655B"/>
    <w:rsid w:val="6820733F"/>
    <w:rsid w:val="68210EBB"/>
    <w:rsid w:val="687A0BBC"/>
    <w:rsid w:val="688C4126"/>
    <w:rsid w:val="68F42334"/>
    <w:rsid w:val="691B590A"/>
    <w:rsid w:val="69423AFE"/>
    <w:rsid w:val="69572F2E"/>
    <w:rsid w:val="697F4AA5"/>
    <w:rsid w:val="69F13A07"/>
    <w:rsid w:val="69F45E5D"/>
    <w:rsid w:val="6A4721BE"/>
    <w:rsid w:val="6A75300F"/>
    <w:rsid w:val="6AAB53B4"/>
    <w:rsid w:val="6B3E69F2"/>
    <w:rsid w:val="6B6712DB"/>
    <w:rsid w:val="6BF665EC"/>
    <w:rsid w:val="6C2D1C9A"/>
    <w:rsid w:val="6C7D68DC"/>
    <w:rsid w:val="6CE030B0"/>
    <w:rsid w:val="6CF556F7"/>
    <w:rsid w:val="6D132BA8"/>
    <w:rsid w:val="6D4A4A10"/>
    <w:rsid w:val="6DA00AD4"/>
    <w:rsid w:val="6DB14A8F"/>
    <w:rsid w:val="6DB80E25"/>
    <w:rsid w:val="6DB9605E"/>
    <w:rsid w:val="6EB0094B"/>
    <w:rsid w:val="6EEC710A"/>
    <w:rsid w:val="6EFE4AEF"/>
    <w:rsid w:val="6F1B4E65"/>
    <w:rsid w:val="6F2C2BA0"/>
    <w:rsid w:val="6F4162E7"/>
    <w:rsid w:val="6F507B27"/>
    <w:rsid w:val="6F5953DE"/>
    <w:rsid w:val="6F7A5868"/>
    <w:rsid w:val="6F8259ED"/>
    <w:rsid w:val="6FD459CC"/>
    <w:rsid w:val="7054775D"/>
    <w:rsid w:val="7056191E"/>
    <w:rsid w:val="70B22023"/>
    <w:rsid w:val="70D43718"/>
    <w:rsid w:val="70D91188"/>
    <w:rsid w:val="70DC4260"/>
    <w:rsid w:val="70E22E6B"/>
    <w:rsid w:val="70E44F58"/>
    <w:rsid w:val="71265794"/>
    <w:rsid w:val="71645191"/>
    <w:rsid w:val="717007BD"/>
    <w:rsid w:val="719F6A56"/>
    <w:rsid w:val="71A1306D"/>
    <w:rsid w:val="720D24B0"/>
    <w:rsid w:val="72802C82"/>
    <w:rsid w:val="72C83F3E"/>
    <w:rsid w:val="72E804B1"/>
    <w:rsid w:val="73047407"/>
    <w:rsid w:val="73210D6E"/>
    <w:rsid w:val="733D23FA"/>
    <w:rsid w:val="734379FB"/>
    <w:rsid w:val="73467931"/>
    <w:rsid w:val="735C01CD"/>
    <w:rsid w:val="73DB4206"/>
    <w:rsid w:val="73FE2B4F"/>
    <w:rsid w:val="743957DE"/>
    <w:rsid w:val="747F1A52"/>
    <w:rsid w:val="74C01A5C"/>
    <w:rsid w:val="74F636CF"/>
    <w:rsid w:val="75482A22"/>
    <w:rsid w:val="75604BFB"/>
    <w:rsid w:val="757F4F2B"/>
    <w:rsid w:val="75840CDB"/>
    <w:rsid w:val="75F6664F"/>
    <w:rsid w:val="75F8637C"/>
    <w:rsid w:val="75FA1EB8"/>
    <w:rsid w:val="76CA0970"/>
    <w:rsid w:val="76DE441B"/>
    <w:rsid w:val="77694336"/>
    <w:rsid w:val="778D79A7"/>
    <w:rsid w:val="77A1279F"/>
    <w:rsid w:val="77EB3293"/>
    <w:rsid w:val="78C53AE4"/>
    <w:rsid w:val="792720A9"/>
    <w:rsid w:val="79D072BF"/>
    <w:rsid w:val="7A700510"/>
    <w:rsid w:val="7A9E639B"/>
    <w:rsid w:val="7AA240DD"/>
    <w:rsid w:val="7AAB7433"/>
    <w:rsid w:val="7B2D1921"/>
    <w:rsid w:val="7B2F4576"/>
    <w:rsid w:val="7B3F44E4"/>
    <w:rsid w:val="7B7E4979"/>
    <w:rsid w:val="7BCB1412"/>
    <w:rsid w:val="7BEE05A2"/>
    <w:rsid w:val="7C0132AF"/>
    <w:rsid w:val="7C2B599A"/>
    <w:rsid w:val="7CCC3241"/>
    <w:rsid w:val="7CD15B82"/>
    <w:rsid w:val="7CED7B6F"/>
    <w:rsid w:val="7D1C6C38"/>
    <w:rsid w:val="7D7F24B4"/>
    <w:rsid w:val="7D7F72F7"/>
    <w:rsid w:val="7DC9372F"/>
    <w:rsid w:val="7E3642B7"/>
    <w:rsid w:val="7E7328E3"/>
    <w:rsid w:val="7E7D0549"/>
    <w:rsid w:val="7EA538D6"/>
    <w:rsid w:val="7ED5043F"/>
    <w:rsid w:val="7EF44DDF"/>
    <w:rsid w:val="7F2A28F3"/>
    <w:rsid w:val="7F5145BD"/>
    <w:rsid w:val="7F9972B4"/>
    <w:rsid w:val="7FC4203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qFormat="1" w:unhideWhenUsed="0" w:uiPriority="0" w:name="endnote reference"/>
    <w:lsdException w:qFormat="1" w:unhideWhenUsed="0" w:uiPriority="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9"/>
    <w:autoRedefine/>
    <w:qFormat/>
    <w:uiPriority w:val="0"/>
    <w:pPr>
      <w:keepNext/>
      <w:keepLines/>
      <w:spacing w:before="240" w:after="240" w:line="240" w:lineRule="atLeast"/>
      <w:outlineLvl w:val="0"/>
    </w:pPr>
    <w:rPr>
      <w:rFonts w:eastAsia="黑体"/>
      <w:bCs/>
      <w:kern w:val="44"/>
      <w:sz w:val="24"/>
      <w:szCs w:val="44"/>
    </w:rPr>
  </w:style>
  <w:style w:type="paragraph" w:styleId="3">
    <w:name w:val="heading 2"/>
    <w:basedOn w:val="1"/>
    <w:next w:val="4"/>
    <w:link w:val="70"/>
    <w:autoRedefine/>
    <w:qFormat/>
    <w:uiPriority w:val="0"/>
    <w:pPr>
      <w:keepNext/>
      <w:keepLines/>
      <w:spacing w:before="260" w:after="260" w:line="480" w:lineRule="exact"/>
      <w:jc w:val="center"/>
      <w:outlineLvl w:val="1"/>
    </w:pPr>
    <w:rPr>
      <w:rFonts w:ascii="宋体" w:hAnsi="宋体" w:eastAsia="黑体"/>
      <w:bCs/>
      <w:i/>
      <w:iCs/>
      <w:sz w:val="24"/>
      <w:szCs w:val="20"/>
    </w:rPr>
  </w:style>
  <w:style w:type="paragraph" w:styleId="5">
    <w:name w:val="heading 3"/>
    <w:basedOn w:val="1"/>
    <w:next w:val="4"/>
    <w:link w:val="74"/>
    <w:autoRedefine/>
    <w:qFormat/>
    <w:uiPriority w:val="0"/>
    <w:pPr>
      <w:keepNext/>
      <w:keepLines/>
      <w:widowControl/>
      <w:spacing w:before="120" w:after="120" w:line="360" w:lineRule="auto"/>
      <w:jc w:val="center"/>
      <w:outlineLvl w:val="2"/>
    </w:pPr>
    <w:rPr>
      <w:b/>
      <w:kern w:val="0"/>
      <w:sz w:val="32"/>
      <w:szCs w:val="20"/>
    </w:rPr>
  </w:style>
  <w:style w:type="paragraph" w:styleId="6">
    <w:name w:val="heading 4"/>
    <w:basedOn w:val="1"/>
    <w:next w:val="4"/>
    <w:autoRedefine/>
    <w:qFormat/>
    <w:uiPriority w:val="0"/>
    <w:pPr>
      <w:keepNext/>
      <w:adjustRightInd w:val="0"/>
      <w:spacing w:line="420" w:lineRule="atLeast"/>
      <w:ind w:firstLine="454"/>
      <w:jc w:val="center"/>
      <w:textAlignment w:val="baseline"/>
      <w:outlineLvl w:val="3"/>
    </w:pPr>
    <w:rPr>
      <w:i/>
      <w:kern w:val="0"/>
      <w:szCs w:val="20"/>
    </w:rPr>
  </w:style>
  <w:style w:type="paragraph" w:styleId="7">
    <w:name w:val="heading 6"/>
    <w:basedOn w:val="1"/>
    <w:next w:val="1"/>
    <w:autoRedefine/>
    <w:qFormat/>
    <w:uiPriority w:val="0"/>
    <w:pPr>
      <w:keepNext/>
      <w:keepLines/>
      <w:widowControl/>
      <w:tabs>
        <w:tab w:val="left" w:pos="1440"/>
      </w:tabs>
      <w:spacing w:before="240" w:after="64" w:line="320" w:lineRule="auto"/>
      <w:ind w:left="1152" w:hanging="1152"/>
      <w:jc w:val="left"/>
      <w:outlineLvl w:val="5"/>
    </w:pPr>
    <w:rPr>
      <w:rFonts w:ascii="Arial" w:hAnsi="Arial" w:eastAsia="黑体"/>
      <w:b/>
      <w:bCs/>
      <w:kern w:val="0"/>
      <w:sz w:val="24"/>
    </w:rPr>
  </w:style>
  <w:style w:type="paragraph" w:styleId="8">
    <w:name w:val="heading 7"/>
    <w:basedOn w:val="1"/>
    <w:next w:val="1"/>
    <w:autoRedefine/>
    <w:qFormat/>
    <w:uiPriority w:val="0"/>
    <w:pPr>
      <w:keepNext/>
      <w:keepLines/>
      <w:widowControl/>
      <w:tabs>
        <w:tab w:val="left" w:pos="2520"/>
      </w:tabs>
      <w:spacing w:before="240" w:after="64" w:line="320" w:lineRule="auto"/>
      <w:ind w:left="1296" w:hanging="1296"/>
      <w:jc w:val="left"/>
      <w:outlineLvl w:val="6"/>
    </w:pPr>
    <w:rPr>
      <w:b/>
      <w:bCs/>
      <w:kern w:val="0"/>
      <w:sz w:val="24"/>
    </w:rPr>
  </w:style>
  <w:style w:type="paragraph" w:styleId="9">
    <w:name w:val="heading 8"/>
    <w:basedOn w:val="1"/>
    <w:next w:val="1"/>
    <w:autoRedefine/>
    <w:qFormat/>
    <w:uiPriority w:val="0"/>
    <w:pPr>
      <w:keepNext/>
      <w:keepLines/>
      <w:widowControl/>
      <w:tabs>
        <w:tab w:val="left" w:pos="1440"/>
      </w:tabs>
      <w:spacing w:before="240" w:after="64" w:line="320" w:lineRule="auto"/>
      <w:ind w:left="1440" w:hanging="1440"/>
      <w:jc w:val="left"/>
      <w:outlineLvl w:val="7"/>
    </w:pPr>
    <w:rPr>
      <w:rFonts w:ascii="Arial" w:hAnsi="Arial" w:eastAsia="黑体"/>
      <w:kern w:val="0"/>
      <w:sz w:val="24"/>
    </w:rPr>
  </w:style>
  <w:style w:type="paragraph" w:styleId="10">
    <w:name w:val="heading 9"/>
    <w:basedOn w:val="1"/>
    <w:next w:val="1"/>
    <w:autoRedefine/>
    <w:qFormat/>
    <w:uiPriority w:val="0"/>
    <w:pPr>
      <w:keepNext/>
      <w:keepLines/>
      <w:widowControl/>
      <w:tabs>
        <w:tab w:val="left" w:pos="1584"/>
      </w:tabs>
      <w:spacing w:before="240" w:after="64" w:line="320" w:lineRule="auto"/>
      <w:ind w:left="1584" w:hanging="1584"/>
      <w:jc w:val="left"/>
      <w:outlineLvl w:val="8"/>
    </w:pPr>
    <w:rPr>
      <w:rFonts w:ascii="Arial" w:hAnsi="Arial" w:eastAsia="黑体"/>
      <w:kern w:val="0"/>
      <w:szCs w:val="21"/>
    </w:rPr>
  </w:style>
  <w:style w:type="character" w:default="1" w:styleId="42">
    <w:name w:val="Default Paragraph Font"/>
    <w:autoRedefine/>
    <w:semiHidden/>
    <w:qFormat/>
    <w:uiPriority w:val="0"/>
  </w:style>
  <w:style w:type="table" w:default="1" w:styleId="40">
    <w:name w:val="Normal Table"/>
    <w:autoRedefine/>
    <w:semiHidden/>
    <w:qFormat/>
    <w:uiPriority w:val="0"/>
    <w:tblPr>
      <w:tblCellMar>
        <w:top w:w="0" w:type="dxa"/>
        <w:left w:w="108" w:type="dxa"/>
        <w:bottom w:w="0" w:type="dxa"/>
        <w:right w:w="108" w:type="dxa"/>
      </w:tblCellMar>
    </w:tblPr>
  </w:style>
  <w:style w:type="paragraph" w:styleId="4">
    <w:name w:val="Normal Indent"/>
    <w:basedOn w:val="1"/>
    <w:autoRedefine/>
    <w:qFormat/>
    <w:uiPriority w:val="0"/>
    <w:pPr>
      <w:ind w:firstLine="420" w:firstLineChars="200"/>
    </w:pPr>
  </w:style>
  <w:style w:type="paragraph" w:styleId="11">
    <w:name w:val="toc 7"/>
    <w:basedOn w:val="1"/>
    <w:next w:val="1"/>
    <w:autoRedefine/>
    <w:unhideWhenUsed/>
    <w:qFormat/>
    <w:uiPriority w:val="39"/>
    <w:pPr>
      <w:ind w:left="2520" w:leftChars="1200"/>
    </w:pPr>
    <w:rPr>
      <w:rFonts w:ascii="Calibri" w:hAnsi="Calibri" w:eastAsia="宋体" w:cs="Times New Roman"/>
      <w:szCs w:val="22"/>
    </w:rPr>
  </w:style>
  <w:style w:type="paragraph" w:styleId="12">
    <w:name w:val="caption"/>
    <w:basedOn w:val="1"/>
    <w:next w:val="1"/>
    <w:autoRedefine/>
    <w:qFormat/>
    <w:uiPriority w:val="0"/>
    <w:rPr>
      <w:rFonts w:ascii="Arial" w:hAnsi="Arial" w:eastAsia="黑体" w:cs="Arial"/>
      <w:sz w:val="20"/>
      <w:szCs w:val="20"/>
    </w:rPr>
  </w:style>
  <w:style w:type="paragraph" w:styleId="13">
    <w:name w:val="Document Map"/>
    <w:basedOn w:val="1"/>
    <w:link w:val="68"/>
    <w:autoRedefine/>
    <w:qFormat/>
    <w:uiPriority w:val="0"/>
    <w:rPr>
      <w:rFonts w:ascii="宋体"/>
      <w:sz w:val="18"/>
      <w:szCs w:val="18"/>
    </w:rPr>
  </w:style>
  <w:style w:type="paragraph" w:styleId="14">
    <w:name w:val="annotation text"/>
    <w:basedOn w:val="1"/>
    <w:link w:val="62"/>
    <w:autoRedefine/>
    <w:qFormat/>
    <w:uiPriority w:val="0"/>
    <w:pPr>
      <w:jc w:val="left"/>
    </w:pPr>
  </w:style>
  <w:style w:type="paragraph" w:styleId="15">
    <w:name w:val="Body Text 3"/>
    <w:basedOn w:val="1"/>
    <w:link w:val="60"/>
    <w:autoRedefine/>
    <w:qFormat/>
    <w:uiPriority w:val="0"/>
    <w:rPr>
      <w:rFonts w:ascii="宋体"/>
      <w:sz w:val="24"/>
      <w:szCs w:val="20"/>
    </w:rPr>
  </w:style>
  <w:style w:type="paragraph" w:styleId="16">
    <w:name w:val="Body Text"/>
    <w:basedOn w:val="1"/>
    <w:autoRedefine/>
    <w:qFormat/>
    <w:uiPriority w:val="0"/>
    <w:pPr>
      <w:spacing w:after="120"/>
    </w:pPr>
  </w:style>
  <w:style w:type="paragraph" w:styleId="17">
    <w:name w:val="Body Text Indent"/>
    <w:basedOn w:val="1"/>
    <w:autoRedefine/>
    <w:qFormat/>
    <w:uiPriority w:val="0"/>
    <w:pPr>
      <w:spacing w:after="120"/>
      <w:ind w:left="420" w:leftChars="200"/>
    </w:pPr>
  </w:style>
  <w:style w:type="paragraph" w:styleId="18">
    <w:name w:val="toc 5"/>
    <w:basedOn w:val="1"/>
    <w:next w:val="1"/>
    <w:autoRedefine/>
    <w:unhideWhenUsed/>
    <w:qFormat/>
    <w:uiPriority w:val="39"/>
    <w:pPr>
      <w:ind w:left="1680" w:leftChars="800"/>
    </w:pPr>
    <w:rPr>
      <w:rFonts w:ascii="Calibri" w:hAnsi="Calibri" w:eastAsia="宋体" w:cs="Times New Roman"/>
      <w:szCs w:val="22"/>
    </w:rPr>
  </w:style>
  <w:style w:type="paragraph" w:styleId="19">
    <w:name w:val="toc 3"/>
    <w:basedOn w:val="1"/>
    <w:next w:val="1"/>
    <w:autoRedefine/>
    <w:unhideWhenUsed/>
    <w:qFormat/>
    <w:uiPriority w:val="39"/>
    <w:pPr>
      <w:widowControl/>
      <w:spacing w:after="100" w:line="276" w:lineRule="auto"/>
      <w:ind w:left="440"/>
      <w:jc w:val="left"/>
    </w:pPr>
    <w:rPr>
      <w:rFonts w:ascii="Calibri" w:hAnsi="Calibri" w:eastAsia="宋体" w:cs="Times New Roman"/>
      <w:kern w:val="0"/>
      <w:sz w:val="22"/>
      <w:szCs w:val="22"/>
    </w:rPr>
  </w:style>
  <w:style w:type="paragraph" w:styleId="20">
    <w:name w:val="Plain Text"/>
    <w:basedOn w:val="1"/>
    <w:link w:val="67"/>
    <w:autoRedefine/>
    <w:qFormat/>
    <w:uiPriority w:val="0"/>
    <w:rPr>
      <w:rFonts w:ascii="宋体" w:hAnsi="Courier New"/>
      <w:szCs w:val="20"/>
    </w:rPr>
  </w:style>
  <w:style w:type="paragraph" w:styleId="21">
    <w:name w:val="toc 8"/>
    <w:basedOn w:val="1"/>
    <w:next w:val="1"/>
    <w:autoRedefine/>
    <w:unhideWhenUsed/>
    <w:qFormat/>
    <w:uiPriority w:val="39"/>
    <w:pPr>
      <w:ind w:left="2940" w:leftChars="1400"/>
    </w:pPr>
    <w:rPr>
      <w:rFonts w:ascii="Calibri" w:hAnsi="Calibri" w:eastAsia="宋体" w:cs="Times New Roman"/>
      <w:szCs w:val="22"/>
    </w:rPr>
  </w:style>
  <w:style w:type="paragraph" w:styleId="22">
    <w:name w:val="Date"/>
    <w:basedOn w:val="1"/>
    <w:next w:val="1"/>
    <w:autoRedefine/>
    <w:qFormat/>
    <w:uiPriority w:val="0"/>
    <w:rPr>
      <w:sz w:val="24"/>
      <w:szCs w:val="20"/>
    </w:rPr>
  </w:style>
  <w:style w:type="paragraph" w:styleId="23">
    <w:name w:val="Body Text Indent 2"/>
    <w:basedOn w:val="1"/>
    <w:autoRedefine/>
    <w:qFormat/>
    <w:uiPriority w:val="0"/>
    <w:pPr>
      <w:spacing w:line="500" w:lineRule="exact"/>
      <w:ind w:firstLine="540" w:firstLineChars="200"/>
    </w:pPr>
    <w:rPr>
      <w:rFonts w:ascii="宋体" w:hAnsi="宋体"/>
      <w:sz w:val="27"/>
      <w:szCs w:val="27"/>
    </w:rPr>
  </w:style>
  <w:style w:type="paragraph" w:styleId="24">
    <w:name w:val="endnote text"/>
    <w:basedOn w:val="1"/>
    <w:autoRedefine/>
    <w:semiHidden/>
    <w:qFormat/>
    <w:uiPriority w:val="0"/>
    <w:pPr>
      <w:snapToGrid w:val="0"/>
      <w:jc w:val="left"/>
    </w:pPr>
  </w:style>
  <w:style w:type="paragraph" w:styleId="25">
    <w:name w:val="Balloon Text"/>
    <w:basedOn w:val="1"/>
    <w:autoRedefine/>
    <w:semiHidden/>
    <w:qFormat/>
    <w:uiPriority w:val="0"/>
    <w:rPr>
      <w:sz w:val="18"/>
      <w:szCs w:val="18"/>
    </w:rPr>
  </w:style>
  <w:style w:type="paragraph" w:styleId="26">
    <w:name w:val="footer"/>
    <w:basedOn w:val="1"/>
    <w:link w:val="63"/>
    <w:autoRedefine/>
    <w:qFormat/>
    <w:uiPriority w:val="0"/>
    <w:pPr>
      <w:tabs>
        <w:tab w:val="center" w:pos="4153"/>
        <w:tab w:val="right" w:pos="8306"/>
      </w:tabs>
      <w:snapToGrid w:val="0"/>
      <w:jc w:val="left"/>
    </w:pPr>
    <w:rPr>
      <w:sz w:val="18"/>
      <w:szCs w:val="18"/>
    </w:rPr>
  </w:style>
  <w:style w:type="paragraph" w:styleId="27">
    <w:name w:val="header"/>
    <w:basedOn w:val="1"/>
    <w:link w:val="76"/>
    <w:autoRedefine/>
    <w:qFormat/>
    <w:uiPriority w:val="0"/>
    <w:pPr>
      <w:tabs>
        <w:tab w:val="center" w:pos="4153"/>
        <w:tab w:val="right" w:pos="8306"/>
      </w:tabs>
      <w:snapToGrid w:val="0"/>
      <w:jc w:val="center"/>
    </w:pPr>
    <w:rPr>
      <w:sz w:val="18"/>
      <w:szCs w:val="18"/>
    </w:rPr>
  </w:style>
  <w:style w:type="paragraph" w:styleId="28">
    <w:name w:val="toc 1"/>
    <w:basedOn w:val="1"/>
    <w:next w:val="1"/>
    <w:autoRedefine/>
    <w:qFormat/>
    <w:uiPriority w:val="39"/>
    <w:pPr>
      <w:tabs>
        <w:tab w:val="left" w:pos="425"/>
        <w:tab w:val="right" w:leader="dot" w:pos="8805"/>
      </w:tabs>
      <w:spacing w:line="440" w:lineRule="exact"/>
      <w:jc w:val="center"/>
    </w:pPr>
    <w:rPr>
      <w:color w:val="000000"/>
      <w:sz w:val="20"/>
      <w:szCs w:val="20"/>
    </w:rPr>
  </w:style>
  <w:style w:type="paragraph" w:styleId="29">
    <w:name w:val="toc 4"/>
    <w:basedOn w:val="1"/>
    <w:next w:val="1"/>
    <w:autoRedefine/>
    <w:unhideWhenUsed/>
    <w:qFormat/>
    <w:uiPriority w:val="39"/>
    <w:pPr>
      <w:ind w:left="1260" w:leftChars="600"/>
    </w:pPr>
    <w:rPr>
      <w:rFonts w:ascii="Calibri" w:hAnsi="Calibri" w:eastAsia="宋体" w:cs="Times New Roman"/>
      <w:szCs w:val="22"/>
    </w:rPr>
  </w:style>
  <w:style w:type="paragraph" w:styleId="30">
    <w:name w:val="footnote text"/>
    <w:basedOn w:val="1"/>
    <w:link w:val="69"/>
    <w:autoRedefine/>
    <w:qFormat/>
    <w:uiPriority w:val="0"/>
    <w:pPr>
      <w:adjustRightInd w:val="0"/>
      <w:snapToGrid w:val="0"/>
      <w:spacing w:line="420" w:lineRule="atLeast"/>
      <w:ind w:firstLine="454"/>
      <w:jc w:val="left"/>
      <w:textAlignment w:val="baseline"/>
    </w:pPr>
    <w:rPr>
      <w:kern w:val="0"/>
      <w:sz w:val="18"/>
      <w:szCs w:val="20"/>
    </w:rPr>
  </w:style>
  <w:style w:type="paragraph" w:styleId="31">
    <w:name w:val="toc 6"/>
    <w:basedOn w:val="1"/>
    <w:next w:val="1"/>
    <w:autoRedefine/>
    <w:unhideWhenUsed/>
    <w:qFormat/>
    <w:uiPriority w:val="39"/>
    <w:pPr>
      <w:ind w:left="2100" w:leftChars="1000"/>
    </w:pPr>
    <w:rPr>
      <w:rFonts w:ascii="Calibri" w:hAnsi="Calibri" w:eastAsia="宋体" w:cs="Times New Roman"/>
      <w:szCs w:val="22"/>
    </w:rPr>
  </w:style>
  <w:style w:type="paragraph" w:styleId="32">
    <w:name w:val="Body Text Indent 3"/>
    <w:basedOn w:val="1"/>
    <w:autoRedefine/>
    <w:qFormat/>
    <w:uiPriority w:val="0"/>
    <w:pPr>
      <w:spacing w:after="120"/>
      <w:ind w:left="420" w:leftChars="200"/>
    </w:pPr>
    <w:rPr>
      <w:sz w:val="16"/>
      <w:szCs w:val="16"/>
    </w:rPr>
  </w:style>
  <w:style w:type="paragraph" w:styleId="33">
    <w:name w:val="toc 2"/>
    <w:basedOn w:val="1"/>
    <w:next w:val="1"/>
    <w:autoRedefine/>
    <w:qFormat/>
    <w:uiPriority w:val="39"/>
    <w:pPr>
      <w:ind w:left="420" w:leftChars="200"/>
    </w:pPr>
  </w:style>
  <w:style w:type="paragraph" w:styleId="34">
    <w:name w:val="toc 9"/>
    <w:basedOn w:val="1"/>
    <w:next w:val="1"/>
    <w:autoRedefine/>
    <w:unhideWhenUsed/>
    <w:qFormat/>
    <w:uiPriority w:val="39"/>
    <w:pPr>
      <w:ind w:left="3360" w:leftChars="1600"/>
    </w:pPr>
    <w:rPr>
      <w:rFonts w:ascii="Calibri" w:hAnsi="Calibri" w:eastAsia="宋体" w:cs="Times New Roman"/>
      <w:szCs w:val="22"/>
    </w:rPr>
  </w:style>
  <w:style w:type="paragraph" w:styleId="35">
    <w:name w:val="Body Text 2"/>
    <w:basedOn w:val="1"/>
    <w:autoRedefine/>
    <w:qFormat/>
    <w:uiPriority w:val="0"/>
    <w:pPr>
      <w:spacing w:after="120" w:line="480" w:lineRule="auto"/>
    </w:pPr>
  </w:style>
  <w:style w:type="paragraph" w:styleId="3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37">
    <w:name w:val="index 1"/>
    <w:basedOn w:val="1"/>
    <w:next w:val="1"/>
    <w:autoRedefine/>
    <w:semiHidden/>
    <w:qFormat/>
    <w:uiPriority w:val="0"/>
    <w:pPr>
      <w:spacing w:line="220" w:lineRule="exact"/>
      <w:jc w:val="center"/>
    </w:pPr>
    <w:rPr>
      <w:rFonts w:ascii="仿宋_GB2312" w:eastAsia="仿宋_GB2312"/>
      <w:szCs w:val="21"/>
    </w:rPr>
  </w:style>
  <w:style w:type="paragraph" w:styleId="38">
    <w:name w:val="Title"/>
    <w:basedOn w:val="1"/>
    <w:link w:val="65"/>
    <w:autoRedefine/>
    <w:qFormat/>
    <w:uiPriority w:val="0"/>
    <w:pPr>
      <w:adjustRightInd w:val="0"/>
      <w:spacing w:before="240" w:after="60" w:line="420" w:lineRule="atLeast"/>
      <w:jc w:val="center"/>
      <w:textAlignment w:val="baseline"/>
      <w:outlineLvl w:val="0"/>
    </w:pPr>
    <w:rPr>
      <w:rFonts w:ascii="Arial" w:hAnsi="Arial"/>
      <w:b/>
      <w:kern w:val="0"/>
      <w:sz w:val="32"/>
      <w:szCs w:val="20"/>
    </w:rPr>
  </w:style>
  <w:style w:type="paragraph" w:styleId="39">
    <w:name w:val="annotation subject"/>
    <w:basedOn w:val="14"/>
    <w:next w:val="14"/>
    <w:link w:val="61"/>
    <w:autoRedefine/>
    <w:qFormat/>
    <w:uiPriority w:val="0"/>
    <w:rPr>
      <w:b/>
      <w:bCs/>
    </w:rPr>
  </w:style>
  <w:style w:type="table" w:styleId="41">
    <w:name w:val="Table Grid"/>
    <w:basedOn w:val="4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3">
    <w:name w:val="Strong"/>
    <w:basedOn w:val="42"/>
    <w:qFormat/>
    <w:uiPriority w:val="0"/>
    <w:rPr>
      <w:b/>
      <w:bCs/>
    </w:rPr>
  </w:style>
  <w:style w:type="character" w:styleId="44">
    <w:name w:val="endnote reference"/>
    <w:autoRedefine/>
    <w:semiHidden/>
    <w:qFormat/>
    <w:uiPriority w:val="0"/>
    <w:rPr>
      <w:vertAlign w:val="superscript"/>
    </w:rPr>
  </w:style>
  <w:style w:type="character" w:styleId="45">
    <w:name w:val="page number"/>
    <w:basedOn w:val="42"/>
    <w:autoRedefine/>
    <w:qFormat/>
    <w:uiPriority w:val="0"/>
  </w:style>
  <w:style w:type="character" w:styleId="46">
    <w:name w:val="FollowedHyperlink"/>
    <w:autoRedefine/>
    <w:qFormat/>
    <w:uiPriority w:val="0"/>
    <w:rPr>
      <w:color w:val="800080"/>
      <w:u w:val="single"/>
    </w:rPr>
  </w:style>
  <w:style w:type="character" w:styleId="47">
    <w:name w:val="Emphasis"/>
    <w:basedOn w:val="42"/>
    <w:qFormat/>
    <w:uiPriority w:val="0"/>
    <w:rPr>
      <w:b/>
      <w:bCs/>
    </w:rPr>
  </w:style>
  <w:style w:type="character" w:styleId="48">
    <w:name w:val="HTML Definition"/>
    <w:basedOn w:val="42"/>
    <w:qFormat/>
    <w:uiPriority w:val="0"/>
  </w:style>
  <w:style w:type="character" w:styleId="49">
    <w:name w:val="HTML Typewriter"/>
    <w:basedOn w:val="42"/>
    <w:qFormat/>
    <w:uiPriority w:val="0"/>
    <w:rPr>
      <w:rFonts w:ascii="monospace" w:hAnsi="monospace" w:eastAsia="monospace" w:cs="monospace"/>
      <w:sz w:val="20"/>
    </w:rPr>
  </w:style>
  <w:style w:type="character" w:styleId="50">
    <w:name w:val="HTML Acronym"/>
    <w:basedOn w:val="42"/>
    <w:qFormat/>
    <w:uiPriority w:val="0"/>
  </w:style>
  <w:style w:type="character" w:styleId="51">
    <w:name w:val="HTML Variable"/>
    <w:basedOn w:val="42"/>
    <w:qFormat/>
    <w:uiPriority w:val="0"/>
  </w:style>
  <w:style w:type="character" w:styleId="52">
    <w:name w:val="Hyperlink"/>
    <w:autoRedefine/>
    <w:qFormat/>
    <w:uiPriority w:val="99"/>
    <w:rPr>
      <w:color w:val="0000FF"/>
      <w:u w:val="single"/>
    </w:rPr>
  </w:style>
  <w:style w:type="character" w:styleId="53">
    <w:name w:val="HTML Code"/>
    <w:basedOn w:val="42"/>
    <w:qFormat/>
    <w:uiPriority w:val="0"/>
    <w:rPr>
      <w:rFonts w:hint="default" w:ascii="monospace" w:hAnsi="monospace" w:eastAsia="monospace" w:cs="monospace"/>
      <w:sz w:val="20"/>
    </w:rPr>
  </w:style>
  <w:style w:type="character" w:styleId="54">
    <w:name w:val="annotation reference"/>
    <w:autoRedefine/>
    <w:qFormat/>
    <w:uiPriority w:val="0"/>
    <w:rPr>
      <w:sz w:val="21"/>
      <w:szCs w:val="21"/>
    </w:rPr>
  </w:style>
  <w:style w:type="character" w:styleId="55">
    <w:name w:val="HTML Cite"/>
    <w:basedOn w:val="42"/>
    <w:qFormat/>
    <w:uiPriority w:val="0"/>
  </w:style>
  <w:style w:type="character" w:styleId="56">
    <w:name w:val="footnote reference"/>
    <w:autoRedefine/>
    <w:qFormat/>
    <w:uiPriority w:val="0"/>
    <w:rPr>
      <w:vertAlign w:val="superscript"/>
    </w:rPr>
  </w:style>
  <w:style w:type="character" w:styleId="57">
    <w:name w:val="HTML Keyboard"/>
    <w:basedOn w:val="42"/>
    <w:qFormat/>
    <w:uiPriority w:val="0"/>
    <w:rPr>
      <w:rFonts w:hint="default" w:ascii="monospace" w:hAnsi="monospace" w:eastAsia="monospace" w:cs="monospace"/>
      <w:sz w:val="20"/>
    </w:rPr>
  </w:style>
  <w:style w:type="character" w:styleId="58">
    <w:name w:val="HTML Sample"/>
    <w:basedOn w:val="42"/>
    <w:qFormat/>
    <w:uiPriority w:val="0"/>
    <w:rPr>
      <w:rFonts w:hint="default" w:ascii="monospace" w:hAnsi="monospace" w:eastAsia="monospace" w:cs="monospace"/>
      <w:shd w:val="clear" w:fill="00B0FA"/>
    </w:rPr>
  </w:style>
  <w:style w:type="character" w:customStyle="1" w:styleId="59">
    <w:name w:val="标题 1 Char"/>
    <w:link w:val="2"/>
    <w:autoRedefine/>
    <w:qFormat/>
    <w:uiPriority w:val="0"/>
    <w:rPr>
      <w:rFonts w:eastAsia="黑体"/>
      <w:bCs/>
      <w:kern w:val="44"/>
      <w:sz w:val="24"/>
      <w:szCs w:val="44"/>
    </w:rPr>
  </w:style>
  <w:style w:type="character" w:customStyle="1" w:styleId="60">
    <w:name w:val="正文文本 3 Char"/>
    <w:basedOn w:val="42"/>
    <w:link w:val="15"/>
    <w:autoRedefine/>
    <w:qFormat/>
    <w:uiPriority w:val="0"/>
    <w:rPr>
      <w:rFonts w:ascii="宋体"/>
      <w:kern w:val="2"/>
      <w:sz w:val="24"/>
    </w:rPr>
  </w:style>
  <w:style w:type="character" w:customStyle="1" w:styleId="61">
    <w:name w:val="批注主题 Char"/>
    <w:link w:val="39"/>
    <w:autoRedefine/>
    <w:qFormat/>
    <w:uiPriority w:val="0"/>
    <w:rPr>
      <w:b/>
      <w:bCs/>
      <w:kern w:val="2"/>
      <w:sz w:val="21"/>
      <w:szCs w:val="24"/>
    </w:rPr>
  </w:style>
  <w:style w:type="character" w:customStyle="1" w:styleId="62">
    <w:name w:val="批注文字 Char"/>
    <w:basedOn w:val="42"/>
    <w:link w:val="14"/>
    <w:autoRedefine/>
    <w:qFormat/>
    <w:uiPriority w:val="0"/>
    <w:rPr>
      <w:kern w:val="2"/>
      <w:sz w:val="21"/>
      <w:szCs w:val="24"/>
    </w:rPr>
  </w:style>
  <w:style w:type="character" w:customStyle="1" w:styleId="63">
    <w:name w:val="页脚 Char"/>
    <w:link w:val="26"/>
    <w:autoRedefine/>
    <w:qFormat/>
    <w:uiPriority w:val="0"/>
    <w:rPr>
      <w:rFonts w:eastAsia="宋体"/>
      <w:kern w:val="2"/>
      <w:sz w:val="18"/>
      <w:szCs w:val="18"/>
      <w:lang w:val="en-US" w:eastAsia="zh-CN" w:bidi="ar-SA"/>
    </w:rPr>
  </w:style>
  <w:style w:type="character" w:customStyle="1" w:styleId="64">
    <w:name w:val="font161"/>
    <w:autoRedefine/>
    <w:qFormat/>
    <w:uiPriority w:val="0"/>
    <w:rPr>
      <w:b/>
      <w:bCs/>
      <w:sz w:val="32"/>
      <w:szCs w:val="32"/>
    </w:rPr>
  </w:style>
  <w:style w:type="character" w:customStyle="1" w:styleId="65">
    <w:name w:val="标题 Char"/>
    <w:link w:val="38"/>
    <w:autoRedefine/>
    <w:qFormat/>
    <w:uiPriority w:val="0"/>
    <w:rPr>
      <w:rFonts w:ascii="Arial" w:hAnsi="Arial" w:eastAsia="宋体"/>
      <w:b/>
      <w:sz w:val="32"/>
      <w:lang w:val="en-US" w:eastAsia="zh-CN" w:bidi="ar-SA"/>
    </w:rPr>
  </w:style>
  <w:style w:type="character" w:customStyle="1" w:styleId="66">
    <w:name w:val="数字"/>
    <w:autoRedefine/>
    <w:qFormat/>
    <w:uiPriority w:val="0"/>
    <w:rPr>
      <w:rFonts w:eastAsia="黑体"/>
      <w:b/>
      <w:sz w:val="21"/>
    </w:rPr>
  </w:style>
  <w:style w:type="character" w:customStyle="1" w:styleId="67">
    <w:name w:val="纯文本 Char"/>
    <w:link w:val="20"/>
    <w:autoRedefine/>
    <w:qFormat/>
    <w:uiPriority w:val="0"/>
    <w:rPr>
      <w:rFonts w:ascii="宋体" w:hAnsi="Courier New" w:eastAsia="宋体"/>
      <w:kern w:val="2"/>
      <w:sz w:val="21"/>
      <w:lang w:val="en-US" w:eastAsia="zh-CN" w:bidi="ar-SA"/>
    </w:rPr>
  </w:style>
  <w:style w:type="character" w:customStyle="1" w:styleId="68">
    <w:name w:val="文档结构图 Char"/>
    <w:link w:val="13"/>
    <w:autoRedefine/>
    <w:qFormat/>
    <w:uiPriority w:val="0"/>
    <w:rPr>
      <w:rFonts w:ascii="宋体"/>
      <w:kern w:val="2"/>
      <w:sz w:val="18"/>
      <w:szCs w:val="18"/>
    </w:rPr>
  </w:style>
  <w:style w:type="character" w:customStyle="1" w:styleId="69">
    <w:name w:val="脚注文本 Char"/>
    <w:link w:val="30"/>
    <w:autoRedefine/>
    <w:qFormat/>
    <w:uiPriority w:val="0"/>
    <w:rPr>
      <w:sz w:val="18"/>
    </w:rPr>
  </w:style>
  <w:style w:type="character" w:customStyle="1" w:styleId="70">
    <w:name w:val="标题 2 Char"/>
    <w:link w:val="3"/>
    <w:autoRedefine/>
    <w:qFormat/>
    <w:uiPriority w:val="0"/>
    <w:rPr>
      <w:rFonts w:ascii="宋体" w:hAnsi="宋体" w:eastAsia="黑体"/>
      <w:bCs/>
      <w:i/>
      <w:iCs/>
      <w:kern w:val="2"/>
      <w:sz w:val="24"/>
    </w:rPr>
  </w:style>
  <w:style w:type="character" w:customStyle="1" w:styleId="71">
    <w:name w:val="H001 Char"/>
    <w:link w:val="72"/>
    <w:autoRedefine/>
    <w:qFormat/>
    <w:uiPriority w:val="0"/>
    <w:rPr>
      <w:rFonts w:eastAsia="黑体"/>
      <w:bCs/>
      <w:kern w:val="44"/>
      <w:sz w:val="24"/>
      <w:szCs w:val="44"/>
    </w:rPr>
  </w:style>
  <w:style w:type="paragraph" w:customStyle="1" w:styleId="72">
    <w:name w:val="H001"/>
    <w:basedOn w:val="2"/>
    <w:link w:val="71"/>
    <w:autoRedefine/>
    <w:qFormat/>
    <w:uiPriority w:val="0"/>
    <w:pPr>
      <w:spacing w:before="240" w:after="240" w:line="240" w:lineRule="exact"/>
    </w:pPr>
    <w:rPr>
      <w:rFonts w:eastAsia="黑体"/>
      <w:sz w:val="24"/>
    </w:rPr>
  </w:style>
  <w:style w:type="character" w:customStyle="1" w:styleId="73">
    <w:name w:val="脚注文本 字符1"/>
    <w:autoRedefine/>
    <w:semiHidden/>
    <w:qFormat/>
    <w:locked/>
    <w:uiPriority w:val="0"/>
    <w:rPr>
      <w:kern w:val="2"/>
      <w:sz w:val="18"/>
      <w:szCs w:val="18"/>
    </w:rPr>
  </w:style>
  <w:style w:type="character" w:customStyle="1" w:styleId="74">
    <w:name w:val="标题 3 Char"/>
    <w:link w:val="5"/>
    <w:autoRedefine/>
    <w:qFormat/>
    <w:uiPriority w:val="0"/>
    <w:rPr>
      <w:b/>
      <w:sz w:val="32"/>
    </w:rPr>
  </w:style>
  <w:style w:type="character" w:customStyle="1" w:styleId="75">
    <w:name w:val="未处理的提及"/>
    <w:autoRedefine/>
    <w:unhideWhenUsed/>
    <w:qFormat/>
    <w:uiPriority w:val="99"/>
    <w:rPr>
      <w:color w:val="808080"/>
      <w:shd w:val="clear" w:color="auto" w:fill="E6E6E6"/>
    </w:rPr>
  </w:style>
  <w:style w:type="character" w:customStyle="1" w:styleId="76">
    <w:name w:val="页眉 Char"/>
    <w:basedOn w:val="42"/>
    <w:link w:val="27"/>
    <w:autoRedefine/>
    <w:qFormat/>
    <w:uiPriority w:val="0"/>
    <w:rPr>
      <w:kern w:val="2"/>
      <w:sz w:val="18"/>
      <w:szCs w:val="18"/>
    </w:rPr>
  </w:style>
  <w:style w:type="paragraph" w:customStyle="1" w:styleId="77">
    <w:name w:val="2"/>
    <w:basedOn w:val="1"/>
    <w:autoRedefine/>
    <w:qFormat/>
    <w:uiPriority w:val="0"/>
    <w:pPr>
      <w:adjustRightInd w:val="0"/>
      <w:spacing w:line="420" w:lineRule="atLeast"/>
      <w:ind w:left="1134" w:hanging="227"/>
      <w:textAlignment w:val="baseline"/>
    </w:pPr>
    <w:rPr>
      <w:kern w:val="0"/>
      <w:szCs w:val="20"/>
    </w:rPr>
  </w:style>
  <w:style w:type="paragraph" w:customStyle="1" w:styleId="78">
    <w:name w:val="表格2"/>
    <w:basedOn w:val="1"/>
    <w:autoRedefine/>
    <w:qFormat/>
    <w:uiPriority w:val="0"/>
    <w:pPr>
      <w:adjustRightInd w:val="0"/>
      <w:spacing w:line="420" w:lineRule="atLeast"/>
      <w:ind w:left="284" w:firstLine="454"/>
      <w:textAlignment w:val="baseline"/>
    </w:pPr>
    <w:rPr>
      <w:kern w:val="0"/>
      <w:szCs w:val="20"/>
    </w:rPr>
  </w:style>
  <w:style w:type="paragraph" w:customStyle="1" w:styleId="79">
    <w:name w:val="表格6"/>
    <w:basedOn w:val="80"/>
    <w:autoRedefine/>
    <w:qFormat/>
    <w:uiPriority w:val="0"/>
    <w:pPr>
      <w:ind w:left="737" w:firstLine="0"/>
    </w:pPr>
  </w:style>
  <w:style w:type="paragraph" w:customStyle="1" w:styleId="80">
    <w:name w:val="表格5"/>
    <w:basedOn w:val="78"/>
    <w:autoRedefine/>
    <w:qFormat/>
    <w:uiPriority w:val="0"/>
    <w:pPr>
      <w:ind w:left="1021" w:hanging="284"/>
    </w:pPr>
    <w:rPr>
      <w:rFonts w:ascii="宋体"/>
    </w:rPr>
  </w:style>
  <w:style w:type="paragraph" w:customStyle="1" w:styleId="81">
    <w:name w:val=" Char Char Char"/>
    <w:basedOn w:val="1"/>
    <w:autoRedefine/>
    <w:qFormat/>
    <w:uiPriority w:val="0"/>
    <w:rPr>
      <w:szCs w:val="20"/>
    </w:rPr>
  </w:style>
  <w:style w:type="paragraph" w:customStyle="1" w:styleId="82">
    <w:name w:val="af15hichaf0dbchf15cgrid"/>
    <w:autoRedefine/>
    <w:qFormat/>
    <w:uiPriority w:val="0"/>
    <w:pPr>
      <w:widowControl w:val="0"/>
      <w:tabs>
        <w:tab w:val="center" w:pos="4320"/>
        <w:tab w:val="right" w:pos="8640"/>
      </w:tabs>
      <w:adjustRightInd w:val="0"/>
      <w:spacing w:line="315" w:lineRule="atLeast"/>
      <w:jc w:val="both"/>
      <w:textAlignment w:val="baseline"/>
    </w:pPr>
    <w:rPr>
      <w:rFonts w:ascii="宋体" w:hAnsi="Times New Roman" w:eastAsia="宋体" w:cs="Times New Roman"/>
      <w:sz w:val="21"/>
      <w:lang w:val="en-US" w:eastAsia="zh-CN" w:bidi="ar-SA"/>
    </w:rPr>
  </w:style>
  <w:style w:type="paragraph" w:customStyle="1" w:styleId="83">
    <w:name w:val="表格3"/>
    <w:basedOn w:val="1"/>
    <w:autoRedefine/>
    <w:qFormat/>
    <w:uiPriority w:val="0"/>
    <w:pPr>
      <w:adjustRightInd w:val="0"/>
      <w:spacing w:line="420" w:lineRule="atLeast"/>
      <w:textAlignment w:val="baseline"/>
    </w:pPr>
    <w:rPr>
      <w:rFonts w:eastAsia="楷体"/>
      <w:kern w:val="0"/>
      <w:szCs w:val="20"/>
    </w:rPr>
  </w:style>
  <w:style w:type="paragraph" w:customStyle="1" w:styleId="84">
    <w:name w:val="表中"/>
    <w:basedOn w:val="1"/>
    <w:autoRedefine/>
    <w:qFormat/>
    <w:uiPriority w:val="0"/>
    <w:pPr>
      <w:adjustRightInd w:val="0"/>
      <w:spacing w:line="360" w:lineRule="atLeast"/>
      <w:jc w:val="center"/>
      <w:textAlignment w:val="baseline"/>
    </w:pPr>
    <w:rPr>
      <w:kern w:val="0"/>
      <w:szCs w:val="20"/>
    </w:rPr>
  </w:style>
  <w:style w:type="paragraph" w:customStyle="1" w:styleId="85">
    <w:name w:val="表格4"/>
    <w:basedOn w:val="1"/>
    <w:autoRedefine/>
    <w:qFormat/>
    <w:uiPriority w:val="0"/>
    <w:pPr>
      <w:adjustRightInd w:val="0"/>
      <w:spacing w:line="420" w:lineRule="atLeast"/>
      <w:ind w:left="1021"/>
      <w:textAlignment w:val="baseline"/>
    </w:pPr>
    <w:rPr>
      <w:kern w:val="0"/>
      <w:szCs w:val="20"/>
    </w:rPr>
  </w:style>
  <w:style w:type="paragraph" w:customStyle="1" w:styleId="86">
    <w:name w:val="6'"/>
    <w:basedOn w:val="1"/>
    <w:autoRedefine/>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87">
    <w:name w:val="1"/>
    <w:basedOn w:val="1"/>
    <w:next w:val="1"/>
    <w:autoRedefine/>
    <w:qFormat/>
    <w:uiPriority w:val="0"/>
  </w:style>
  <w:style w:type="paragraph" w:customStyle="1" w:styleId="88">
    <w:name w:val="表格文字"/>
    <w:basedOn w:val="1"/>
    <w:autoRedefine/>
    <w:qFormat/>
    <w:uiPriority w:val="0"/>
    <w:pPr>
      <w:adjustRightInd w:val="0"/>
      <w:spacing w:line="420" w:lineRule="atLeast"/>
      <w:jc w:val="left"/>
      <w:textAlignment w:val="baseline"/>
    </w:pPr>
    <w:rPr>
      <w:kern w:val="0"/>
      <w:szCs w:val="20"/>
    </w:rPr>
  </w:style>
  <w:style w:type="paragraph" w:customStyle="1" w:styleId="89">
    <w:name w:val="表格"/>
    <w:basedOn w:val="1"/>
    <w:autoRedefine/>
    <w:qFormat/>
    <w:uiPriority w:val="0"/>
    <w:pPr>
      <w:jc w:val="center"/>
      <w:textAlignment w:val="center"/>
    </w:pPr>
    <w:rPr>
      <w:rFonts w:ascii="华文细黑" w:hAnsi="华文细黑"/>
      <w:kern w:val="0"/>
      <w:szCs w:val="20"/>
    </w:rPr>
  </w:style>
  <w:style w:type="paragraph" w:customStyle="1" w:styleId="90">
    <w:name w:val="表格方字"/>
    <w:basedOn w:val="1"/>
    <w:autoRedefine/>
    <w:qFormat/>
    <w:uiPriority w:val="0"/>
    <w:pPr>
      <w:adjustRightInd w:val="0"/>
      <w:spacing w:before="60" w:after="60" w:line="420" w:lineRule="atLeast"/>
      <w:jc w:val="left"/>
      <w:textAlignment w:val="baseline"/>
    </w:pPr>
    <w:rPr>
      <w:kern w:val="0"/>
      <w:szCs w:val="20"/>
    </w:rPr>
  </w:style>
  <w:style w:type="paragraph" w:customStyle="1" w:styleId="91">
    <w:name w:val="表头"/>
    <w:basedOn w:val="90"/>
    <w:autoRedefine/>
    <w:qFormat/>
    <w:uiPriority w:val="0"/>
    <w:rPr>
      <w:rFonts w:ascii="黑体" w:eastAsia="黑体"/>
      <w:b/>
    </w:rPr>
  </w:style>
  <w:style w:type="paragraph" w:customStyle="1" w:styleId="92">
    <w:name w:val="表格1"/>
    <w:basedOn w:val="1"/>
    <w:autoRedefine/>
    <w:qFormat/>
    <w:uiPriority w:val="0"/>
    <w:pPr>
      <w:adjustRightInd w:val="0"/>
      <w:spacing w:line="420" w:lineRule="atLeast"/>
      <w:ind w:left="284"/>
      <w:textAlignment w:val="baseline"/>
    </w:pPr>
    <w:rPr>
      <w:kern w:val="0"/>
      <w:szCs w:val="20"/>
    </w:rPr>
  </w:style>
  <w:style w:type="paragraph" w:customStyle="1" w:styleId="93">
    <w:name w:val=" Char Char Char Char Char Char"/>
    <w:basedOn w:val="1"/>
    <w:autoRedefine/>
    <w:qFormat/>
    <w:uiPriority w:val="0"/>
  </w:style>
  <w:style w:type="paragraph" w:customStyle="1" w:styleId="94">
    <w:name w:val=" Char"/>
    <w:basedOn w:val="1"/>
    <w:autoRedefine/>
    <w:qFormat/>
    <w:uiPriority w:val="0"/>
  </w:style>
  <w:style w:type="paragraph" w:customStyle="1" w:styleId="95">
    <w:name w:val=" Char1"/>
    <w:basedOn w:val="1"/>
    <w:autoRedefine/>
    <w:qFormat/>
    <w:uiPriority w:val="0"/>
  </w:style>
  <w:style w:type="paragraph" w:customStyle="1" w:styleId="96">
    <w:name w:val="Char"/>
    <w:basedOn w:val="1"/>
    <w:autoRedefine/>
    <w:qFormat/>
    <w:uiPriority w:val="0"/>
  </w:style>
  <w:style w:type="paragraph" w:customStyle="1" w:styleId="97">
    <w:name w:val=" Char Char Char Char Char Char Char Char Char Char Char Char Char Char Char Char Char Char1 Char Char Char Char"/>
    <w:basedOn w:val="1"/>
    <w:autoRedefine/>
    <w:qFormat/>
    <w:uiPriority w:val="0"/>
  </w:style>
  <w:style w:type="paragraph" w:customStyle="1" w:styleId="98">
    <w:name w:val="_Style 86"/>
    <w:autoRedefine/>
    <w:semiHidden/>
    <w:qFormat/>
    <w:uiPriority w:val="99"/>
    <w:rPr>
      <w:rFonts w:ascii="Times New Roman" w:hAnsi="Times New Roman" w:eastAsia="宋体" w:cs="Times New Roman"/>
      <w:kern w:val="2"/>
      <w:sz w:val="21"/>
      <w:szCs w:val="24"/>
      <w:lang w:val="en-US" w:eastAsia="zh-CN" w:bidi="ar-SA"/>
    </w:rPr>
  </w:style>
  <w:style w:type="paragraph" w:customStyle="1" w:styleId="99">
    <w:name w:val="_Style 87"/>
    <w:basedOn w:val="2"/>
    <w:next w:val="1"/>
    <w:autoRedefine/>
    <w:qFormat/>
    <w:uiPriority w:val="39"/>
    <w:pPr>
      <w:widowControl/>
      <w:spacing w:before="480" w:after="0" w:line="276" w:lineRule="auto"/>
      <w:jc w:val="left"/>
      <w:outlineLvl w:val="9"/>
    </w:pPr>
    <w:rPr>
      <w:rFonts w:ascii="Cambria" w:hAnsi="Cambria" w:eastAsia="宋体" w:cs="Times New Roman"/>
      <w:color w:val="365F91"/>
      <w:kern w:val="0"/>
      <w:sz w:val="28"/>
      <w:szCs w:val="28"/>
    </w:rPr>
  </w:style>
  <w:style w:type="paragraph" w:customStyle="1" w:styleId="100">
    <w:name w:val="Char Char Char"/>
    <w:basedOn w:val="1"/>
    <w:autoRedefine/>
    <w:qFormat/>
    <w:uiPriority w:val="0"/>
    <w:rPr>
      <w:szCs w:val="20"/>
    </w:rPr>
  </w:style>
  <w:style w:type="table" w:customStyle="1" w:styleId="101">
    <w:name w:val="Table Normal"/>
    <w:autoRedefine/>
    <w:semiHidden/>
    <w:unhideWhenUsed/>
    <w:qFormat/>
    <w:uiPriority w:val="0"/>
    <w:tblPr>
      <w:tblCellMar>
        <w:top w:w="0" w:type="dxa"/>
        <w:left w:w="0" w:type="dxa"/>
        <w:bottom w:w="0" w:type="dxa"/>
        <w:right w:w="0" w:type="dxa"/>
      </w:tblCellMar>
    </w:tblPr>
  </w:style>
  <w:style w:type="paragraph" w:customStyle="1" w:styleId="102">
    <w:name w:val="Table Text"/>
    <w:basedOn w:val="1"/>
    <w:autoRedefine/>
    <w:semiHidden/>
    <w:qFormat/>
    <w:uiPriority w:val="0"/>
    <w:rPr>
      <w:rFonts w:ascii="宋体" w:hAnsi="宋体" w:eastAsia="宋体" w:cs="宋体"/>
      <w:sz w:val="21"/>
      <w:szCs w:val="21"/>
      <w:lang w:val="en-US" w:eastAsia="en-US" w:bidi="ar-SA"/>
    </w:rPr>
  </w:style>
  <w:style w:type="character" w:customStyle="1" w:styleId="103">
    <w:name w:val="mini-outputtext1"/>
    <w:basedOn w:val="42"/>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3.xml"/><Relationship Id="rId7" Type="http://schemas.openxmlformats.org/officeDocument/2006/relationships/footer" Target="footer2.xml"/><Relationship Id="rId6" Type="http://schemas.openxmlformats.org/officeDocument/2006/relationships/footer" Target="footer1.xml"/><Relationship Id="rId51" Type="http://schemas.openxmlformats.org/officeDocument/2006/relationships/fontTable" Target="fontTable.xml"/><Relationship Id="rId50" Type="http://schemas.openxmlformats.org/officeDocument/2006/relationships/numbering" Target="numbering.xml"/><Relationship Id="rId5" Type="http://schemas.openxmlformats.org/officeDocument/2006/relationships/header" Target="header2.xml"/><Relationship Id="rId49" Type="http://schemas.openxmlformats.org/officeDocument/2006/relationships/customXml" Target="../customXml/item1.xml"/><Relationship Id="rId48" Type="http://schemas.openxmlformats.org/officeDocument/2006/relationships/image" Target="media/image2.wmf"/><Relationship Id="rId47" Type="http://schemas.openxmlformats.org/officeDocument/2006/relationships/oleObject" Target="embeddings/oleObject1.bin"/><Relationship Id="rId46" Type="http://schemas.openxmlformats.org/officeDocument/2006/relationships/image" Target="media/image1.png"/><Relationship Id="rId45" Type="http://schemas.openxmlformats.org/officeDocument/2006/relationships/theme" Target="theme/theme1.xml"/><Relationship Id="rId44" Type="http://schemas.openxmlformats.org/officeDocument/2006/relationships/footer" Target="footer22.xml"/><Relationship Id="rId43" Type="http://schemas.openxmlformats.org/officeDocument/2006/relationships/header" Target="header19.xml"/><Relationship Id="rId42" Type="http://schemas.openxmlformats.org/officeDocument/2006/relationships/header" Target="header18.xml"/><Relationship Id="rId41" Type="http://schemas.openxmlformats.org/officeDocument/2006/relationships/footer" Target="footer21.xml"/><Relationship Id="rId40" Type="http://schemas.openxmlformats.org/officeDocument/2006/relationships/footer" Target="footer20.xml"/><Relationship Id="rId4" Type="http://schemas.openxmlformats.org/officeDocument/2006/relationships/header" Target="header1.xml"/><Relationship Id="rId39" Type="http://schemas.openxmlformats.org/officeDocument/2006/relationships/header" Target="header17.xml"/><Relationship Id="rId38" Type="http://schemas.openxmlformats.org/officeDocument/2006/relationships/header" Target="header16.xml"/><Relationship Id="rId37" Type="http://schemas.openxmlformats.org/officeDocument/2006/relationships/footer" Target="footer19.xml"/><Relationship Id="rId36" Type="http://schemas.openxmlformats.org/officeDocument/2006/relationships/header" Target="header15.xml"/><Relationship Id="rId35" Type="http://schemas.openxmlformats.org/officeDocument/2006/relationships/footer" Target="footer18.xml"/><Relationship Id="rId34" Type="http://schemas.openxmlformats.org/officeDocument/2006/relationships/header" Target="header14.xml"/><Relationship Id="rId33" Type="http://schemas.openxmlformats.org/officeDocument/2006/relationships/footer" Target="footer17.xml"/><Relationship Id="rId32" Type="http://schemas.openxmlformats.org/officeDocument/2006/relationships/header" Target="header13.xml"/><Relationship Id="rId31" Type="http://schemas.openxmlformats.org/officeDocument/2006/relationships/footer" Target="footer16.xml"/><Relationship Id="rId30" Type="http://schemas.openxmlformats.org/officeDocument/2006/relationships/header" Target="header12.xml"/><Relationship Id="rId3" Type="http://schemas.openxmlformats.org/officeDocument/2006/relationships/footnotes" Target="footnotes.xml"/><Relationship Id="rId29" Type="http://schemas.openxmlformats.org/officeDocument/2006/relationships/footer" Target="footer15.xml"/><Relationship Id="rId28" Type="http://schemas.openxmlformats.org/officeDocument/2006/relationships/header" Target="header11.xml"/><Relationship Id="rId27" Type="http://schemas.openxmlformats.org/officeDocument/2006/relationships/footer" Target="footer14.xml"/><Relationship Id="rId26" Type="http://schemas.openxmlformats.org/officeDocument/2006/relationships/footer" Target="footer13.xml"/><Relationship Id="rId25" Type="http://schemas.openxmlformats.org/officeDocument/2006/relationships/header" Target="header10.xml"/><Relationship Id="rId24" Type="http://schemas.openxmlformats.org/officeDocument/2006/relationships/header" Target="header9.xml"/><Relationship Id="rId23" Type="http://schemas.openxmlformats.org/officeDocument/2006/relationships/footer" Target="footer12.xml"/><Relationship Id="rId22" Type="http://schemas.openxmlformats.org/officeDocument/2006/relationships/footer" Target="footer11.xml"/><Relationship Id="rId21" Type="http://schemas.openxmlformats.org/officeDocument/2006/relationships/header" Target="header8.xml"/><Relationship Id="rId20" Type="http://schemas.openxmlformats.org/officeDocument/2006/relationships/header" Target="header7.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footer" Target="footer9.xml"/><Relationship Id="rId17" Type="http://schemas.openxmlformats.org/officeDocument/2006/relationships/header" Target="header6.xml"/><Relationship Id="rId16" Type="http://schemas.openxmlformats.org/officeDocument/2006/relationships/header" Target="header5.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4.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216</Pages>
  <Words>5819</Words>
  <Characters>6502</Characters>
  <Lines>1513</Lines>
  <Paragraphs>426</Paragraphs>
  <TotalTime>12</TotalTime>
  <ScaleCrop>false</ScaleCrop>
  <LinksUpToDate>false</LinksUpToDate>
  <CharactersWithSpaces>7180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2016-09-27T05:48:00Z</dcterms:created>
  <dc:creator>袁静</dc:creator>
  <cp:lastModifiedBy>祈连山</cp:lastModifiedBy>
  <cp:lastPrinted>2026-10-25T10:37:00Z</cp:lastPrinted>
  <dcterms:modified xsi:type="dcterms:W3CDTF">2026-10-26T07:35:44Z</dcterms:modified>
  <dc:title>公路工程标准施工招标文件</dc:title>
  <cp:revision>1807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BAA2B5D693A14A84A446D2DE282C7C9C_13</vt:lpwstr>
  </property>
  <property fmtid="{D5CDD505-2E9C-101B-9397-08002B2CF9AE}" pid="4" name="KSOTemplateDocerSaveRecord">
    <vt:lpwstr>eyJoZGlkIjoiNTg5MTIzMWRkYzRkODU1OTRjMzM0NTBlOGU4MmQyYzIiLCJ1c2VySWQiOiI0MDUzMDUyMjAifQ==</vt:lpwstr>
  </property>
</Properties>
</file>